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6BE67ED" w14:textId="57BFDC66" w:rsidR="00AB1420" w:rsidRPr="007740A3" w:rsidRDefault="00AB1420" w:rsidP="005E5395">
      <w:pPr>
        <w:pStyle w:val="ARTartustawynprozporzdzenia"/>
        <w:spacing w:before="0"/>
        <w:ind w:firstLine="0"/>
        <w:jc w:val="center"/>
        <w:rPr>
          <w:rFonts w:ascii="Times New Roman" w:hAnsi="Times New Roman" w:cs="Times New Roman"/>
          <w:szCs w:val="24"/>
        </w:rPr>
      </w:pPr>
      <w:bookmarkStart w:id="0" w:name="_GoBack"/>
      <w:bookmarkEnd w:id="0"/>
      <w:r w:rsidRPr="007740A3">
        <w:rPr>
          <w:rFonts w:ascii="Times New Roman" w:hAnsi="Times New Roman" w:cs="Times New Roman"/>
          <w:szCs w:val="24"/>
        </w:rPr>
        <w:t>UZASADNIENIE</w:t>
      </w:r>
    </w:p>
    <w:p w14:paraId="4AF3F5DB" w14:textId="77777777" w:rsidR="00C90CE6" w:rsidRDefault="00C90CE6" w:rsidP="005E5395">
      <w:pPr>
        <w:pStyle w:val="ARTartustawynprozporzdzenia"/>
        <w:spacing w:before="0"/>
        <w:ind w:firstLine="0"/>
        <w:jc w:val="center"/>
        <w:rPr>
          <w:rFonts w:ascii="Times New Roman" w:hAnsi="Times New Roman" w:cs="Times New Roman"/>
          <w:szCs w:val="24"/>
        </w:rPr>
      </w:pPr>
    </w:p>
    <w:p w14:paraId="6A2135A9" w14:textId="77777777" w:rsidR="00AB1420" w:rsidRDefault="00AB1420" w:rsidP="005E5395">
      <w:pPr>
        <w:pStyle w:val="ARTartustawynprozporzdzenia"/>
        <w:spacing w:before="0"/>
        <w:ind w:firstLine="0"/>
        <w:jc w:val="center"/>
        <w:rPr>
          <w:rFonts w:ascii="Times New Roman" w:hAnsi="Times New Roman" w:cs="Times New Roman"/>
          <w:szCs w:val="24"/>
        </w:rPr>
      </w:pPr>
      <w:r w:rsidRPr="00D92FC1">
        <w:rPr>
          <w:rFonts w:ascii="Times New Roman" w:hAnsi="Times New Roman" w:cs="Times New Roman"/>
          <w:szCs w:val="24"/>
        </w:rPr>
        <w:t>CZĘŚĆ OGÓLNA</w:t>
      </w:r>
    </w:p>
    <w:p w14:paraId="1714737B" w14:textId="77777777" w:rsidR="00E02019" w:rsidRPr="00D92FC1" w:rsidRDefault="00E02019" w:rsidP="005E5395">
      <w:pPr>
        <w:pStyle w:val="ARTartustawynprozporzdzenia"/>
        <w:spacing w:before="0"/>
        <w:ind w:firstLine="0"/>
        <w:jc w:val="center"/>
        <w:rPr>
          <w:rFonts w:ascii="Times New Roman" w:hAnsi="Times New Roman" w:cs="Times New Roman"/>
          <w:szCs w:val="24"/>
        </w:rPr>
      </w:pPr>
    </w:p>
    <w:p w14:paraId="069EFC6B" w14:textId="2BA187E4" w:rsidR="00AB1420" w:rsidRPr="00D92FC1" w:rsidRDefault="00AB1420" w:rsidP="005E5395">
      <w:pPr>
        <w:spacing w:after="120" w:line="360" w:lineRule="auto"/>
        <w:jc w:val="both"/>
        <w:outlineLvl w:val="0"/>
        <w:rPr>
          <w:rFonts w:ascii="Times New Roman" w:hAnsi="Times New Roman" w:cs="Times New Roman"/>
          <w:sz w:val="24"/>
          <w:szCs w:val="24"/>
        </w:rPr>
      </w:pPr>
      <w:r w:rsidRPr="00D92FC1">
        <w:rPr>
          <w:rFonts w:ascii="Times New Roman" w:hAnsi="Times New Roman" w:cs="Times New Roman"/>
          <w:sz w:val="24"/>
          <w:szCs w:val="24"/>
        </w:rPr>
        <w:t xml:space="preserve">Projektowana </w:t>
      </w:r>
      <w:r w:rsidRPr="00D92FC1">
        <w:rPr>
          <w:rFonts w:ascii="Times New Roman" w:hAnsi="Times New Roman" w:cs="Times New Roman"/>
          <w:i/>
          <w:sz w:val="24"/>
          <w:szCs w:val="24"/>
        </w:rPr>
        <w:t>ustawa o zmianie ustawy o obligacjach</w:t>
      </w:r>
      <w:r w:rsidR="006A0BBA" w:rsidRPr="006A0BBA">
        <w:rPr>
          <w:rFonts w:ascii="Times New Roman" w:hAnsi="Times New Roman" w:cs="Times New Roman"/>
          <w:i/>
          <w:sz w:val="24"/>
          <w:szCs w:val="24"/>
        </w:rPr>
        <w:t>, ustaw</w:t>
      </w:r>
      <w:r w:rsidR="005E5395">
        <w:rPr>
          <w:rFonts w:ascii="Times New Roman" w:hAnsi="Times New Roman" w:cs="Times New Roman"/>
          <w:i/>
          <w:sz w:val="24"/>
          <w:szCs w:val="24"/>
        </w:rPr>
        <w:t>y o funduszach inwestycyjnych i </w:t>
      </w:r>
      <w:r w:rsidR="006A0BBA" w:rsidRPr="006A0BBA">
        <w:rPr>
          <w:rFonts w:ascii="Times New Roman" w:hAnsi="Times New Roman" w:cs="Times New Roman"/>
          <w:i/>
          <w:sz w:val="24"/>
          <w:szCs w:val="24"/>
        </w:rPr>
        <w:t>zarządzaniu alternatywnymi funduszami inwestycyjnymi i ustawy o Bankowym Funduszu Gwarancyjnym, systemie gwarantowania depozytów oraz przymusowej restrukturyzacji</w:t>
      </w:r>
      <w:r w:rsidRPr="00D92FC1">
        <w:rPr>
          <w:rFonts w:ascii="Times New Roman" w:hAnsi="Times New Roman" w:cs="Times New Roman"/>
          <w:sz w:val="24"/>
          <w:szCs w:val="24"/>
        </w:rPr>
        <w:t xml:space="preserve"> </w:t>
      </w:r>
      <w:r w:rsidRPr="00D92FC1">
        <w:rPr>
          <w:rFonts w:ascii="Times New Roman" w:hAnsi="Times New Roman" w:cs="Times New Roman"/>
          <w:i/>
          <w:sz w:val="24"/>
          <w:szCs w:val="24"/>
        </w:rPr>
        <w:t>oraz niektórych innych ustaw</w:t>
      </w:r>
      <w:r w:rsidRPr="00D92FC1">
        <w:rPr>
          <w:rFonts w:ascii="Times New Roman" w:hAnsi="Times New Roman" w:cs="Times New Roman"/>
          <w:sz w:val="24"/>
          <w:szCs w:val="24"/>
        </w:rPr>
        <w:t xml:space="preserve"> ma na celu określenie zasad emisji instrumentów kapitałowych, w tym </w:t>
      </w:r>
      <w:r w:rsidRPr="00F46449">
        <w:rPr>
          <w:rFonts w:ascii="Times New Roman" w:hAnsi="Times New Roman" w:cs="Times New Roman"/>
          <w:b/>
          <w:sz w:val="24"/>
          <w:szCs w:val="24"/>
        </w:rPr>
        <w:t>nowej kategorii obligacji w postaci obligacji kapitałowych</w:t>
      </w:r>
      <w:r w:rsidRPr="00BE31C4">
        <w:rPr>
          <w:rFonts w:ascii="Times New Roman" w:hAnsi="Times New Roman" w:cs="Times New Roman"/>
          <w:sz w:val="24"/>
          <w:szCs w:val="24"/>
        </w:rPr>
        <w:t>, kwalifikowanych do kapitału</w:t>
      </w:r>
      <w:r w:rsidRPr="00D92FC1">
        <w:rPr>
          <w:rFonts w:ascii="Times New Roman" w:hAnsi="Times New Roman" w:cs="Times New Roman"/>
          <w:sz w:val="24"/>
          <w:szCs w:val="24"/>
        </w:rPr>
        <w:t xml:space="preserve"> regulacyjnego banków i domów maklerskich albo środków </w:t>
      </w:r>
      <w:r w:rsidR="005E5395">
        <w:rPr>
          <w:rFonts w:ascii="Times New Roman" w:hAnsi="Times New Roman" w:cs="Times New Roman"/>
          <w:sz w:val="24"/>
          <w:szCs w:val="24"/>
        </w:rPr>
        <w:t>własnych zakładów ubezpieczeń i </w:t>
      </w:r>
      <w:r w:rsidRPr="00D92FC1">
        <w:rPr>
          <w:rFonts w:ascii="Times New Roman" w:hAnsi="Times New Roman" w:cs="Times New Roman"/>
          <w:sz w:val="24"/>
          <w:szCs w:val="24"/>
        </w:rPr>
        <w:t>zakładów reasekuracji zgodnie z właściwymi przepisami prawa Unii Europejskiej.</w:t>
      </w:r>
    </w:p>
    <w:p w14:paraId="1C465A55" w14:textId="614A5728" w:rsidR="00AB1420" w:rsidRPr="00D92FC1" w:rsidRDefault="00AB1420" w:rsidP="005E5395">
      <w:pPr>
        <w:spacing w:after="120" w:line="360" w:lineRule="auto"/>
        <w:jc w:val="both"/>
        <w:outlineLvl w:val="0"/>
        <w:rPr>
          <w:rFonts w:ascii="Times New Roman" w:hAnsi="Times New Roman" w:cs="Times New Roman"/>
          <w:sz w:val="24"/>
          <w:szCs w:val="24"/>
        </w:rPr>
      </w:pPr>
      <w:r w:rsidRPr="00D92FC1">
        <w:rPr>
          <w:rFonts w:ascii="Times New Roman" w:hAnsi="Times New Roman" w:cs="Times New Roman"/>
          <w:sz w:val="24"/>
          <w:szCs w:val="24"/>
        </w:rPr>
        <w:t xml:space="preserve">Projektowane rozwiązania zmierzają przede wszystkim do zniesienia barier w odniesieniu do emisji instrumentów, które będą mogły być zaliczane do tzw. </w:t>
      </w:r>
      <w:r w:rsidRPr="00D92FC1">
        <w:rPr>
          <w:rFonts w:ascii="Times New Roman" w:hAnsi="Times New Roman" w:cs="Times New Roman"/>
          <w:bCs/>
          <w:sz w:val="24"/>
          <w:szCs w:val="24"/>
        </w:rPr>
        <w:t>kapitału dodatkowego Tier</w:t>
      </w:r>
      <w:r w:rsidRPr="00D92FC1">
        <w:rPr>
          <w:rFonts w:ascii="Times New Roman" w:hAnsi="Times New Roman" w:cs="Times New Roman"/>
          <w:bCs/>
          <w:i/>
          <w:sz w:val="24"/>
          <w:szCs w:val="24"/>
        </w:rPr>
        <w:t xml:space="preserve"> I</w:t>
      </w:r>
      <w:r w:rsidR="005E5395">
        <w:rPr>
          <w:rFonts w:ascii="Times New Roman" w:hAnsi="Times New Roman" w:cs="Times New Roman"/>
          <w:bCs/>
          <w:sz w:val="24"/>
          <w:szCs w:val="24"/>
        </w:rPr>
        <w:t xml:space="preserve"> i </w:t>
      </w:r>
      <w:r w:rsidRPr="00D92FC1">
        <w:rPr>
          <w:rFonts w:ascii="Times New Roman" w:hAnsi="Times New Roman" w:cs="Times New Roman"/>
          <w:bCs/>
          <w:i/>
          <w:sz w:val="24"/>
          <w:szCs w:val="24"/>
        </w:rPr>
        <w:t>Tier</w:t>
      </w:r>
      <w:r w:rsidRPr="00D92FC1">
        <w:rPr>
          <w:rFonts w:ascii="Times New Roman" w:hAnsi="Times New Roman" w:cs="Times New Roman"/>
          <w:bCs/>
          <w:sz w:val="24"/>
          <w:szCs w:val="24"/>
        </w:rPr>
        <w:t xml:space="preserve"> </w:t>
      </w:r>
      <w:r w:rsidRPr="00D92FC1">
        <w:rPr>
          <w:rFonts w:ascii="Times New Roman" w:hAnsi="Times New Roman" w:cs="Times New Roman"/>
          <w:bCs/>
          <w:i/>
          <w:sz w:val="24"/>
          <w:szCs w:val="24"/>
        </w:rPr>
        <w:t>II</w:t>
      </w:r>
      <w:r w:rsidRPr="00D92FC1">
        <w:rPr>
          <w:rFonts w:ascii="Times New Roman" w:hAnsi="Times New Roman" w:cs="Times New Roman"/>
          <w:bCs/>
          <w:sz w:val="24"/>
          <w:szCs w:val="24"/>
        </w:rPr>
        <w:t xml:space="preserve"> </w:t>
      </w:r>
      <w:r w:rsidRPr="00D92FC1">
        <w:rPr>
          <w:rFonts w:ascii="Times New Roman" w:hAnsi="Times New Roman" w:cs="Times New Roman"/>
          <w:sz w:val="24"/>
          <w:szCs w:val="24"/>
        </w:rPr>
        <w:t>banków i domów maklerskich</w:t>
      </w:r>
      <w:r w:rsidRPr="00D92FC1">
        <w:rPr>
          <w:rFonts w:ascii="Times New Roman" w:hAnsi="Times New Roman" w:cs="Times New Roman"/>
          <w:bCs/>
          <w:sz w:val="24"/>
          <w:szCs w:val="24"/>
        </w:rPr>
        <w:t xml:space="preserve"> oraz klasyfikowane do środków własnych jako pozycje tzw. podstawowych środków własnych kategorii 1, kategorii 2 i kategorii 3 – w przypadku zakładów ubezpieczeń i zakładów reasekuracji</w:t>
      </w:r>
      <w:r w:rsidRPr="00D92FC1">
        <w:rPr>
          <w:rFonts w:ascii="Times New Roman" w:hAnsi="Times New Roman" w:cs="Times New Roman"/>
          <w:sz w:val="24"/>
          <w:szCs w:val="24"/>
        </w:rPr>
        <w:t>.</w:t>
      </w:r>
    </w:p>
    <w:p w14:paraId="520430F7" w14:textId="77777777" w:rsidR="00AB1420" w:rsidRPr="00D92FC1" w:rsidRDefault="00AB1420" w:rsidP="005E5395">
      <w:pPr>
        <w:spacing w:after="120" w:line="360" w:lineRule="auto"/>
        <w:jc w:val="both"/>
        <w:outlineLvl w:val="0"/>
        <w:rPr>
          <w:rFonts w:ascii="Times New Roman" w:hAnsi="Times New Roman" w:cs="Times New Roman"/>
          <w:sz w:val="24"/>
          <w:szCs w:val="24"/>
        </w:rPr>
      </w:pPr>
      <w:r w:rsidRPr="00D92FC1">
        <w:rPr>
          <w:rFonts w:ascii="Times New Roman" w:hAnsi="Times New Roman" w:cs="Times New Roman"/>
          <w:sz w:val="24"/>
          <w:szCs w:val="24"/>
        </w:rPr>
        <w:t>Proponuje się również doprecyzowanie istniejących rozwiązań prawnych, a także określenie kręgu emitentów uprawnionych do emisji instrumentów, które mogą być zaliczane do ich funduszy własnych albo środków własnych.</w:t>
      </w:r>
    </w:p>
    <w:p w14:paraId="05D75584" w14:textId="54345F65" w:rsidR="00AB1420" w:rsidRPr="00D92FC1" w:rsidRDefault="00AB1420" w:rsidP="005E5395">
      <w:pPr>
        <w:spacing w:after="120" w:line="360" w:lineRule="auto"/>
        <w:jc w:val="both"/>
        <w:outlineLvl w:val="0"/>
        <w:rPr>
          <w:rFonts w:ascii="Times New Roman" w:hAnsi="Times New Roman" w:cs="Times New Roman"/>
          <w:sz w:val="24"/>
          <w:szCs w:val="24"/>
        </w:rPr>
      </w:pPr>
      <w:r w:rsidRPr="00D92FC1">
        <w:rPr>
          <w:rFonts w:ascii="Times New Roman" w:hAnsi="Times New Roman" w:cs="Times New Roman"/>
          <w:sz w:val="24"/>
          <w:szCs w:val="24"/>
        </w:rPr>
        <w:t>Ostrożnościowe wymogi kapitałowe dla banków i domów m</w:t>
      </w:r>
      <w:r w:rsidR="005E5395">
        <w:rPr>
          <w:rFonts w:ascii="Times New Roman" w:hAnsi="Times New Roman" w:cs="Times New Roman"/>
          <w:sz w:val="24"/>
          <w:szCs w:val="24"/>
        </w:rPr>
        <w:t>aklerskich są regulowane w tzw. </w:t>
      </w:r>
      <w:r w:rsidRPr="00D92FC1">
        <w:rPr>
          <w:rFonts w:ascii="Times New Roman" w:hAnsi="Times New Roman" w:cs="Times New Roman"/>
          <w:sz w:val="24"/>
          <w:szCs w:val="24"/>
        </w:rPr>
        <w:t>pakiecie CRD V/CRR II, w skład którego wchodzą:</w:t>
      </w:r>
    </w:p>
    <w:p w14:paraId="30F85E01" w14:textId="77777777" w:rsidR="00AB1420" w:rsidRPr="00D92FC1" w:rsidRDefault="00AB1420" w:rsidP="005E5395">
      <w:pPr>
        <w:pStyle w:val="Akapitzlist"/>
        <w:numPr>
          <w:ilvl w:val="0"/>
          <w:numId w:val="2"/>
        </w:numPr>
        <w:spacing w:after="120" w:line="360" w:lineRule="auto"/>
        <w:ind w:left="284" w:hanging="284"/>
        <w:jc w:val="both"/>
        <w:outlineLvl w:val="0"/>
        <w:rPr>
          <w:rFonts w:ascii="Times New Roman" w:hAnsi="Times New Roman" w:cs="Times New Roman"/>
          <w:sz w:val="24"/>
          <w:szCs w:val="24"/>
        </w:rPr>
      </w:pPr>
      <w:r w:rsidRPr="00D92FC1">
        <w:rPr>
          <w:rFonts w:ascii="Times New Roman" w:hAnsi="Times New Roman" w:cs="Times New Roman"/>
          <w:sz w:val="24"/>
          <w:szCs w:val="24"/>
        </w:rPr>
        <w:t xml:space="preserve">dyrektywa Parlamentu Europejskiego i Rady (UE) 2019/878 z dnia 20 maja 2019 r. zmieniająca dyrektywę 2013/36/UE w odniesieniu do podmiotów zwolnionych, finansowych spółek holdingowych, finansowych spółek holdingowych o działalności mieszanej, wynagrodzeń, środków i uprawnień nadzorczych oraz środków ochrony kapitału, tzw. CRD V, dalej </w:t>
      </w:r>
      <w:r w:rsidRPr="00D92FC1">
        <w:rPr>
          <w:rFonts w:ascii="Times New Roman" w:hAnsi="Times New Roman" w:cs="Times New Roman"/>
          <w:b/>
          <w:sz w:val="24"/>
          <w:szCs w:val="24"/>
        </w:rPr>
        <w:t>„dyrektywa CRD V”</w:t>
      </w:r>
      <w:r w:rsidRPr="00D92FC1">
        <w:rPr>
          <w:rFonts w:ascii="Times New Roman" w:hAnsi="Times New Roman" w:cs="Times New Roman"/>
          <w:sz w:val="24"/>
          <w:szCs w:val="24"/>
        </w:rPr>
        <w:t>,</w:t>
      </w:r>
    </w:p>
    <w:p w14:paraId="433B16EB" w14:textId="68430BDA" w:rsidR="00AB1420" w:rsidRPr="00D92FC1" w:rsidRDefault="00AB1420" w:rsidP="005E5395">
      <w:pPr>
        <w:pStyle w:val="Akapitzlist"/>
        <w:numPr>
          <w:ilvl w:val="0"/>
          <w:numId w:val="2"/>
        </w:numPr>
        <w:spacing w:after="120" w:line="360" w:lineRule="auto"/>
        <w:ind w:left="284" w:hanging="284"/>
        <w:jc w:val="both"/>
        <w:outlineLvl w:val="0"/>
        <w:rPr>
          <w:rFonts w:ascii="Times New Roman" w:hAnsi="Times New Roman" w:cs="Times New Roman"/>
          <w:sz w:val="24"/>
          <w:szCs w:val="24"/>
        </w:rPr>
      </w:pPr>
      <w:r w:rsidRPr="00D92FC1">
        <w:rPr>
          <w:rFonts w:ascii="Times New Roman" w:hAnsi="Times New Roman" w:cs="Times New Roman"/>
          <w:sz w:val="24"/>
          <w:szCs w:val="24"/>
        </w:rPr>
        <w:t xml:space="preserve">rozporządzenie Parlamentu Europejskiego i Rady (UE) 2019/876 z dnia 20 maja 2019 r. zmieniające rozporządzenie (UE) nr 575/2013 w odniesieniu do wskaźnika dźwigni, wskaźnika stabilnego finansowania netto, wymogów w zakresie funduszy </w:t>
      </w:r>
      <w:r w:rsidR="005E5395">
        <w:rPr>
          <w:rFonts w:ascii="Times New Roman" w:hAnsi="Times New Roman" w:cs="Times New Roman"/>
          <w:sz w:val="24"/>
          <w:szCs w:val="24"/>
        </w:rPr>
        <w:t>własnych i </w:t>
      </w:r>
      <w:r w:rsidRPr="00D92FC1">
        <w:rPr>
          <w:rFonts w:ascii="Times New Roman" w:hAnsi="Times New Roman" w:cs="Times New Roman"/>
          <w:sz w:val="24"/>
          <w:szCs w:val="24"/>
        </w:rPr>
        <w:t xml:space="preserve">zobowiązań kwalifikowalnych, ryzyka kredytowego kontrahenta, ryzyka rynkowego, ekspozycji wobec kontrahentów centralnych, ekspozycji wobec przedsiębiorstw zbiorowego </w:t>
      </w:r>
      <w:r w:rsidRPr="00D92FC1">
        <w:rPr>
          <w:rFonts w:ascii="Times New Roman" w:hAnsi="Times New Roman" w:cs="Times New Roman"/>
          <w:sz w:val="24"/>
          <w:szCs w:val="24"/>
        </w:rPr>
        <w:lastRenderedPageBreak/>
        <w:t>inwestowania, dużych ekspozycji, wymogów dotyczących sprawozdawczości i ujawniania informacji, a także rozporządzenie (UE) nr 648/2012</w:t>
      </w:r>
      <w:r w:rsidRPr="00D92FC1">
        <w:rPr>
          <w:rFonts w:ascii="Times New Roman" w:hAnsi="Times New Roman" w:cs="Times New Roman"/>
          <w:iCs/>
          <w:sz w:val="24"/>
          <w:szCs w:val="24"/>
        </w:rPr>
        <w:t xml:space="preserve">, dalej </w:t>
      </w:r>
      <w:r w:rsidR="00021860" w:rsidRPr="00021860">
        <w:rPr>
          <w:rFonts w:ascii="Times New Roman" w:hAnsi="Times New Roman" w:cs="Times New Roman"/>
          <w:b/>
          <w:iCs/>
          <w:sz w:val="24"/>
          <w:szCs w:val="24"/>
        </w:rPr>
        <w:t>„</w:t>
      </w:r>
      <w:r w:rsidRPr="00D92FC1">
        <w:rPr>
          <w:rFonts w:ascii="Times New Roman" w:hAnsi="Times New Roman" w:cs="Times New Roman"/>
          <w:b/>
          <w:sz w:val="24"/>
          <w:szCs w:val="24"/>
        </w:rPr>
        <w:t>rozporządzenie CRR II”</w:t>
      </w:r>
      <w:r w:rsidRPr="0034774E">
        <w:rPr>
          <w:rFonts w:ascii="Times New Roman" w:hAnsi="Times New Roman" w:cs="Times New Roman"/>
          <w:sz w:val="24"/>
          <w:szCs w:val="24"/>
        </w:rPr>
        <w:t>.</w:t>
      </w:r>
    </w:p>
    <w:p w14:paraId="4CEB04F2" w14:textId="77777777" w:rsidR="00AB1420" w:rsidRPr="00D92FC1" w:rsidRDefault="00AB1420" w:rsidP="005E5395">
      <w:pPr>
        <w:spacing w:after="120" w:line="360" w:lineRule="auto"/>
        <w:jc w:val="both"/>
        <w:outlineLvl w:val="0"/>
        <w:rPr>
          <w:rFonts w:ascii="Times New Roman" w:hAnsi="Times New Roman" w:cs="Times New Roman"/>
          <w:sz w:val="24"/>
          <w:szCs w:val="24"/>
        </w:rPr>
      </w:pPr>
      <w:r w:rsidRPr="00D92FC1">
        <w:rPr>
          <w:rFonts w:ascii="Times New Roman" w:hAnsi="Times New Roman" w:cs="Times New Roman"/>
          <w:sz w:val="24"/>
          <w:szCs w:val="24"/>
        </w:rPr>
        <w:t xml:space="preserve">Pakiet CRD V/CRR II stanowi modyfikację tzw. pakietu CRD IV/CRR, w skład którego wchodzą: </w:t>
      </w:r>
    </w:p>
    <w:p w14:paraId="6F298E01" w14:textId="66C3C35F" w:rsidR="00AB1420" w:rsidRPr="00D92FC1" w:rsidRDefault="00AB1420" w:rsidP="005E5395">
      <w:pPr>
        <w:pStyle w:val="Akapitzlist"/>
        <w:numPr>
          <w:ilvl w:val="0"/>
          <w:numId w:val="3"/>
        </w:numPr>
        <w:spacing w:after="120" w:line="360" w:lineRule="auto"/>
        <w:jc w:val="both"/>
        <w:outlineLvl w:val="0"/>
        <w:rPr>
          <w:rFonts w:ascii="Times New Roman" w:hAnsi="Times New Roman" w:cs="Times New Roman"/>
          <w:bCs/>
          <w:color w:val="333333"/>
          <w:sz w:val="24"/>
          <w:szCs w:val="24"/>
          <w:shd w:val="clear" w:color="auto" w:fill="FFFFFF"/>
        </w:rPr>
      </w:pPr>
      <w:r w:rsidRPr="00D92FC1">
        <w:rPr>
          <w:rFonts w:ascii="Times New Roman" w:hAnsi="Times New Roman" w:cs="Times New Roman"/>
          <w:sz w:val="24"/>
          <w:szCs w:val="24"/>
        </w:rPr>
        <w:t>dyrektywa Parlamentu Europejskiego i Rady (UE) 2019/878 z dnia 20 maja 2019 r. zmieniająca dyrektywę 2013/36/UE w odniesieniu do podmiotów zwolnionych, finansowych spółek holdingowych, finansowych spółek holdingowych o działalności mieszanej, wynagrodzeń, środków i uprawnień nadzorczych oraz środków ochrony kapitału (Dz. Urz.</w:t>
      </w:r>
      <w:r w:rsidR="00BF5733">
        <w:rPr>
          <w:rFonts w:ascii="Times New Roman" w:hAnsi="Times New Roman" w:cs="Times New Roman"/>
          <w:sz w:val="24"/>
          <w:szCs w:val="24"/>
        </w:rPr>
        <w:t xml:space="preserve"> UE</w:t>
      </w:r>
      <w:r w:rsidRPr="00D92FC1">
        <w:rPr>
          <w:rFonts w:ascii="Times New Roman" w:hAnsi="Times New Roman" w:cs="Times New Roman"/>
          <w:sz w:val="24"/>
          <w:szCs w:val="24"/>
        </w:rPr>
        <w:t xml:space="preserve"> L 150 z </w:t>
      </w:r>
      <w:r>
        <w:rPr>
          <w:rFonts w:ascii="Times New Roman" w:hAnsi="Times New Roman" w:cs="Times New Roman"/>
          <w:sz w:val="24"/>
          <w:szCs w:val="24"/>
        </w:rPr>
        <w:t>0</w:t>
      </w:r>
      <w:r w:rsidRPr="00D92FC1">
        <w:rPr>
          <w:rFonts w:ascii="Times New Roman" w:hAnsi="Times New Roman" w:cs="Times New Roman"/>
          <w:sz w:val="24"/>
          <w:szCs w:val="24"/>
        </w:rPr>
        <w:t>7.</w:t>
      </w:r>
      <w:r>
        <w:rPr>
          <w:rFonts w:ascii="Times New Roman" w:hAnsi="Times New Roman" w:cs="Times New Roman"/>
          <w:sz w:val="24"/>
          <w:szCs w:val="24"/>
        </w:rPr>
        <w:t>0</w:t>
      </w:r>
      <w:r w:rsidRPr="00D92FC1">
        <w:rPr>
          <w:rFonts w:ascii="Times New Roman" w:hAnsi="Times New Roman" w:cs="Times New Roman"/>
          <w:sz w:val="24"/>
          <w:szCs w:val="24"/>
        </w:rPr>
        <w:t xml:space="preserve">6.2019, </w:t>
      </w:r>
      <w:r>
        <w:rPr>
          <w:rFonts w:ascii="Times New Roman" w:hAnsi="Times New Roman" w:cs="Times New Roman"/>
          <w:sz w:val="24"/>
          <w:szCs w:val="24"/>
        </w:rPr>
        <w:t xml:space="preserve">str. 253, </w:t>
      </w:r>
      <w:r w:rsidRPr="00D92FC1">
        <w:rPr>
          <w:rFonts w:ascii="Times New Roman" w:hAnsi="Times New Roman" w:cs="Times New Roman"/>
          <w:sz w:val="24"/>
          <w:szCs w:val="24"/>
        </w:rPr>
        <w:t>z późn. zm.)</w:t>
      </w:r>
      <w:r w:rsidR="005251F4">
        <w:rPr>
          <w:rFonts w:ascii="Times New Roman" w:hAnsi="Times New Roman" w:cs="Times New Roman"/>
          <w:sz w:val="24"/>
          <w:szCs w:val="24"/>
        </w:rPr>
        <w:t>,</w:t>
      </w:r>
    </w:p>
    <w:p w14:paraId="2839B141" w14:textId="779546BE" w:rsidR="00AB1420" w:rsidRPr="0034774E" w:rsidRDefault="00AB1420" w:rsidP="005E5395">
      <w:pPr>
        <w:pStyle w:val="Akapitzlist"/>
        <w:numPr>
          <w:ilvl w:val="0"/>
          <w:numId w:val="3"/>
        </w:numPr>
        <w:spacing w:after="120" w:line="360" w:lineRule="auto"/>
        <w:jc w:val="both"/>
        <w:outlineLvl w:val="0"/>
        <w:rPr>
          <w:rFonts w:ascii="Times New Roman" w:hAnsi="Times New Roman" w:cs="Times New Roman"/>
          <w:sz w:val="24"/>
          <w:szCs w:val="24"/>
        </w:rPr>
      </w:pPr>
      <w:r w:rsidRPr="0034774E">
        <w:rPr>
          <w:rFonts w:ascii="Times New Roman" w:hAnsi="Times New Roman" w:cs="Times New Roman"/>
          <w:sz w:val="24"/>
          <w:szCs w:val="24"/>
        </w:rPr>
        <w:t xml:space="preserve">rozporządzenie </w:t>
      </w:r>
      <w:r w:rsidRPr="0034774E">
        <w:rPr>
          <w:rFonts w:ascii="Times New Roman" w:hAnsi="Times New Roman" w:cs="Times New Roman"/>
          <w:bCs/>
          <w:color w:val="000000" w:themeColor="text1"/>
          <w:sz w:val="24"/>
          <w:szCs w:val="24"/>
          <w:shd w:val="clear" w:color="auto" w:fill="FFFFFF"/>
        </w:rPr>
        <w:t xml:space="preserve">Parlamentu Europejskiego i Rady (UE) nr 575/2013 z dnia 26 czerwca 2013 r. w sprawie wymogów ostrożnościowych dla instytucji kredytowych i firm inwestycyjnych, zmieniającego rozporządzenie (UE) nr 648/2012 Tekst mający znaczenie dla EOG (Dz. Urz. </w:t>
      </w:r>
      <w:r w:rsidR="00BF5733">
        <w:rPr>
          <w:rFonts w:ascii="Times New Roman" w:hAnsi="Times New Roman" w:cs="Times New Roman"/>
          <w:bCs/>
          <w:color w:val="000000" w:themeColor="text1"/>
          <w:sz w:val="24"/>
          <w:szCs w:val="24"/>
          <w:shd w:val="clear" w:color="auto" w:fill="FFFFFF"/>
        </w:rPr>
        <w:t xml:space="preserve">UE </w:t>
      </w:r>
      <w:r w:rsidRPr="0034774E">
        <w:rPr>
          <w:rFonts w:ascii="Times New Roman" w:hAnsi="Times New Roman" w:cs="Times New Roman"/>
          <w:bCs/>
          <w:color w:val="000000" w:themeColor="text1"/>
          <w:sz w:val="24"/>
          <w:szCs w:val="24"/>
          <w:shd w:val="clear" w:color="auto" w:fill="FFFFFF"/>
        </w:rPr>
        <w:t xml:space="preserve">L 176 z 27.06.2013, str. 1, </w:t>
      </w:r>
      <w:r w:rsidR="0034774E" w:rsidRPr="0034774E">
        <w:rPr>
          <w:rFonts w:ascii="Times New Roman" w:hAnsi="Times New Roman" w:cs="Times New Roman"/>
          <w:bCs/>
          <w:color w:val="000000" w:themeColor="text1"/>
          <w:sz w:val="24"/>
          <w:szCs w:val="24"/>
          <w:shd w:val="clear" w:color="auto" w:fill="FFFFFF"/>
        </w:rPr>
        <w:t xml:space="preserve">z późn. zm.), </w:t>
      </w:r>
      <w:r w:rsidRPr="0034774E">
        <w:rPr>
          <w:rFonts w:ascii="Times New Roman" w:hAnsi="Times New Roman" w:cs="Times New Roman"/>
          <w:bCs/>
          <w:color w:val="000000" w:themeColor="text1"/>
          <w:sz w:val="24"/>
          <w:szCs w:val="24"/>
          <w:shd w:val="clear" w:color="auto" w:fill="FFFFFF"/>
        </w:rPr>
        <w:t xml:space="preserve">tzw. CRR, </w:t>
      </w:r>
      <w:r w:rsidRPr="0034774E">
        <w:rPr>
          <w:rFonts w:ascii="Times New Roman" w:hAnsi="Times New Roman" w:cs="Times New Roman"/>
          <w:color w:val="000000" w:themeColor="text1"/>
          <w:sz w:val="24"/>
          <w:szCs w:val="24"/>
        </w:rPr>
        <w:t xml:space="preserve">dalej </w:t>
      </w:r>
      <w:r w:rsidRPr="0034774E">
        <w:rPr>
          <w:rFonts w:ascii="Times New Roman" w:hAnsi="Times New Roman" w:cs="Times New Roman"/>
          <w:b/>
          <w:sz w:val="24"/>
          <w:szCs w:val="24"/>
        </w:rPr>
        <w:t>„rozporządzenie nr 575/2013”</w:t>
      </w:r>
      <w:r w:rsidR="0034774E" w:rsidRPr="0034774E">
        <w:rPr>
          <w:rFonts w:ascii="Times New Roman" w:hAnsi="Times New Roman" w:cs="Times New Roman"/>
          <w:sz w:val="24"/>
          <w:szCs w:val="24"/>
        </w:rPr>
        <w:t>.</w:t>
      </w:r>
    </w:p>
    <w:p w14:paraId="4851CBE0" w14:textId="77777777" w:rsidR="00AB1420" w:rsidRPr="00D92FC1" w:rsidRDefault="00AB1420" w:rsidP="005E5395">
      <w:pPr>
        <w:spacing w:after="120" w:line="360" w:lineRule="auto"/>
        <w:jc w:val="both"/>
        <w:outlineLvl w:val="0"/>
        <w:rPr>
          <w:rFonts w:ascii="Times New Roman" w:hAnsi="Times New Roman" w:cs="Times New Roman"/>
          <w:sz w:val="24"/>
          <w:szCs w:val="24"/>
        </w:rPr>
      </w:pPr>
      <w:r w:rsidRPr="00D92FC1">
        <w:rPr>
          <w:rFonts w:ascii="Times New Roman" w:hAnsi="Times New Roman" w:cs="Times New Roman"/>
          <w:sz w:val="24"/>
          <w:szCs w:val="24"/>
        </w:rPr>
        <w:t xml:space="preserve">Pakiet CRD IV/CRR opiera się na zasadach przyjętych na poziomie międzynarodowym w związku z Umową Kapitałową Bazylea III. Ustanawia kapitałową strukturę instytucji finansowych opartą na podziale kapitału na kategorie </w:t>
      </w:r>
      <w:r w:rsidRPr="00D92FC1">
        <w:rPr>
          <w:rFonts w:ascii="Times New Roman" w:hAnsi="Times New Roman" w:cs="Times New Roman"/>
          <w:i/>
          <w:sz w:val="24"/>
          <w:szCs w:val="24"/>
        </w:rPr>
        <w:t xml:space="preserve">Tiers, </w:t>
      </w:r>
      <w:r w:rsidRPr="00D92FC1">
        <w:rPr>
          <w:rFonts w:ascii="Times New Roman" w:hAnsi="Times New Roman" w:cs="Times New Roman"/>
          <w:sz w:val="24"/>
          <w:szCs w:val="24"/>
        </w:rPr>
        <w:t>umożliwiając kwalifikację określonych finansowych papierów wartościowych o charakterze hybrydowym do tych kategorii</w:t>
      </w:r>
      <w:r w:rsidRPr="00D92FC1">
        <w:rPr>
          <w:rFonts w:ascii="Times New Roman" w:hAnsi="Times New Roman" w:cs="Times New Roman"/>
          <w:i/>
          <w:sz w:val="24"/>
          <w:szCs w:val="24"/>
        </w:rPr>
        <w:t xml:space="preserve">. </w:t>
      </w:r>
    </w:p>
    <w:p w14:paraId="0507323C" w14:textId="77777777" w:rsidR="00AB1420" w:rsidRPr="00D92FC1" w:rsidRDefault="00AB1420" w:rsidP="005E5395">
      <w:pPr>
        <w:spacing w:after="120" w:line="360" w:lineRule="auto"/>
        <w:jc w:val="both"/>
        <w:outlineLvl w:val="0"/>
        <w:rPr>
          <w:rFonts w:ascii="Times New Roman" w:hAnsi="Times New Roman" w:cs="Times New Roman"/>
          <w:sz w:val="24"/>
          <w:szCs w:val="24"/>
        </w:rPr>
      </w:pPr>
      <w:r w:rsidRPr="00D92FC1">
        <w:rPr>
          <w:rFonts w:ascii="Times New Roman" w:hAnsi="Times New Roman" w:cs="Times New Roman"/>
          <w:sz w:val="24"/>
          <w:szCs w:val="24"/>
        </w:rPr>
        <w:t xml:space="preserve">Zgodnie z rozporządzeniem nr 575/2013, na fundusze własne instytucji składa się suma kapitałów </w:t>
      </w:r>
      <w:r w:rsidRPr="00D92FC1">
        <w:rPr>
          <w:rFonts w:ascii="Times New Roman" w:hAnsi="Times New Roman" w:cs="Times New Roman"/>
          <w:i/>
          <w:sz w:val="24"/>
          <w:szCs w:val="24"/>
        </w:rPr>
        <w:t xml:space="preserve">Tier I </w:t>
      </w:r>
      <w:r w:rsidRPr="00D92FC1">
        <w:rPr>
          <w:rFonts w:ascii="Times New Roman" w:hAnsi="Times New Roman" w:cs="Times New Roman"/>
          <w:sz w:val="24"/>
          <w:szCs w:val="24"/>
        </w:rPr>
        <w:t xml:space="preserve">oraz </w:t>
      </w:r>
      <w:r w:rsidRPr="00D92FC1">
        <w:rPr>
          <w:rFonts w:ascii="Times New Roman" w:hAnsi="Times New Roman" w:cs="Times New Roman"/>
          <w:i/>
          <w:sz w:val="24"/>
          <w:szCs w:val="24"/>
        </w:rPr>
        <w:t>Tier II</w:t>
      </w:r>
      <w:r w:rsidRPr="00D92FC1">
        <w:rPr>
          <w:rFonts w:ascii="Times New Roman" w:hAnsi="Times New Roman" w:cs="Times New Roman"/>
          <w:sz w:val="24"/>
          <w:szCs w:val="24"/>
        </w:rPr>
        <w:t xml:space="preserve">. </w:t>
      </w:r>
    </w:p>
    <w:p w14:paraId="001EE3D2" w14:textId="77777777" w:rsidR="00AB1420" w:rsidRPr="00D92FC1" w:rsidRDefault="00AB1420" w:rsidP="005E5395">
      <w:pPr>
        <w:spacing w:after="120" w:line="360" w:lineRule="auto"/>
        <w:jc w:val="both"/>
        <w:outlineLvl w:val="0"/>
        <w:rPr>
          <w:rFonts w:ascii="Times New Roman" w:hAnsi="Times New Roman" w:cs="Times New Roman"/>
          <w:sz w:val="24"/>
          <w:szCs w:val="24"/>
        </w:rPr>
      </w:pPr>
      <w:r w:rsidRPr="00D92FC1">
        <w:rPr>
          <w:rFonts w:ascii="Times New Roman" w:hAnsi="Times New Roman" w:cs="Times New Roman"/>
          <w:sz w:val="24"/>
          <w:szCs w:val="24"/>
        </w:rPr>
        <w:t xml:space="preserve">Kapitał </w:t>
      </w:r>
      <w:r w:rsidRPr="00D92FC1">
        <w:rPr>
          <w:rFonts w:ascii="Times New Roman" w:hAnsi="Times New Roman" w:cs="Times New Roman"/>
          <w:i/>
          <w:sz w:val="24"/>
          <w:szCs w:val="24"/>
        </w:rPr>
        <w:t>Tier I</w:t>
      </w:r>
      <w:r w:rsidRPr="00D92FC1">
        <w:rPr>
          <w:rFonts w:ascii="Times New Roman" w:hAnsi="Times New Roman" w:cs="Times New Roman"/>
          <w:sz w:val="24"/>
          <w:szCs w:val="24"/>
        </w:rPr>
        <w:t xml:space="preserve"> dzieli się na kapitał CET1 (</w:t>
      </w:r>
      <w:r w:rsidRPr="00D92FC1">
        <w:rPr>
          <w:rFonts w:ascii="Times New Roman" w:hAnsi="Times New Roman" w:cs="Times New Roman"/>
          <w:i/>
          <w:sz w:val="24"/>
          <w:szCs w:val="24"/>
        </w:rPr>
        <w:t>Common Equity Tier I</w:t>
      </w:r>
      <w:r w:rsidRPr="00D92FC1">
        <w:rPr>
          <w:rFonts w:ascii="Times New Roman" w:hAnsi="Times New Roman" w:cs="Times New Roman"/>
          <w:sz w:val="24"/>
          <w:szCs w:val="24"/>
        </w:rPr>
        <w:t xml:space="preserve">), tj. kapitał najwyższej jakości, oraz kapitał AT1 </w:t>
      </w:r>
      <w:r w:rsidRPr="00D92FC1">
        <w:rPr>
          <w:rFonts w:ascii="Times New Roman" w:hAnsi="Times New Roman" w:cs="Times New Roman"/>
          <w:i/>
          <w:sz w:val="24"/>
          <w:szCs w:val="24"/>
        </w:rPr>
        <w:t>(Additional Tier 1)</w:t>
      </w:r>
      <w:r w:rsidRPr="00D92FC1">
        <w:rPr>
          <w:rFonts w:ascii="Times New Roman" w:hAnsi="Times New Roman" w:cs="Times New Roman"/>
          <w:sz w:val="24"/>
          <w:szCs w:val="24"/>
        </w:rPr>
        <w:t xml:space="preserve">, tj. kapitał dodatkowy. Do pozycji dodatkowych w </w:t>
      </w:r>
      <w:r w:rsidRPr="00D92FC1">
        <w:rPr>
          <w:rFonts w:ascii="Times New Roman" w:hAnsi="Times New Roman" w:cs="Times New Roman"/>
          <w:i/>
          <w:sz w:val="24"/>
          <w:szCs w:val="24"/>
        </w:rPr>
        <w:t>Tier I</w:t>
      </w:r>
      <w:r w:rsidRPr="00D92FC1">
        <w:rPr>
          <w:rFonts w:ascii="Times New Roman" w:hAnsi="Times New Roman" w:cs="Times New Roman"/>
          <w:sz w:val="24"/>
          <w:szCs w:val="24"/>
        </w:rPr>
        <w:t xml:space="preserve"> zgodnie z art. 51 rozporządzenia</w:t>
      </w:r>
      <w:r w:rsidR="00021860">
        <w:rPr>
          <w:rFonts w:ascii="Times New Roman" w:hAnsi="Times New Roman" w:cs="Times New Roman"/>
          <w:sz w:val="24"/>
          <w:szCs w:val="24"/>
        </w:rPr>
        <w:t xml:space="preserve"> nr</w:t>
      </w:r>
      <w:r w:rsidRPr="00D92FC1">
        <w:rPr>
          <w:rFonts w:ascii="Times New Roman" w:hAnsi="Times New Roman" w:cs="Times New Roman"/>
          <w:sz w:val="24"/>
          <w:szCs w:val="24"/>
        </w:rPr>
        <w:t xml:space="preserve"> 575/2013 mogą być zaliczane instrumenty kapitałowe, które spełniają warunki i kryteria określone w art. 52 ust. 1 tego rozporządzenia. </w:t>
      </w:r>
    </w:p>
    <w:p w14:paraId="3C168F5C" w14:textId="77777777" w:rsidR="00AB1420" w:rsidRPr="00D92FC1" w:rsidRDefault="00AB1420" w:rsidP="005E5395">
      <w:pPr>
        <w:spacing w:after="120" w:line="360" w:lineRule="auto"/>
        <w:jc w:val="both"/>
        <w:outlineLvl w:val="0"/>
        <w:rPr>
          <w:rFonts w:ascii="Times New Roman" w:hAnsi="Times New Roman" w:cs="Times New Roman"/>
          <w:sz w:val="24"/>
          <w:szCs w:val="24"/>
        </w:rPr>
      </w:pPr>
      <w:r w:rsidRPr="00D92FC1">
        <w:rPr>
          <w:rFonts w:ascii="Times New Roman" w:hAnsi="Times New Roman" w:cs="Times New Roman"/>
          <w:sz w:val="24"/>
          <w:szCs w:val="24"/>
        </w:rPr>
        <w:t>Do kategorii kapitału AT1 mogą być zaliczane hybrydowe instrumenty kapitałowe (</w:t>
      </w:r>
      <w:r w:rsidRPr="00D92FC1">
        <w:rPr>
          <w:rFonts w:ascii="Times New Roman" w:hAnsi="Times New Roman" w:cs="Times New Roman"/>
          <w:i/>
          <w:sz w:val="24"/>
          <w:szCs w:val="24"/>
        </w:rPr>
        <w:t>contingent convertibles</w:t>
      </w:r>
      <w:r w:rsidRPr="00D92FC1">
        <w:rPr>
          <w:rFonts w:ascii="Times New Roman" w:hAnsi="Times New Roman" w:cs="Times New Roman"/>
          <w:sz w:val="24"/>
          <w:szCs w:val="24"/>
        </w:rPr>
        <w:t xml:space="preserve">) wyposażone w mechanizm absorpcji strat. </w:t>
      </w:r>
    </w:p>
    <w:p w14:paraId="48868C5F" w14:textId="77777777" w:rsidR="00AB1420" w:rsidRPr="00D92FC1" w:rsidRDefault="00AB1420" w:rsidP="005E5395">
      <w:pPr>
        <w:spacing w:after="120" w:line="360" w:lineRule="auto"/>
        <w:jc w:val="both"/>
        <w:outlineLvl w:val="0"/>
        <w:rPr>
          <w:rFonts w:ascii="Times New Roman" w:hAnsi="Times New Roman" w:cs="Times New Roman"/>
          <w:sz w:val="24"/>
          <w:szCs w:val="24"/>
        </w:rPr>
      </w:pPr>
      <w:r w:rsidRPr="00D92FC1">
        <w:rPr>
          <w:rFonts w:ascii="Times New Roman" w:hAnsi="Times New Roman" w:cs="Times New Roman"/>
          <w:sz w:val="24"/>
          <w:szCs w:val="24"/>
        </w:rPr>
        <w:t xml:space="preserve">Klasyfikacja danego instrumentu finansowego do odpowiedniego </w:t>
      </w:r>
      <w:r w:rsidRPr="00D92FC1">
        <w:rPr>
          <w:rFonts w:ascii="Times New Roman" w:hAnsi="Times New Roman" w:cs="Times New Roman"/>
          <w:i/>
          <w:sz w:val="24"/>
          <w:szCs w:val="24"/>
        </w:rPr>
        <w:t>Tier</w:t>
      </w:r>
      <w:r w:rsidRPr="00D92FC1">
        <w:rPr>
          <w:rFonts w:ascii="Times New Roman" w:hAnsi="Times New Roman" w:cs="Times New Roman"/>
          <w:sz w:val="24"/>
          <w:szCs w:val="24"/>
        </w:rPr>
        <w:t xml:space="preserve"> odbywa się, co do zasady, według zdolności tego kapitału do absorpcji strat.</w:t>
      </w:r>
    </w:p>
    <w:p w14:paraId="6CC3F977" w14:textId="7AF49BB2" w:rsidR="00AB1420" w:rsidRPr="00D92FC1" w:rsidRDefault="00AB1420" w:rsidP="005E5395">
      <w:pPr>
        <w:spacing w:after="120" w:line="360" w:lineRule="auto"/>
        <w:jc w:val="both"/>
        <w:outlineLvl w:val="0"/>
        <w:rPr>
          <w:rFonts w:ascii="Times New Roman" w:hAnsi="Times New Roman" w:cs="Times New Roman"/>
          <w:sz w:val="24"/>
          <w:szCs w:val="24"/>
        </w:rPr>
      </w:pPr>
      <w:r w:rsidRPr="00D92FC1">
        <w:rPr>
          <w:rFonts w:ascii="Times New Roman" w:hAnsi="Times New Roman" w:cs="Times New Roman"/>
          <w:sz w:val="24"/>
          <w:szCs w:val="24"/>
        </w:rPr>
        <w:t>W zakresie funduszy własnych banki powinny utrzymywać minimum regulacyjne dotyczące wymogu I filara w wysokości 8%</w:t>
      </w:r>
      <w:r w:rsidR="000A0679">
        <w:rPr>
          <w:rFonts w:ascii="Times New Roman" w:hAnsi="Times New Roman" w:cs="Times New Roman"/>
          <w:iCs/>
          <w:sz w:val="24"/>
          <w:szCs w:val="24"/>
        </w:rPr>
        <w:t xml:space="preserve"> TREA (</w:t>
      </w:r>
      <w:r w:rsidR="000A0679" w:rsidRPr="00EC375A">
        <w:rPr>
          <w:rFonts w:ascii="Times New Roman" w:hAnsi="Times New Roman" w:cs="Times New Roman"/>
          <w:i/>
          <w:iCs/>
          <w:sz w:val="24"/>
          <w:szCs w:val="24"/>
        </w:rPr>
        <w:t>Total risk exposure amount</w:t>
      </w:r>
      <w:r w:rsidR="000A0679">
        <w:rPr>
          <w:rFonts w:ascii="Times New Roman" w:hAnsi="Times New Roman" w:cs="Times New Roman"/>
          <w:iCs/>
          <w:sz w:val="24"/>
          <w:szCs w:val="24"/>
        </w:rPr>
        <w:t>)</w:t>
      </w:r>
      <w:r w:rsidRPr="00D92FC1">
        <w:rPr>
          <w:rFonts w:ascii="Times New Roman" w:hAnsi="Times New Roman" w:cs="Times New Roman"/>
          <w:sz w:val="24"/>
          <w:szCs w:val="24"/>
        </w:rPr>
        <w:t xml:space="preserve">. Jednocześnie określony </w:t>
      </w:r>
      <w:r w:rsidRPr="00D92FC1">
        <w:rPr>
          <w:rFonts w:ascii="Times New Roman" w:hAnsi="Times New Roman" w:cs="Times New Roman"/>
          <w:sz w:val="24"/>
          <w:szCs w:val="24"/>
        </w:rPr>
        <w:lastRenderedPageBreak/>
        <w:t>w art. 92 rozporządzenia nr 575/2013 wymagany minimalny poziom najwyższej jakości kapitału CET1, który jest podstawowym instrumentem absorpcji strat</w:t>
      </w:r>
      <w:r w:rsidR="005251F4">
        <w:rPr>
          <w:rFonts w:ascii="Times New Roman" w:hAnsi="Times New Roman" w:cs="Times New Roman"/>
          <w:sz w:val="24"/>
          <w:szCs w:val="24"/>
        </w:rPr>
        <w:t>,</w:t>
      </w:r>
      <w:r w:rsidRPr="00D92FC1">
        <w:rPr>
          <w:rFonts w:ascii="Times New Roman" w:hAnsi="Times New Roman" w:cs="Times New Roman"/>
          <w:sz w:val="24"/>
          <w:szCs w:val="24"/>
        </w:rPr>
        <w:t xml:space="preserve"> to</w:t>
      </w:r>
      <w:r w:rsidRPr="00D92FC1" w:rsidDel="008130DA">
        <w:rPr>
          <w:rFonts w:ascii="Times New Roman" w:hAnsi="Times New Roman" w:cs="Times New Roman"/>
          <w:sz w:val="24"/>
          <w:szCs w:val="24"/>
        </w:rPr>
        <w:t xml:space="preserve"> </w:t>
      </w:r>
      <w:r w:rsidRPr="00D92FC1">
        <w:rPr>
          <w:rFonts w:ascii="Times New Roman" w:hAnsi="Times New Roman" w:cs="Times New Roman"/>
          <w:sz w:val="24"/>
          <w:szCs w:val="24"/>
        </w:rPr>
        <w:t xml:space="preserve">wymóg 4,5% </w:t>
      </w:r>
      <w:r w:rsidR="000A0679">
        <w:rPr>
          <w:rFonts w:ascii="Times New Roman" w:hAnsi="Times New Roman" w:cs="Times New Roman"/>
          <w:sz w:val="24"/>
          <w:szCs w:val="24"/>
        </w:rPr>
        <w:t>TREA</w:t>
      </w:r>
      <w:r w:rsidRPr="00D92FC1">
        <w:rPr>
          <w:rFonts w:ascii="Times New Roman" w:hAnsi="Times New Roman" w:cs="Times New Roman"/>
          <w:sz w:val="24"/>
          <w:szCs w:val="24"/>
        </w:rPr>
        <w:t>.</w:t>
      </w:r>
    </w:p>
    <w:p w14:paraId="35464C15" w14:textId="1237C7A0" w:rsidR="00AB1420" w:rsidRPr="00D92FC1" w:rsidRDefault="00AB1420" w:rsidP="005E5395">
      <w:pPr>
        <w:spacing w:after="120" w:line="360" w:lineRule="auto"/>
        <w:jc w:val="both"/>
        <w:outlineLvl w:val="0"/>
        <w:rPr>
          <w:rFonts w:ascii="Times New Roman" w:hAnsi="Times New Roman" w:cs="Times New Roman"/>
          <w:sz w:val="24"/>
          <w:szCs w:val="24"/>
        </w:rPr>
      </w:pPr>
      <w:r w:rsidRPr="00D92FC1">
        <w:rPr>
          <w:rFonts w:ascii="Times New Roman" w:hAnsi="Times New Roman" w:cs="Times New Roman"/>
          <w:sz w:val="24"/>
          <w:szCs w:val="24"/>
        </w:rPr>
        <w:t xml:space="preserve">Istniejące obecnie rozwiązania, co do zasady, uwzględniają możliwość zaliczania instrumentów kapitałowych do kategorii </w:t>
      </w:r>
      <w:r w:rsidRPr="00D92FC1">
        <w:rPr>
          <w:rFonts w:ascii="Times New Roman" w:hAnsi="Times New Roman" w:cs="Times New Roman"/>
          <w:i/>
          <w:sz w:val="24"/>
          <w:szCs w:val="24"/>
        </w:rPr>
        <w:t xml:space="preserve">Tier. </w:t>
      </w:r>
      <w:r w:rsidRPr="00D92FC1">
        <w:rPr>
          <w:rFonts w:ascii="Times New Roman" w:hAnsi="Times New Roman" w:cs="Times New Roman"/>
          <w:sz w:val="24"/>
          <w:szCs w:val="24"/>
        </w:rPr>
        <w:t xml:space="preserve">Jako przykład można wskazać art. 127 ust. 1 ustawy z dnia 29 sierpnia 1997 r. – Prawo bankowe (Dz. U. z </w:t>
      </w:r>
      <w:r w:rsidR="00973120">
        <w:rPr>
          <w:rFonts w:ascii="Times New Roman" w:hAnsi="Times New Roman" w:cs="Times New Roman"/>
          <w:sz w:val="24"/>
          <w:szCs w:val="24"/>
        </w:rPr>
        <w:t xml:space="preserve">2022 </w:t>
      </w:r>
      <w:r w:rsidRPr="00D92FC1">
        <w:rPr>
          <w:rFonts w:ascii="Times New Roman" w:hAnsi="Times New Roman" w:cs="Times New Roman"/>
          <w:sz w:val="24"/>
          <w:szCs w:val="24"/>
        </w:rPr>
        <w:t xml:space="preserve"> r. poz. </w:t>
      </w:r>
      <w:r w:rsidR="00973120">
        <w:rPr>
          <w:rFonts w:ascii="Times New Roman" w:hAnsi="Times New Roman" w:cs="Times New Roman"/>
          <w:sz w:val="24"/>
          <w:szCs w:val="24"/>
        </w:rPr>
        <w:t>2324</w:t>
      </w:r>
      <w:r w:rsidR="005F7CE5">
        <w:rPr>
          <w:rFonts w:ascii="Times New Roman" w:hAnsi="Times New Roman" w:cs="Times New Roman"/>
          <w:sz w:val="24"/>
          <w:szCs w:val="24"/>
        </w:rPr>
        <w:t>, z późn. zm.</w:t>
      </w:r>
      <w:r w:rsidRPr="00D92FC1">
        <w:rPr>
          <w:rFonts w:ascii="Times New Roman" w:hAnsi="Times New Roman" w:cs="Times New Roman"/>
          <w:sz w:val="24"/>
          <w:szCs w:val="24"/>
        </w:rPr>
        <w:t xml:space="preserve">), dalej „ustawa – Prawo bankowe”, który stanowi, że instrumenty kapitałowe i pożyczki podporządkowane kwalifikuje się jako instrumenty dodatkowe w </w:t>
      </w:r>
      <w:r w:rsidRPr="00D92FC1">
        <w:rPr>
          <w:rFonts w:ascii="Times New Roman" w:hAnsi="Times New Roman" w:cs="Times New Roman"/>
          <w:i/>
          <w:sz w:val="24"/>
          <w:szCs w:val="24"/>
        </w:rPr>
        <w:t>Tier I</w:t>
      </w:r>
      <w:r w:rsidRPr="00D92FC1">
        <w:rPr>
          <w:rFonts w:ascii="Times New Roman" w:hAnsi="Times New Roman" w:cs="Times New Roman"/>
          <w:sz w:val="24"/>
          <w:szCs w:val="24"/>
        </w:rPr>
        <w:t xml:space="preserve"> oraz instrumenty w </w:t>
      </w:r>
      <w:r w:rsidRPr="00D92FC1">
        <w:rPr>
          <w:rFonts w:ascii="Times New Roman" w:hAnsi="Times New Roman" w:cs="Times New Roman"/>
          <w:i/>
          <w:sz w:val="24"/>
          <w:szCs w:val="24"/>
        </w:rPr>
        <w:t>Tier II</w:t>
      </w:r>
      <w:r w:rsidRPr="00D92FC1">
        <w:rPr>
          <w:rFonts w:ascii="Times New Roman" w:hAnsi="Times New Roman" w:cs="Times New Roman"/>
          <w:sz w:val="24"/>
          <w:szCs w:val="24"/>
        </w:rPr>
        <w:t xml:space="preserve"> po uzyskaniu zgody Komisji Nadzoru Finansowego, dalej „KNF”. Zgodnie z ust. 2 tego artykułu KNF</w:t>
      </w:r>
      <w:r w:rsidR="0034774E">
        <w:rPr>
          <w:rFonts w:ascii="Times New Roman" w:hAnsi="Times New Roman" w:cs="Times New Roman"/>
          <w:sz w:val="24"/>
          <w:szCs w:val="24"/>
        </w:rPr>
        <w:t xml:space="preserve"> </w:t>
      </w:r>
      <w:r w:rsidRPr="00D92FC1">
        <w:rPr>
          <w:rFonts w:ascii="Times New Roman" w:hAnsi="Times New Roman" w:cs="Times New Roman"/>
          <w:sz w:val="24"/>
          <w:szCs w:val="24"/>
        </w:rPr>
        <w:t xml:space="preserve">udziela zgody, jeżeli są spełnione warunki, o których mowa w art. 52 rozporządzenia nr 575/2013, w odniesieniu do instrumentów dodatkowych w </w:t>
      </w:r>
      <w:r w:rsidRPr="00D92FC1">
        <w:rPr>
          <w:rFonts w:ascii="Times New Roman" w:hAnsi="Times New Roman" w:cs="Times New Roman"/>
          <w:i/>
          <w:sz w:val="24"/>
          <w:szCs w:val="24"/>
        </w:rPr>
        <w:t>Tier I</w:t>
      </w:r>
      <w:r w:rsidRPr="00D92FC1">
        <w:rPr>
          <w:rFonts w:ascii="Times New Roman" w:hAnsi="Times New Roman" w:cs="Times New Roman"/>
          <w:sz w:val="24"/>
          <w:szCs w:val="24"/>
        </w:rPr>
        <w:t xml:space="preserve">, oraz w art. 63 rozporządzenia nr 575/2013, w odniesieniu do instrumentów w </w:t>
      </w:r>
      <w:r w:rsidRPr="00D92FC1">
        <w:rPr>
          <w:rFonts w:ascii="Times New Roman" w:hAnsi="Times New Roman" w:cs="Times New Roman"/>
          <w:i/>
          <w:sz w:val="24"/>
          <w:szCs w:val="24"/>
        </w:rPr>
        <w:t>Tier II</w:t>
      </w:r>
      <w:r w:rsidRPr="00D92FC1">
        <w:rPr>
          <w:rFonts w:ascii="Times New Roman" w:hAnsi="Times New Roman" w:cs="Times New Roman"/>
          <w:sz w:val="24"/>
          <w:szCs w:val="24"/>
        </w:rPr>
        <w:t>.</w:t>
      </w:r>
    </w:p>
    <w:p w14:paraId="64E19339" w14:textId="77777777" w:rsidR="00AB1420" w:rsidRPr="00D92FC1" w:rsidRDefault="00AB1420" w:rsidP="005E5395">
      <w:pPr>
        <w:spacing w:after="120" w:line="360" w:lineRule="auto"/>
        <w:jc w:val="both"/>
        <w:outlineLvl w:val="0"/>
        <w:rPr>
          <w:rFonts w:ascii="Times New Roman" w:hAnsi="Times New Roman" w:cs="Times New Roman"/>
          <w:sz w:val="24"/>
          <w:szCs w:val="24"/>
        </w:rPr>
      </w:pPr>
      <w:r w:rsidRPr="00D92FC1">
        <w:rPr>
          <w:rFonts w:ascii="Times New Roman" w:hAnsi="Times New Roman" w:cs="Times New Roman"/>
          <w:sz w:val="24"/>
          <w:szCs w:val="24"/>
        </w:rPr>
        <w:t>W określonych przypadkach instrumenty kapitałowe (</w:t>
      </w:r>
      <w:r w:rsidRPr="00D92FC1">
        <w:rPr>
          <w:rFonts w:ascii="Times New Roman" w:hAnsi="Times New Roman" w:cs="Times New Roman"/>
          <w:i/>
          <w:sz w:val="24"/>
          <w:szCs w:val="24"/>
        </w:rPr>
        <w:t>contingent convertibles</w:t>
      </w:r>
      <w:r w:rsidRPr="00D92FC1">
        <w:rPr>
          <w:rFonts w:ascii="Times New Roman" w:hAnsi="Times New Roman" w:cs="Times New Roman"/>
          <w:sz w:val="24"/>
          <w:szCs w:val="24"/>
        </w:rPr>
        <w:t xml:space="preserve">) mogą być zaliczane do kapitału AT1 albo do </w:t>
      </w:r>
      <w:r w:rsidRPr="00D92FC1">
        <w:rPr>
          <w:rFonts w:ascii="Times New Roman" w:hAnsi="Times New Roman" w:cs="Times New Roman"/>
          <w:i/>
          <w:sz w:val="24"/>
          <w:szCs w:val="24"/>
        </w:rPr>
        <w:t>Tier II</w:t>
      </w:r>
      <w:r w:rsidRPr="00D92FC1">
        <w:rPr>
          <w:rFonts w:ascii="Times New Roman" w:hAnsi="Times New Roman" w:cs="Times New Roman"/>
          <w:sz w:val="24"/>
          <w:szCs w:val="24"/>
        </w:rPr>
        <w:t xml:space="preserve">. </w:t>
      </w:r>
    </w:p>
    <w:p w14:paraId="3CD9EA7E" w14:textId="77777777" w:rsidR="00AB1420" w:rsidRPr="00D92FC1" w:rsidRDefault="00AB1420" w:rsidP="005E5395">
      <w:pPr>
        <w:spacing w:after="120" w:line="360" w:lineRule="auto"/>
        <w:jc w:val="both"/>
        <w:outlineLvl w:val="0"/>
        <w:rPr>
          <w:rFonts w:ascii="Times New Roman" w:hAnsi="Times New Roman" w:cs="Times New Roman"/>
          <w:sz w:val="24"/>
          <w:szCs w:val="24"/>
        </w:rPr>
      </w:pPr>
      <w:r w:rsidRPr="00D92FC1">
        <w:rPr>
          <w:rFonts w:ascii="Times New Roman" w:hAnsi="Times New Roman" w:cs="Times New Roman"/>
          <w:sz w:val="24"/>
          <w:szCs w:val="24"/>
        </w:rPr>
        <w:t xml:space="preserve">Na mocy dyrektywy Parlamentu Europejskiego i Rady 2014/59/UE z dnia 15 maja 2014 r. ustanawiającej ramy na potrzeby prowadzenia działań naprawczych oraz restrukturyzacji i uporządkowanej likwidacji w odniesieniu do instytucji kredytowych i firm inwestycyjnych oraz zmieniającej dyrektywę Rady 82/891/EWG i dyrektywy Parlamentu Europejskiego i Rady 2001/24/WE, 2002/47/WE, 2004/25/WE, 2005/56/WE, 2007/36/WE, 2011/35/UE, 2012/30/UE i 2013/36/EU oraz rozporządzenie Parlamentu Europejskiego i Rady (UE) nr 1093/2010 i (UE) nr 648/2012 (Dz. Urz. </w:t>
      </w:r>
      <w:r w:rsidRPr="00D92FC1">
        <w:rPr>
          <w:rStyle w:val="st"/>
          <w:rFonts w:ascii="Times New Roman" w:hAnsi="Times New Roman" w:cs="Times New Roman"/>
          <w:sz w:val="24"/>
          <w:szCs w:val="24"/>
        </w:rPr>
        <w:t>UE L 173 z 12.06.</w:t>
      </w:r>
      <w:r w:rsidRPr="00D92FC1">
        <w:rPr>
          <w:rStyle w:val="Uwydatnienie"/>
          <w:rFonts w:ascii="Times New Roman" w:hAnsi="Times New Roman" w:cs="Times New Roman"/>
          <w:i w:val="0"/>
          <w:sz w:val="24"/>
          <w:szCs w:val="24"/>
        </w:rPr>
        <w:t>2014, str. 190, z późn. zm.)</w:t>
      </w:r>
      <w:r w:rsidRPr="00D92FC1">
        <w:rPr>
          <w:rStyle w:val="Uwydatnienie"/>
          <w:rFonts w:ascii="Times New Roman" w:hAnsi="Times New Roman" w:cs="Times New Roman"/>
          <w:sz w:val="24"/>
          <w:szCs w:val="24"/>
        </w:rPr>
        <w:t>,</w:t>
      </w:r>
      <w:r w:rsidRPr="00D92FC1">
        <w:rPr>
          <w:rStyle w:val="Uwydatnienie"/>
          <w:rFonts w:ascii="Times New Roman" w:hAnsi="Times New Roman" w:cs="Times New Roman"/>
          <w:i w:val="0"/>
          <w:sz w:val="24"/>
          <w:szCs w:val="24"/>
        </w:rPr>
        <w:t xml:space="preserve"> dalej </w:t>
      </w:r>
      <w:r w:rsidRPr="00D92FC1">
        <w:rPr>
          <w:rStyle w:val="Uwydatnienie"/>
          <w:rFonts w:ascii="Times New Roman" w:hAnsi="Times New Roman" w:cs="Times New Roman"/>
          <w:b/>
          <w:i w:val="0"/>
          <w:sz w:val="24"/>
          <w:szCs w:val="24"/>
        </w:rPr>
        <w:t>„dyrektywa BRRD”</w:t>
      </w:r>
      <w:r w:rsidRPr="00D92FC1">
        <w:rPr>
          <w:rStyle w:val="Uwydatnienie"/>
          <w:rFonts w:ascii="Times New Roman" w:hAnsi="Times New Roman" w:cs="Times New Roman"/>
          <w:i w:val="0"/>
          <w:sz w:val="24"/>
          <w:szCs w:val="24"/>
        </w:rPr>
        <w:t xml:space="preserve">, </w:t>
      </w:r>
      <w:r w:rsidRPr="00D92FC1">
        <w:rPr>
          <w:rFonts w:ascii="Times New Roman" w:hAnsi="Times New Roman" w:cs="Times New Roman"/>
          <w:sz w:val="24"/>
          <w:szCs w:val="24"/>
        </w:rPr>
        <w:t xml:space="preserve">organy do spraw restrukturyzacji i uporządkowanej likwidacji mają uprawnienia do umorzenia stosownych instrumentów kapitałowych lub ich konwersji na instrumenty właścicielskie instytucji podlegających reżimowi przymusowej restrukturyzacji (mechanizm </w:t>
      </w:r>
      <w:r w:rsidRPr="00D92FC1">
        <w:rPr>
          <w:rFonts w:ascii="Times New Roman" w:hAnsi="Times New Roman" w:cs="Times New Roman"/>
          <w:i/>
          <w:sz w:val="24"/>
          <w:szCs w:val="24"/>
        </w:rPr>
        <w:t>bail-in</w:t>
      </w:r>
      <w:r w:rsidRPr="00D92FC1">
        <w:rPr>
          <w:rFonts w:ascii="Times New Roman" w:hAnsi="Times New Roman" w:cs="Times New Roman"/>
          <w:sz w:val="24"/>
          <w:szCs w:val="24"/>
        </w:rPr>
        <w:t>).</w:t>
      </w:r>
    </w:p>
    <w:p w14:paraId="0F05B61F" w14:textId="77777777" w:rsidR="00AB1420" w:rsidRPr="00D92FC1" w:rsidRDefault="00AB1420" w:rsidP="005E5395">
      <w:pPr>
        <w:spacing w:after="120" w:line="360" w:lineRule="auto"/>
        <w:jc w:val="both"/>
        <w:rPr>
          <w:rFonts w:ascii="Times New Roman" w:eastAsia="Times New Roman" w:hAnsi="Times New Roman" w:cs="Times New Roman"/>
          <w:sz w:val="24"/>
          <w:szCs w:val="24"/>
          <w:lang w:eastAsia="pl-PL"/>
        </w:rPr>
      </w:pPr>
      <w:r w:rsidRPr="00D92FC1">
        <w:rPr>
          <w:rFonts w:ascii="Times New Roman" w:hAnsi="Times New Roman" w:cs="Times New Roman"/>
          <w:sz w:val="24"/>
          <w:szCs w:val="24"/>
        </w:rPr>
        <w:t>W przypadku zakładów ubezpieczeń i zakładów reasekuracji dyrektywa Parlamentu Europejskiego i Rady nr 2009/138/WE z dnia 25 listopada 2009 r. w sprawie podejmowania i prowadzenia działalności ubezpieczeniowej i reasekuracyjnej (Wypłacalność II) (</w:t>
      </w:r>
      <w:r w:rsidRPr="00D92FC1">
        <w:rPr>
          <w:rFonts w:ascii="Times New Roman" w:eastAsia="Times New Roman" w:hAnsi="Times New Roman" w:cs="Times New Roman"/>
          <w:sz w:val="24"/>
          <w:szCs w:val="24"/>
          <w:lang w:eastAsia="pl-PL"/>
        </w:rPr>
        <w:t>Dz. Urz. UE L 335 z 17.12.2009, str. 1, z późn. zm.</w:t>
      </w:r>
      <w:r w:rsidRPr="00D92FC1">
        <w:rPr>
          <w:rFonts w:ascii="Times New Roman" w:hAnsi="Times New Roman" w:cs="Times New Roman"/>
          <w:sz w:val="24"/>
          <w:szCs w:val="24"/>
        </w:rPr>
        <w:t xml:space="preserve">), dalej </w:t>
      </w:r>
      <w:r w:rsidRPr="00D92FC1">
        <w:rPr>
          <w:rFonts w:ascii="Times New Roman" w:hAnsi="Times New Roman" w:cs="Times New Roman"/>
          <w:b/>
          <w:sz w:val="24"/>
          <w:szCs w:val="24"/>
        </w:rPr>
        <w:t>„dyrektywa Wypłacalność II”</w:t>
      </w:r>
      <w:r w:rsidRPr="00D92FC1">
        <w:rPr>
          <w:rFonts w:ascii="Times New Roman" w:hAnsi="Times New Roman" w:cs="Times New Roman"/>
          <w:sz w:val="24"/>
          <w:szCs w:val="24"/>
        </w:rPr>
        <w:t xml:space="preserve">, określa zasady wykonywania działalności ubezpieczeniowej i reasekuracyjnej w Unii Europejskiej oraz zasady sprawowania nadzoru grupowego. Szczegółowe przepisy są zawarte w rozporządzeniu delegowanym Komisji (UE) 2015/35 z dnia 10 października 2014 r. uzupełniającym dyrektywę Parlamentu Europejskiego i Rady nr 2009/138/WE w sprawie podejmowania i prowadzenia </w:t>
      </w:r>
      <w:r w:rsidRPr="00D92FC1">
        <w:rPr>
          <w:rFonts w:ascii="Times New Roman" w:hAnsi="Times New Roman" w:cs="Times New Roman"/>
          <w:sz w:val="24"/>
          <w:szCs w:val="24"/>
        </w:rPr>
        <w:lastRenderedPageBreak/>
        <w:t>działalności ubezpieczeniowej i reasekuracyjnej (Wypłacalność II) (</w:t>
      </w:r>
      <w:r w:rsidRPr="00D92FC1">
        <w:rPr>
          <w:rFonts w:ascii="Times New Roman" w:eastAsia="Times New Roman" w:hAnsi="Times New Roman" w:cs="Times New Roman"/>
          <w:sz w:val="24"/>
          <w:szCs w:val="24"/>
          <w:lang w:eastAsia="pl-PL"/>
        </w:rPr>
        <w:t>Dz. Urz. UE L 12 z 17.01.2015, str. 1)</w:t>
      </w:r>
      <w:r w:rsidRPr="00D92FC1">
        <w:rPr>
          <w:rFonts w:ascii="Times New Roman" w:hAnsi="Times New Roman" w:cs="Times New Roman"/>
          <w:sz w:val="24"/>
          <w:szCs w:val="24"/>
        </w:rPr>
        <w:t>, dalej „</w:t>
      </w:r>
      <w:r w:rsidRPr="00D92FC1">
        <w:rPr>
          <w:rFonts w:ascii="Times New Roman" w:hAnsi="Times New Roman" w:cs="Times New Roman"/>
          <w:b/>
          <w:sz w:val="24"/>
          <w:szCs w:val="24"/>
        </w:rPr>
        <w:t>rozporządzenie delegowane Komisji (UE) 2015/35</w:t>
      </w:r>
      <w:r w:rsidRPr="00D92FC1">
        <w:rPr>
          <w:rFonts w:ascii="Times New Roman" w:hAnsi="Times New Roman" w:cs="Times New Roman"/>
          <w:sz w:val="24"/>
          <w:szCs w:val="24"/>
        </w:rPr>
        <w:t>”.</w:t>
      </w:r>
    </w:p>
    <w:p w14:paraId="69288EA3" w14:textId="77777777" w:rsidR="00AB1420" w:rsidRPr="00D92FC1" w:rsidRDefault="00AB1420" w:rsidP="005E5395">
      <w:pPr>
        <w:pStyle w:val="Tekstpodstawowy1"/>
        <w:shd w:val="clear" w:color="auto" w:fill="auto"/>
        <w:spacing w:after="120" w:line="360" w:lineRule="auto"/>
        <w:ind w:firstLine="0"/>
        <w:jc w:val="both"/>
        <w:rPr>
          <w:rFonts w:ascii="Times New Roman" w:hAnsi="Times New Roman" w:cs="Times New Roman"/>
          <w:szCs w:val="24"/>
        </w:rPr>
      </w:pPr>
      <w:r w:rsidRPr="00D92FC1">
        <w:rPr>
          <w:rFonts w:ascii="Times New Roman" w:hAnsi="Times New Roman" w:cs="Times New Roman"/>
          <w:szCs w:val="24"/>
        </w:rPr>
        <w:t>Przepisy dyrektywy Wypłacalność II i rozporządzenia delegowanego Komisji (UE)</w:t>
      </w:r>
      <w:r w:rsidRPr="00D92FC1">
        <w:rPr>
          <w:rFonts w:ascii="Times New Roman" w:hAnsi="Times New Roman" w:cs="Times New Roman"/>
          <w:b/>
          <w:szCs w:val="24"/>
        </w:rPr>
        <w:t xml:space="preserve"> </w:t>
      </w:r>
      <w:r w:rsidRPr="00D92FC1">
        <w:rPr>
          <w:rFonts w:ascii="Times New Roman" w:hAnsi="Times New Roman" w:cs="Times New Roman"/>
          <w:szCs w:val="24"/>
        </w:rPr>
        <w:t xml:space="preserve">2015/35 określają m.in. wymogi kapitałowe dla podmiotów rynku ubezpieczeniowego i zasady klasyfikacji środków własnych do poszczególnych kategorii, a także limity ilościowe dla kwot pozycji środków własnych klasyfikowanych do poszczególnych kategorii. </w:t>
      </w:r>
    </w:p>
    <w:p w14:paraId="53F4F913" w14:textId="0E193286" w:rsidR="00AB1420" w:rsidRPr="00D92FC1" w:rsidRDefault="00AB1420" w:rsidP="005E5395">
      <w:pPr>
        <w:pStyle w:val="Tekstpodstawowy1"/>
        <w:shd w:val="clear" w:color="auto" w:fill="auto"/>
        <w:spacing w:after="120" w:line="360" w:lineRule="auto"/>
        <w:ind w:firstLine="0"/>
        <w:jc w:val="both"/>
        <w:rPr>
          <w:rFonts w:ascii="Times New Roman" w:hAnsi="Times New Roman" w:cs="Times New Roman"/>
          <w:szCs w:val="24"/>
        </w:rPr>
      </w:pPr>
      <w:r w:rsidRPr="00D92FC1">
        <w:rPr>
          <w:rFonts w:ascii="Times New Roman" w:hAnsi="Times New Roman" w:cs="Times New Roman"/>
          <w:szCs w:val="24"/>
        </w:rPr>
        <w:t>Dyrektywa Wypłacalność II została implementowana do krajowego porządku prawnego jako ustawa z dnia 11 września 2015 r. o działalności ubezpieczeniowej i reasekuracyjnej (Dz. U. z 202</w:t>
      </w:r>
      <w:r w:rsidR="00F24AE3">
        <w:rPr>
          <w:rFonts w:ascii="Times New Roman" w:hAnsi="Times New Roman" w:cs="Times New Roman"/>
          <w:szCs w:val="24"/>
        </w:rPr>
        <w:t>2</w:t>
      </w:r>
      <w:r w:rsidRPr="00D92FC1">
        <w:rPr>
          <w:rFonts w:ascii="Times New Roman" w:hAnsi="Times New Roman" w:cs="Times New Roman"/>
          <w:szCs w:val="24"/>
        </w:rPr>
        <w:t xml:space="preserve"> r. poz. </w:t>
      </w:r>
      <w:r w:rsidR="00F24AE3">
        <w:rPr>
          <w:rFonts w:ascii="Times New Roman" w:hAnsi="Times New Roman" w:cs="Times New Roman"/>
          <w:szCs w:val="24"/>
        </w:rPr>
        <w:t>22</w:t>
      </w:r>
      <w:r w:rsidR="007F56A7">
        <w:rPr>
          <w:rFonts w:ascii="Times New Roman" w:hAnsi="Times New Roman" w:cs="Times New Roman"/>
          <w:szCs w:val="24"/>
        </w:rPr>
        <w:t>83</w:t>
      </w:r>
      <w:r w:rsidR="00470B15">
        <w:rPr>
          <w:rFonts w:ascii="Times New Roman" w:hAnsi="Times New Roman" w:cs="Times New Roman"/>
          <w:szCs w:val="24"/>
        </w:rPr>
        <w:t>, z późn. zm.</w:t>
      </w:r>
      <w:r w:rsidRPr="00D92FC1">
        <w:rPr>
          <w:rFonts w:ascii="Times New Roman" w:hAnsi="Times New Roman" w:cs="Times New Roman"/>
          <w:szCs w:val="24"/>
        </w:rPr>
        <w:t>). Zgodnie z przepisami tej ustawy, zakład ubezpieczeń i zakład reasekuracji są obowiązane posiadać dopuszczone środki własne w wysokości nie niższej niż kapitałowy wymóg wypłacalności (</w:t>
      </w:r>
      <w:r w:rsidRPr="00D92FC1">
        <w:rPr>
          <w:rFonts w:ascii="Times New Roman" w:hAnsi="Times New Roman" w:cs="Times New Roman"/>
          <w:i/>
          <w:szCs w:val="24"/>
        </w:rPr>
        <w:t>Solvency Capital Requirement</w:t>
      </w:r>
      <w:r w:rsidRPr="00D92FC1">
        <w:rPr>
          <w:rFonts w:ascii="Times New Roman" w:hAnsi="Times New Roman" w:cs="Times New Roman"/>
          <w:szCs w:val="24"/>
        </w:rPr>
        <w:t xml:space="preserve"> – SCR) oraz dopuszczone podstawowe środki własne w wysokości nie niższej niż minimalny wymóg kapitałowy (</w:t>
      </w:r>
      <w:r w:rsidRPr="00D92FC1">
        <w:rPr>
          <w:rFonts w:ascii="Times New Roman" w:hAnsi="Times New Roman" w:cs="Times New Roman"/>
          <w:i/>
          <w:szCs w:val="24"/>
        </w:rPr>
        <w:t>Minimum Capital Requirement</w:t>
      </w:r>
      <w:r w:rsidRPr="00D92FC1">
        <w:rPr>
          <w:rFonts w:ascii="Times New Roman" w:hAnsi="Times New Roman" w:cs="Times New Roman"/>
          <w:szCs w:val="24"/>
        </w:rPr>
        <w:t xml:space="preserve"> – MCR). </w:t>
      </w:r>
    </w:p>
    <w:p w14:paraId="78044363" w14:textId="77777777" w:rsidR="00AB1420" w:rsidRPr="00D92FC1" w:rsidRDefault="00AB1420" w:rsidP="005E5395">
      <w:pPr>
        <w:pStyle w:val="Tekstpodstawowy1"/>
        <w:shd w:val="clear" w:color="auto" w:fill="auto"/>
        <w:spacing w:after="120" w:line="360" w:lineRule="auto"/>
        <w:ind w:firstLine="0"/>
        <w:jc w:val="both"/>
        <w:rPr>
          <w:rFonts w:ascii="Times New Roman" w:hAnsi="Times New Roman" w:cs="Times New Roman"/>
          <w:szCs w:val="24"/>
        </w:rPr>
      </w:pPr>
      <w:r w:rsidRPr="00D92FC1">
        <w:rPr>
          <w:rFonts w:ascii="Times New Roman" w:hAnsi="Times New Roman" w:cs="Times New Roman"/>
          <w:szCs w:val="24"/>
        </w:rPr>
        <w:t>Przepisy ustawy wyróżniają podstawowe środki własne i uzupełniające środki własne. Pozycje środków własnych są klasyfikowane do trzech kategorii: kategorii 1, kategorii 2 oraz kategorii 3. Klasyfikacja środków własnych do kategorii zależy od stopnia posiadania przez nie cech jakościowych określonych jako stała dostępność i podporządkowanie, przy uwzględnieniu czynników określanych jako czas trwania, brak bodźców do wykupu, brak obowiązkowych kosztów obsługi oraz brak obciążeń. Kategoria 1 jest kategorią najwyższą. Kwoty pozycji środków własnych stanowiących pokrycie wymogów kapitałowych podlegają limitom ilościowym określonym w art. 82 rozporządzenia delegowanego Komisji (UE)</w:t>
      </w:r>
      <w:r w:rsidRPr="00D92FC1">
        <w:rPr>
          <w:rFonts w:ascii="Times New Roman" w:hAnsi="Times New Roman" w:cs="Times New Roman"/>
          <w:b/>
          <w:szCs w:val="24"/>
        </w:rPr>
        <w:t xml:space="preserve"> </w:t>
      </w:r>
      <w:r w:rsidRPr="00D92FC1">
        <w:rPr>
          <w:rFonts w:ascii="Times New Roman" w:hAnsi="Times New Roman" w:cs="Times New Roman"/>
          <w:szCs w:val="24"/>
        </w:rPr>
        <w:t>2015/35.</w:t>
      </w:r>
    </w:p>
    <w:p w14:paraId="569A25F9" w14:textId="4CC01157" w:rsidR="00AB1420" w:rsidRPr="00D92FC1" w:rsidRDefault="00AB1420" w:rsidP="005E5395">
      <w:pPr>
        <w:spacing w:after="120" w:line="360" w:lineRule="auto"/>
        <w:jc w:val="both"/>
        <w:outlineLvl w:val="0"/>
        <w:rPr>
          <w:rFonts w:ascii="Times New Roman" w:hAnsi="Times New Roman" w:cs="Times New Roman"/>
          <w:sz w:val="24"/>
          <w:szCs w:val="24"/>
        </w:rPr>
      </w:pPr>
      <w:r w:rsidRPr="00D92FC1">
        <w:rPr>
          <w:rFonts w:ascii="Times New Roman" w:hAnsi="Times New Roman" w:cs="Times New Roman"/>
          <w:sz w:val="24"/>
          <w:szCs w:val="24"/>
        </w:rPr>
        <w:t xml:space="preserve">Obecnie obowiązująca ustawa z dnia 15 stycznia 2015 r. o obligacjach (Dz. U. z 2022 r. poz. </w:t>
      </w:r>
      <w:r w:rsidR="00F24AE3">
        <w:rPr>
          <w:rFonts w:ascii="Times New Roman" w:hAnsi="Times New Roman" w:cs="Times New Roman"/>
          <w:sz w:val="24"/>
          <w:szCs w:val="24"/>
        </w:rPr>
        <w:t>2244</w:t>
      </w:r>
      <w:r w:rsidRPr="00D92FC1">
        <w:rPr>
          <w:rFonts w:ascii="Times New Roman" w:hAnsi="Times New Roman" w:cs="Times New Roman"/>
          <w:sz w:val="24"/>
          <w:szCs w:val="24"/>
        </w:rPr>
        <w:t xml:space="preserve">) w art. 74 ust. 7 uwzględnia możliwość emisji obligacji w celu ich zakwalifikowania jako składniki funduszy własnych, zgodnie z przepisami rozporządzenia </w:t>
      </w:r>
      <w:r w:rsidR="00021860">
        <w:rPr>
          <w:rFonts w:ascii="Times New Roman" w:hAnsi="Times New Roman" w:cs="Times New Roman"/>
          <w:sz w:val="24"/>
          <w:szCs w:val="24"/>
        </w:rPr>
        <w:t>nr</w:t>
      </w:r>
      <w:r w:rsidRPr="00D92FC1">
        <w:rPr>
          <w:rFonts w:ascii="Times New Roman" w:hAnsi="Times New Roman" w:cs="Times New Roman"/>
          <w:b/>
          <w:sz w:val="24"/>
          <w:szCs w:val="24"/>
        </w:rPr>
        <w:t xml:space="preserve"> </w:t>
      </w:r>
      <w:r w:rsidRPr="00D92FC1">
        <w:rPr>
          <w:rFonts w:ascii="Times New Roman" w:hAnsi="Times New Roman" w:cs="Times New Roman"/>
          <w:sz w:val="24"/>
          <w:szCs w:val="24"/>
        </w:rPr>
        <w:t xml:space="preserve">575/2013. Analogiczne regulacje w przypadku emisji obligacji przez zakłady ubezpieczeń i zakłady reasekuracji zawarto w art. 74 ust. 8 tej ustawy. Przewidziane w tych przepisach rodzaje instrumentów finansowych nie posiadają atrybutów instrumentów kapitałowych, które mogłyby zostać zakwalifikowane do kapitału dodatkowego </w:t>
      </w:r>
      <w:r w:rsidRPr="00D92FC1">
        <w:rPr>
          <w:rFonts w:ascii="Times New Roman" w:hAnsi="Times New Roman" w:cs="Times New Roman"/>
          <w:i/>
          <w:sz w:val="24"/>
          <w:szCs w:val="24"/>
        </w:rPr>
        <w:t>Tier I</w:t>
      </w:r>
      <w:r w:rsidRPr="00D92FC1">
        <w:rPr>
          <w:rFonts w:ascii="Times New Roman" w:hAnsi="Times New Roman" w:cs="Times New Roman"/>
          <w:sz w:val="24"/>
          <w:szCs w:val="24"/>
        </w:rPr>
        <w:t>, zgodnie z rozporządzeniem nr 575/2013, albo środków własnych kategorii 1, zgodnie z rozporządzeniem delegowanym Komisji (UE)</w:t>
      </w:r>
      <w:r w:rsidRPr="00D92FC1">
        <w:rPr>
          <w:rFonts w:ascii="Times New Roman" w:hAnsi="Times New Roman" w:cs="Times New Roman"/>
          <w:b/>
          <w:sz w:val="24"/>
          <w:szCs w:val="24"/>
        </w:rPr>
        <w:t xml:space="preserve"> </w:t>
      </w:r>
      <w:r w:rsidRPr="00D92FC1">
        <w:rPr>
          <w:rFonts w:ascii="Times New Roman" w:hAnsi="Times New Roman" w:cs="Times New Roman"/>
          <w:sz w:val="24"/>
          <w:szCs w:val="24"/>
        </w:rPr>
        <w:t>2015/35.</w:t>
      </w:r>
    </w:p>
    <w:p w14:paraId="72AFA8C8" w14:textId="77777777" w:rsidR="00AB1420" w:rsidRPr="00D92FC1" w:rsidRDefault="00AB1420" w:rsidP="005E5395">
      <w:pPr>
        <w:spacing w:after="120" w:line="360" w:lineRule="auto"/>
        <w:jc w:val="both"/>
        <w:rPr>
          <w:rFonts w:ascii="Times New Roman" w:hAnsi="Times New Roman" w:cs="Times New Roman"/>
          <w:sz w:val="24"/>
          <w:szCs w:val="24"/>
        </w:rPr>
      </w:pPr>
      <w:r w:rsidRPr="00D92FC1">
        <w:rPr>
          <w:rFonts w:ascii="Times New Roman" w:hAnsi="Times New Roman" w:cs="Times New Roman"/>
          <w:sz w:val="24"/>
          <w:szCs w:val="24"/>
        </w:rPr>
        <w:t xml:space="preserve">W celu identyfikacji istniejących barier, na podstawie zarządzenia Ministra Finansów z dnia 14 września 2006 r. </w:t>
      </w:r>
      <w:r w:rsidRPr="00D92FC1">
        <w:rPr>
          <w:rFonts w:ascii="Times New Roman" w:hAnsi="Times New Roman" w:cs="Times New Roman"/>
          <w:bCs/>
          <w:sz w:val="24"/>
          <w:szCs w:val="24"/>
        </w:rPr>
        <w:t>w sprawie utworzenia Rady Rozwoju Rynku Finansowego</w:t>
      </w:r>
      <w:r w:rsidRPr="00D92FC1" w:rsidDel="00DC6443">
        <w:rPr>
          <w:rFonts w:ascii="Times New Roman" w:hAnsi="Times New Roman" w:cs="Times New Roman"/>
          <w:sz w:val="24"/>
          <w:szCs w:val="24"/>
        </w:rPr>
        <w:t xml:space="preserve"> </w:t>
      </w:r>
      <w:r w:rsidRPr="00D92FC1">
        <w:rPr>
          <w:rFonts w:ascii="Times New Roman" w:hAnsi="Times New Roman" w:cs="Times New Roman"/>
          <w:sz w:val="24"/>
          <w:szCs w:val="24"/>
        </w:rPr>
        <w:t xml:space="preserve">(Dz. Urz. Min. Fin. </w:t>
      </w:r>
      <w:r w:rsidRPr="00D92FC1">
        <w:rPr>
          <w:rFonts w:ascii="Times New Roman" w:hAnsi="Times New Roman" w:cs="Times New Roman"/>
          <w:sz w:val="24"/>
          <w:szCs w:val="24"/>
        </w:rPr>
        <w:lastRenderedPageBreak/>
        <w:t>poz. 80), powołany został Zespół Roboczy Rady Rozwoju Rynku</w:t>
      </w:r>
      <w:r w:rsidRPr="00D92FC1">
        <w:rPr>
          <w:rFonts w:ascii="Times New Roman" w:hAnsi="Times New Roman" w:cs="Times New Roman"/>
          <w:i/>
          <w:sz w:val="24"/>
          <w:szCs w:val="24"/>
        </w:rPr>
        <w:t xml:space="preserve"> </w:t>
      </w:r>
      <w:r w:rsidRPr="00D92FC1">
        <w:rPr>
          <w:rFonts w:ascii="Times New Roman" w:hAnsi="Times New Roman" w:cs="Times New Roman"/>
          <w:sz w:val="24"/>
          <w:szCs w:val="24"/>
        </w:rPr>
        <w:t xml:space="preserve">Finansowego do spraw analizy rozwiązań prawnych dotyczących instrumentów finansowych, które mogły być zaliczane do kapitału AT1. Uczestnikami Zespołu oprócz przedstawicieli Ministerstwa Finansów byli przedstawiciele KNF, Narodowego Banku Polskiego, dalej „NBP”, Bankowego Funduszu Gwarancyjnego, dalej „BFG”, oraz reprezentanci sektora bankowego i sektora ubezpieczeniowego. W wyniku dyskusji i przeprowadzonych prac Zespół wypracował koncepcję kierunkowych założeń oraz ram prawnych emisji instrumentów zaliczanych do kapitału dodatkowego </w:t>
      </w:r>
      <w:r w:rsidRPr="00D92FC1">
        <w:rPr>
          <w:rFonts w:ascii="Times New Roman" w:hAnsi="Times New Roman" w:cs="Times New Roman"/>
          <w:i/>
          <w:sz w:val="24"/>
          <w:szCs w:val="24"/>
        </w:rPr>
        <w:t xml:space="preserve">Tier I </w:t>
      </w:r>
      <w:r w:rsidRPr="00D92FC1">
        <w:rPr>
          <w:rFonts w:ascii="Times New Roman" w:hAnsi="Times New Roman" w:cs="Times New Roman"/>
          <w:sz w:val="24"/>
          <w:szCs w:val="24"/>
        </w:rPr>
        <w:t>i</w:t>
      </w:r>
      <w:r w:rsidRPr="00D92FC1">
        <w:rPr>
          <w:rFonts w:ascii="Times New Roman" w:hAnsi="Times New Roman" w:cs="Times New Roman"/>
          <w:i/>
          <w:sz w:val="24"/>
          <w:szCs w:val="24"/>
        </w:rPr>
        <w:t xml:space="preserve"> Tier II</w:t>
      </w:r>
      <w:r w:rsidRPr="00D92FC1">
        <w:rPr>
          <w:rFonts w:ascii="Times New Roman" w:hAnsi="Times New Roman" w:cs="Times New Roman"/>
          <w:sz w:val="24"/>
          <w:szCs w:val="24"/>
        </w:rPr>
        <w:t xml:space="preserve"> albo pozycji podstawowych środków własnych kategorii 1, kategorii 2 i kategorii 3.</w:t>
      </w:r>
    </w:p>
    <w:p w14:paraId="57EAED00" w14:textId="77777777" w:rsidR="00AB1420" w:rsidRPr="00D92FC1" w:rsidRDefault="00AB1420" w:rsidP="005E5395">
      <w:pPr>
        <w:spacing w:after="120" w:line="360" w:lineRule="auto"/>
        <w:jc w:val="both"/>
        <w:outlineLvl w:val="0"/>
        <w:rPr>
          <w:rFonts w:ascii="Times New Roman" w:hAnsi="Times New Roman" w:cs="Times New Roman"/>
          <w:sz w:val="24"/>
          <w:szCs w:val="24"/>
        </w:rPr>
      </w:pPr>
      <w:r w:rsidRPr="00D92FC1">
        <w:rPr>
          <w:rFonts w:ascii="Times New Roman" w:hAnsi="Times New Roman" w:cs="Times New Roman"/>
          <w:sz w:val="24"/>
          <w:szCs w:val="24"/>
        </w:rPr>
        <w:t>Projekt odzwierciedla wyniki analiz i prac Zespołu, które zostały zakończone w lutym 2020 r. Rozwiązania przyjęte w projekcie tworzą podstawy prawne do emitowania przez banki, domy maklerskie, zakłady ubezpieczeń i zakłady reasekuracji instrumentów kapitałowych wyposażonych w mechanizm absorbcji strat i pozwalają tym podmiotom rynku finansowego na pozyskanie dodatkowego kapitału regulacyjnego zgodnie z wymogami prawa UE, tj.</w:t>
      </w:r>
      <w:r w:rsidRPr="00D92FC1" w:rsidDel="00AE636E">
        <w:rPr>
          <w:rFonts w:ascii="Times New Roman" w:hAnsi="Times New Roman" w:cs="Times New Roman"/>
          <w:sz w:val="24"/>
          <w:szCs w:val="24"/>
        </w:rPr>
        <w:t xml:space="preserve"> </w:t>
      </w:r>
      <w:r w:rsidRPr="00D92FC1">
        <w:rPr>
          <w:rFonts w:ascii="Times New Roman" w:hAnsi="Times New Roman" w:cs="Times New Roman"/>
          <w:sz w:val="24"/>
          <w:szCs w:val="24"/>
        </w:rPr>
        <w:t>pakietem CRD IV/CRR i pakietem CRDV/CRRII, oraz rozporządzeniem delegowanym Komisji (UE)</w:t>
      </w:r>
      <w:r w:rsidRPr="00D92FC1">
        <w:rPr>
          <w:rFonts w:ascii="Times New Roman" w:hAnsi="Times New Roman" w:cs="Times New Roman"/>
          <w:b/>
          <w:sz w:val="24"/>
          <w:szCs w:val="24"/>
        </w:rPr>
        <w:t xml:space="preserve"> </w:t>
      </w:r>
      <w:r w:rsidRPr="00D92FC1">
        <w:rPr>
          <w:rFonts w:ascii="Times New Roman" w:hAnsi="Times New Roman" w:cs="Times New Roman"/>
          <w:sz w:val="24"/>
          <w:szCs w:val="24"/>
        </w:rPr>
        <w:t>2015/35.</w:t>
      </w:r>
    </w:p>
    <w:p w14:paraId="6A930C03" w14:textId="77777777" w:rsidR="00AB1420" w:rsidRPr="00D92FC1" w:rsidRDefault="00AB1420" w:rsidP="005E5395">
      <w:pPr>
        <w:spacing w:after="120" w:line="360" w:lineRule="auto"/>
        <w:jc w:val="both"/>
        <w:outlineLvl w:val="0"/>
        <w:rPr>
          <w:rFonts w:ascii="Times New Roman" w:hAnsi="Times New Roman" w:cs="Times New Roman"/>
          <w:sz w:val="24"/>
          <w:szCs w:val="24"/>
        </w:rPr>
      </w:pPr>
      <w:r w:rsidRPr="00D92FC1">
        <w:rPr>
          <w:rFonts w:ascii="Times New Roman" w:hAnsi="Times New Roman" w:cs="Times New Roman"/>
          <w:sz w:val="24"/>
          <w:szCs w:val="24"/>
        </w:rPr>
        <w:t xml:space="preserve">Na problematykę związaną z uzupełnianiem dodatkowego kapitału instytucji finansowych (banków) przez emisję instrumentów finansowych wskazano m.in. w </w:t>
      </w:r>
      <w:r w:rsidRPr="00D92FC1">
        <w:rPr>
          <w:rFonts w:ascii="Times New Roman" w:hAnsi="Times New Roman" w:cs="Times New Roman"/>
          <w:i/>
          <w:sz w:val="24"/>
          <w:szCs w:val="24"/>
        </w:rPr>
        <w:t xml:space="preserve">Raporcie o stabilności systemu finansowego </w:t>
      </w:r>
      <w:r w:rsidRPr="00D92FC1">
        <w:rPr>
          <w:rFonts w:ascii="Times New Roman" w:hAnsi="Times New Roman" w:cs="Times New Roman"/>
          <w:sz w:val="24"/>
          <w:szCs w:val="24"/>
        </w:rPr>
        <w:t>NBP</w:t>
      </w:r>
      <w:r>
        <w:rPr>
          <w:rFonts w:ascii="Times New Roman" w:hAnsi="Times New Roman" w:cs="Times New Roman"/>
          <w:sz w:val="24"/>
          <w:szCs w:val="24"/>
        </w:rPr>
        <w:t xml:space="preserve"> </w:t>
      </w:r>
      <w:r w:rsidRPr="00D92FC1">
        <w:rPr>
          <w:rFonts w:ascii="Times New Roman" w:hAnsi="Times New Roman" w:cs="Times New Roman"/>
          <w:sz w:val="24"/>
          <w:szCs w:val="24"/>
        </w:rPr>
        <w:t>z grudnia 2019 r.</w:t>
      </w:r>
      <w:r w:rsidRPr="00D92FC1">
        <w:rPr>
          <w:rStyle w:val="Odwoanieprzypisudolnego"/>
          <w:rFonts w:ascii="Times New Roman" w:hAnsi="Times New Roman" w:cs="Times New Roman"/>
          <w:sz w:val="24"/>
          <w:szCs w:val="24"/>
        </w:rPr>
        <w:footnoteReference w:id="1"/>
      </w:r>
      <w:r w:rsidRPr="00D92FC1">
        <w:rPr>
          <w:rFonts w:ascii="Times New Roman" w:hAnsi="Times New Roman" w:cs="Times New Roman"/>
          <w:sz w:val="24"/>
          <w:szCs w:val="24"/>
        </w:rPr>
        <w:t xml:space="preserve"> W Raporcie podkreśla się, że pożądane jest umożliwienie bankom zasilania kapitałów regulacyjnych instrumentami dłużnymi AT1. Wskazuje się również, że w warunkach obniżającej się zdolności banków do akumulacji kapitału przez zatrzymane zyski i konieczność spełnienia minimalnego wymogu funduszy własnych i zobowiązań podlegających umorzeniu lub konwersji (tzw. MREL – minimalny wymóg w zakresie funduszy własnych i zobowiązań kwalifikowalnych) zasadne jest umożliwienie bankom korzystania z innych dostępnych form finansowania, które mogą być zaliczane do funduszy własnych zgodnie z rozporządzeniem nr 575/2013.</w:t>
      </w:r>
    </w:p>
    <w:p w14:paraId="2640C853" w14:textId="77777777" w:rsidR="00AB1420" w:rsidRPr="00D92FC1" w:rsidRDefault="00AB1420" w:rsidP="005E5395">
      <w:pPr>
        <w:spacing w:after="120" w:line="360" w:lineRule="auto"/>
        <w:jc w:val="both"/>
        <w:outlineLvl w:val="0"/>
        <w:rPr>
          <w:rFonts w:ascii="Times New Roman" w:hAnsi="Times New Roman" w:cs="Times New Roman"/>
          <w:sz w:val="24"/>
          <w:szCs w:val="24"/>
        </w:rPr>
      </w:pPr>
      <w:r w:rsidRPr="00D92FC1">
        <w:rPr>
          <w:rFonts w:ascii="Times New Roman" w:hAnsi="Times New Roman" w:cs="Times New Roman"/>
          <w:sz w:val="24"/>
          <w:szCs w:val="24"/>
        </w:rPr>
        <w:t>Usunięcie istniejących barier w zakresie zwiększania bazy kapitałowej i zaliczanie instrumentów kapitałowych jako dodatkowych składników funduszy własnych lub pozycji podstawowych środków własnych instytucji finansowych regulowanych przedmiotowym projektem będzie pozytywnie oddziaływać na ich konkurencyjność oraz poziom stabilności finansowej.</w:t>
      </w:r>
    </w:p>
    <w:p w14:paraId="1E51EDF3" w14:textId="77777777" w:rsidR="00AB1420" w:rsidRPr="00D92FC1" w:rsidRDefault="00AB1420" w:rsidP="005E5395">
      <w:pPr>
        <w:spacing w:after="0" w:line="360" w:lineRule="auto"/>
        <w:jc w:val="both"/>
        <w:outlineLvl w:val="0"/>
        <w:rPr>
          <w:rFonts w:ascii="Times New Roman" w:hAnsi="Times New Roman" w:cs="Times New Roman"/>
          <w:sz w:val="24"/>
          <w:szCs w:val="24"/>
        </w:rPr>
      </w:pPr>
      <w:r w:rsidRPr="00D92FC1">
        <w:rPr>
          <w:rFonts w:ascii="Times New Roman" w:hAnsi="Times New Roman" w:cs="Times New Roman"/>
          <w:sz w:val="24"/>
          <w:szCs w:val="24"/>
        </w:rPr>
        <w:lastRenderedPageBreak/>
        <w:t>W związku z powyższym projekt, poza zmianą ustawy z dnia 15 stycznia 2015 r. o obligacjach, wprowadza zmiany w następujących ustawach:</w:t>
      </w:r>
    </w:p>
    <w:p w14:paraId="482235EE" w14:textId="0F3B38E9" w:rsidR="00AB1420" w:rsidRPr="00D92FC1" w:rsidRDefault="00AB1420" w:rsidP="005E5395">
      <w:pPr>
        <w:pStyle w:val="Akapitzlist"/>
        <w:numPr>
          <w:ilvl w:val="0"/>
          <w:numId w:val="4"/>
        </w:numPr>
        <w:spacing w:after="0" w:line="360" w:lineRule="auto"/>
        <w:ind w:left="360"/>
        <w:jc w:val="both"/>
        <w:outlineLvl w:val="0"/>
        <w:rPr>
          <w:rFonts w:ascii="Times New Roman" w:hAnsi="Times New Roman" w:cs="Times New Roman"/>
          <w:sz w:val="24"/>
          <w:szCs w:val="24"/>
        </w:rPr>
      </w:pPr>
      <w:r w:rsidRPr="00D92FC1">
        <w:rPr>
          <w:rFonts w:ascii="Times New Roman" w:hAnsi="Times New Roman" w:cs="Times New Roman"/>
          <w:sz w:val="24"/>
          <w:szCs w:val="24"/>
        </w:rPr>
        <w:t>ustawie z dnia 20 sierpnia 1997 r. o Krajowym Rejestrze Sądowym (Dz. U. z 202</w:t>
      </w:r>
      <w:r w:rsidR="00C5671E">
        <w:rPr>
          <w:rFonts w:ascii="Times New Roman" w:hAnsi="Times New Roman" w:cs="Times New Roman"/>
          <w:sz w:val="24"/>
          <w:szCs w:val="24"/>
        </w:rPr>
        <w:t>2</w:t>
      </w:r>
      <w:r w:rsidRPr="00D92FC1">
        <w:rPr>
          <w:rFonts w:ascii="Times New Roman" w:hAnsi="Times New Roman" w:cs="Times New Roman"/>
          <w:sz w:val="24"/>
          <w:szCs w:val="24"/>
        </w:rPr>
        <w:t xml:space="preserve"> r. poz. </w:t>
      </w:r>
      <w:r w:rsidR="00C5671E">
        <w:rPr>
          <w:rFonts w:ascii="Times New Roman" w:hAnsi="Times New Roman" w:cs="Times New Roman"/>
          <w:sz w:val="24"/>
          <w:szCs w:val="24"/>
        </w:rPr>
        <w:t>1683</w:t>
      </w:r>
      <w:r w:rsidR="001813C8">
        <w:rPr>
          <w:rFonts w:ascii="Times New Roman" w:hAnsi="Times New Roman" w:cs="Times New Roman"/>
          <w:sz w:val="24"/>
          <w:szCs w:val="24"/>
        </w:rPr>
        <w:t>, z późn. zm.</w:t>
      </w:r>
      <w:r w:rsidRPr="00D92FC1">
        <w:rPr>
          <w:rFonts w:ascii="Times New Roman" w:hAnsi="Times New Roman" w:cs="Times New Roman"/>
          <w:sz w:val="24"/>
          <w:szCs w:val="24"/>
        </w:rPr>
        <w:t>),</w:t>
      </w:r>
    </w:p>
    <w:p w14:paraId="637BBD35" w14:textId="77777777" w:rsidR="00AB1420" w:rsidRPr="00D92FC1" w:rsidRDefault="00AB1420" w:rsidP="005E5395">
      <w:pPr>
        <w:pStyle w:val="Akapitzlist"/>
        <w:numPr>
          <w:ilvl w:val="0"/>
          <w:numId w:val="4"/>
        </w:numPr>
        <w:spacing w:after="0" w:line="360" w:lineRule="auto"/>
        <w:ind w:left="360"/>
        <w:jc w:val="both"/>
        <w:outlineLvl w:val="0"/>
        <w:rPr>
          <w:rFonts w:ascii="Times New Roman" w:hAnsi="Times New Roman" w:cs="Times New Roman"/>
          <w:sz w:val="24"/>
          <w:szCs w:val="24"/>
        </w:rPr>
      </w:pPr>
      <w:r w:rsidRPr="00D92FC1">
        <w:rPr>
          <w:rFonts w:ascii="Times New Roman" w:hAnsi="Times New Roman" w:cs="Times New Roman"/>
          <w:sz w:val="24"/>
          <w:szCs w:val="24"/>
        </w:rPr>
        <w:t>ustawie z dnia 29 sierpnia 1997 r. – Prawo bankowe</w:t>
      </w:r>
      <w:hyperlink r:id="rId8" w:history="1"/>
      <w:r w:rsidRPr="00D92FC1">
        <w:rPr>
          <w:rFonts w:ascii="Times New Roman" w:hAnsi="Times New Roman" w:cs="Times New Roman"/>
          <w:sz w:val="24"/>
          <w:szCs w:val="24"/>
        </w:rPr>
        <w:t xml:space="preserve">, </w:t>
      </w:r>
    </w:p>
    <w:p w14:paraId="1D167A9D" w14:textId="77777777" w:rsidR="00AB1420" w:rsidRPr="00D92FC1" w:rsidRDefault="00AB1420" w:rsidP="005E5395">
      <w:pPr>
        <w:pStyle w:val="Akapitzlist"/>
        <w:numPr>
          <w:ilvl w:val="0"/>
          <w:numId w:val="4"/>
        </w:numPr>
        <w:spacing w:after="0" w:line="360" w:lineRule="auto"/>
        <w:ind w:left="360"/>
        <w:jc w:val="both"/>
        <w:outlineLvl w:val="0"/>
        <w:rPr>
          <w:rFonts w:ascii="Times New Roman" w:hAnsi="Times New Roman" w:cs="Times New Roman"/>
          <w:sz w:val="24"/>
          <w:szCs w:val="24"/>
        </w:rPr>
      </w:pPr>
      <w:r w:rsidRPr="00D92FC1">
        <w:rPr>
          <w:rFonts w:ascii="Times New Roman" w:hAnsi="Times New Roman" w:cs="Times New Roman"/>
          <w:sz w:val="24"/>
          <w:szCs w:val="24"/>
        </w:rPr>
        <w:t>ustawie z dnia 15 września 2000 r. – Kodeks spółek handlowych (Dz. U. z 202</w:t>
      </w:r>
      <w:r w:rsidR="004B589E">
        <w:rPr>
          <w:rFonts w:ascii="Times New Roman" w:hAnsi="Times New Roman" w:cs="Times New Roman"/>
          <w:sz w:val="24"/>
          <w:szCs w:val="24"/>
        </w:rPr>
        <w:t>2</w:t>
      </w:r>
      <w:r w:rsidRPr="00D92FC1">
        <w:rPr>
          <w:rFonts w:ascii="Times New Roman" w:hAnsi="Times New Roman" w:cs="Times New Roman"/>
          <w:sz w:val="24"/>
          <w:szCs w:val="24"/>
        </w:rPr>
        <w:t xml:space="preserve"> r. poz. </w:t>
      </w:r>
      <w:r w:rsidR="004B589E">
        <w:rPr>
          <w:rFonts w:ascii="Times New Roman" w:hAnsi="Times New Roman" w:cs="Times New Roman"/>
          <w:sz w:val="24"/>
          <w:szCs w:val="24"/>
        </w:rPr>
        <w:t>1467</w:t>
      </w:r>
      <w:r w:rsidRPr="00D92FC1">
        <w:rPr>
          <w:rFonts w:ascii="Times New Roman" w:hAnsi="Times New Roman" w:cs="Times New Roman"/>
          <w:sz w:val="24"/>
          <w:szCs w:val="24"/>
        </w:rPr>
        <w:t>, z późn. zm.),</w:t>
      </w:r>
    </w:p>
    <w:p w14:paraId="026AA325" w14:textId="77777777" w:rsidR="00AB1420" w:rsidRPr="00D92FC1" w:rsidRDefault="00AB1420" w:rsidP="005E5395">
      <w:pPr>
        <w:pStyle w:val="Akapitzlist"/>
        <w:numPr>
          <w:ilvl w:val="0"/>
          <w:numId w:val="4"/>
        </w:numPr>
        <w:spacing w:after="0" w:line="360" w:lineRule="auto"/>
        <w:ind w:left="360"/>
        <w:jc w:val="both"/>
        <w:outlineLvl w:val="0"/>
        <w:rPr>
          <w:rFonts w:ascii="Times New Roman" w:hAnsi="Times New Roman" w:cs="Times New Roman"/>
          <w:sz w:val="24"/>
          <w:szCs w:val="24"/>
        </w:rPr>
      </w:pPr>
      <w:r w:rsidRPr="00D92FC1">
        <w:rPr>
          <w:rFonts w:ascii="Times New Roman" w:hAnsi="Times New Roman" w:cs="Times New Roman"/>
          <w:sz w:val="24"/>
          <w:szCs w:val="24"/>
        </w:rPr>
        <w:t xml:space="preserve">ustawie z dnia 28 lutego 2003 r. – Prawo upadłościowe (Dz. U. z </w:t>
      </w:r>
      <w:r w:rsidR="00616F2E" w:rsidRPr="00D92FC1">
        <w:rPr>
          <w:rFonts w:ascii="Times New Roman" w:hAnsi="Times New Roman" w:cs="Times New Roman"/>
          <w:sz w:val="24"/>
          <w:szCs w:val="24"/>
        </w:rPr>
        <w:t>202</w:t>
      </w:r>
      <w:r w:rsidR="00616F2E">
        <w:rPr>
          <w:rFonts w:ascii="Times New Roman" w:hAnsi="Times New Roman" w:cs="Times New Roman"/>
          <w:sz w:val="24"/>
          <w:szCs w:val="24"/>
        </w:rPr>
        <w:t>2</w:t>
      </w:r>
      <w:r w:rsidR="00616F2E" w:rsidRPr="00D92FC1">
        <w:rPr>
          <w:rFonts w:ascii="Times New Roman" w:hAnsi="Times New Roman" w:cs="Times New Roman"/>
          <w:sz w:val="24"/>
          <w:szCs w:val="24"/>
        </w:rPr>
        <w:t xml:space="preserve"> </w:t>
      </w:r>
      <w:r w:rsidRPr="00D92FC1">
        <w:rPr>
          <w:rFonts w:ascii="Times New Roman" w:hAnsi="Times New Roman" w:cs="Times New Roman"/>
          <w:sz w:val="24"/>
          <w:szCs w:val="24"/>
        </w:rPr>
        <w:t xml:space="preserve">r. poz. </w:t>
      </w:r>
      <w:r w:rsidR="00616F2E">
        <w:rPr>
          <w:rFonts w:ascii="Times New Roman" w:hAnsi="Times New Roman" w:cs="Times New Roman"/>
          <w:sz w:val="24"/>
          <w:szCs w:val="24"/>
        </w:rPr>
        <w:t>1520</w:t>
      </w:r>
      <w:r w:rsidRPr="00D92FC1">
        <w:rPr>
          <w:rFonts w:ascii="Times New Roman" w:hAnsi="Times New Roman" w:cs="Times New Roman"/>
          <w:sz w:val="24"/>
          <w:szCs w:val="24"/>
        </w:rPr>
        <w:t xml:space="preserve">), </w:t>
      </w:r>
    </w:p>
    <w:p w14:paraId="50016834" w14:textId="0D803458" w:rsidR="00AB1420" w:rsidRPr="003E2259" w:rsidRDefault="00AB1420" w:rsidP="005E5395">
      <w:pPr>
        <w:pStyle w:val="Akapitzlist"/>
        <w:numPr>
          <w:ilvl w:val="0"/>
          <w:numId w:val="4"/>
        </w:numPr>
        <w:spacing w:after="0" w:line="360" w:lineRule="auto"/>
        <w:ind w:left="360"/>
        <w:jc w:val="both"/>
        <w:outlineLvl w:val="0"/>
        <w:rPr>
          <w:rFonts w:ascii="Times New Roman" w:eastAsia="Calibri" w:hAnsi="Times New Roman" w:cs="Times New Roman"/>
          <w:sz w:val="24"/>
          <w:szCs w:val="24"/>
        </w:rPr>
      </w:pPr>
      <w:r w:rsidRPr="00D92FC1">
        <w:rPr>
          <w:rFonts w:ascii="Times New Roman" w:hAnsi="Times New Roman" w:cs="Times New Roman"/>
          <w:sz w:val="24"/>
          <w:szCs w:val="24"/>
        </w:rPr>
        <w:t>ustawie z dnia 29 lipca 2005 r. o obrocie instrumentami finansowymi (Dz. U. z 202</w:t>
      </w:r>
      <w:r>
        <w:rPr>
          <w:rFonts w:ascii="Times New Roman" w:hAnsi="Times New Roman" w:cs="Times New Roman"/>
          <w:sz w:val="24"/>
          <w:szCs w:val="24"/>
        </w:rPr>
        <w:t>2</w:t>
      </w:r>
      <w:r w:rsidRPr="00D92FC1">
        <w:rPr>
          <w:rFonts w:ascii="Times New Roman" w:hAnsi="Times New Roman" w:cs="Times New Roman"/>
          <w:sz w:val="24"/>
          <w:szCs w:val="24"/>
        </w:rPr>
        <w:t xml:space="preserve"> r. poz. </w:t>
      </w:r>
      <w:r w:rsidR="004B589E">
        <w:rPr>
          <w:rFonts w:ascii="Times New Roman" w:hAnsi="Times New Roman" w:cs="Times New Roman"/>
          <w:sz w:val="24"/>
          <w:szCs w:val="24"/>
        </w:rPr>
        <w:t>1500</w:t>
      </w:r>
      <w:r w:rsidR="00C5671E">
        <w:rPr>
          <w:rFonts w:ascii="Times New Roman" w:hAnsi="Times New Roman" w:cs="Times New Roman"/>
          <w:sz w:val="24"/>
          <w:szCs w:val="24"/>
        </w:rPr>
        <w:t>, z późn. zm.</w:t>
      </w:r>
      <w:r w:rsidRPr="00D92FC1">
        <w:rPr>
          <w:rFonts w:ascii="Times New Roman" w:hAnsi="Times New Roman" w:cs="Times New Roman"/>
          <w:sz w:val="24"/>
          <w:szCs w:val="24"/>
        </w:rPr>
        <w:t>),</w:t>
      </w:r>
    </w:p>
    <w:p w14:paraId="6250F774" w14:textId="5258F850" w:rsidR="003E2259" w:rsidRPr="00406F87" w:rsidRDefault="003E2259" w:rsidP="005E5395">
      <w:pPr>
        <w:pStyle w:val="Akapitzlist"/>
        <w:numPr>
          <w:ilvl w:val="0"/>
          <w:numId w:val="4"/>
        </w:numPr>
        <w:spacing w:after="0" w:line="360" w:lineRule="auto"/>
        <w:ind w:left="360"/>
        <w:jc w:val="both"/>
        <w:outlineLvl w:val="0"/>
        <w:rPr>
          <w:rFonts w:ascii="Times New Roman" w:hAnsi="Times New Roman" w:cs="Times New Roman"/>
          <w:sz w:val="24"/>
          <w:szCs w:val="24"/>
        </w:rPr>
      </w:pPr>
      <w:r>
        <w:rPr>
          <w:rFonts w:ascii="Times New Roman" w:hAnsi="Times New Roman" w:cs="Times New Roman"/>
          <w:sz w:val="24"/>
          <w:szCs w:val="24"/>
        </w:rPr>
        <w:t xml:space="preserve">ustawie </w:t>
      </w:r>
      <w:r w:rsidRPr="003E2259">
        <w:rPr>
          <w:rFonts w:ascii="Times New Roman" w:hAnsi="Times New Roman" w:cs="Times New Roman"/>
          <w:sz w:val="24"/>
          <w:szCs w:val="24"/>
        </w:rPr>
        <w:t xml:space="preserve">z dnia 29 lipca 2005 r. o ofercie publicznej i warunkach wprowadzania </w:t>
      </w:r>
      <w:r w:rsidRPr="00406F87">
        <w:rPr>
          <w:rFonts w:ascii="Times New Roman" w:hAnsi="Times New Roman" w:cs="Times New Roman"/>
          <w:sz w:val="24"/>
          <w:szCs w:val="24"/>
        </w:rPr>
        <w:t>instrumentów finansowych do zorganizowanego systemu obrotu oraz o spółkach publicznych (Dz. U. z 202</w:t>
      </w:r>
      <w:r w:rsidR="001813C8">
        <w:rPr>
          <w:rFonts w:ascii="Times New Roman" w:hAnsi="Times New Roman" w:cs="Times New Roman"/>
          <w:sz w:val="24"/>
          <w:szCs w:val="24"/>
        </w:rPr>
        <w:t>2</w:t>
      </w:r>
      <w:r w:rsidRPr="00406F87">
        <w:rPr>
          <w:rFonts w:ascii="Times New Roman" w:hAnsi="Times New Roman" w:cs="Times New Roman"/>
          <w:sz w:val="24"/>
          <w:szCs w:val="24"/>
        </w:rPr>
        <w:t xml:space="preserve"> r. poz. </w:t>
      </w:r>
      <w:r w:rsidR="001813C8">
        <w:rPr>
          <w:rFonts w:ascii="Times New Roman" w:hAnsi="Times New Roman" w:cs="Times New Roman"/>
          <w:sz w:val="24"/>
          <w:szCs w:val="24"/>
        </w:rPr>
        <w:t>2554</w:t>
      </w:r>
      <w:r w:rsidRPr="00406F87">
        <w:rPr>
          <w:rFonts w:ascii="Times New Roman" w:hAnsi="Times New Roman" w:cs="Times New Roman"/>
          <w:sz w:val="24"/>
          <w:szCs w:val="24"/>
        </w:rPr>
        <w:t>),</w:t>
      </w:r>
    </w:p>
    <w:p w14:paraId="25AE9ABA" w14:textId="3281D1A3" w:rsidR="00406F87" w:rsidRPr="00406F87" w:rsidRDefault="00406F87" w:rsidP="005E5395">
      <w:pPr>
        <w:pStyle w:val="Akapitzlist"/>
        <w:numPr>
          <w:ilvl w:val="0"/>
          <w:numId w:val="4"/>
        </w:numPr>
        <w:spacing w:after="0" w:line="360" w:lineRule="auto"/>
        <w:ind w:left="360"/>
        <w:jc w:val="both"/>
        <w:outlineLvl w:val="0"/>
        <w:rPr>
          <w:rFonts w:ascii="Times New Roman" w:hAnsi="Times New Roman" w:cs="Times New Roman"/>
          <w:sz w:val="24"/>
          <w:szCs w:val="24"/>
        </w:rPr>
      </w:pPr>
      <w:r w:rsidRPr="00406F87">
        <w:rPr>
          <w:rFonts w:ascii="Times New Roman" w:eastAsia="Calibri" w:hAnsi="Times New Roman" w:cs="Times New Roman"/>
          <w:sz w:val="24"/>
          <w:szCs w:val="24"/>
        </w:rPr>
        <w:t>ustawy z dnia 21 lipca 2006 r. o nadzorze nad rynkiem finansowym (Dz. U. z 2022 r. poz. 660</w:t>
      </w:r>
      <w:r>
        <w:rPr>
          <w:rFonts w:ascii="Times New Roman" w:eastAsia="Calibri" w:hAnsi="Times New Roman" w:cs="Times New Roman"/>
          <w:sz w:val="24"/>
          <w:szCs w:val="24"/>
        </w:rPr>
        <w:t>, z późn. zm.),</w:t>
      </w:r>
    </w:p>
    <w:p w14:paraId="610781B6" w14:textId="77777777" w:rsidR="007330EE" w:rsidRPr="00406F87" w:rsidRDefault="00AB1420" w:rsidP="005E5395">
      <w:pPr>
        <w:pStyle w:val="Akapitzlist"/>
        <w:numPr>
          <w:ilvl w:val="0"/>
          <w:numId w:val="4"/>
        </w:numPr>
        <w:spacing w:after="0" w:line="360" w:lineRule="auto"/>
        <w:ind w:left="360"/>
        <w:jc w:val="both"/>
        <w:outlineLvl w:val="0"/>
        <w:rPr>
          <w:rFonts w:ascii="Times New Roman" w:eastAsia="Calibri" w:hAnsi="Times New Roman" w:cs="Times New Roman"/>
          <w:sz w:val="24"/>
          <w:szCs w:val="24"/>
        </w:rPr>
      </w:pPr>
      <w:r w:rsidRPr="00406F87">
        <w:rPr>
          <w:rFonts w:ascii="Times New Roman" w:hAnsi="Times New Roman" w:cs="Times New Roman"/>
          <w:sz w:val="24"/>
          <w:szCs w:val="24"/>
        </w:rPr>
        <w:t xml:space="preserve">ustawie z dnia 11 września 2015 r. o działalności ubezpieczeniowej i reasekuracyjnej. </w:t>
      </w:r>
    </w:p>
    <w:p w14:paraId="78080665" w14:textId="77777777" w:rsidR="007330EE" w:rsidRPr="00406F87" w:rsidRDefault="007330EE" w:rsidP="005E5395">
      <w:pPr>
        <w:spacing w:after="0" w:line="360" w:lineRule="auto"/>
        <w:jc w:val="both"/>
        <w:outlineLvl w:val="0"/>
        <w:rPr>
          <w:rFonts w:ascii="Times New Roman" w:eastAsia="Calibri" w:hAnsi="Times New Roman" w:cs="Times New Roman"/>
          <w:sz w:val="24"/>
          <w:szCs w:val="24"/>
        </w:rPr>
      </w:pPr>
    </w:p>
    <w:p w14:paraId="66EA4461" w14:textId="77777777" w:rsidR="00AB1420" w:rsidRPr="00390DD5" w:rsidRDefault="00AB1420" w:rsidP="005E5395">
      <w:pPr>
        <w:widowControl w:val="0"/>
        <w:autoSpaceDE w:val="0"/>
        <w:autoSpaceDN w:val="0"/>
        <w:adjustRightInd w:val="0"/>
        <w:spacing w:after="120" w:line="360" w:lineRule="auto"/>
        <w:contextualSpacing/>
        <w:jc w:val="both"/>
        <w:outlineLvl w:val="0"/>
        <w:rPr>
          <w:rFonts w:ascii="Times New Roman" w:eastAsia="Calibri" w:hAnsi="Times New Roman" w:cs="Times New Roman"/>
          <w:sz w:val="24"/>
          <w:szCs w:val="24"/>
        </w:rPr>
      </w:pPr>
      <w:r w:rsidRPr="00406F87">
        <w:rPr>
          <w:rFonts w:ascii="Times New Roman" w:eastAsia="Calibri" w:hAnsi="Times New Roman" w:cs="Times New Roman"/>
          <w:sz w:val="24"/>
          <w:szCs w:val="24"/>
        </w:rPr>
        <w:t>Projekt przewiduje także dokonanie zmian w ustawie z dnia 12 lutego 2010 r. o rekapitalizacji niektórych instytucji oraz o rządowych instrumentach</w:t>
      </w:r>
      <w:r w:rsidRPr="00D92FC1">
        <w:rPr>
          <w:rFonts w:ascii="Times New Roman" w:eastAsia="Calibri" w:hAnsi="Times New Roman" w:cs="Times New Roman"/>
          <w:sz w:val="24"/>
          <w:szCs w:val="24"/>
        </w:rPr>
        <w:t xml:space="preserve"> stabilizacji finansowej (Dz. U. z 2022 r. poz. 396) przez rozszerzenie obecnych rozwiązań o instrument w postaci </w:t>
      </w:r>
      <w:r w:rsidRPr="00F46449">
        <w:rPr>
          <w:rFonts w:ascii="Times New Roman" w:eastAsia="Calibri" w:hAnsi="Times New Roman" w:cs="Times New Roman"/>
          <w:b/>
          <w:sz w:val="24"/>
          <w:szCs w:val="24"/>
        </w:rPr>
        <w:t>pokrycia niedoborów kapitałowych przez Skarb Państwa</w:t>
      </w:r>
      <w:r w:rsidRPr="00390DD5">
        <w:rPr>
          <w:rFonts w:ascii="Times New Roman" w:eastAsia="Calibri" w:hAnsi="Times New Roman" w:cs="Times New Roman"/>
          <w:sz w:val="24"/>
          <w:szCs w:val="24"/>
        </w:rPr>
        <w:t xml:space="preserve">. </w:t>
      </w:r>
    </w:p>
    <w:p w14:paraId="444E2876" w14:textId="225D3606" w:rsidR="00AB1420" w:rsidRPr="00D92FC1" w:rsidRDefault="00AB1420" w:rsidP="005E5395">
      <w:pPr>
        <w:widowControl w:val="0"/>
        <w:autoSpaceDE w:val="0"/>
        <w:autoSpaceDN w:val="0"/>
        <w:adjustRightInd w:val="0"/>
        <w:spacing w:after="120" w:line="360" w:lineRule="auto"/>
        <w:contextualSpacing/>
        <w:jc w:val="both"/>
        <w:outlineLvl w:val="0"/>
        <w:rPr>
          <w:rFonts w:ascii="Times New Roman" w:eastAsia="Calibri" w:hAnsi="Times New Roman" w:cs="Times New Roman"/>
          <w:sz w:val="24"/>
          <w:szCs w:val="24"/>
        </w:rPr>
      </w:pPr>
      <w:r w:rsidRPr="00D92FC1">
        <w:rPr>
          <w:rFonts w:ascii="Times New Roman" w:eastAsia="Calibri" w:hAnsi="Times New Roman" w:cs="Times New Roman"/>
          <w:sz w:val="24"/>
          <w:szCs w:val="24"/>
        </w:rPr>
        <w:t xml:space="preserve">Zmiana ta ma na celu wprowadzenie </w:t>
      </w:r>
      <w:r w:rsidR="005251F4" w:rsidRPr="00D92FC1">
        <w:rPr>
          <w:rFonts w:ascii="Times New Roman" w:eastAsia="Calibri" w:hAnsi="Times New Roman" w:cs="Times New Roman"/>
          <w:sz w:val="24"/>
          <w:szCs w:val="24"/>
        </w:rPr>
        <w:t xml:space="preserve">do ustawy o rekapitalizacji niektórych instytucji oraz o rządowych instrumentach stabilizacji finansowej </w:t>
      </w:r>
      <w:r w:rsidRPr="00D92FC1">
        <w:rPr>
          <w:rFonts w:ascii="Times New Roman" w:eastAsia="Calibri" w:hAnsi="Times New Roman" w:cs="Times New Roman"/>
          <w:sz w:val="24"/>
          <w:szCs w:val="24"/>
        </w:rPr>
        <w:t xml:space="preserve">trzeciego instrumentu nadzwyczajnego publicznego wsparcia finansowego określonego w art. 32 ust. 4 lit. d dyrektywy BRRD, jakim będzie pokrycie niedoborów kapitałowych przez Skarb Państwa. Przepis art. 32 ust. 4 dyrektywy BRRD wymienia trzy instrumenty nadzwyczajnego wsparcia publicznego, których zastosowanie nie wpływa na uznanie instytucji za zagrożoną: gwarancje rządowe w celu wsparcia instrumentów wsparcia płynności udostępnionych przez banki centralne na ich warunkach, gwarancje rządowe dotyczące nowo wyemitowanych zobowiązań oraz zasilenie funduszy własnych lub nabycia instrumentów kapitałowych w celu pokrycia niedoborów kapitałowych. </w:t>
      </w:r>
    </w:p>
    <w:p w14:paraId="05730DF0" w14:textId="3063F5AB" w:rsidR="00AB1420" w:rsidRPr="00D92FC1" w:rsidRDefault="00AB1420" w:rsidP="005E5395">
      <w:pPr>
        <w:widowControl w:val="0"/>
        <w:autoSpaceDE w:val="0"/>
        <w:autoSpaceDN w:val="0"/>
        <w:adjustRightInd w:val="0"/>
        <w:spacing w:after="120" w:line="360" w:lineRule="auto"/>
        <w:contextualSpacing/>
        <w:jc w:val="both"/>
        <w:outlineLvl w:val="0"/>
        <w:rPr>
          <w:rFonts w:ascii="Times New Roman" w:eastAsia="Calibri" w:hAnsi="Times New Roman" w:cs="Times New Roman"/>
          <w:sz w:val="24"/>
          <w:szCs w:val="24"/>
        </w:rPr>
      </w:pPr>
      <w:r w:rsidRPr="00D92FC1">
        <w:rPr>
          <w:rFonts w:ascii="Times New Roman" w:eastAsia="Calibri" w:hAnsi="Times New Roman" w:cs="Times New Roman"/>
          <w:sz w:val="24"/>
          <w:szCs w:val="24"/>
        </w:rPr>
        <w:t xml:space="preserve">Pokrycie niedoborów kapitałowych zostało zaimplementowane w art. 101 ust. 13 pkt 3 ustawy o BFG, jednak w celu skutecznego zastosowania przedmiotowego instrumentu niezbędne jest </w:t>
      </w:r>
      <w:r w:rsidRPr="00D92FC1">
        <w:rPr>
          <w:rFonts w:ascii="Times New Roman" w:eastAsia="Calibri" w:hAnsi="Times New Roman" w:cs="Times New Roman"/>
          <w:sz w:val="24"/>
          <w:szCs w:val="24"/>
        </w:rPr>
        <w:lastRenderedPageBreak/>
        <w:t>dodatkowe szczegółowe uregulowanie tego instrumentu w ustawie o rekapitalizacji niektórych instytucji oraz o rządowych instrumentach stabilizacji finansowej</w:t>
      </w:r>
      <w:r w:rsidR="004D356B">
        <w:rPr>
          <w:rFonts w:ascii="Times New Roman" w:eastAsia="Calibri" w:hAnsi="Times New Roman" w:cs="Times New Roman"/>
          <w:sz w:val="24"/>
          <w:szCs w:val="24"/>
        </w:rPr>
        <w:t>.</w:t>
      </w:r>
    </w:p>
    <w:p w14:paraId="29EA6636" w14:textId="77777777" w:rsidR="00AB1420" w:rsidRDefault="00AB1420" w:rsidP="005E5395">
      <w:pPr>
        <w:widowControl w:val="0"/>
        <w:autoSpaceDE w:val="0"/>
        <w:autoSpaceDN w:val="0"/>
        <w:adjustRightInd w:val="0"/>
        <w:spacing w:after="120" w:line="360" w:lineRule="auto"/>
        <w:contextualSpacing/>
        <w:jc w:val="both"/>
        <w:outlineLvl w:val="0"/>
        <w:rPr>
          <w:rFonts w:ascii="Times New Roman" w:eastAsia="Calibri" w:hAnsi="Times New Roman" w:cs="Times New Roman"/>
          <w:sz w:val="24"/>
          <w:szCs w:val="24"/>
        </w:rPr>
      </w:pPr>
      <w:r w:rsidRPr="00D92FC1">
        <w:rPr>
          <w:rFonts w:ascii="Times New Roman" w:eastAsia="Calibri" w:hAnsi="Times New Roman" w:cs="Times New Roman"/>
          <w:sz w:val="24"/>
          <w:szCs w:val="24"/>
        </w:rPr>
        <w:t xml:space="preserve">Wprowadzenie instrumentu pokrycia niedoborów kapitałowych wprowadza wsparcie instytucji, która – po zdiagnozowaniu braku spełnienia wymogów kapitałowych – występuje z wnioskiem do Skarbu Państwa o pomoc w osiągnięciu obowiązujących wymogów kapitałowych przez czasowe objęcie akcji lub obligacji tego podmiotu przez Skarb Państwa. Zastosowanie tego typu wsparcia ma </w:t>
      </w:r>
      <w:r w:rsidRPr="00D92FC1">
        <w:rPr>
          <w:rFonts w:ascii="Times New Roman" w:eastAsia="Calibri" w:hAnsi="Times New Roman" w:cs="Times New Roman"/>
          <w:bCs/>
          <w:sz w:val="24"/>
          <w:szCs w:val="24"/>
        </w:rPr>
        <w:t xml:space="preserve">charakter zapobiegawczy i czasowy – </w:t>
      </w:r>
      <w:r w:rsidRPr="00D92FC1">
        <w:rPr>
          <w:rFonts w:ascii="Times New Roman" w:eastAsia="Calibri" w:hAnsi="Times New Roman" w:cs="Times New Roman"/>
          <w:sz w:val="24"/>
          <w:szCs w:val="24"/>
        </w:rPr>
        <w:t>nakłada na ten podmiot obowiązek realizacji planu mającego na celu działania sanacyjne w celu zapobieżenia ryzyku systemowemu.</w:t>
      </w:r>
    </w:p>
    <w:p w14:paraId="205FFE09" w14:textId="77777777" w:rsidR="00AB1420" w:rsidRPr="00D92FC1" w:rsidRDefault="00AB1420" w:rsidP="005E5395">
      <w:pPr>
        <w:widowControl w:val="0"/>
        <w:autoSpaceDE w:val="0"/>
        <w:autoSpaceDN w:val="0"/>
        <w:adjustRightInd w:val="0"/>
        <w:spacing w:after="120" w:line="360" w:lineRule="auto"/>
        <w:contextualSpacing/>
        <w:jc w:val="both"/>
        <w:outlineLvl w:val="0"/>
        <w:rPr>
          <w:rFonts w:ascii="Times New Roman" w:eastAsia="Calibri" w:hAnsi="Times New Roman" w:cs="Times New Roman"/>
          <w:bCs/>
          <w:sz w:val="24"/>
          <w:szCs w:val="24"/>
        </w:rPr>
      </w:pPr>
    </w:p>
    <w:p w14:paraId="1DA15FA3" w14:textId="1DF073D1" w:rsidR="00AB1420" w:rsidRPr="00D92FC1" w:rsidRDefault="00AB1420" w:rsidP="005E5395">
      <w:pPr>
        <w:widowControl w:val="0"/>
        <w:autoSpaceDE w:val="0"/>
        <w:autoSpaceDN w:val="0"/>
        <w:adjustRightInd w:val="0"/>
        <w:spacing w:after="0" w:line="360" w:lineRule="auto"/>
        <w:contextualSpacing/>
        <w:jc w:val="both"/>
        <w:outlineLvl w:val="0"/>
        <w:rPr>
          <w:rFonts w:ascii="Times New Roman" w:eastAsia="Calibri" w:hAnsi="Times New Roman" w:cs="Times New Roman"/>
          <w:sz w:val="24"/>
          <w:szCs w:val="24"/>
        </w:rPr>
      </w:pPr>
      <w:r w:rsidRPr="00D92FC1">
        <w:rPr>
          <w:rFonts w:ascii="Times New Roman" w:eastAsia="Calibri" w:hAnsi="Times New Roman" w:cs="Times New Roman"/>
          <w:sz w:val="24"/>
          <w:szCs w:val="24"/>
        </w:rPr>
        <w:t xml:space="preserve">Zmiany proponowane w ustawie z dnia 27 maja 2004 r. o </w:t>
      </w:r>
      <w:r w:rsidRPr="00F46449">
        <w:rPr>
          <w:rFonts w:ascii="Times New Roman" w:eastAsia="Calibri" w:hAnsi="Times New Roman" w:cs="Times New Roman"/>
          <w:b/>
          <w:sz w:val="24"/>
          <w:szCs w:val="24"/>
        </w:rPr>
        <w:t>funduszach inwestycyjnych</w:t>
      </w:r>
      <w:r w:rsidRPr="00D92FC1">
        <w:rPr>
          <w:rFonts w:ascii="Times New Roman" w:eastAsia="Calibri" w:hAnsi="Times New Roman" w:cs="Times New Roman"/>
          <w:sz w:val="24"/>
          <w:szCs w:val="24"/>
        </w:rPr>
        <w:t xml:space="preserve"> i zarządzaniu alternatywnymi funduszami inwestycyjnymi (Dz. U. z 202</w:t>
      </w:r>
      <w:r w:rsidR="009655C7">
        <w:rPr>
          <w:rFonts w:ascii="Times New Roman" w:eastAsia="Calibri" w:hAnsi="Times New Roman" w:cs="Times New Roman"/>
          <w:sz w:val="24"/>
          <w:szCs w:val="24"/>
        </w:rPr>
        <w:t>2</w:t>
      </w:r>
      <w:r w:rsidRPr="00D92FC1">
        <w:rPr>
          <w:rFonts w:ascii="Times New Roman" w:eastAsia="Calibri" w:hAnsi="Times New Roman" w:cs="Times New Roman"/>
          <w:sz w:val="24"/>
          <w:szCs w:val="24"/>
        </w:rPr>
        <w:t xml:space="preserve"> r. poz. </w:t>
      </w:r>
      <w:r w:rsidR="009655C7">
        <w:rPr>
          <w:rFonts w:ascii="Times New Roman" w:eastAsia="Calibri" w:hAnsi="Times New Roman" w:cs="Times New Roman"/>
          <w:sz w:val="24"/>
          <w:szCs w:val="24"/>
        </w:rPr>
        <w:t>1523</w:t>
      </w:r>
      <w:r w:rsidR="004D7AA6">
        <w:rPr>
          <w:rFonts w:ascii="Times New Roman" w:eastAsia="Calibri" w:hAnsi="Times New Roman" w:cs="Times New Roman"/>
          <w:sz w:val="24"/>
          <w:szCs w:val="24"/>
        </w:rPr>
        <w:t>,</w:t>
      </w:r>
      <w:r w:rsidR="001813C8">
        <w:rPr>
          <w:rFonts w:ascii="Times New Roman" w:eastAsia="Calibri" w:hAnsi="Times New Roman" w:cs="Times New Roman"/>
          <w:sz w:val="24"/>
          <w:szCs w:val="24"/>
        </w:rPr>
        <w:t xml:space="preserve"> z późn. zm.</w:t>
      </w:r>
      <w:r w:rsidRPr="00D92FC1">
        <w:rPr>
          <w:rFonts w:ascii="Times New Roman" w:eastAsia="Calibri" w:hAnsi="Times New Roman" w:cs="Times New Roman"/>
          <w:sz w:val="24"/>
          <w:szCs w:val="24"/>
        </w:rPr>
        <w:t>), dalej: „ustawa o funduszach inwestycyjnych”, służą:</w:t>
      </w:r>
    </w:p>
    <w:p w14:paraId="52DEA4D0" w14:textId="37B57289" w:rsidR="00AB1420" w:rsidRPr="00D92FC1" w:rsidRDefault="00AB1420" w:rsidP="005E5395">
      <w:pPr>
        <w:pStyle w:val="Akapitzlist"/>
        <w:widowControl w:val="0"/>
        <w:numPr>
          <w:ilvl w:val="0"/>
          <w:numId w:val="5"/>
        </w:numPr>
        <w:autoSpaceDE w:val="0"/>
        <w:autoSpaceDN w:val="0"/>
        <w:adjustRightInd w:val="0"/>
        <w:spacing w:after="0" w:line="360" w:lineRule="auto"/>
        <w:ind w:left="360"/>
        <w:jc w:val="both"/>
        <w:outlineLvl w:val="0"/>
        <w:rPr>
          <w:rFonts w:ascii="Times New Roman" w:eastAsia="Calibri" w:hAnsi="Times New Roman" w:cs="Times New Roman"/>
          <w:sz w:val="24"/>
          <w:szCs w:val="24"/>
        </w:rPr>
      </w:pPr>
      <w:r w:rsidRPr="00D92FC1">
        <w:rPr>
          <w:rFonts w:ascii="Times New Roman" w:eastAsia="Calibri" w:hAnsi="Times New Roman" w:cs="Times New Roman"/>
          <w:sz w:val="24"/>
          <w:szCs w:val="24"/>
        </w:rPr>
        <w:t xml:space="preserve">implementacji dyrektywy Parlamentu Europejskiego i Rady (UE) 2021/2261 z dnia 15 grudnia 2021 r. w sprawie zmiany dyrektywy 2009/65/WE w odniesieniu do stosowania dokumentów zawierających kluczowe informacje przez spółki zarządzające przedsiębiorstwami zbiorowego inwestowania w zbywalne papiery wartościowe (UCITS) (Dz. Urz. UE L 455 z 20.12.2021, str. 15), dalej: </w:t>
      </w:r>
      <w:r w:rsidRPr="00D92FC1">
        <w:rPr>
          <w:rFonts w:ascii="Times New Roman" w:eastAsia="Calibri" w:hAnsi="Times New Roman" w:cs="Times New Roman"/>
          <w:b/>
          <w:sz w:val="24"/>
          <w:szCs w:val="24"/>
        </w:rPr>
        <w:t>„dyrektywa 2021/2261”</w:t>
      </w:r>
      <w:r w:rsidRPr="00D92FC1">
        <w:rPr>
          <w:rFonts w:ascii="Times New Roman" w:eastAsia="Calibri" w:hAnsi="Times New Roman" w:cs="Times New Roman"/>
          <w:sz w:val="24"/>
          <w:szCs w:val="24"/>
        </w:rPr>
        <w:t>,</w:t>
      </w:r>
      <w:r w:rsidR="00381133">
        <w:rPr>
          <w:rFonts w:ascii="Times New Roman" w:eastAsia="Calibri" w:hAnsi="Times New Roman" w:cs="Times New Roman"/>
          <w:sz w:val="24"/>
          <w:szCs w:val="24"/>
        </w:rPr>
        <w:t xml:space="preserve"> </w:t>
      </w:r>
    </w:p>
    <w:p w14:paraId="4265AD08" w14:textId="77777777" w:rsidR="00AB1420" w:rsidRPr="00D92FC1" w:rsidRDefault="00AB1420" w:rsidP="005E5395">
      <w:pPr>
        <w:pStyle w:val="Akapitzlist"/>
        <w:widowControl w:val="0"/>
        <w:numPr>
          <w:ilvl w:val="0"/>
          <w:numId w:val="5"/>
        </w:numPr>
        <w:autoSpaceDE w:val="0"/>
        <w:autoSpaceDN w:val="0"/>
        <w:adjustRightInd w:val="0"/>
        <w:spacing w:after="120" w:line="360" w:lineRule="auto"/>
        <w:ind w:left="360"/>
        <w:jc w:val="both"/>
        <w:outlineLvl w:val="0"/>
        <w:rPr>
          <w:rFonts w:ascii="Times New Roman" w:eastAsia="Calibri" w:hAnsi="Times New Roman" w:cs="Times New Roman"/>
          <w:sz w:val="24"/>
          <w:szCs w:val="24"/>
        </w:rPr>
      </w:pPr>
      <w:r w:rsidRPr="00D92FC1">
        <w:rPr>
          <w:rFonts w:ascii="Times New Roman" w:eastAsia="Calibri" w:hAnsi="Times New Roman" w:cs="Times New Roman"/>
          <w:sz w:val="24"/>
          <w:szCs w:val="24"/>
        </w:rPr>
        <w:t xml:space="preserve">uporządkowaniu przepisów ustawy o funduszach inwestycyjnych w związku z bezpośrednim stosowaniem do oferowania jednostek uczestnictwa funduszy inwestycyjnych od dnia 1 stycznia 2023 r. przepisów rozporządzenia Parlamentu Europejskiego i Rady (UE) nr 1286/2014 z dnia 26 listopada 2014 r. w sprawie dokumentów zawierających kluczowe informacje, dotyczących detalicznych produktów zbiorowego inwestowania i ubezpieczeniowych produktów inwestycyjnych (PRIIP) (Dz. Urz. UE L 352 z 09.12.2014, str. 1, z późn. zm.), dalej: </w:t>
      </w:r>
      <w:r w:rsidRPr="00D92FC1">
        <w:rPr>
          <w:rFonts w:ascii="Times New Roman" w:eastAsia="Calibri" w:hAnsi="Times New Roman" w:cs="Times New Roman"/>
          <w:b/>
          <w:sz w:val="24"/>
          <w:szCs w:val="24"/>
        </w:rPr>
        <w:t>„rozporządzenie 1286/2014”</w:t>
      </w:r>
      <w:r w:rsidR="00381133" w:rsidRPr="00C90D37">
        <w:rPr>
          <w:rFonts w:ascii="Times New Roman" w:eastAsia="Calibri" w:hAnsi="Times New Roman" w:cs="Times New Roman"/>
          <w:sz w:val="24"/>
          <w:szCs w:val="24"/>
        </w:rPr>
        <w:t>.</w:t>
      </w:r>
    </w:p>
    <w:p w14:paraId="51ABF435" w14:textId="77777777" w:rsidR="00AB1420" w:rsidRPr="00D92FC1" w:rsidRDefault="00AB1420" w:rsidP="005E5395">
      <w:pPr>
        <w:widowControl w:val="0"/>
        <w:autoSpaceDE w:val="0"/>
        <w:autoSpaceDN w:val="0"/>
        <w:adjustRightInd w:val="0"/>
        <w:spacing w:after="120" w:line="360" w:lineRule="auto"/>
        <w:contextualSpacing/>
        <w:jc w:val="both"/>
        <w:outlineLvl w:val="0"/>
        <w:rPr>
          <w:rFonts w:ascii="Times New Roman" w:eastAsia="Calibri" w:hAnsi="Times New Roman" w:cs="Times New Roman"/>
          <w:sz w:val="24"/>
          <w:szCs w:val="24"/>
        </w:rPr>
      </w:pPr>
      <w:r w:rsidRPr="00D92FC1">
        <w:rPr>
          <w:rFonts w:ascii="Times New Roman" w:eastAsia="Calibri" w:hAnsi="Times New Roman" w:cs="Times New Roman"/>
          <w:sz w:val="24"/>
          <w:szCs w:val="24"/>
        </w:rPr>
        <w:t xml:space="preserve">Przepis art. 78 dyrektywy Parlamentu Europejskiego i Rady 2009/65/WE z dnia 13 lipca 2009 r. w sprawie koordynacji przepisów ustawowych, wykonawczych i administracyjnych odnoszących się do przedsiębiorstw zbiorowego inwestowania w zbywalne papiery wartościowe (UCITS) (Dz. Urz. UE L 302 z 17.11.2009, str. 32, z późn. zm.), dalej: </w:t>
      </w:r>
      <w:r w:rsidRPr="00D92FC1">
        <w:rPr>
          <w:rFonts w:ascii="Times New Roman" w:eastAsia="Calibri" w:hAnsi="Times New Roman" w:cs="Times New Roman"/>
          <w:b/>
          <w:sz w:val="24"/>
          <w:szCs w:val="24"/>
        </w:rPr>
        <w:t>„dyrektywa 2009/65/WE”</w:t>
      </w:r>
      <w:r w:rsidRPr="00D92FC1">
        <w:rPr>
          <w:rFonts w:ascii="Times New Roman" w:eastAsia="Calibri" w:hAnsi="Times New Roman" w:cs="Times New Roman"/>
          <w:sz w:val="24"/>
          <w:szCs w:val="24"/>
        </w:rPr>
        <w:t xml:space="preserve">, zobowiązał spółki inwestycyjne i spółki zarządzające do sporządzenia krótkiego dokumentu zawierającego kluczowe informacje na temat podstawowych cech przedsiębiorstw zbiorowego inwestowania w zbywalne papiery wartościowe, których jednostki są oferowane inwestorom, dalej: </w:t>
      </w:r>
      <w:r w:rsidRPr="00D92FC1">
        <w:rPr>
          <w:rFonts w:ascii="Times New Roman" w:eastAsia="Calibri" w:hAnsi="Times New Roman" w:cs="Times New Roman"/>
          <w:b/>
          <w:sz w:val="24"/>
          <w:szCs w:val="24"/>
        </w:rPr>
        <w:t xml:space="preserve">„kluczowe informacje dla </w:t>
      </w:r>
      <w:r w:rsidRPr="00D92FC1">
        <w:rPr>
          <w:rFonts w:ascii="Times New Roman" w:eastAsia="Calibri" w:hAnsi="Times New Roman" w:cs="Times New Roman"/>
          <w:b/>
          <w:sz w:val="24"/>
          <w:szCs w:val="24"/>
        </w:rPr>
        <w:lastRenderedPageBreak/>
        <w:t>inwestorów”</w:t>
      </w:r>
      <w:r w:rsidRPr="00D92FC1">
        <w:rPr>
          <w:rFonts w:ascii="Times New Roman" w:eastAsia="Calibri" w:hAnsi="Times New Roman" w:cs="Times New Roman"/>
          <w:sz w:val="24"/>
          <w:szCs w:val="24"/>
        </w:rPr>
        <w:t>. Dokument ten ma pozwolić inwestorom na zrozumienie charakteru oraz ryzyka związanego z ofer</w:t>
      </w:r>
      <w:r>
        <w:rPr>
          <w:rFonts w:ascii="Times New Roman" w:eastAsia="Calibri" w:hAnsi="Times New Roman" w:cs="Times New Roman"/>
          <w:sz w:val="24"/>
          <w:szCs w:val="24"/>
        </w:rPr>
        <w:t xml:space="preserve">tą  inwestowania w jednostki uczestnictwa funduszy inwestycyjnych typu </w:t>
      </w:r>
      <w:r w:rsidRPr="00D92FC1">
        <w:rPr>
          <w:rFonts w:ascii="Times New Roman" w:eastAsia="Calibri" w:hAnsi="Times New Roman" w:cs="Times New Roman"/>
          <w:sz w:val="24"/>
          <w:szCs w:val="24"/>
        </w:rPr>
        <w:t xml:space="preserve">UCITS oraz podjęcie świadomej decyzji inwestycyjnej. Przepisy te zostały zaimplementowane w ustawie o funduszach inwestycyjnych, która zobowiązuje fundusze inwestycyjne otwarte oraz specjalistyczne fundusze inwestycyjne otwarte do publikowania kluczowych informacji dla inwestorów na stronach internetowych wskazanych w statucie funduszu (art. 219 ust. 1) oraz bezpłatnego udostępniania kluczowych informacje dla inwestorów przy zbywaniu jednostek uczestnictwa (art. 222 ust. 1). </w:t>
      </w:r>
    </w:p>
    <w:p w14:paraId="4CC46919" w14:textId="77777777" w:rsidR="00AB1420" w:rsidRPr="00D92FC1" w:rsidRDefault="00AB1420" w:rsidP="005E5395">
      <w:pPr>
        <w:widowControl w:val="0"/>
        <w:autoSpaceDE w:val="0"/>
        <w:autoSpaceDN w:val="0"/>
        <w:adjustRightInd w:val="0"/>
        <w:spacing w:after="120" w:line="360" w:lineRule="auto"/>
        <w:contextualSpacing/>
        <w:jc w:val="both"/>
        <w:outlineLvl w:val="0"/>
        <w:rPr>
          <w:rFonts w:ascii="Times New Roman" w:eastAsia="Calibri" w:hAnsi="Times New Roman" w:cs="Times New Roman"/>
          <w:sz w:val="24"/>
          <w:szCs w:val="24"/>
        </w:rPr>
      </w:pPr>
      <w:r w:rsidRPr="00D92FC1">
        <w:rPr>
          <w:rFonts w:ascii="Times New Roman" w:eastAsia="Calibri" w:hAnsi="Times New Roman" w:cs="Times New Roman"/>
          <w:sz w:val="24"/>
          <w:szCs w:val="24"/>
        </w:rPr>
        <w:t xml:space="preserve">W ślad za dyrektywą 2009/65/WE ustawa o funduszach inwestycyjnych określa również podstawowy zakres informacji, jakie mają być zawarte w kluczowych informacjach dla inwestorów oraz wymagania jakie ma spełniać ten dokument (art. 220a). W przeciwieństwie do dyrektywy 2009/65/WE w odniesieniu do funduszy inwestycyjnych otwartych ustawa o funduszach inwestycyjnych nie formułuje natomiast wprost obowiązku sporządzenia dokumentu kluczowych informacji dla inwestorów, niemniej wynika on z przewidzianych w tej ustawie obowiązków w zakresie przekazywania, publikacji lub udostępniania tego dokumentu. </w:t>
      </w:r>
    </w:p>
    <w:p w14:paraId="2600C7BD" w14:textId="77777777" w:rsidR="00AB1420" w:rsidRPr="00D92FC1" w:rsidRDefault="00AB1420" w:rsidP="005E5395">
      <w:pPr>
        <w:widowControl w:val="0"/>
        <w:autoSpaceDE w:val="0"/>
        <w:autoSpaceDN w:val="0"/>
        <w:adjustRightInd w:val="0"/>
        <w:spacing w:after="0" w:line="360" w:lineRule="auto"/>
        <w:contextualSpacing/>
        <w:jc w:val="both"/>
        <w:rPr>
          <w:rFonts w:ascii="Times New Roman" w:eastAsia="Calibri" w:hAnsi="Times New Roman" w:cs="Times New Roman"/>
          <w:sz w:val="24"/>
          <w:szCs w:val="24"/>
        </w:rPr>
      </w:pPr>
      <w:r w:rsidRPr="00D92FC1">
        <w:rPr>
          <w:rFonts w:ascii="Times New Roman" w:eastAsia="Calibri" w:hAnsi="Times New Roman" w:cs="Times New Roman"/>
          <w:sz w:val="24"/>
          <w:szCs w:val="24"/>
        </w:rPr>
        <w:t>Wymaga podkreślenia, że co prawda dyrektywa 2009/65/WE w krajowym porządku prawnym ma zastosowanie wyłącznie do funduszy inwestycyjnych otwartych, jednak ustawa o funduszach inwestycyjnych przewiduje, że specjalistyczne fundusze inwestycyjne otwarte sporządzają kluczowe informacje dla inwestorów (art. 220a ust. 7).</w:t>
      </w:r>
      <w:r>
        <w:rPr>
          <w:rFonts w:ascii="Times New Roman" w:eastAsia="Calibri" w:hAnsi="Times New Roman" w:cs="Times New Roman"/>
          <w:sz w:val="24"/>
          <w:szCs w:val="24"/>
        </w:rPr>
        <w:t xml:space="preserve"> </w:t>
      </w:r>
    </w:p>
    <w:p w14:paraId="06FB6778" w14:textId="77777777" w:rsidR="00AB1420" w:rsidRPr="00D92FC1" w:rsidRDefault="00AB1420" w:rsidP="005E5395">
      <w:pPr>
        <w:widowControl w:val="0"/>
        <w:autoSpaceDE w:val="0"/>
        <w:autoSpaceDN w:val="0"/>
        <w:adjustRightInd w:val="0"/>
        <w:spacing w:after="0" w:line="360" w:lineRule="auto"/>
        <w:contextualSpacing/>
        <w:jc w:val="both"/>
        <w:rPr>
          <w:rFonts w:ascii="Times New Roman" w:eastAsia="Calibri" w:hAnsi="Times New Roman" w:cs="Times New Roman"/>
          <w:sz w:val="24"/>
          <w:szCs w:val="24"/>
        </w:rPr>
      </w:pPr>
      <w:r w:rsidRPr="00D92FC1">
        <w:rPr>
          <w:rFonts w:ascii="Times New Roman" w:eastAsia="Calibri" w:hAnsi="Times New Roman" w:cs="Times New Roman"/>
          <w:sz w:val="24"/>
          <w:szCs w:val="24"/>
        </w:rPr>
        <w:t xml:space="preserve">Konieczność umożliwienia inwestorom indywidualnym zrozumienia i porównania kluczowych cech detalicznych produktów inwestycyjnych (PRIIP) i ryzyk z nim związanych spowodowała, że w rozporządzeniu 1286/2014 zobowiązano twórców takich produktów, przed ich udostępnieniem inwestorom indywidualnym, do sporządzenia i publikacji dokumentu zawierającego kluczowe informacje na temat danego produktu, dalej: </w:t>
      </w:r>
      <w:r w:rsidRPr="00D92FC1">
        <w:rPr>
          <w:rFonts w:ascii="Times New Roman" w:eastAsia="Calibri" w:hAnsi="Times New Roman" w:cs="Times New Roman"/>
          <w:b/>
          <w:sz w:val="24"/>
          <w:szCs w:val="24"/>
        </w:rPr>
        <w:t>„kluczowe informacje”</w:t>
      </w:r>
      <w:r w:rsidRPr="00D92FC1">
        <w:rPr>
          <w:rFonts w:ascii="Times New Roman" w:eastAsia="Calibri" w:hAnsi="Times New Roman" w:cs="Times New Roman"/>
          <w:sz w:val="24"/>
          <w:szCs w:val="24"/>
        </w:rPr>
        <w:t xml:space="preserve">. Detaliczny produkt inwestycyjny (PRIIP) to detaliczny produkt zbiorowego inwestowania oraz ubezpieczeniowy produkt inwestycyjny. Detalicznym produktem inwestycyjnym w rozumieniu rozporządzenia 1286/2014 jest inwestycja, w ramach której – bez względu na jej formę prawną – wysokość kwoty przypadającej do zwrotu inwestorowi indywidualnemu podlega wahaniom z powodu zależności od wartości referencyjnych lub zmian wartości jednego lub większej liczby aktywów, których inwestor indywidualny bezpośrednio nie zakupił, np. produkty strukturyzowane. Ubezpieczeniowy produkt inwestycyjny to produkt ubezpieczeniowy zapewniający wartość w dniu zapadalności lub wartość wykupu w przypadku gdy ta wartość w </w:t>
      </w:r>
      <w:r w:rsidRPr="00D92FC1">
        <w:rPr>
          <w:rFonts w:ascii="Times New Roman" w:eastAsia="Calibri" w:hAnsi="Times New Roman" w:cs="Times New Roman"/>
          <w:sz w:val="24"/>
          <w:szCs w:val="24"/>
        </w:rPr>
        <w:lastRenderedPageBreak/>
        <w:t>dniu zapadalności lub wartość wykupu jest całkowicie lub częściowo narażona, bezpośrednio lub pośrednio, na wahania rynków, np. umowy ubezpieczenia na życie i dożycie z ubezpieczeniowym funduszem kapitałowym, tzw. polisolokaty.</w:t>
      </w:r>
    </w:p>
    <w:p w14:paraId="75BD16D8" w14:textId="34C7E50E" w:rsidR="00AB1420" w:rsidRPr="00D92FC1" w:rsidRDefault="00AB1420" w:rsidP="005E5395">
      <w:pPr>
        <w:widowControl w:val="0"/>
        <w:autoSpaceDE w:val="0"/>
        <w:autoSpaceDN w:val="0"/>
        <w:adjustRightInd w:val="0"/>
        <w:spacing w:after="120" w:line="360" w:lineRule="auto"/>
        <w:contextualSpacing/>
        <w:jc w:val="both"/>
        <w:outlineLvl w:val="0"/>
        <w:rPr>
          <w:rFonts w:ascii="Times New Roman" w:eastAsia="Calibri" w:hAnsi="Times New Roman" w:cs="Times New Roman"/>
          <w:sz w:val="24"/>
          <w:szCs w:val="24"/>
        </w:rPr>
      </w:pPr>
      <w:r w:rsidRPr="00D92FC1">
        <w:rPr>
          <w:rFonts w:ascii="Times New Roman" w:eastAsia="Calibri" w:hAnsi="Times New Roman" w:cs="Times New Roman"/>
          <w:sz w:val="24"/>
          <w:szCs w:val="24"/>
        </w:rPr>
        <w:t>W związku z tym fundusze inwestycyjne typu UCITS stanowią również PRIIP, w przypadku którego jest wymagany dokument zawierający kluczowe informacje. Jednak zgodnie z art. 32 ust. 1 rozporządzenia 1286/2014 spółki zarządzające, o których mowa w art. 2 ust. 1 lit. b dyrektywy 2009/65/WE, spółki inwestycyjne, o których mowa w art. 27 tej dyrektywy, oraz osoby doradzające w zakresie jednostek fundusz</w:t>
      </w:r>
      <w:r>
        <w:rPr>
          <w:rFonts w:ascii="Times New Roman" w:eastAsia="Calibri" w:hAnsi="Times New Roman" w:cs="Times New Roman"/>
          <w:sz w:val="24"/>
          <w:szCs w:val="24"/>
        </w:rPr>
        <w:t>y</w:t>
      </w:r>
      <w:r w:rsidRPr="00D92FC1">
        <w:rPr>
          <w:rFonts w:ascii="Times New Roman" w:eastAsia="Calibri" w:hAnsi="Times New Roman" w:cs="Times New Roman"/>
          <w:sz w:val="24"/>
          <w:szCs w:val="24"/>
        </w:rPr>
        <w:t xml:space="preserve"> inwestycyjn</w:t>
      </w:r>
      <w:r>
        <w:rPr>
          <w:rFonts w:ascii="Times New Roman" w:eastAsia="Calibri" w:hAnsi="Times New Roman" w:cs="Times New Roman"/>
          <w:sz w:val="24"/>
          <w:szCs w:val="24"/>
        </w:rPr>
        <w:t xml:space="preserve">ych </w:t>
      </w:r>
      <w:r w:rsidRPr="00D92FC1">
        <w:rPr>
          <w:rFonts w:ascii="Times New Roman" w:eastAsia="Calibri" w:hAnsi="Times New Roman" w:cs="Times New Roman"/>
          <w:sz w:val="24"/>
          <w:szCs w:val="24"/>
        </w:rPr>
        <w:t>typu UCITS, o których mowa w art. 1 ust. 2 tej dyrektywy, lub je sprzedające, były do dnia 31 grudnia 2021 r. zwolnione z obowiązków sporządzania dokumentu zawierającego kluczowe informacje. Termin ten został następnie przedłużony do dnia 31 grudnia 2022 r. rozporządzeniem Parlamentu Europejskiego i Rady (UE) 2021/2259 z dnia 15 grudnia 2021 r. w sprawie zmiany rozporządzenia (UE) nr 1286/2014 w odniesieniu do przedłużenia okresu obowiązywania przepisu przejściowego dotyczącego spółek zarządzających, spółek inwestycyjnych i osób doradzających w zakresie jednostek przedsiębiorstw zbiorowego inwestowania w zbywalne papiery wartościowe (UCITS) i jednostek funduszy innych niż UCITS lub je sprzedających (Dz. Urz. UE L 455 z 20.12.2021, str. 1).</w:t>
      </w:r>
    </w:p>
    <w:p w14:paraId="72225BC5" w14:textId="35A7E459" w:rsidR="00AB1420" w:rsidRPr="00D92FC1" w:rsidRDefault="00AB1420" w:rsidP="005E5395">
      <w:pPr>
        <w:widowControl w:val="0"/>
        <w:autoSpaceDE w:val="0"/>
        <w:autoSpaceDN w:val="0"/>
        <w:adjustRightInd w:val="0"/>
        <w:spacing w:after="120" w:line="360" w:lineRule="auto"/>
        <w:contextualSpacing/>
        <w:jc w:val="both"/>
        <w:outlineLvl w:val="0"/>
        <w:rPr>
          <w:rFonts w:ascii="Times New Roman" w:eastAsia="Calibri" w:hAnsi="Times New Roman" w:cs="Times New Roman"/>
          <w:sz w:val="24"/>
          <w:szCs w:val="24"/>
        </w:rPr>
      </w:pPr>
      <w:r w:rsidRPr="00D92FC1">
        <w:rPr>
          <w:rFonts w:ascii="Times New Roman" w:eastAsia="Calibri" w:hAnsi="Times New Roman" w:cs="Times New Roman"/>
          <w:sz w:val="24"/>
          <w:szCs w:val="24"/>
        </w:rPr>
        <w:t xml:space="preserve">Kluczowe informacje dla inwestorów oraz dokumenty zawierające kluczowe informacje zawierają co do zasady ten sam zakres. Dyrektywa 2021/2261 uznaje dokument zawierający kluczowe informacje za spełniający wymogi dotyczące kluczowych informacji dla inwestorów, co zapobiegnie sytuacji, w której inwestorzy indywidualni dokonujący inwestycji w PRIIP w postaci jednostek uczestnictwa funduszu inwestycyjnego typu UCITS otrzymywaliby, począwszy od dnia 1 stycznia 2023 r., dwa dokumenty dotyczące tego samego produktu finansowego. </w:t>
      </w:r>
    </w:p>
    <w:p w14:paraId="2B2785C9" w14:textId="77777777" w:rsidR="00AB1420" w:rsidRPr="00D92FC1" w:rsidRDefault="00AB1420" w:rsidP="005E5395">
      <w:pPr>
        <w:widowControl w:val="0"/>
        <w:autoSpaceDE w:val="0"/>
        <w:autoSpaceDN w:val="0"/>
        <w:adjustRightInd w:val="0"/>
        <w:spacing w:after="120" w:line="360" w:lineRule="auto"/>
        <w:contextualSpacing/>
        <w:jc w:val="both"/>
        <w:outlineLvl w:val="0"/>
        <w:rPr>
          <w:rFonts w:ascii="Times New Roman" w:eastAsia="Calibri" w:hAnsi="Times New Roman" w:cs="Times New Roman"/>
          <w:sz w:val="24"/>
          <w:szCs w:val="24"/>
        </w:rPr>
      </w:pPr>
      <w:r w:rsidRPr="00D92FC1">
        <w:rPr>
          <w:rFonts w:ascii="Times New Roman" w:eastAsia="Calibri" w:hAnsi="Times New Roman" w:cs="Times New Roman"/>
          <w:sz w:val="24"/>
          <w:szCs w:val="24"/>
        </w:rPr>
        <w:t xml:space="preserve">Rozporządzenie 1286/2014 ma zastosowanie wyłącznie do oferowania produktów PRIIP inwestorom indywidualnym, podczas gdy jednostki uczestnictwa funduszy </w:t>
      </w:r>
      <w:r>
        <w:rPr>
          <w:rFonts w:ascii="Times New Roman" w:eastAsia="Calibri" w:hAnsi="Times New Roman" w:cs="Times New Roman"/>
          <w:sz w:val="24"/>
          <w:szCs w:val="24"/>
        </w:rPr>
        <w:t xml:space="preserve">inwestycyjnych </w:t>
      </w:r>
      <w:r w:rsidRPr="00D92FC1">
        <w:rPr>
          <w:rFonts w:ascii="Times New Roman" w:eastAsia="Calibri" w:hAnsi="Times New Roman" w:cs="Times New Roman"/>
          <w:sz w:val="24"/>
          <w:szCs w:val="24"/>
        </w:rPr>
        <w:t xml:space="preserve">typu UCITS mogą być oferowane również innym inwestorom. W związku z tym dyrektywa 2021/2261 przewiduje, że spółki inwestycyjne i spółki zarządzające powinny nadal sporządzać kluczowe informacje dla inwestorów innych niż inwestorzy indywidualni zgodnie z dyrektywą 2009/65/WE, chyba że podejmą decyzję o sporządzaniu dokumentu zawierającego kluczowe informacje zgodnie z rozporządzeniem 1286/2014. </w:t>
      </w:r>
    </w:p>
    <w:p w14:paraId="2644352E" w14:textId="77777777" w:rsidR="00AB1420" w:rsidRPr="00D92FC1" w:rsidRDefault="00AB1420" w:rsidP="005E5395">
      <w:pPr>
        <w:widowControl w:val="0"/>
        <w:autoSpaceDE w:val="0"/>
        <w:autoSpaceDN w:val="0"/>
        <w:adjustRightInd w:val="0"/>
        <w:spacing w:after="120" w:line="360" w:lineRule="auto"/>
        <w:contextualSpacing/>
        <w:jc w:val="both"/>
        <w:outlineLvl w:val="0"/>
        <w:rPr>
          <w:rFonts w:ascii="Times New Roman" w:eastAsia="Calibri" w:hAnsi="Times New Roman" w:cs="Times New Roman"/>
          <w:sz w:val="24"/>
          <w:szCs w:val="24"/>
        </w:rPr>
      </w:pPr>
      <w:r w:rsidRPr="00D92FC1">
        <w:rPr>
          <w:rFonts w:ascii="Times New Roman" w:eastAsia="Calibri" w:hAnsi="Times New Roman" w:cs="Times New Roman"/>
          <w:sz w:val="24"/>
          <w:szCs w:val="24"/>
        </w:rPr>
        <w:t xml:space="preserve">Fundusze inwestycyjne otwarte i specjalistyczne fundusze inwestycyjne otwarte oraz podmioty uczestniczące w oferowaniu jednostek uczestnictwa tych funduszy powinny zatem od 1 </w:t>
      </w:r>
      <w:r w:rsidRPr="00D92FC1">
        <w:rPr>
          <w:rFonts w:ascii="Times New Roman" w:eastAsia="Calibri" w:hAnsi="Times New Roman" w:cs="Times New Roman"/>
          <w:sz w:val="24"/>
          <w:szCs w:val="24"/>
        </w:rPr>
        <w:lastRenderedPageBreak/>
        <w:t>stycznia 2023 r. przekazywać inwestorom indywidualnym kluczowe informacje sporządzone zgodnie z rozporządzeniem 1286/2014. Fundusz inwestycyjny będzie decydował, czy nadal będzie sporządzał kluczowe informacje dla inwestorów zgodnie z dyrektywą 2009/65/WE, ponieważ dyrektywa 2021/2261 uprawnia (a nie zobowiązuje) taki fundusz do przekazywania kluczowych informacji również inwestorom innym niż inwestorzy indywidualni. Dlatego też w ustawie o funduszach inwestycyjnych zostaną zachowane przepisy odnoszące się do zasad udostępniania oraz sporządzania kluczowych informacji dla inwestorów.</w:t>
      </w:r>
      <w:r>
        <w:rPr>
          <w:rFonts w:ascii="Times New Roman" w:eastAsia="Calibri" w:hAnsi="Times New Roman" w:cs="Times New Roman"/>
          <w:sz w:val="24"/>
          <w:szCs w:val="24"/>
        </w:rPr>
        <w:t xml:space="preserve"> </w:t>
      </w:r>
      <w:r w:rsidRPr="00D92FC1">
        <w:rPr>
          <w:rFonts w:ascii="Times New Roman" w:eastAsia="Calibri" w:hAnsi="Times New Roman" w:cs="Times New Roman"/>
          <w:sz w:val="24"/>
          <w:szCs w:val="24"/>
        </w:rPr>
        <w:t xml:space="preserve">Rozporządzenie 1286/2014 zostało uzupełnione rozporządzeniem delegowanym Komisji (UE) 2017/653 z dnia 8 marca 2017 r. uzupełniającym rozporządzenie Parlamentu Europejskiego i Rady (UE) nr 1286/2014 w sprawie dokumentów zawierających kluczowe informacje, dotyczących detalicznych produktów zbiorowego inwestowania i ubezpieczeniowych produktów inwestycyjnych (PRIIP) przez ustanowienie regulacyjnych standardów technicznych w zakresie prezentacji, treści, przeglądu i zmiany dokumentów zawierających kluczowe informacje oraz warunków spełnienia wymogu przekazania takich dokumentów (Dz. Urz. UE L 100 z 12.04.2017, str. 1), dalej: </w:t>
      </w:r>
      <w:r w:rsidRPr="00D92FC1">
        <w:rPr>
          <w:rFonts w:ascii="Times New Roman" w:eastAsia="Calibri" w:hAnsi="Times New Roman" w:cs="Times New Roman"/>
          <w:b/>
          <w:sz w:val="24"/>
          <w:szCs w:val="24"/>
        </w:rPr>
        <w:t>„rozporządzenie 2017/653”.</w:t>
      </w:r>
      <w:r w:rsidRPr="00D92FC1">
        <w:rPr>
          <w:rFonts w:ascii="Times New Roman" w:eastAsia="Calibri" w:hAnsi="Times New Roman" w:cs="Times New Roman"/>
          <w:sz w:val="24"/>
          <w:szCs w:val="24"/>
        </w:rPr>
        <w:t xml:space="preserve"> Zostało ono zmienione rozporządzeniem delegowanym 2021/2268 zmieniającym regulacyjne standardy techniczne określone w rozporządzeniu delegowanym (UE) 2017/653 w odniesieniu do podstawowej metodyki i prezentacji scenariuszy dotyczących wyników, prezentacji kosztów i metodyki obliczania ogólnych wskaźników kosztów, prezentacji i treści informacji na temat wyników osiągniętych w przeszłości oraz prezentacji kosztów w odniesieniu do PRIIP oferujących wiele wariantów inwestycyjnych, a także dostosowania przepisu przejściowego dla twórców PRIIP oferujących jednostki funduszy, o których mowa w art. 32 rozporządzenia (UE) nr 1286/2014, jako bazowe warianty inwestycyjne do przedłużonego obowiązywania przepisu przejściowego określonego w tym artykule (Dz. Urz. UE LI 455 z 20.12.2021, str. 1).</w:t>
      </w:r>
    </w:p>
    <w:p w14:paraId="21B8F24A" w14:textId="77777777" w:rsidR="00AB1420" w:rsidRPr="00D92FC1" w:rsidRDefault="00AB1420" w:rsidP="005E5395">
      <w:pPr>
        <w:widowControl w:val="0"/>
        <w:autoSpaceDE w:val="0"/>
        <w:autoSpaceDN w:val="0"/>
        <w:adjustRightInd w:val="0"/>
        <w:spacing w:after="120" w:line="360" w:lineRule="auto"/>
        <w:contextualSpacing/>
        <w:jc w:val="both"/>
        <w:outlineLvl w:val="0"/>
        <w:rPr>
          <w:rFonts w:ascii="Times New Roman" w:eastAsia="Calibri" w:hAnsi="Times New Roman" w:cs="Times New Roman"/>
          <w:sz w:val="24"/>
          <w:szCs w:val="24"/>
        </w:rPr>
      </w:pPr>
    </w:p>
    <w:p w14:paraId="4F33CCC9" w14:textId="2DC0BFCC" w:rsidR="00AB1420" w:rsidRPr="00D92FC1" w:rsidRDefault="00AB1420" w:rsidP="005E5395">
      <w:pPr>
        <w:spacing w:after="0" w:line="360" w:lineRule="auto"/>
        <w:jc w:val="both"/>
        <w:rPr>
          <w:rFonts w:ascii="Times New Roman" w:eastAsia="Calibri" w:hAnsi="Times New Roman" w:cs="Times New Roman"/>
          <w:sz w:val="24"/>
          <w:szCs w:val="24"/>
        </w:rPr>
      </w:pPr>
      <w:r w:rsidRPr="00D92FC1">
        <w:rPr>
          <w:rFonts w:ascii="Times New Roman" w:eastAsia="Calibri" w:hAnsi="Times New Roman" w:cs="Times New Roman"/>
          <w:sz w:val="24"/>
          <w:szCs w:val="24"/>
        </w:rPr>
        <w:t>Odrębny obszar zmian zawartych w projekcie obejmuje rozwiązania służące stosowaniu rozporządzenia Parlamentu Europejskiego i Rady (UE) 2021/23 z dnia 16 grudnia 2020 r. w sprawie ram na potrzeby prowadzenia działań naprawczych oraz restrukturyzacji i uporządkowanej likwidacji w odniesieniu do kontrahentów centralnych oraz zmieniające</w:t>
      </w:r>
      <w:r w:rsidR="00451BFD">
        <w:rPr>
          <w:rFonts w:ascii="Times New Roman" w:eastAsia="Calibri" w:hAnsi="Times New Roman" w:cs="Times New Roman"/>
          <w:sz w:val="24"/>
          <w:szCs w:val="24"/>
        </w:rPr>
        <w:t>go</w:t>
      </w:r>
      <w:r w:rsidRPr="00D92FC1">
        <w:rPr>
          <w:rFonts w:ascii="Times New Roman" w:eastAsia="Calibri" w:hAnsi="Times New Roman" w:cs="Times New Roman"/>
          <w:sz w:val="24"/>
          <w:szCs w:val="24"/>
        </w:rPr>
        <w:t xml:space="preserve"> rozporządzenia (UE) nr 1095/2010, (UE) nr 648/2012, (UE) nr 600/2014, (UE) nr 806/2014 i (UE) 2015/2365 oraz dyrektywy 2002/47/WE, 2004/25/WE, 2007/36/WE, 2014/59/UE i (UE) 2017/1132 (Dz. Urz. UE L 22 z 22.01.2021, str. 1), dalej: </w:t>
      </w:r>
      <w:r w:rsidRPr="00D92FC1">
        <w:rPr>
          <w:rFonts w:ascii="Times New Roman" w:eastAsia="Calibri" w:hAnsi="Times New Roman" w:cs="Times New Roman"/>
          <w:b/>
          <w:sz w:val="24"/>
          <w:szCs w:val="24"/>
        </w:rPr>
        <w:t>„rozporządzenie nr 2021/23”</w:t>
      </w:r>
      <w:r w:rsidRPr="00D92FC1">
        <w:rPr>
          <w:rFonts w:ascii="Times New Roman" w:eastAsia="Calibri" w:hAnsi="Times New Roman" w:cs="Times New Roman"/>
          <w:sz w:val="24"/>
          <w:szCs w:val="24"/>
        </w:rPr>
        <w:t xml:space="preserve">. </w:t>
      </w:r>
      <w:r w:rsidRPr="00D92FC1">
        <w:rPr>
          <w:rFonts w:ascii="Times New Roman" w:eastAsia="Calibri" w:hAnsi="Times New Roman" w:cs="Times New Roman"/>
          <w:sz w:val="24"/>
          <w:szCs w:val="24"/>
        </w:rPr>
        <w:lastRenderedPageBreak/>
        <w:t>Ustanawia ono ramy dla działań naprawczych (</w:t>
      </w:r>
      <w:r w:rsidRPr="00D92FC1">
        <w:rPr>
          <w:rFonts w:ascii="Times New Roman" w:eastAsia="Calibri" w:hAnsi="Times New Roman" w:cs="Times New Roman"/>
          <w:i/>
          <w:iCs/>
          <w:sz w:val="24"/>
          <w:szCs w:val="24"/>
        </w:rPr>
        <w:t>recovery</w:t>
      </w:r>
      <w:r w:rsidRPr="00D92FC1">
        <w:rPr>
          <w:rFonts w:ascii="Times New Roman" w:eastAsia="Calibri" w:hAnsi="Times New Roman" w:cs="Times New Roman"/>
          <w:sz w:val="24"/>
          <w:szCs w:val="24"/>
        </w:rPr>
        <w:t>) oraz restrukturyzacji i uporządkowanej likwidacji (</w:t>
      </w:r>
      <w:r w:rsidRPr="00D92FC1">
        <w:rPr>
          <w:rFonts w:ascii="Times New Roman" w:eastAsia="Calibri" w:hAnsi="Times New Roman" w:cs="Times New Roman"/>
          <w:i/>
          <w:iCs/>
          <w:sz w:val="24"/>
          <w:szCs w:val="24"/>
        </w:rPr>
        <w:t>resolution</w:t>
      </w:r>
      <w:r w:rsidRPr="00D92FC1">
        <w:rPr>
          <w:rFonts w:ascii="Times New Roman" w:eastAsia="Calibri" w:hAnsi="Times New Roman" w:cs="Times New Roman"/>
          <w:sz w:val="24"/>
          <w:szCs w:val="24"/>
        </w:rPr>
        <w:t>) dla CCP w Unii Europejskiej.</w:t>
      </w:r>
    </w:p>
    <w:p w14:paraId="114414F0" w14:textId="163AB02D" w:rsidR="00AB1420" w:rsidRPr="00D92FC1" w:rsidRDefault="00AB1420" w:rsidP="005E5395">
      <w:pPr>
        <w:spacing w:after="0" w:line="360" w:lineRule="auto"/>
        <w:jc w:val="both"/>
        <w:rPr>
          <w:rFonts w:ascii="Times New Roman" w:eastAsia="Calibri" w:hAnsi="Times New Roman" w:cs="Times New Roman"/>
          <w:sz w:val="24"/>
          <w:szCs w:val="24"/>
        </w:rPr>
      </w:pPr>
      <w:r w:rsidRPr="00D92FC1">
        <w:rPr>
          <w:rFonts w:ascii="Times New Roman" w:eastAsia="Calibri" w:hAnsi="Times New Roman" w:cs="Times New Roman"/>
          <w:sz w:val="24"/>
          <w:szCs w:val="24"/>
        </w:rPr>
        <w:t xml:space="preserve">Rozporządzenie nr 2021/23 jest kolejnym krokiem w kierunku zapewnienia stabilności systemu finansowego, z uwagi na pełnione przez CCP funkcje oraz ich powiązania z innymi instytucjami finansowymi i niefinansowymi. Rozwiązania przewidziane w tym rozporządzeniu są wzorowane na podobnych rozwiązaniach, które na mocy dyrektywy BRRD oraz </w:t>
      </w:r>
      <w:r w:rsidRPr="00D92FC1">
        <w:rPr>
          <w:rFonts w:ascii="Times New Roman" w:hAnsi="Times New Roman" w:cs="Times New Roman"/>
          <w:sz w:val="24"/>
          <w:szCs w:val="24"/>
        </w:rPr>
        <w:t xml:space="preserve">dyrektywy Parlamentu Europejskiego i Rady 2019/879/UE z dnia 20 maja 2019 r. </w:t>
      </w:r>
      <w:r w:rsidR="00451BFD" w:rsidRPr="00D92FC1">
        <w:rPr>
          <w:rFonts w:ascii="Times New Roman" w:hAnsi="Times New Roman" w:cs="Times New Roman"/>
          <w:sz w:val="24"/>
          <w:szCs w:val="24"/>
        </w:rPr>
        <w:t>zmieniając</w:t>
      </w:r>
      <w:r w:rsidR="00451BFD">
        <w:rPr>
          <w:rFonts w:ascii="Times New Roman" w:hAnsi="Times New Roman" w:cs="Times New Roman"/>
          <w:sz w:val="24"/>
          <w:szCs w:val="24"/>
        </w:rPr>
        <w:t>ej</w:t>
      </w:r>
      <w:r w:rsidR="00451BFD" w:rsidRPr="00D92FC1">
        <w:rPr>
          <w:rFonts w:ascii="Times New Roman" w:hAnsi="Times New Roman" w:cs="Times New Roman"/>
          <w:sz w:val="24"/>
          <w:szCs w:val="24"/>
        </w:rPr>
        <w:t xml:space="preserve"> </w:t>
      </w:r>
      <w:r w:rsidRPr="00D92FC1">
        <w:rPr>
          <w:rFonts w:ascii="Times New Roman" w:hAnsi="Times New Roman" w:cs="Times New Roman"/>
          <w:sz w:val="24"/>
          <w:szCs w:val="24"/>
        </w:rPr>
        <w:t xml:space="preserve">dyrektywę 2014/59/UE z dnia 15 maja 2014 r. w odniesieniu do zdolności do pokrycia strat i dokapitalizowania instytucji kredytowych i firm inwestycyjnych oraz dyrektywę 98/26/WE2012 (Dz. Urz. UE L 150 z 07.06.2019, str. 296), dalej </w:t>
      </w:r>
      <w:r w:rsidRPr="00D92FC1">
        <w:rPr>
          <w:rFonts w:ascii="Times New Roman" w:hAnsi="Times New Roman" w:cs="Times New Roman"/>
          <w:b/>
          <w:sz w:val="24"/>
          <w:szCs w:val="24"/>
        </w:rPr>
        <w:t xml:space="preserve">„dyrektywa </w:t>
      </w:r>
      <w:r w:rsidRPr="00D92FC1">
        <w:rPr>
          <w:rFonts w:ascii="Times New Roman" w:eastAsia="Calibri" w:hAnsi="Times New Roman" w:cs="Times New Roman"/>
          <w:b/>
          <w:sz w:val="24"/>
          <w:szCs w:val="24"/>
        </w:rPr>
        <w:t>BRRD2”</w:t>
      </w:r>
      <w:r w:rsidRPr="00F46449">
        <w:rPr>
          <w:rFonts w:ascii="Times New Roman" w:eastAsia="Calibri" w:hAnsi="Times New Roman" w:cs="Times New Roman"/>
          <w:sz w:val="24"/>
          <w:szCs w:val="24"/>
        </w:rPr>
        <w:t>,</w:t>
      </w:r>
      <w:r>
        <w:rPr>
          <w:rFonts w:ascii="Times New Roman" w:eastAsia="Calibri" w:hAnsi="Times New Roman" w:cs="Times New Roman"/>
          <w:b/>
          <w:sz w:val="24"/>
          <w:szCs w:val="24"/>
        </w:rPr>
        <w:t xml:space="preserve"> </w:t>
      </w:r>
      <w:r w:rsidRPr="00D92FC1">
        <w:rPr>
          <w:rFonts w:ascii="Times New Roman" w:eastAsia="Calibri" w:hAnsi="Times New Roman" w:cs="Times New Roman"/>
          <w:sz w:val="24"/>
          <w:szCs w:val="24"/>
        </w:rPr>
        <w:t xml:space="preserve">obejmują restrukturyzację i uporządkowaną likwidację instytucji kredytowych i firm inwestycyjnych. </w:t>
      </w:r>
    </w:p>
    <w:p w14:paraId="7BE3ED76" w14:textId="10126A4C" w:rsidR="00AB1420" w:rsidRPr="00D92FC1" w:rsidRDefault="00AB1420" w:rsidP="005E5395">
      <w:pPr>
        <w:spacing w:after="0" w:line="360" w:lineRule="auto"/>
        <w:jc w:val="both"/>
        <w:rPr>
          <w:rFonts w:ascii="Times New Roman" w:eastAsia="Calibri" w:hAnsi="Times New Roman" w:cs="Times New Roman"/>
          <w:sz w:val="24"/>
          <w:szCs w:val="24"/>
        </w:rPr>
      </w:pPr>
      <w:r w:rsidRPr="00D92FC1">
        <w:rPr>
          <w:rFonts w:ascii="Times New Roman" w:eastAsia="Calibri" w:hAnsi="Times New Roman" w:cs="Times New Roman"/>
          <w:sz w:val="24"/>
          <w:szCs w:val="24"/>
        </w:rPr>
        <w:t xml:space="preserve">CCP – inaczej kontrahent centralny, jest instytucją infrastruktury rynku finansowego, której głównym zadaniem jest rozliczanie instrumentów finansowych, w szczególności instrumentów pochodnych. Z uwagi na fakt, że podmioty te pełnią istotną rolę w ograniczaniu ryzyka kredytowego kontrahenta i mitygowaniu ryzyka systemowego ich działalność została uregulowana rozporządzeniem Parlamentu Europejskiego i Rady (UE) nr 648/2012 z dnia 4 lipca 2012 r. w sprawie instrumentów pochodnych będących przedmiotem obrotu poza rynkiem regulowanym, kontrahentów centralnych i repozytoriów transakcji (Dz. Urz. UE L 201 z 27.07.2012, str. 1, z późn. zm.), dalej: </w:t>
      </w:r>
      <w:r w:rsidRPr="00D92FC1">
        <w:rPr>
          <w:rFonts w:ascii="Times New Roman" w:eastAsia="Calibri" w:hAnsi="Times New Roman" w:cs="Times New Roman"/>
          <w:b/>
          <w:sz w:val="24"/>
          <w:szCs w:val="24"/>
        </w:rPr>
        <w:t>„rozporządzenie EMIR”</w:t>
      </w:r>
      <w:r w:rsidRPr="00D92FC1">
        <w:rPr>
          <w:rFonts w:ascii="Times New Roman" w:eastAsia="Calibri" w:hAnsi="Times New Roman" w:cs="Times New Roman"/>
          <w:sz w:val="24"/>
          <w:szCs w:val="24"/>
        </w:rPr>
        <w:t>. Obecnie na terytorium UE funkcjonuje 13 CCP, które uzyskały zezwolenie na podstawie przepisów rozporządzenia EMIR. W Polsce funkcjonuje jeden CCP autoryzowany na podstawie rozporządzenia EMIR, tj. KDPW_CCP.</w:t>
      </w:r>
    </w:p>
    <w:p w14:paraId="7219C37F" w14:textId="3A3AF9EB" w:rsidR="00AB1420" w:rsidRPr="007F56A7" w:rsidRDefault="00AB1420" w:rsidP="005E5395">
      <w:pPr>
        <w:spacing w:after="0" w:line="360" w:lineRule="auto"/>
        <w:jc w:val="both"/>
        <w:rPr>
          <w:rFonts w:ascii="Times New Roman" w:eastAsia="Calibri" w:hAnsi="Times New Roman" w:cs="Times New Roman"/>
          <w:sz w:val="24"/>
          <w:szCs w:val="24"/>
        </w:rPr>
      </w:pPr>
      <w:r w:rsidRPr="00D92FC1">
        <w:rPr>
          <w:rFonts w:ascii="Times New Roman" w:eastAsia="Calibri" w:hAnsi="Times New Roman" w:cs="Times New Roman"/>
          <w:sz w:val="24"/>
          <w:szCs w:val="24"/>
        </w:rPr>
        <w:t xml:space="preserve">Rozporządzenie nr 2021/23 </w:t>
      </w:r>
      <w:r w:rsidR="001813C8">
        <w:rPr>
          <w:rFonts w:ascii="Times New Roman" w:eastAsia="Calibri" w:hAnsi="Times New Roman" w:cs="Times New Roman"/>
          <w:sz w:val="24"/>
          <w:szCs w:val="24"/>
        </w:rPr>
        <w:t xml:space="preserve">jest </w:t>
      </w:r>
      <w:r w:rsidRPr="00D92FC1">
        <w:rPr>
          <w:rFonts w:ascii="Times New Roman" w:eastAsia="Calibri" w:hAnsi="Times New Roman" w:cs="Times New Roman"/>
          <w:sz w:val="24"/>
          <w:szCs w:val="24"/>
        </w:rPr>
        <w:t xml:space="preserve">bezpośrednio stosowane od dnia 12 sierpnia 2022 r. </w:t>
      </w:r>
      <w:r>
        <w:rPr>
          <w:rFonts w:ascii="Times New Roman" w:eastAsia="Calibri" w:hAnsi="Times New Roman" w:cs="Times New Roman"/>
          <w:sz w:val="24"/>
          <w:szCs w:val="24"/>
        </w:rPr>
        <w:t>N</w:t>
      </w:r>
      <w:r w:rsidRPr="00D92FC1">
        <w:rPr>
          <w:rFonts w:ascii="Times New Roman" w:eastAsia="Calibri" w:hAnsi="Times New Roman" w:cs="Times New Roman"/>
          <w:sz w:val="24"/>
          <w:szCs w:val="24"/>
        </w:rPr>
        <w:t xml:space="preserve">akłada </w:t>
      </w:r>
      <w:r>
        <w:rPr>
          <w:rFonts w:ascii="Times New Roman" w:eastAsia="Calibri" w:hAnsi="Times New Roman" w:cs="Times New Roman"/>
          <w:sz w:val="24"/>
          <w:szCs w:val="24"/>
        </w:rPr>
        <w:t xml:space="preserve">ono </w:t>
      </w:r>
      <w:r w:rsidRPr="00D92FC1">
        <w:rPr>
          <w:rFonts w:ascii="Times New Roman" w:eastAsia="Calibri" w:hAnsi="Times New Roman" w:cs="Times New Roman"/>
          <w:sz w:val="24"/>
          <w:szCs w:val="24"/>
        </w:rPr>
        <w:t xml:space="preserve">na każde państwo członkowskie obowiązek wyznaczenia co najmniej jednego organu właściwego do prowadzenia restrukturyzacji i uporządkowanej likwidacji CCP, który musi dysponować wiedzą specjalistyczną, zasobami i możliwościami operacyjnymi do stosowania środków restrukturyzacji i uporządkowanej likwidacji, tj. instrumentu alokacji pozycji i strat, instrumentu umorzenia i instrument konwersji, instrumentu zbycia działalności oraz instrumentu CCP pomostowego. Proponuje się, aby organem właściwym był BFG, który jest organem właściwym także w zakresie </w:t>
      </w:r>
      <w:r w:rsidRPr="007F56A7">
        <w:rPr>
          <w:rFonts w:ascii="Times New Roman" w:eastAsia="Calibri" w:hAnsi="Times New Roman" w:cs="Times New Roman"/>
          <w:sz w:val="24"/>
          <w:szCs w:val="24"/>
        </w:rPr>
        <w:t>określonym w dyrektywie BRRD i dyrektywie BRRD2.</w:t>
      </w:r>
    </w:p>
    <w:p w14:paraId="165E514F" w14:textId="76A7D583" w:rsidR="007F56A7" w:rsidRPr="007F56A7" w:rsidRDefault="007F56A7" w:rsidP="005E5395">
      <w:pPr>
        <w:spacing w:after="0" w:line="360" w:lineRule="auto"/>
        <w:jc w:val="both"/>
        <w:rPr>
          <w:rFonts w:ascii="Times New Roman" w:eastAsia="Calibri" w:hAnsi="Times New Roman" w:cs="Times New Roman"/>
          <w:sz w:val="24"/>
          <w:szCs w:val="24"/>
        </w:rPr>
      </w:pPr>
      <w:r w:rsidRPr="007F56A7">
        <w:rPr>
          <w:rFonts w:ascii="Times New Roman" w:eastAsia="Calibri" w:hAnsi="Times New Roman" w:cs="Times New Roman"/>
          <w:sz w:val="24"/>
          <w:szCs w:val="24"/>
        </w:rPr>
        <w:lastRenderedPageBreak/>
        <w:t>Zmiany w tym obszarze obejmą ustaw</w:t>
      </w:r>
      <w:r>
        <w:rPr>
          <w:rFonts w:ascii="Times New Roman" w:eastAsia="Calibri" w:hAnsi="Times New Roman" w:cs="Times New Roman"/>
          <w:sz w:val="24"/>
          <w:szCs w:val="24"/>
        </w:rPr>
        <w:t xml:space="preserve">ę </w:t>
      </w:r>
      <w:r w:rsidRPr="007F56A7">
        <w:rPr>
          <w:rFonts w:ascii="Times New Roman" w:eastAsia="Calibri" w:hAnsi="Times New Roman" w:cs="Times New Roman"/>
          <w:sz w:val="24"/>
          <w:szCs w:val="24"/>
        </w:rPr>
        <w:t>z dnia 10 czerwca 2016 r. o Bankowym Funduszu Gwarancyjnym, systemie gwarantowania depozytów oraz przymusowej restrukturyzacji</w:t>
      </w:r>
      <w:r>
        <w:rPr>
          <w:rFonts w:ascii="Times New Roman" w:eastAsia="Calibri" w:hAnsi="Times New Roman" w:cs="Times New Roman"/>
          <w:sz w:val="24"/>
          <w:szCs w:val="24"/>
        </w:rPr>
        <w:t xml:space="preserve"> (Dz. U. z 2022 r. poz. 2253), dalej: </w:t>
      </w:r>
      <w:r w:rsidRPr="0069297C">
        <w:rPr>
          <w:rFonts w:ascii="Times New Roman" w:eastAsia="Calibri" w:hAnsi="Times New Roman" w:cs="Times New Roman"/>
          <w:b/>
          <w:sz w:val="24"/>
          <w:szCs w:val="24"/>
        </w:rPr>
        <w:t>„ustawa o BFG”</w:t>
      </w:r>
      <w:r w:rsidRPr="007F56A7">
        <w:rPr>
          <w:rFonts w:ascii="Times New Roman" w:eastAsia="Calibri" w:hAnsi="Times New Roman" w:cs="Times New Roman"/>
          <w:sz w:val="24"/>
          <w:szCs w:val="24"/>
        </w:rPr>
        <w:t xml:space="preserve">. </w:t>
      </w:r>
    </w:p>
    <w:p w14:paraId="22DDE80E" w14:textId="77777777" w:rsidR="000F2C75" w:rsidRDefault="000F2C75" w:rsidP="005E5395">
      <w:pPr>
        <w:spacing w:after="0" w:line="360" w:lineRule="auto"/>
        <w:jc w:val="both"/>
        <w:rPr>
          <w:rFonts w:ascii="Times New Roman" w:eastAsia="Calibri" w:hAnsi="Times New Roman" w:cs="Times New Roman"/>
          <w:sz w:val="24"/>
          <w:szCs w:val="24"/>
        </w:rPr>
      </w:pPr>
    </w:p>
    <w:p w14:paraId="56FBF3BA" w14:textId="1AC2164A" w:rsidR="000F2C75" w:rsidRDefault="000F2C75" w:rsidP="005E5395">
      <w:pPr>
        <w:spacing w:after="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W projekcie przewidziano również implementację </w:t>
      </w:r>
      <w:r w:rsidRPr="000F479C">
        <w:rPr>
          <w:rFonts w:ascii="Times New Roman" w:eastAsia="Calibri" w:hAnsi="Times New Roman" w:cs="Times New Roman"/>
          <w:sz w:val="24"/>
          <w:szCs w:val="24"/>
        </w:rPr>
        <w:t>dyrektyw</w:t>
      </w:r>
      <w:r>
        <w:rPr>
          <w:rFonts w:ascii="Times New Roman" w:eastAsia="Calibri" w:hAnsi="Times New Roman" w:cs="Times New Roman"/>
          <w:sz w:val="24"/>
          <w:szCs w:val="24"/>
        </w:rPr>
        <w:t>y</w:t>
      </w:r>
      <w:r w:rsidRPr="000F479C">
        <w:rPr>
          <w:rFonts w:ascii="Times New Roman" w:eastAsia="Calibri" w:hAnsi="Times New Roman" w:cs="Times New Roman"/>
          <w:sz w:val="24"/>
          <w:szCs w:val="24"/>
        </w:rPr>
        <w:t xml:space="preserve"> Parlamentu Europejskiego i Rady 2014/65/UE z dnia 15 maja 2014 r. w sprawie rynków instrumentów finansowych oraz zmieniającą dyrektywę 2002/92/WE i dyrektywę 2011/61/UE (Dz. Urz. UE L 173 z 12.06.2014, str. 349, </w:t>
      </w:r>
      <w:r>
        <w:rPr>
          <w:rFonts w:ascii="Times New Roman" w:eastAsia="Calibri" w:hAnsi="Times New Roman" w:cs="Times New Roman"/>
          <w:sz w:val="24"/>
          <w:szCs w:val="24"/>
        </w:rPr>
        <w:t xml:space="preserve">z późn. zm.), dalej: </w:t>
      </w:r>
      <w:r w:rsidRPr="0091557C">
        <w:rPr>
          <w:rFonts w:ascii="Times New Roman" w:eastAsia="Calibri" w:hAnsi="Times New Roman" w:cs="Times New Roman"/>
          <w:b/>
          <w:sz w:val="24"/>
          <w:szCs w:val="24"/>
        </w:rPr>
        <w:t>„dyrektywa MiFID II”</w:t>
      </w:r>
      <w:r>
        <w:rPr>
          <w:rFonts w:ascii="Times New Roman" w:eastAsia="Calibri" w:hAnsi="Times New Roman" w:cs="Times New Roman"/>
          <w:sz w:val="24"/>
          <w:szCs w:val="24"/>
        </w:rPr>
        <w:t xml:space="preserve">, </w:t>
      </w:r>
      <w:r w:rsidRPr="009D1CD2">
        <w:rPr>
          <w:rFonts w:ascii="Times New Roman" w:hAnsi="Times New Roman" w:cs="Times New Roman"/>
          <w:sz w:val="24"/>
          <w:szCs w:val="24"/>
        </w:rPr>
        <w:t xml:space="preserve">w </w:t>
      </w:r>
      <w:r>
        <w:rPr>
          <w:rFonts w:ascii="Times New Roman" w:hAnsi="Times New Roman" w:cs="Times New Roman"/>
          <w:sz w:val="24"/>
          <w:szCs w:val="24"/>
        </w:rPr>
        <w:t xml:space="preserve">brzmieniu </w:t>
      </w:r>
      <w:r w:rsidRPr="009D1CD2">
        <w:rPr>
          <w:rFonts w:ascii="Times New Roman" w:hAnsi="Times New Roman" w:cs="Times New Roman"/>
          <w:sz w:val="24"/>
          <w:szCs w:val="24"/>
        </w:rPr>
        <w:t xml:space="preserve"> nadan</w:t>
      </w:r>
      <w:r>
        <w:rPr>
          <w:rFonts w:ascii="Times New Roman" w:hAnsi="Times New Roman" w:cs="Times New Roman"/>
          <w:sz w:val="24"/>
          <w:szCs w:val="24"/>
        </w:rPr>
        <w:t xml:space="preserve">ym przez </w:t>
      </w:r>
      <w:r w:rsidRPr="009D1CD2">
        <w:rPr>
          <w:rFonts w:ascii="Times New Roman" w:hAnsi="Times New Roman" w:cs="Times New Roman"/>
          <w:sz w:val="24"/>
          <w:szCs w:val="24"/>
        </w:rPr>
        <w:t xml:space="preserve">rozporządzenie Parlamentu Europejskiego i Rady (UE) 2022/858 z dnia 30 maja 2022 r. w sprawie systemu pilotażowego na potrzeby infrastruktur rynkowych opartych na technologii rozproszonego rejestru, a także zmiany rozporządzeń (UE) nr 600/2014 i (UE) nr 909/2014 oraz dyrektywy 2014/65/UE (Dz. Urz. UE L 151 z </w:t>
      </w:r>
      <w:r>
        <w:rPr>
          <w:rFonts w:ascii="Times New Roman" w:hAnsi="Times New Roman" w:cs="Times New Roman"/>
          <w:sz w:val="24"/>
          <w:szCs w:val="24"/>
        </w:rPr>
        <w:t>0</w:t>
      </w:r>
      <w:r w:rsidRPr="009D1CD2">
        <w:rPr>
          <w:rFonts w:ascii="Times New Roman" w:hAnsi="Times New Roman" w:cs="Times New Roman"/>
          <w:sz w:val="24"/>
          <w:szCs w:val="24"/>
        </w:rPr>
        <w:t xml:space="preserve">2.06.2022, str. 1), dalej: </w:t>
      </w:r>
      <w:r w:rsidRPr="0091557C">
        <w:rPr>
          <w:rFonts w:ascii="Times New Roman" w:hAnsi="Times New Roman" w:cs="Times New Roman"/>
          <w:b/>
          <w:sz w:val="24"/>
          <w:szCs w:val="24"/>
        </w:rPr>
        <w:t>„rozporządzenie DLT Pilot”</w:t>
      </w:r>
      <w:r w:rsidRPr="009D1CD2">
        <w:rPr>
          <w:rFonts w:ascii="Times New Roman" w:hAnsi="Times New Roman" w:cs="Times New Roman"/>
          <w:sz w:val="24"/>
          <w:szCs w:val="24"/>
        </w:rPr>
        <w:t>.</w:t>
      </w:r>
    </w:p>
    <w:p w14:paraId="4D74717E" w14:textId="77777777" w:rsidR="001E309E" w:rsidRDefault="001E309E" w:rsidP="005E5395">
      <w:pPr>
        <w:spacing w:after="0" w:line="360" w:lineRule="auto"/>
        <w:jc w:val="both"/>
        <w:rPr>
          <w:rFonts w:ascii="Times New Roman" w:eastAsia="Calibri" w:hAnsi="Times New Roman" w:cs="Times New Roman"/>
          <w:sz w:val="24"/>
          <w:szCs w:val="24"/>
        </w:rPr>
      </w:pPr>
    </w:p>
    <w:p w14:paraId="0732CB3D" w14:textId="77777777" w:rsidR="00AB1420" w:rsidRPr="00D92FC1" w:rsidRDefault="00AB1420" w:rsidP="005E5395">
      <w:pPr>
        <w:spacing w:after="0" w:line="360" w:lineRule="auto"/>
        <w:jc w:val="both"/>
        <w:rPr>
          <w:rFonts w:ascii="Times New Roman" w:eastAsia="Calibri" w:hAnsi="Times New Roman" w:cs="Times New Roman"/>
          <w:sz w:val="24"/>
          <w:szCs w:val="24"/>
        </w:rPr>
      </w:pPr>
    </w:p>
    <w:p w14:paraId="42AB9C2E" w14:textId="77777777" w:rsidR="00AB1420" w:rsidRPr="00D92FC1" w:rsidRDefault="00AB1420" w:rsidP="005E5395">
      <w:pPr>
        <w:pStyle w:val="Akapitzlist"/>
        <w:spacing w:afterLines="120" w:after="288" w:line="360" w:lineRule="auto"/>
        <w:ind w:left="0"/>
        <w:jc w:val="center"/>
        <w:outlineLvl w:val="0"/>
        <w:rPr>
          <w:rFonts w:ascii="Times New Roman" w:hAnsi="Times New Roman" w:cs="Times New Roman"/>
          <w:sz w:val="24"/>
          <w:szCs w:val="24"/>
        </w:rPr>
      </w:pPr>
      <w:r w:rsidRPr="00D92FC1">
        <w:rPr>
          <w:rFonts w:ascii="Times New Roman" w:hAnsi="Times New Roman" w:cs="Times New Roman"/>
          <w:sz w:val="24"/>
          <w:szCs w:val="24"/>
        </w:rPr>
        <w:t>CZĘŚĆ SZCZEGÓŁOWA</w:t>
      </w:r>
    </w:p>
    <w:p w14:paraId="4C937351" w14:textId="77777777" w:rsidR="00AB1420" w:rsidRPr="00D92FC1" w:rsidRDefault="00AB1420" w:rsidP="005E5395">
      <w:pPr>
        <w:pStyle w:val="Tekstpodstawowy1"/>
        <w:shd w:val="clear" w:color="auto" w:fill="auto"/>
        <w:spacing w:after="120" w:line="360" w:lineRule="auto"/>
        <w:ind w:firstLine="0"/>
        <w:jc w:val="both"/>
        <w:rPr>
          <w:rFonts w:ascii="Times New Roman" w:hAnsi="Times New Roman" w:cs="Times New Roman"/>
          <w:b/>
          <w:szCs w:val="24"/>
          <w:u w:val="single"/>
        </w:rPr>
      </w:pPr>
      <w:r w:rsidRPr="00D92FC1">
        <w:rPr>
          <w:rFonts w:ascii="Times New Roman" w:hAnsi="Times New Roman" w:cs="Times New Roman"/>
          <w:b/>
          <w:szCs w:val="24"/>
          <w:u w:val="single"/>
        </w:rPr>
        <w:t xml:space="preserve">Art. 1 projektu – zmiany w ustawie o obligacjach </w:t>
      </w:r>
    </w:p>
    <w:p w14:paraId="4FBBC5C3" w14:textId="77777777" w:rsidR="00AB1420" w:rsidRPr="00D92FC1" w:rsidRDefault="00AB1420" w:rsidP="005E5395">
      <w:pPr>
        <w:pStyle w:val="Tekstpodstawowy1"/>
        <w:shd w:val="clear" w:color="auto" w:fill="auto"/>
        <w:spacing w:after="120" w:line="360" w:lineRule="auto"/>
        <w:ind w:firstLine="0"/>
        <w:jc w:val="both"/>
        <w:rPr>
          <w:rFonts w:ascii="Times New Roman" w:hAnsi="Times New Roman" w:cs="Times New Roman"/>
          <w:szCs w:val="24"/>
        </w:rPr>
      </w:pPr>
      <w:r w:rsidRPr="00D92FC1">
        <w:rPr>
          <w:rFonts w:ascii="Times New Roman" w:hAnsi="Times New Roman" w:cs="Times New Roman"/>
          <w:szCs w:val="24"/>
        </w:rPr>
        <w:t xml:space="preserve">Zmiana w </w:t>
      </w:r>
      <w:r w:rsidRPr="00D92FC1">
        <w:rPr>
          <w:rFonts w:ascii="Times New Roman" w:hAnsi="Times New Roman" w:cs="Times New Roman"/>
          <w:b/>
          <w:szCs w:val="24"/>
        </w:rPr>
        <w:t xml:space="preserve">art. 21 </w:t>
      </w:r>
      <w:r w:rsidRPr="00D92FC1">
        <w:rPr>
          <w:rFonts w:ascii="Times New Roman" w:hAnsi="Times New Roman" w:cs="Times New Roman"/>
          <w:szCs w:val="24"/>
        </w:rPr>
        <w:t>polega na dodaniu wyłączenia prawa poboru dla obligatariuszy obligacji kapitałowych. Wyłączenie prawa poboru następuje w uchwale walnego zgromadzenia o emisji tych obligacji. Jest to rozwiązanie mające na celu zagwarantowanie obligatariuszom obligacji kapitałowych efektywnej realizacji praw wynikających z nabytych przez nich obligacji. Analogiczne rozwiązanie stosowane jest już obecnie do obligatariuszy obligacji zamiennych i obligacji z prawem pierwszeństwa.</w:t>
      </w:r>
    </w:p>
    <w:p w14:paraId="719EB3C9" w14:textId="77777777" w:rsidR="00AB1420" w:rsidRPr="00D92FC1" w:rsidRDefault="00AB1420" w:rsidP="005E5395">
      <w:pPr>
        <w:pStyle w:val="Tekstpodstawowy1"/>
        <w:shd w:val="clear" w:color="auto" w:fill="auto"/>
        <w:spacing w:after="120" w:line="360" w:lineRule="auto"/>
        <w:ind w:firstLine="0"/>
        <w:jc w:val="both"/>
        <w:rPr>
          <w:rFonts w:ascii="Times New Roman" w:hAnsi="Times New Roman" w:cs="Times New Roman"/>
          <w:szCs w:val="24"/>
        </w:rPr>
      </w:pPr>
      <w:r w:rsidRPr="00D92FC1">
        <w:rPr>
          <w:rFonts w:ascii="Times New Roman" w:hAnsi="Times New Roman" w:cs="Times New Roman"/>
          <w:szCs w:val="24"/>
        </w:rPr>
        <w:t xml:space="preserve">Dodawany </w:t>
      </w:r>
      <w:r w:rsidRPr="00D92FC1">
        <w:rPr>
          <w:rFonts w:ascii="Times New Roman" w:hAnsi="Times New Roman" w:cs="Times New Roman"/>
          <w:b/>
          <w:szCs w:val="24"/>
        </w:rPr>
        <w:t>art. 27a</w:t>
      </w:r>
      <w:r w:rsidRPr="00D92FC1">
        <w:rPr>
          <w:rFonts w:ascii="Times New Roman" w:hAnsi="Times New Roman" w:cs="Times New Roman"/>
          <w:szCs w:val="24"/>
        </w:rPr>
        <w:t xml:space="preserve"> wskazuje, że obligacje mogą być emitowane w ściśle określonym celu związanym z funduszami albo środkami własnymi emitenta, tj. w celu ich zakwalifikowania do funduszy własnych, jako instrumenty dodatkowe w </w:t>
      </w:r>
      <w:r w:rsidRPr="00D92FC1">
        <w:rPr>
          <w:rFonts w:ascii="Times New Roman" w:hAnsi="Times New Roman" w:cs="Times New Roman"/>
          <w:i/>
          <w:szCs w:val="24"/>
        </w:rPr>
        <w:t>Tier I</w:t>
      </w:r>
      <w:r w:rsidRPr="00D92FC1">
        <w:rPr>
          <w:rFonts w:ascii="Times New Roman" w:hAnsi="Times New Roman" w:cs="Times New Roman"/>
          <w:szCs w:val="24"/>
        </w:rPr>
        <w:t xml:space="preserve"> albo </w:t>
      </w:r>
      <w:r w:rsidRPr="00D92FC1">
        <w:rPr>
          <w:rFonts w:ascii="Times New Roman" w:hAnsi="Times New Roman" w:cs="Times New Roman"/>
          <w:i/>
          <w:szCs w:val="24"/>
        </w:rPr>
        <w:t>Tier II</w:t>
      </w:r>
      <w:r w:rsidRPr="00D92FC1">
        <w:rPr>
          <w:rFonts w:ascii="Times New Roman" w:hAnsi="Times New Roman" w:cs="Times New Roman"/>
          <w:szCs w:val="24"/>
        </w:rPr>
        <w:t>, zgodnie z art. 52 lub art. 63 rozporządzenia 575/2013, albo do środków własnych jako pozycje podstawowych środków własnych kategorii 1, kategorii 2 albo kategorii 3, zgodnie z art. 71, art. 73 albo art. 77 rozporządzenia delegowanego Komisji (UE)</w:t>
      </w:r>
      <w:r w:rsidRPr="00D92FC1">
        <w:rPr>
          <w:rFonts w:ascii="Times New Roman" w:hAnsi="Times New Roman" w:cs="Times New Roman"/>
          <w:b/>
          <w:szCs w:val="24"/>
        </w:rPr>
        <w:t xml:space="preserve"> </w:t>
      </w:r>
      <w:r w:rsidRPr="00D92FC1">
        <w:rPr>
          <w:rFonts w:ascii="Times New Roman" w:hAnsi="Times New Roman" w:cs="Times New Roman"/>
          <w:szCs w:val="24"/>
        </w:rPr>
        <w:t>2015/35.</w:t>
      </w:r>
    </w:p>
    <w:p w14:paraId="70642013" w14:textId="73DAF6F9" w:rsidR="00AB1420" w:rsidRPr="00D92FC1" w:rsidRDefault="00AB1420" w:rsidP="005E5395">
      <w:pPr>
        <w:pStyle w:val="Tekstpodstawowy1"/>
        <w:spacing w:after="120" w:line="360" w:lineRule="auto"/>
        <w:ind w:firstLine="0"/>
        <w:jc w:val="both"/>
        <w:rPr>
          <w:rFonts w:ascii="Times New Roman" w:hAnsi="Times New Roman" w:cs="Times New Roman"/>
          <w:szCs w:val="24"/>
        </w:rPr>
      </w:pPr>
      <w:r w:rsidRPr="00D92FC1">
        <w:rPr>
          <w:rFonts w:ascii="Times New Roman" w:hAnsi="Times New Roman" w:cs="Times New Roman"/>
          <w:szCs w:val="24"/>
        </w:rPr>
        <w:t xml:space="preserve">Zgodnie z </w:t>
      </w:r>
      <w:r w:rsidRPr="00D92FC1">
        <w:rPr>
          <w:rFonts w:ascii="Times New Roman" w:hAnsi="Times New Roman" w:cs="Times New Roman"/>
          <w:b/>
          <w:szCs w:val="24"/>
        </w:rPr>
        <w:t>art. 27b</w:t>
      </w:r>
      <w:r w:rsidRPr="00D92FC1">
        <w:rPr>
          <w:rFonts w:ascii="Times New Roman" w:hAnsi="Times New Roman" w:cs="Times New Roman"/>
          <w:szCs w:val="24"/>
        </w:rPr>
        <w:t xml:space="preserve"> emitentami obligacji kapitałowych mogą być bank krajowy, dom maklerski, krajowy zakład ubezpieczeń oraz krajowy zakład reasekuracji. Jednocześnie </w:t>
      </w:r>
      <w:r w:rsidR="00431DE0">
        <w:rPr>
          <w:rFonts w:ascii="Times New Roman" w:hAnsi="Times New Roman" w:cs="Times New Roman"/>
          <w:szCs w:val="24"/>
        </w:rPr>
        <w:t xml:space="preserve">wprowadzono </w:t>
      </w:r>
      <w:r w:rsidRPr="00D92FC1">
        <w:rPr>
          <w:rFonts w:ascii="Times New Roman" w:hAnsi="Times New Roman" w:cs="Times New Roman"/>
          <w:szCs w:val="24"/>
        </w:rPr>
        <w:t>definicje tych podmiotów przez odesłanie do właściwych przepisów ustaw sektorowych.</w:t>
      </w:r>
    </w:p>
    <w:p w14:paraId="4C2F750F" w14:textId="40A34D1D" w:rsidR="00AB1420" w:rsidRPr="00D92FC1" w:rsidRDefault="00AB1420" w:rsidP="005E5395">
      <w:pPr>
        <w:spacing w:after="120" w:line="360" w:lineRule="auto"/>
        <w:jc w:val="both"/>
        <w:rPr>
          <w:rFonts w:ascii="Times New Roman" w:hAnsi="Times New Roman" w:cs="Times New Roman"/>
          <w:sz w:val="24"/>
          <w:szCs w:val="24"/>
        </w:rPr>
      </w:pPr>
      <w:r w:rsidRPr="00D92FC1">
        <w:rPr>
          <w:rFonts w:ascii="Times New Roman" w:hAnsi="Times New Roman" w:cs="Times New Roman"/>
          <w:sz w:val="24"/>
          <w:szCs w:val="24"/>
        </w:rPr>
        <w:lastRenderedPageBreak/>
        <w:t xml:space="preserve">Obligacja kapitałowa jest instrumentem złożonym i wymaga profesjonalnej wiedzy inwestycyjnej, w tym oceny ryzyka. Dlatego w </w:t>
      </w:r>
      <w:r w:rsidRPr="00D92FC1">
        <w:rPr>
          <w:rFonts w:ascii="Times New Roman" w:hAnsi="Times New Roman" w:cs="Times New Roman"/>
          <w:b/>
          <w:bCs/>
          <w:sz w:val="24"/>
          <w:szCs w:val="24"/>
        </w:rPr>
        <w:t>art.</w:t>
      </w:r>
      <w:r w:rsidRPr="00D92FC1">
        <w:rPr>
          <w:rFonts w:ascii="Times New Roman" w:hAnsi="Times New Roman" w:cs="Times New Roman"/>
          <w:sz w:val="24"/>
          <w:szCs w:val="24"/>
        </w:rPr>
        <w:t xml:space="preserve"> </w:t>
      </w:r>
      <w:r w:rsidRPr="00D92FC1">
        <w:rPr>
          <w:rFonts w:ascii="Times New Roman" w:hAnsi="Times New Roman" w:cs="Times New Roman"/>
          <w:b/>
          <w:bCs/>
          <w:sz w:val="24"/>
          <w:szCs w:val="24"/>
        </w:rPr>
        <w:t>27c</w:t>
      </w:r>
      <w:r w:rsidRPr="00D92FC1">
        <w:rPr>
          <w:rFonts w:ascii="Times New Roman" w:hAnsi="Times New Roman" w:cs="Times New Roman"/>
          <w:sz w:val="24"/>
          <w:szCs w:val="24"/>
        </w:rPr>
        <w:t xml:space="preserve"> proponuje się ograniczenie możliwości inwestowania w obligacje kapitałowe, zarówno na rynku pierwotnym jak i wtórnym, wyłącznie do podmiotów, o których mowa w art. 3 pkt 39b lit. a–m ustawy o obrocie instrumentami finansowymi. Nabywcą obligacji kapitałowych może być zatem wyłącznie klient, który posiada doświadczenie i wiedzę pozwalające na podejmowanie decyzji inwestycyjnych, w tym adekwatną ocenę ryzyka związanego z nabywaniem instrumentów finansowych o podwyższonym ryzyku inwestycyjnym. Skutki prawne niespełnienia wymogu określonego w art. 27c będą oceniane zgodnie z art. 58 Kodeksu cywilnego.</w:t>
      </w:r>
    </w:p>
    <w:p w14:paraId="53AA998A" w14:textId="77777777" w:rsidR="00AB1420" w:rsidRPr="00D92FC1" w:rsidRDefault="00AB1420" w:rsidP="005E5395">
      <w:pPr>
        <w:spacing w:after="120" w:line="360" w:lineRule="auto"/>
        <w:jc w:val="both"/>
        <w:rPr>
          <w:rFonts w:ascii="Times New Roman" w:hAnsi="Times New Roman" w:cs="Times New Roman"/>
          <w:sz w:val="24"/>
          <w:szCs w:val="24"/>
        </w:rPr>
      </w:pPr>
      <w:r w:rsidRPr="00D92FC1">
        <w:rPr>
          <w:rFonts w:ascii="Times New Roman" w:hAnsi="Times New Roman" w:cs="Times New Roman"/>
          <w:sz w:val="24"/>
          <w:szCs w:val="24"/>
        </w:rPr>
        <w:t xml:space="preserve">Projektowany </w:t>
      </w:r>
      <w:r w:rsidRPr="00D92FC1">
        <w:rPr>
          <w:rFonts w:ascii="Times New Roman" w:hAnsi="Times New Roman" w:cs="Times New Roman"/>
          <w:b/>
          <w:bCs/>
          <w:sz w:val="24"/>
          <w:szCs w:val="24"/>
        </w:rPr>
        <w:t>art. 27d</w:t>
      </w:r>
      <w:r w:rsidRPr="00D92FC1">
        <w:rPr>
          <w:rFonts w:ascii="Times New Roman" w:hAnsi="Times New Roman" w:cs="Times New Roman"/>
          <w:sz w:val="24"/>
          <w:szCs w:val="24"/>
        </w:rPr>
        <w:t xml:space="preserve"> określa minimalną wartość nominalną obligacji kapitałowej. Proponuje się, aby wartość nominalna wynosiła co najmniej 400 000 złotych albo stanowiła równowartość tej kwoty w innej walucie, ustalonej przy zastosowaniu średniego kursu tej waluty ogłaszanego przez Narodowy Bank Polski w dniu podjęcia przez emitenta obligacji kapitałowej uchwały o emisji.</w:t>
      </w:r>
    </w:p>
    <w:p w14:paraId="52D11BD9" w14:textId="77777777" w:rsidR="00AB1420" w:rsidRPr="00D92FC1" w:rsidRDefault="00AB1420" w:rsidP="005E5395">
      <w:pPr>
        <w:pStyle w:val="Tekstpodstawowy1"/>
        <w:spacing w:after="120" w:line="360" w:lineRule="auto"/>
        <w:ind w:firstLine="0"/>
        <w:jc w:val="both"/>
        <w:rPr>
          <w:rFonts w:ascii="Times New Roman" w:hAnsi="Times New Roman" w:cs="Times New Roman"/>
          <w:szCs w:val="24"/>
        </w:rPr>
      </w:pPr>
      <w:r w:rsidRPr="00D92FC1">
        <w:rPr>
          <w:rFonts w:ascii="Times New Roman" w:hAnsi="Times New Roman" w:cs="Times New Roman"/>
          <w:szCs w:val="24"/>
        </w:rPr>
        <w:t xml:space="preserve">Projektowany </w:t>
      </w:r>
      <w:r w:rsidRPr="00D92FC1">
        <w:rPr>
          <w:rFonts w:ascii="Times New Roman" w:hAnsi="Times New Roman" w:cs="Times New Roman"/>
          <w:b/>
          <w:szCs w:val="24"/>
        </w:rPr>
        <w:t>art. 27e</w:t>
      </w:r>
      <w:r w:rsidRPr="00D92FC1">
        <w:rPr>
          <w:rFonts w:ascii="Times New Roman" w:hAnsi="Times New Roman" w:cs="Times New Roman"/>
          <w:szCs w:val="24"/>
        </w:rPr>
        <w:t xml:space="preserve"> określa uprawnienie obligatariusza do otrzymywania odsetek z tytułu obligacji kapitałowych. Zaproponowano również wyłączenie zastosowania art. 365</w:t>
      </w:r>
      <w:r w:rsidRPr="00D92FC1">
        <w:rPr>
          <w:rFonts w:ascii="Times New Roman" w:hAnsi="Times New Roman" w:cs="Times New Roman"/>
          <w:szCs w:val="24"/>
          <w:vertAlign w:val="superscript"/>
        </w:rPr>
        <w:t>1</w:t>
      </w:r>
      <w:r w:rsidRPr="00D92FC1">
        <w:rPr>
          <w:rFonts w:ascii="Times New Roman" w:hAnsi="Times New Roman" w:cs="Times New Roman"/>
          <w:szCs w:val="24"/>
        </w:rPr>
        <w:t xml:space="preserve"> Kodeksu cywilnego. Analogiczne rozwiązanie jest stosowane w odniesieniu do obligacji wieczystych (art. 23 ustawy o obligacjach), co wynika z faktu, że prawa inkorporowane w tego rodzaju obligacjach stanowią zobowiązanie bezterminowe o charakterze ciągłym.</w:t>
      </w:r>
    </w:p>
    <w:p w14:paraId="3B263012" w14:textId="77777777" w:rsidR="00AB1420" w:rsidRDefault="00AB1420" w:rsidP="005E5395">
      <w:pPr>
        <w:spacing w:after="0" w:line="360" w:lineRule="auto"/>
        <w:jc w:val="both"/>
        <w:rPr>
          <w:rFonts w:ascii="Times New Roman" w:eastAsia="Calibri" w:hAnsi="Times New Roman" w:cs="Times New Roman"/>
          <w:sz w:val="24"/>
          <w:szCs w:val="24"/>
        </w:rPr>
      </w:pPr>
      <w:r w:rsidRPr="00D92FC1">
        <w:rPr>
          <w:rFonts w:ascii="Times New Roman" w:eastAsia="Calibri" w:hAnsi="Times New Roman" w:cs="Times New Roman"/>
          <w:sz w:val="24"/>
          <w:szCs w:val="24"/>
        </w:rPr>
        <w:t xml:space="preserve">W </w:t>
      </w:r>
      <w:r w:rsidRPr="00D92FC1">
        <w:rPr>
          <w:rFonts w:ascii="Times New Roman" w:eastAsia="Calibri" w:hAnsi="Times New Roman" w:cs="Times New Roman"/>
          <w:b/>
          <w:sz w:val="24"/>
          <w:szCs w:val="24"/>
        </w:rPr>
        <w:t xml:space="preserve">art. 27f </w:t>
      </w:r>
      <w:r w:rsidRPr="00D92FC1">
        <w:rPr>
          <w:rFonts w:ascii="Times New Roman" w:eastAsia="Calibri" w:hAnsi="Times New Roman" w:cs="Times New Roman"/>
          <w:sz w:val="24"/>
          <w:szCs w:val="24"/>
        </w:rPr>
        <w:t>odzwierciedlono przepisy art. 52 ust. 1 lit. l ppkt iii</w:t>
      </w:r>
      <w:r w:rsidRPr="00D92FC1">
        <w:rPr>
          <w:rFonts w:ascii="Times New Roman" w:hAnsi="Times New Roman" w:cs="Times New Roman"/>
          <w:sz w:val="24"/>
          <w:szCs w:val="24"/>
        </w:rPr>
        <w:t>–</w:t>
      </w:r>
      <w:r w:rsidRPr="00D92FC1">
        <w:rPr>
          <w:rFonts w:ascii="Times New Roman" w:eastAsia="Calibri" w:hAnsi="Times New Roman" w:cs="Times New Roman"/>
          <w:sz w:val="24"/>
          <w:szCs w:val="24"/>
        </w:rPr>
        <w:t xml:space="preserve">v oraz art. 53 rozporządzenia nr 575/2013. Istotą proponowanych rozwiązań jest zagwarantowanie emitentowi możliwości podjęcia decyzji w sprawie umorzenia odsetek z tytułu obligacji kapitałowej w przypadku gdy dokonuje się emisji obligacji kapitałowych w celu ich zakwalifikowania do funduszy własnych jako instrumenty dodatkowe w </w:t>
      </w:r>
      <w:r w:rsidRPr="00D92FC1">
        <w:rPr>
          <w:rFonts w:ascii="Times New Roman" w:eastAsia="Calibri" w:hAnsi="Times New Roman" w:cs="Times New Roman"/>
          <w:i/>
          <w:sz w:val="24"/>
          <w:szCs w:val="24"/>
        </w:rPr>
        <w:t>Tier I,</w:t>
      </w:r>
      <w:r w:rsidRPr="00D92FC1">
        <w:rPr>
          <w:rFonts w:ascii="Times New Roman" w:eastAsia="Calibri" w:hAnsi="Times New Roman" w:cs="Times New Roman"/>
          <w:sz w:val="24"/>
          <w:szCs w:val="24"/>
        </w:rPr>
        <w:t xml:space="preserve"> albo do środków własnych jako pozycji podstawowych środków własnych kategorii 1. Przepis art. 52 ust. 1 lit. l ppkt iii rozporządzenia nr 575/2013 stanowi, że przepisy regulujące poszczególne instrumenty kapitałowe powinny zapewniać emitentowi będącemu bankiem albo domem maklerskim pełną swobodę anulowania, w każdym momencie, wypłaty zysków z tytułu instrumentów na czas nieokreślony i na zasadzie nieskumulowanej. Anulowanie wypłaty zysków nie stanowi niewykonania zobowiązania przez emitenta.</w:t>
      </w:r>
    </w:p>
    <w:p w14:paraId="430EED05" w14:textId="4A9C2151" w:rsidR="00AB1420" w:rsidRPr="00D92FC1" w:rsidRDefault="00AC0B8D" w:rsidP="005E5395">
      <w:pPr>
        <w:spacing w:after="0" w:line="360" w:lineRule="auto"/>
        <w:jc w:val="both"/>
        <w:rPr>
          <w:rFonts w:ascii="Times New Roman" w:eastAsia="Calibri" w:hAnsi="Times New Roman" w:cs="Times New Roman"/>
          <w:sz w:val="24"/>
          <w:szCs w:val="24"/>
        </w:rPr>
      </w:pPr>
      <w:r w:rsidRPr="00AC0B8D">
        <w:rPr>
          <w:rFonts w:ascii="Times New Roman" w:eastAsia="Calibri" w:hAnsi="Times New Roman" w:cs="Times New Roman"/>
          <w:sz w:val="24"/>
          <w:szCs w:val="24"/>
        </w:rPr>
        <w:t xml:space="preserve">Zgodnie z </w:t>
      </w:r>
      <w:r w:rsidRPr="008E2C89">
        <w:rPr>
          <w:rFonts w:ascii="Times New Roman" w:eastAsia="Calibri" w:hAnsi="Times New Roman" w:cs="Times New Roman"/>
          <w:b/>
          <w:sz w:val="24"/>
          <w:szCs w:val="24"/>
        </w:rPr>
        <w:t>ust. 1 pkt 2</w:t>
      </w:r>
      <w:r w:rsidRPr="00AC0B8D">
        <w:rPr>
          <w:rFonts w:ascii="Times New Roman" w:eastAsia="Calibri" w:hAnsi="Times New Roman" w:cs="Times New Roman"/>
          <w:sz w:val="24"/>
          <w:szCs w:val="24"/>
        </w:rPr>
        <w:t xml:space="preserve"> zakłady ubezpieczeń i zakłady reasekuracji są uprawnione do wstrzymania wypłaty odsetek lub części odsetek, na zasadach określonych w warunkach emisji.  W przypadku zakładów ubezpieczeń i zakładów reasekuracji emitujących obligacje w celu </w:t>
      </w:r>
      <w:r w:rsidRPr="00AC0B8D">
        <w:rPr>
          <w:rFonts w:ascii="Times New Roman" w:eastAsia="Calibri" w:hAnsi="Times New Roman" w:cs="Times New Roman"/>
          <w:sz w:val="24"/>
          <w:szCs w:val="24"/>
        </w:rPr>
        <w:lastRenderedPageBreak/>
        <w:t>zakwalifikowania ich do środków własnych jako pozycji podstawowych środków własnych kategorii 1, wskazane przepisy odzwierciedlają</w:t>
      </w:r>
      <w:r w:rsidR="00AB1420" w:rsidRPr="00D92FC1">
        <w:rPr>
          <w:rFonts w:ascii="Times New Roman" w:eastAsia="Calibri" w:hAnsi="Times New Roman" w:cs="Times New Roman"/>
          <w:sz w:val="24"/>
          <w:szCs w:val="24"/>
        </w:rPr>
        <w:t xml:space="preserve"> art. 71 ust. 1 lit. n oraz ust. 4 lit. b, e i f rozporządzenia </w:t>
      </w:r>
      <w:r w:rsidR="00AB1420" w:rsidRPr="00D92FC1">
        <w:rPr>
          <w:rFonts w:ascii="Times New Roman" w:hAnsi="Times New Roman" w:cs="Times New Roman"/>
          <w:sz w:val="24"/>
          <w:szCs w:val="24"/>
        </w:rPr>
        <w:t>delegowanego Komisji (UE)</w:t>
      </w:r>
      <w:r w:rsidR="00AB1420" w:rsidRPr="00D92FC1">
        <w:rPr>
          <w:rFonts w:ascii="Times New Roman" w:hAnsi="Times New Roman" w:cs="Times New Roman"/>
          <w:b/>
          <w:sz w:val="24"/>
          <w:szCs w:val="24"/>
        </w:rPr>
        <w:t xml:space="preserve"> </w:t>
      </w:r>
      <w:r w:rsidR="00AB1420" w:rsidRPr="00D92FC1">
        <w:rPr>
          <w:rFonts w:ascii="Times New Roman" w:eastAsia="Calibri" w:hAnsi="Times New Roman" w:cs="Times New Roman"/>
          <w:sz w:val="24"/>
          <w:szCs w:val="24"/>
        </w:rPr>
        <w:t xml:space="preserve">2015/35 w zakresie uprawnień emitenta do wstrzymania ich wypłaty na czas nieokreślony i na zasadzie nieskumulowanej. Zgodnie z art. 71 ust. 1 lit. n rozporządzenia </w:t>
      </w:r>
      <w:r w:rsidR="00AB1420" w:rsidRPr="00D92FC1">
        <w:rPr>
          <w:rFonts w:ascii="Times New Roman" w:hAnsi="Times New Roman" w:cs="Times New Roman"/>
          <w:sz w:val="24"/>
          <w:szCs w:val="24"/>
        </w:rPr>
        <w:t>delegowanego Komisji (UE)</w:t>
      </w:r>
      <w:r w:rsidR="00AB1420" w:rsidRPr="00D92FC1">
        <w:rPr>
          <w:rFonts w:ascii="Times New Roman" w:hAnsi="Times New Roman" w:cs="Times New Roman"/>
          <w:b/>
          <w:sz w:val="24"/>
          <w:szCs w:val="24"/>
        </w:rPr>
        <w:t xml:space="preserve"> </w:t>
      </w:r>
      <w:r w:rsidR="00AB1420" w:rsidRPr="00D92FC1">
        <w:rPr>
          <w:rFonts w:ascii="Times New Roman" w:eastAsia="Calibri" w:hAnsi="Times New Roman" w:cs="Times New Roman"/>
          <w:sz w:val="24"/>
          <w:szCs w:val="24"/>
        </w:rPr>
        <w:t>2015/35 cechy decydujące o klasyfikacji pozycji podstawowych środków własnych do kategorii 1 obejmują pełną elastyczność zakładu ubezpieczeń lub zakładu reasekuracji w odniesieniu do wypłat pozycji podstawowych środków własnych. Zgodnie z ust. 4 lit. b, e i f tego przepisu pełna elastyczność w odniesieniu do wypłat jest zapewniona</w:t>
      </w:r>
      <w:r w:rsidR="00B24AD9">
        <w:rPr>
          <w:rFonts w:ascii="Times New Roman" w:eastAsia="Calibri" w:hAnsi="Times New Roman" w:cs="Times New Roman"/>
          <w:sz w:val="24"/>
          <w:szCs w:val="24"/>
        </w:rPr>
        <w:t>,</w:t>
      </w:r>
      <w:r w:rsidR="00AB1420" w:rsidRPr="00D92FC1">
        <w:rPr>
          <w:rFonts w:ascii="Times New Roman" w:eastAsia="Calibri" w:hAnsi="Times New Roman" w:cs="Times New Roman"/>
          <w:sz w:val="24"/>
          <w:szCs w:val="24"/>
        </w:rPr>
        <w:t xml:space="preserve"> w przypadku gdy zakłady ubezpieczeń i zakłady reasekuracji zachowują przez cały czas pełną uznaniowość w zakresie wstrzymywania wypłat dotyczących pozycji środków własnych, przez nieograniczony czas oraz na zasadzie niekumulatywnej, a jednocześnie mogą bez ograniczeń wykorzystywać środki z wstrzymanych płatności do zaspokajania swoich wymagalnych zobowiązań. W związku z powyższym w </w:t>
      </w:r>
      <w:r w:rsidR="00AB1420" w:rsidRPr="0069297C">
        <w:rPr>
          <w:rFonts w:ascii="Times New Roman" w:eastAsia="Calibri" w:hAnsi="Times New Roman" w:cs="Times New Roman"/>
          <w:b/>
          <w:sz w:val="24"/>
          <w:szCs w:val="24"/>
        </w:rPr>
        <w:t>ust. 2</w:t>
      </w:r>
      <w:r w:rsidR="00AB1420" w:rsidRPr="00D92FC1">
        <w:rPr>
          <w:rFonts w:ascii="Times New Roman" w:eastAsia="Calibri" w:hAnsi="Times New Roman" w:cs="Times New Roman"/>
          <w:sz w:val="24"/>
          <w:szCs w:val="24"/>
        </w:rPr>
        <w:t xml:space="preserve"> proponuje się, aby umorzenie</w:t>
      </w:r>
      <w:r w:rsidR="00AB1420" w:rsidRPr="00D92FC1">
        <w:rPr>
          <w:rFonts w:ascii="Times New Roman" w:hAnsi="Times New Roman" w:cs="Times New Roman"/>
          <w:sz w:val="24"/>
          <w:szCs w:val="24"/>
        </w:rPr>
        <w:t xml:space="preserve"> </w:t>
      </w:r>
      <w:r w:rsidR="00AB1420" w:rsidRPr="00D92FC1">
        <w:rPr>
          <w:rFonts w:ascii="Times New Roman" w:eastAsia="Calibri" w:hAnsi="Times New Roman" w:cs="Times New Roman"/>
          <w:sz w:val="24"/>
          <w:szCs w:val="24"/>
        </w:rPr>
        <w:t>odsetek z tytułu obligacji kapitałowych nie stanowiło niewykonania, nienależytego wykonania zobowiązania lub zwłoki w wykonaniu zobowiązania przez emitenta obligacji kapitałowych.</w:t>
      </w:r>
    </w:p>
    <w:p w14:paraId="2EA7A16C" w14:textId="321C564F" w:rsidR="00AB1420" w:rsidRDefault="00AB1420" w:rsidP="005E5395">
      <w:pPr>
        <w:spacing w:after="0" w:line="360" w:lineRule="auto"/>
        <w:jc w:val="both"/>
        <w:rPr>
          <w:rFonts w:ascii="Times New Roman" w:hAnsi="Times New Roman" w:cs="Times New Roman"/>
          <w:sz w:val="24"/>
          <w:szCs w:val="24"/>
        </w:rPr>
      </w:pPr>
      <w:r w:rsidRPr="00D92FC1">
        <w:rPr>
          <w:rFonts w:ascii="Times New Roman" w:hAnsi="Times New Roman" w:cs="Times New Roman"/>
          <w:sz w:val="24"/>
          <w:szCs w:val="24"/>
        </w:rPr>
        <w:t xml:space="preserve">Projektowany </w:t>
      </w:r>
      <w:r w:rsidRPr="00D92FC1">
        <w:rPr>
          <w:rFonts w:ascii="Times New Roman" w:hAnsi="Times New Roman" w:cs="Times New Roman"/>
          <w:b/>
          <w:sz w:val="24"/>
          <w:szCs w:val="24"/>
        </w:rPr>
        <w:t>ust. 3</w:t>
      </w:r>
      <w:r w:rsidRPr="00D92FC1">
        <w:rPr>
          <w:rFonts w:ascii="Times New Roman" w:hAnsi="Times New Roman" w:cs="Times New Roman"/>
          <w:sz w:val="24"/>
          <w:szCs w:val="24"/>
        </w:rPr>
        <w:t xml:space="preserve"> </w:t>
      </w:r>
      <w:r w:rsidR="00AC0B8D" w:rsidRPr="008E2C89">
        <w:rPr>
          <w:rFonts w:ascii="Times New Roman" w:hAnsi="Times New Roman" w:cs="Times New Roman"/>
          <w:b/>
          <w:sz w:val="24"/>
          <w:szCs w:val="24"/>
        </w:rPr>
        <w:t>pkt 1 i 2</w:t>
      </w:r>
      <w:r w:rsidR="00AC0B8D">
        <w:rPr>
          <w:rFonts w:ascii="Times New Roman" w:hAnsi="Times New Roman" w:cs="Times New Roman"/>
          <w:sz w:val="24"/>
          <w:szCs w:val="24"/>
        </w:rPr>
        <w:t xml:space="preserve"> </w:t>
      </w:r>
      <w:r w:rsidRPr="00D92FC1">
        <w:rPr>
          <w:rFonts w:ascii="Times New Roman" w:hAnsi="Times New Roman" w:cs="Times New Roman"/>
          <w:sz w:val="24"/>
          <w:szCs w:val="24"/>
        </w:rPr>
        <w:t>dotyczy emisji obligacji kapitałowych wyemitowanych przez zakłady ubezpieczeń i zakłady reasekuracji w celu ich zakwalifikowania do środków własnych jako pozycji podstawowych środków własnych kategorii 1</w:t>
      </w:r>
      <w:r w:rsidR="00AC0B8D">
        <w:rPr>
          <w:rFonts w:ascii="Times New Roman" w:hAnsi="Times New Roman" w:cs="Times New Roman"/>
          <w:sz w:val="24"/>
          <w:szCs w:val="24"/>
        </w:rPr>
        <w:t xml:space="preserve"> albo </w:t>
      </w:r>
      <w:r w:rsidRPr="00D92FC1">
        <w:rPr>
          <w:rFonts w:ascii="Times New Roman" w:hAnsi="Times New Roman" w:cs="Times New Roman"/>
          <w:sz w:val="24"/>
          <w:szCs w:val="24"/>
        </w:rPr>
        <w:t>2</w:t>
      </w:r>
      <w:r w:rsidR="00AC0B8D">
        <w:rPr>
          <w:rFonts w:ascii="Times New Roman" w:hAnsi="Times New Roman" w:cs="Times New Roman"/>
          <w:sz w:val="24"/>
          <w:szCs w:val="24"/>
        </w:rPr>
        <w:t>.</w:t>
      </w:r>
      <w:r w:rsidRPr="00D92FC1">
        <w:rPr>
          <w:rFonts w:ascii="Times New Roman" w:hAnsi="Times New Roman" w:cs="Times New Roman"/>
          <w:sz w:val="24"/>
          <w:szCs w:val="24"/>
        </w:rPr>
        <w:t xml:space="preserve"> </w:t>
      </w:r>
      <w:r w:rsidR="00AC0B8D">
        <w:rPr>
          <w:rFonts w:ascii="Times New Roman" w:hAnsi="Times New Roman" w:cs="Times New Roman"/>
          <w:sz w:val="24"/>
          <w:szCs w:val="24"/>
        </w:rPr>
        <w:t>W</w:t>
      </w:r>
      <w:r w:rsidRPr="00D92FC1">
        <w:rPr>
          <w:rFonts w:ascii="Times New Roman" w:hAnsi="Times New Roman" w:cs="Times New Roman"/>
          <w:sz w:val="24"/>
          <w:szCs w:val="24"/>
        </w:rPr>
        <w:t xml:space="preserve">arunki emisji obligacji kapitałowych będą przewidywać wstrzymanie wypłaty odsetek </w:t>
      </w:r>
      <w:r w:rsidR="005F667F" w:rsidRPr="005F667F">
        <w:rPr>
          <w:rFonts w:ascii="Times New Roman" w:hAnsi="Times New Roman" w:cs="Times New Roman"/>
          <w:sz w:val="24"/>
          <w:szCs w:val="24"/>
        </w:rPr>
        <w:t xml:space="preserve">albo części odsetek </w:t>
      </w:r>
      <w:r w:rsidRPr="00D92FC1">
        <w:rPr>
          <w:rFonts w:ascii="Times New Roman" w:hAnsi="Times New Roman" w:cs="Times New Roman"/>
          <w:sz w:val="24"/>
          <w:szCs w:val="24"/>
        </w:rPr>
        <w:t>w przypadku wystąpienia niezgodności z kapitałowym wymogiem wypłacalności lub gdy wypłata odsetek prowadziłaby do powstania takiej niezgodności do czasu spełnienia kapitałowego wymogu wypłacalności przez emitenta lub w przypadku gdy wypłata odsetek nie będzie prowadziła do powstania niezgodności z kapitałowym wymogiem wypłacalności (odpowiednio art. 71 ust. 1 lit. l ppkt (ii) oraz ust. 9 rozporządzenia delegowanego Komisji (UE) 2015/35, art. 73 ust. 1 lit. g ppkt (ii) oraz ust. 3 rozporządzenia delegowanego Komisji (UE) 2015/35</w:t>
      </w:r>
      <w:r w:rsidR="00ED2919">
        <w:rPr>
          <w:rFonts w:ascii="Times New Roman" w:hAnsi="Times New Roman" w:cs="Times New Roman"/>
          <w:sz w:val="24"/>
          <w:szCs w:val="24"/>
        </w:rPr>
        <w:t>)</w:t>
      </w:r>
      <w:r w:rsidRPr="00D92FC1">
        <w:rPr>
          <w:rFonts w:ascii="Times New Roman" w:hAnsi="Times New Roman" w:cs="Times New Roman"/>
          <w:sz w:val="24"/>
          <w:szCs w:val="24"/>
        </w:rPr>
        <w:t>.</w:t>
      </w:r>
    </w:p>
    <w:p w14:paraId="1FB4114C" w14:textId="624BF884" w:rsidR="00AC0B8D" w:rsidRPr="00D92FC1" w:rsidRDefault="00AC0B8D" w:rsidP="005E5395">
      <w:pPr>
        <w:spacing w:after="120" w:line="360" w:lineRule="auto"/>
        <w:jc w:val="both"/>
        <w:rPr>
          <w:rFonts w:ascii="Times New Roman" w:hAnsi="Times New Roman" w:cs="Times New Roman"/>
          <w:sz w:val="24"/>
          <w:szCs w:val="24"/>
        </w:rPr>
      </w:pPr>
      <w:r w:rsidRPr="00AC0B8D">
        <w:rPr>
          <w:rFonts w:ascii="Times New Roman" w:hAnsi="Times New Roman" w:cs="Times New Roman"/>
          <w:sz w:val="24"/>
          <w:szCs w:val="24"/>
        </w:rPr>
        <w:t xml:space="preserve">Projektowany </w:t>
      </w:r>
      <w:r w:rsidRPr="008E2C89">
        <w:rPr>
          <w:rFonts w:ascii="Times New Roman" w:hAnsi="Times New Roman" w:cs="Times New Roman"/>
          <w:b/>
          <w:sz w:val="24"/>
          <w:szCs w:val="24"/>
        </w:rPr>
        <w:t>ust. 3 pkt 3</w:t>
      </w:r>
      <w:r w:rsidRPr="00AC0B8D">
        <w:rPr>
          <w:rFonts w:ascii="Times New Roman" w:hAnsi="Times New Roman" w:cs="Times New Roman"/>
          <w:sz w:val="24"/>
          <w:szCs w:val="24"/>
        </w:rPr>
        <w:t xml:space="preserve"> dotyczy emisji obligacji kapitałowych wyemitowanych przez zakłady ubezpieczeń i zakłady reasekuracji  w celu ich zakwalifikowania do środków własnych jako pozycji podstawowych środków własnych kategorii 3. W przypadku wystąpienia niezgodności z minimalnym wymogiem kapitałowym lub gdy wypłata odsetek prowadziłaby do powstania takiej niezgodności, zakład ubezpieczeń lub zakład reasekuracji wstrzymuje wypłatę odsetek </w:t>
      </w:r>
      <w:r w:rsidR="005F667F" w:rsidRPr="005F667F">
        <w:rPr>
          <w:rFonts w:ascii="Times New Roman" w:hAnsi="Times New Roman" w:cs="Times New Roman"/>
          <w:sz w:val="24"/>
          <w:szCs w:val="24"/>
        </w:rPr>
        <w:t xml:space="preserve">albo części odsetek </w:t>
      </w:r>
      <w:r w:rsidRPr="00AC0B8D">
        <w:rPr>
          <w:rFonts w:ascii="Times New Roman" w:hAnsi="Times New Roman" w:cs="Times New Roman"/>
          <w:sz w:val="24"/>
          <w:szCs w:val="24"/>
        </w:rPr>
        <w:t xml:space="preserve">do czasu spełnienia minimalnego wymogu kapitałowego przez emitenta lub w przypadku gdy wypłata odsetek nie będzie prowadziła do powstania </w:t>
      </w:r>
      <w:r w:rsidRPr="00AC0B8D">
        <w:rPr>
          <w:rFonts w:ascii="Times New Roman" w:hAnsi="Times New Roman" w:cs="Times New Roman"/>
          <w:sz w:val="24"/>
          <w:szCs w:val="24"/>
        </w:rPr>
        <w:lastRenderedPageBreak/>
        <w:t>niezgodności z minimalnym wymogiem kapitałowym (art. 77 ust. 1 lit. g rozporządzenia delegowanego Komisji (UE) 2015/35).</w:t>
      </w:r>
    </w:p>
    <w:p w14:paraId="6FE88672" w14:textId="77777777" w:rsidR="00AB1420" w:rsidRPr="00D92FC1" w:rsidRDefault="00AB1420" w:rsidP="005E5395">
      <w:pPr>
        <w:spacing w:after="120" w:line="360" w:lineRule="auto"/>
        <w:jc w:val="both"/>
        <w:rPr>
          <w:rFonts w:ascii="Times New Roman" w:hAnsi="Times New Roman" w:cs="Times New Roman"/>
          <w:sz w:val="24"/>
          <w:szCs w:val="24"/>
        </w:rPr>
      </w:pPr>
      <w:r w:rsidRPr="00D92FC1">
        <w:rPr>
          <w:rFonts w:ascii="Times New Roman" w:hAnsi="Times New Roman" w:cs="Times New Roman"/>
          <w:sz w:val="24"/>
          <w:szCs w:val="24"/>
        </w:rPr>
        <w:t>Przepis</w:t>
      </w:r>
      <w:r w:rsidRPr="00D92FC1">
        <w:rPr>
          <w:rFonts w:ascii="Times New Roman" w:hAnsi="Times New Roman" w:cs="Times New Roman"/>
          <w:b/>
          <w:sz w:val="24"/>
          <w:szCs w:val="24"/>
        </w:rPr>
        <w:t xml:space="preserve"> art. 27g</w:t>
      </w:r>
      <w:r w:rsidRPr="00D92FC1">
        <w:rPr>
          <w:rFonts w:ascii="Times New Roman" w:hAnsi="Times New Roman" w:cs="Times New Roman"/>
          <w:sz w:val="24"/>
          <w:szCs w:val="24"/>
        </w:rPr>
        <w:t xml:space="preserve"> dotyczy wymogów związanych z emisją obligacji kapitałowych w formie dokumentu, w tym obowiązków rejestracyjnych w systemie rejestracji zgodnie z art. 5 ust. 1a ustawy o obrocie instrumentami finansowymi. Na potrzeby emitowania obligacji kapitałowych przewidziano wyjątek od zasady dematerializacji, o której mowa w art. 8 ust. 2 ustawy o obligacjach – mają one podlegać dematerializacji w zagranicznych depozytach papierów wartościowych.</w:t>
      </w:r>
    </w:p>
    <w:p w14:paraId="467AB7ED" w14:textId="77777777" w:rsidR="00AB1420" w:rsidRDefault="00AB1420" w:rsidP="005E5395">
      <w:pPr>
        <w:spacing w:after="0" w:line="360" w:lineRule="auto"/>
        <w:jc w:val="both"/>
        <w:rPr>
          <w:rFonts w:ascii="Times New Roman" w:eastAsia="Calibri" w:hAnsi="Times New Roman" w:cs="Times New Roman"/>
          <w:sz w:val="24"/>
          <w:szCs w:val="24"/>
        </w:rPr>
      </w:pPr>
      <w:r w:rsidRPr="00D92FC1">
        <w:rPr>
          <w:rFonts w:ascii="Times New Roman" w:eastAsia="Calibri" w:hAnsi="Times New Roman" w:cs="Times New Roman"/>
          <w:sz w:val="24"/>
          <w:szCs w:val="24"/>
        </w:rPr>
        <w:t xml:space="preserve">Przepis </w:t>
      </w:r>
      <w:r w:rsidRPr="00D92FC1">
        <w:rPr>
          <w:rFonts w:ascii="Times New Roman" w:eastAsia="Calibri" w:hAnsi="Times New Roman" w:cs="Times New Roman"/>
          <w:b/>
          <w:bCs/>
          <w:sz w:val="24"/>
          <w:szCs w:val="24"/>
        </w:rPr>
        <w:t xml:space="preserve">art. 27h </w:t>
      </w:r>
      <w:r w:rsidRPr="00D92FC1">
        <w:rPr>
          <w:rFonts w:ascii="Times New Roman" w:eastAsia="Calibri" w:hAnsi="Times New Roman" w:cs="Times New Roman"/>
          <w:sz w:val="24"/>
          <w:szCs w:val="24"/>
        </w:rPr>
        <w:t xml:space="preserve">określa dodatkowe warunki emisji obligacji kapitałowych w stosunku do wymogów ogólnych zawartych w art. 6 ustawy o obligacjach. Z uwagi na profil ryzyka i złożony charakter tego instrumentu finansowego niezbędne jest, aby warunki emisji w sposób szczegółowy określały czynniki ryzyka związane z określonym mechanizmem pokrycia strat w przypadku wystąpienia przewidzianego w warunkach emisji zdarzenia inicjującego. </w:t>
      </w:r>
    </w:p>
    <w:p w14:paraId="6CEEEA51" w14:textId="0F1CB152" w:rsidR="00AB1420" w:rsidRPr="00D92FC1" w:rsidRDefault="00AB1420" w:rsidP="005E5395">
      <w:pPr>
        <w:spacing w:after="0" w:line="360" w:lineRule="auto"/>
        <w:jc w:val="both"/>
        <w:rPr>
          <w:rFonts w:ascii="Times New Roman" w:eastAsia="Calibri" w:hAnsi="Times New Roman" w:cs="Times New Roman"/>
          <w:sz w:val="24"/>
          <w:szCs w:val="24"/>
        </w:rPr>
      </w:pPr>
      <w:r w:rsidRPr="00D92FC1">
        <w:rPr>
          <w:rFonts w:ascii="Times New Roman" w:eastAsia="Calibri" w:hAnsi="Times New Roman" w:cs="Times New Roman"/>
          <w:sz w:val="24"/>
          <w:szCs w:val="24"/>
        </w:rPr>
        <w:t xml:space="preserve">Zgodnie z </w:t>
      </w:r>
      <w:r w:rsidRPr="00D92FC1">
        <w:rPr>
          <w:rFonts w:ascii="Times New Roman" w:eastAsia="Calibri" w:hAnsi="Times New Roman" w:cs="Times New Roman"/>
          <w:b/>
          <w:sz w:val="24"/>
          <w:szCs w:val="24"/>
        </w:rPr>
        <w:t>ust. 1</w:t>
      </w:r>
      <w:r w:rsidRPr="00D92FC1">
        <w:rPr>
          <w:rFonts w:ascii="Times New Roman" w:eastAsia="Calibri" w:hAnsi="Times New Roman" w:cs="Times New Roman"/>
          <w:sz w:val="24"/>
          <w:szCs w:val="24"/>
        </w:rPr>
        <w:t xml:space="preserve"> warunki emisji będą w sposób szczegółowy określać – zgodnie z rozporządzeniem nr 575/2013 albo rozporządzeniem </w:t>
      </w:r>
      <w:r w:rsidRPr="00D92FC1">
        <w:rPr>
          <w:rFonts w:ascii="Times New Roman" w:hAnsi="Times New Roman" w:cs="Times New Roman"/>
          <w:sz w:val="24"/>
          <w:szCs w:val="24"/>
        </w:rPr>
        <w:t xml:space="preserve">delegowanym Komisji (UE) </w:t>
      </w:r>
      <w:r w:rsidRPr="00D92FC1">
        <w:rPr>
          <w:rFonts w:ascii="Times New Roman" w:eastAsia="Calibri" w:hAnsi="Times New Roman" w:cs="Times New Roman"/>
          <w:sz w:val="24"/>
          <w:szCs w:val="24"/>
        </w:rPr>
        <w:t>2015/35 – uprawnienia emitenta do umorzenia obligacji w formie odpisu trwałego albo odpisu tymczasowego obniżającego wartość nominalną obligacji kapitałowej lub do konwersji obligacji kapitałowych na akcje w przypadku wystąpienia zdarzenia inicjującego określonego w warunkach emisji</w:t>
      </w:r>
      <w:r w:rsidR="00AC0B8D">
        <w:rPr>
          <w:rFonts w:ascii="Times New Roman" w:eastAsia="Calibri" w:hAnsi="Times New Roman" w:cs="Times New Roman"/>
          <w:sz w:val="24"/>
          <w:szCs w:val="24"/>
        </w:rPr>
        <w:t>.</w:t>
      </w:r>
      <w:r w:rsidRPr="00D92FC1">
        <w:rPr>
          <w:rFonts w:ascii="Times New Roman" w:eastAsia="Calibri" w:hAnsi="Times New Roman" w:cs="Times New Roman"/>
          <w:sz w:val="24"/>
          <w:szCs w:val="24"/>
        </w:rPr>
        <w:t xml:space="preserve"> </w:t>
      </w:r>
      <w:r w:rsidR="00AC0B8D">
        <w:rPr>
          <w:rFonts w:ascii="Times New Roman" w:eastAsia="Calibri" w:hAnsi="Times New Roman" w:cs="Times New Roman"/>
          <w:sz w:val="24"/>
          <w:szCs w:val="24"/>
        </w:rPr>
        <w:t>W</w:t>
      </w:r>
      <w:r w:rsidRPr="00D92FC1">
        <w:rPr>
          <w:rFonts w:ascii="Times New Roman" w:eastAsia="Calibri" w:hAnsi="Times New Roman" w:cs="Times New Roman"/>
          <w:sz w:val="24"/>
          <w:szCs w:val="24"/>
        </w:rPr>
        <w:t xml:space="preserve"> przypadku zakładów ubezpieczeń i zakładów reasekuracji </w:t>
      </w:r>
      <w:r w:rsidR="00AC0B8D" w:rsidRPr="00AC0B8D">
        <w:rPr>
          <w:rFonts w:ascii="Times New Roman" w:eastAsia="Calibri" w:hAnsi="Times New Roman" w:cs="Times New Roman"/>
          <w:sz w:val="24"/>
          <w:szCs w:val="24"/>
        </w:rPr>
        <w:t>dokonujących emisji obligacji kapitałowych w celu zakwalifikowania ich do środków własnych jako pozycji podstawowych środków własnych kategorii 1 warunki emisji będą szczegółowo określać zdarzenie inicjujące, o którym mowa w art. 71 ust. 8 rozporządzenia delegowanego Komisji (UE)</w:t>
      </w:r>
      <w:r w:rsidR="00B24AD9">
        <w:rPr>
          <w:rFonts w:ascii="Times New Roman" w:eastAsia="Calibri" w:hAnsi="Times New Roman" w:cs="Times New Roman"/>
          <w:sz w:val="24"/>
          <w:szCs w:val="24"/>
        </w:rPr>
        <w:t>,</w:t>
      </w:r>
      <w:r w:rsidR="00AC0B8D" w:rsidRPr="00AC0B8D">
        <w:rPr>
          <w:rFonts w:ascii="Times New Roman" w:eastAsia="Calibri" w:hAnsi="Times New Roman" w:cs="Times New Roman"/>
          <w:sz w:val="24"/>
          <w:szCs w:val="24"/>
        </w:rPr>
        <w:t xml:space="preserve"> oraz mechanizm pokrywania strat stosowany w przypadku wystąpienia zdarzenia inicjującego.</w:t>
      </w:r>
    </w:p>
    <w:p w14:paraId="7B32E286" w14:textId="77FE9A14" w:rsidR="003A2318" w:rsidRPr="001F0077" w:rsidRDefault="00AB1420" w:rsidP="005E5395">
      <w:pPr>
        <w:spacing w:after="0" w:line="360" w:lineRule="auto"/>
        <w:jc w:val="both"/>
        <w:rPr>
          <w:rFonts w:ascii="Times New Roman" w:eastAsia="Calibri" w:hAnsi="Times New Roman" w:cs="Times New Roman"/>
          <w:sz w:val="24"/>
          <w:szCs w:val="24"/>
        </w:rPr>
      </w:pPr>
      <w:r w:rsidRPr="001F0077">
        <w:rPr>
          <w:rFonts w:ascii="Times New Roman" w:eastAsia="Calibri" w:hAnsi="Times New Roman" w:cs="Times New Roman"/>
          <w:sz w:val="24"/>
          <w:szCs w:val="24"/>
        </w:rPr>
        <w:t>Warunki emisji będą także określać uprawnienie emitenta do umorzenia wszystkich odsetek albo odsetek za dany okres odsetkowy (</w:t>
      </w:r>
      <w:r w:rsidRPr="001F0077">
        <w:rPr>
          <w:rFonts w:ascii="Times New Roman" w:eastAsia="Calibri" w:hAnsi="Times New Roman" w:cs="Times New Roman"/>
          <w:i/>
          <w:iCs/>
          <w:sz w:val="24"/>
          <w:szCs w:val="24"/>
        </w:rPr>
        <w:t>c</w:t>
      </w:r>
      <w:r w:rsidR="003A2318" w:rsidRPr="001F0077">
        <w:rPr>
          <w:rFonts w:ascii="Times New Roman" w:eastAsia="Calibri" w:hAnsi="Times New Roman" w:cs="Times New Roman"/>
          <w:i/>
          <w:iCs/>
          <w:sz w:val="24"/>
          <w:szCs w:val="24"/>
        </w:rPr>
        <w:t>o</w:t>
      </w:r>
      <w:r w:rsidRPr="001F0077">
        <w:rPr>
          <w:rFonts w:ascii="Times New Roman" w:eastAsia="Calibri" w:hAnsi="Times New Roman" w:cs="Times New Roman"/>
          <w:i/>
          <w:iCs/>
          <w:sz w:val="24"/>
          <w:szCs w:val="24"/>
        </w:rPr>
        <w:t>upon defferal</w:t>
      </w:r>
      <w:r w:rsidRPr="001F0077">
        <w:rPr>
          <w:rFonts w:ascii="Times New Roman" w:eastAsia="Calibri" w:hAnsi="Times New Roman" w:cs="Times New Roman"/>
          <w:sz w:val="24"/>
          <w:szCs w:val="24"/>
        </w:rPr>
        <w:t xml:space="preserve">) wynikające z art. 52 ust. 1 lit. l (iii) rozporządzenia nr 575/2013 oraz określać zasady, na których takie umorzenie nastąpi. W przypadku zakładów ubezpieczeń i zakładów reasekuracji uprawnienie to wynika z art. 71 ust. 1 lit. n oraz ust. 4 lit. b, e i f rozporządzenia </w:t>
      </w:r>
      <w:r w:rsidRPr="001F0077">
        <w:rPr>
          <w:rFonts w:ascii="Times New Roman" w:hAnsi="Times New Roman" w:cs="Times New Roman"/>
          <w:sz w:val="24"/>
          <w:szCs w:val="24"/>
        </w:rPr>
        <w:t xml:space="preserve">delegowanego Komisji (UE) </w:t>
      </w:r>
      <w:r w:rsidRPr="001F0077">
        <w:rPr>
          <w:rFonts w:ascii="Times New Roman" w:eastAsia="Calibri" w:hAnsi="Times New Roman" w:cs="Times New Roman"/>
          <w:sz w:val="24"/>
          <w:szCs w:val="24"/>
        </w:rPr>
        <w:t xml:space="preserve">2015/35. </w:t>
      </w:r>
    </w:p>
    <w:p w14:paraId="24A022DC" w14:textId="6A29267D" w:rsidR="00AB1420" w:rsidRPr="00D92FC1" w:rsidRDefault="00AB1420" w:rsidP="005E5395">
      <w:pPr>
        <w:spacing w:after="0" w:line="360" w:lineRule="auto"/>
        <w:jc w:val="both"/>
        <w:rPr>
          <w:rFonts w:ascii="Times New Roman" w:eastAsia="Calibri" w:hAnsi="Times New Roman" w:cs="Times New Roman"/>
          <w:sz w:val="24"/>
          <w:szCs w:val="24"/>
        </w:rPr>
      </w:pPr>
      <w:r w:rsidRPr="00D92FC1">
        <w:rPr>
          <w:rFonts w:ascii="Times New Roman" w:eastAsia="Calibri" w:hAnsi="Times New Roman" w:cs="Times New Roman"/>
          <w:sz w:val="24"/>
          <w:szCs w:val="24"/>
        </w:rPr>
        <w:t xml:space="preserve">Warunki emisji będą zawierały informację dotyczącą </w:t>
      </w:r>
      <w:r w:rsidR="00431DE0">
        <w:rPr>
          <w:rFonts w:ascii="Times New Roman" w:eastAsia="Calibri" w:hAnsi="Times New Roman" w:cs="Times New Roman"/>
          <w:sz w:val="24"/>
          <w:szCs w:val="24"/>
        </w:rPr>
        <w:t>skutków</w:t>
      </w:r>
      <w:r w:rsidRPr="00D92FC1">
        <w:rPr>
          <w:rFonts w:ascii="Times New Roman" w:eastAsia="Calibri" w:hAnsi="Times New Roman" w:cs="Times New Roman"/>
          <w:sz w:val="24"/>
          <w:szCs w:val="24"/>
        </w:rPr>
        <w:t>, w tym informację o możliwości wykupu przez emitenta, odmowy wydania zezwolenia KNF na zakwalifikowanie obligacji kapitałowych do funduszy własnych, zgodnie z art. 52 rozporządzenia nr 575/2013</w:t>
      </w:r>
      <w:r w:rsidRPr="00D92FC1">
        <w:rPr>
          <w:rFonts w:ascii="Times New Roman" w:hAnsi="Times New Roman" w:cs="Times New Roman"/>
          <w:sz w:val="24"/>
          <w:szCs w:val="24"/>
        </w:rPr>
        <w:t xml:space="preserve"> </w:t>
      </w:r>
      <w:r w:rsidR="00973120" w:rsidRPr="00D92FC1">
        <w:rPr>
          <w:rFonts w:ascii="Times New Roman" w:hAnsi="Times New Roman" w:cs="Times New Roman"/>
          <w:sz w:val="24"/>
          <w:szCs w:val="24"/>
        </w:rPr>
        <w:t>–</w:t>
      </w:r>
      <w:r w:rsidRPr="00D92FC1">
        <w:rPr>
          <w:rFonts w:ascii="Times New Roman" w:hAnsi="Times New Roman" w:cs="Times New Roman"/>
          <w:sz w:val="24"/>
          <w:szCs w:val="24"/>
        </w:rPr>
        <w:t xml:space="preserve"> </w:t>
      </w:r>
      <w:r w:rsidRPr="00D92FC1">
        <w:rPr>
          <w:rFonts w:ascii="Times New Roman" w:eastAsia="Calibri" w:hAnsi="Times New Roman" w:cs="Times New Roman"/>
          <w:sz w:val="24"/>
          <w:szCs w:val="24"/>
        </w:rPr>
        <w:t>o ile emitent przewiduje taki wykup</w:t>
      </w:r>
      <w:r w:rsidR="00425653">
        <w:rPr>
          <w:rFonts w:ascii="Times New Roman" w:eastAsia="Calibri" w:hAnsi="Times New Roman" w:cs="Times New Roman"/>
          <w:sz w:val="24"/>
          <w:szCs w:val="24"/>
        </w:rPr>
        <w:t xml:space="preserve"> (</w:t>
      </w:r>
      <w:r w:rsidR="00425653" w:rsidRPr="0069297C">
        <w:rPr>
          <w:rFonts w:ascii="Times New Roman" w:eastAsia="Calibri" w:hAnsi="Times New Roman" w:cs="Times New Roman"/>
          <w:b/>
          <w:sz w:val="24"/>
          <w:szCs w:val="24"/>
        </w:rPr>
        <w:t>ust. 2</w:t>
      </w:r>
      <w:r w:rsidR="00425653">
        <w:rPr>
          <w:rFonts w:ascii="Times New Roman" w:eastAsia="Calibri" w:hAnsi="Times New Roman" w:cs="Times New Roman"/>
          <w:sz w:val="24"/>
          <w:szCs w:val="24"/>
        </w:rPr>
        <w:t>)</w:t>
      </w:r>
      <w:r w:rsidRPr="00D92FC1">
        <w:rPr>
          <w:rFonts w:ascii="Times New Roman" w:eastAsia="Calibri" w:hAnsi="Times New Roman" w:cs="Times New Roman"/>
          <w:sz w:val="24"/>
          <w:szCs w:val="24"/>
        </w:rPr>
        <w:t>.</w:t>
      </w:r>
    </w:p>
    <w:p w14:paraId="2E660819" w14:textId="44F5059D" w:rsidR="00AB1420" w:rsidRPr="00D92FC1" w:rsidRDefault="00AB1420" w:rsidP="005E5395">
      <w:pPr>
        <w:spacing w:after="0" w:line="360" w:lineRule="auto"/>
        <w:jc w:val="both"/>
        <w:rPr>
          <w:rFonts w:ascii="Times New Roman" w:hAnsi="Times New Roman" w:cs="Times New Roman"/>
          <w:sz w:val="24"/>
          <w:szCs w:val="24"/>
        </w:rPr>
      </w:pPr>
      <w:r w:rsidRPr="00D92FC1">
        <w:rPr>
          <w:rFonts w:ascii="Times New Roman" w:hAnsi="Times New Roman" w:cs="Times New Roman"/>
          <w:sz w:val="24"/>
          <w:szCs w:val="24"/>
        </w:rPr>
        <w:lastRenderedPageBreak/>
        <w:t xml:space="preserve">Przepis </w:t>
      </w:r>
      <w:r w:rsidRPr="00D92FC1">
        <w:rPr>
          <w:rFonts w:ascii="Times New Roman" w:hAnsi="Times New Roman" w:cs="Times New Roman"/>
          <w:b/>
          <w:sz w:val="24"/>
          <w:szCs w:val="24"/>
        </w:rPr>
        <w:t xml:space="preserve">ust. </w:t>
      </w:r>
      <w:r w:rsidR="00425653">
        <w:rPr>
          <w:rFonts w:ascii="Times New Roman" w:hAnsi="Times New Roman" w:cs="Times New Roman"/>
          <w:b/>
          <w:sz w:val="24"/>
          <w:szCs w:val="24"/>
        </w:rPr>
        <w:t>3</w:t>
      </w:r>
      <w:r w:rsidR="00425653" w:rsidRPr="00D92FC1">
        <w:rPr>
          <w:rFonts w:ascii="Times New Roman" w:hAnsi="Times New Roman" w:cs="Times New Roman"/>
          <w:b/>
          <w:sz w:val="24"/>
          <w:szCs w:val="24"/>
        </w:rPr>
        <w:t xml:space="preserve"> </w:t>
      </w:r>
      <w:r w:rsidRPr="00D92FC1">
        <w:rPr>
          <w:rFonts w:ascii="Times New Roman" w:hAnsi="Times New Roman" w:cs="Times New Roman"/>
          <w:sz w:val="24"/>
          <w:szCs w:val="24"/>
        </w:rPr>
        <w:t>przewiduje, że warunki emisji obligacji kapitałowych mogą określać zasady i kryteria podwyższenia wartości nominalnej obligacji kapitałowych w przypadku, ich umorzenia, w formie odpisu trwałego albo odpisu tymczasowego, obniżających w części wartość nominalną obligacji kapitałowej albo dokonania odliczeń obniżających w części wartość nominalną obligacji kapitałowej, w następstwie wystąpienia zdarzenia inicjującego. Przepis precyzuje, że podwyższenie wartości nominalnej takich obligacji nie może przewyższać ich wartości nominalnej z dnia emisji.</w:t>
      </w:r>
    </w:p>
    <w:p w14:paraId="1B516713" w14:textId="77777777" w:rsidR="00AB1420" w:rsidRPr="00D92FC1" w:rsidRDefault="00AB1420" w:rsidP="005E5395">
      <w:pPr>
        <w:spacing w:after="0" w:line="360" w:lineRule="auto"/>
        <w:jc w:val="both"/>
        <w:rPr>
          <w:rFonts w:ascii="Times New Roman" w:hAnsi="Times New Roman" w:cs="Times New Roman"/>
          <w:sz w:val="24"/>
          <w:szCs w:val="24"/>
        </w:rPr>
      </w:pPr>
      <w:r w:rsidRPr="00D92FC1">
        <w:rPr>
          <w:rFonts w:ascii="Times New Roman" w:hAnsi="Times New Roman" w:cs="Times New Roman"/>
          <w:sz w:val="24"/>
          <w:szCs w:val="24"/>
        </w:rPr>
        <w:t xml:space="preserve">Istotne wytyczne, którymi powinien kierować się emitent będący bankiem krajowym albo domem maklerskim, określa w szczególności art. 21 rozporządzenia delegowanego Komisji (UE) nr 241/2014 z dnia 7 stycznia 2014 r. uzupełniającego rozporządzenie Parlamentu Europejskiego i Rady (UE) nr 575/2013 w odniesieniu do regulacyjnych standardów technicznych dotyczących wymogów w zakresie funduszy własnych obowiązujących instytucje (Dz. Urz. </w:t>
      </w:r>
      <w:r w:rsidRPr="00D92FC1">
        <w:rPr>
          <w:rStyle w:val="st"/>
          <w:rFonts w:ascii="Times New Roman" w:hAnsi="Times New Roman" w:cs="Times New Roman"/>
          <w:sz w:val="24"/>
          <w:szCs w:val="24"/>
        </w:rPr>
        <w:t>UE. L. 74 z 14.03.</w:t>
      </w:r>
      <w:r w:rsidRPr="00D92FC1">
        <w:rPr>
          <w:rStyle w:val="Uwydatnienie"/>
          <w:rFonts w:ascii="Times New Roman" w:hAnsi="Times New Roman" w:cs="Times New Roman"/>
          <w:i w:val="0"/>
          <w:sz w:val="24"/>
          <w:szCs w:val="24"/>
        </w:rPr>
        <w:t>2014, str. 8, z późn. zm.)</w:t>
      </w:r>
      <w:r w:rsidRPr="00D92FC1">
        <w:rPr>
          <w:rFonts w:ascii="Times New Roman" w:hAnsi="Times New Roman" w:cs="Times New Roman"/>
          <w:sz w:val="24"/>
          <w:szCs w:val="24"/>
        </w:rPr>
        <w:t>.</w:t>
      </w:r>
    </w:p>
    <w:p w14:paraId="1CEBFC07" w14:textId="77777777" w:rsidR="00AB1420" w:rsidRDefault="00AB1420" w:rsidP="005E5395">
      <w:pPr>
        <w:spacing w:after="120" w:line="360" w:lineRule="auto"/>
        <w:jc w:val="both"/>
        <w:rPr>
          <w:rFonts w:ascii="Times New Roman" w:hAnsi="Times New Roman" w:cs="Times New Roman"/>
          <w:sz w:val="24"/>
          <w:szCs w:val="24"/>
        </w:rPr>
      </w:pPr>
      <w:r w:rsidRPr="00D92FC1">
        <w:rPr>
          <w:rFonts w:ascii="Times New Roman" w:hAnsi="Times New Roman" w:cs="Times New Roman"/>
          <w:sz w:val="24"/>
          <w:szCs w:val="24"/>
        </w:rPr>
        <w:t xml:space="preserve">W przypadku zakładów ubezpieczeń i zakładów reasekuracji taka możliwość wynika z wytycznych Europejskiego </w:t>
      </w:r>
      <w:r w:rsidRPr="00D92FC1">
        <w:rPr>
          <w:rStyle w:val="st"/>
          <w:rFonts w:ascii="Times New Roman" w:hAnsi="Times New Roman" w:cs="Times New Roman"/>
          <w:sz w:val="24"/>
          <w:szCs w:val="24"/>
        </w:rPr>
        <w:t>Urzędu Nadzoru Ubezpieczeń i Pracowniczych Programów Emerytalnych</w:t>
      </w:r>
      <w:r w:rsidRPr="00D92FC1">
        <w:rPr>
          <w:rFonts w:ascii="Times New Roman" w:hAnsi="Times New Roman" w:cs="Times New Roman"/>
          <w:sz w:val="24"/>
          <w:szCs w:val="24"/>
        </w:rPr>
        <w:t xml:space="preserve"> (EIOPA) – „Wytyczne w sprawie klasyfikacji środków własnych” (EIOPA-BoS-14/168 PL)</w:t>
      </w:r>
      <w:r w:rsidRPr="00D92FC1">
        <w:rPr>
          <w:rFonts w:ascii="Times New Roman" w:hAnsi="Times New Roman" w:cs="Times New Roman"/>
          <w:sz w:val="24"/>
          <w:szCs w:val="24"/>
          <w:vertAlign w:val="superscript"/>
        </w:rPr>
        <w:footnoteReference w:id="2"/>
      </w:r>
      <w:r w:rsidRPr="00D92FC1">
        <w:rPr>
          <w:rFonts w:ascii="Times New Roman" w:hAnsi="Times New Roman" w:cs="Times New Roman"/>
          <w:sz w:val="24"/>
          <w:szCs w:val="24"/>
        </w:rPr>
        <w:t>.</w:t>
      </w:r>
    </w:p>
    <w:p w14:paraId="73EA237A" w14:textId="12611FB4" w:rsidR="001677EF" w:rsidRPr="004B2BBC" w:rsidRDefault="004B2BBC" w:rsidP="005E5395">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Zgodnie z </w:t>
      </w:r>
      <w:r w:rsidRPr="008E2C89">
        <w:rPr>
          <w:rFonts w:ascii="Times New Roman" w:hAnsi="Times New Roman" w:cs="Times New Roman"/>
          <w:b/>
          <w:sz w:val="24"/>
          <w:szCs w:val="24"/>
        </w:rPr>
        <w:t>a</w:t>
      </w:r>
      <w:r w:rsidR="001677EF" w:rsidRPr="008E2C89">
        <w:rPr>
          <w:rFonts w:ascii="Times New Roman" w:hAnsi="Times New Roman" w:cs="Times New Roman"/>
          <w:b/>
          <w:sz w:val="24"/>
          <w:szCs w:val="24"/>
        </w:rPr>
        <w:t>rt. 27i</w:t>
      </w:r>
      <w:r>
        <w:rPr>
          <w:rFonts w:ascii="Times New Roman" w:hAnsi="Times New Roman" w:cs="Times New Roman"/>
          <w:b/>
          <w:sz w:val="24"/>
          <w:szCs w:val="24"/>
        </w:rPr>
        <w:t xml:space="preserve"> </w:t>
      </w:r>
      <w:r>
        <w:rPr>
          <w:rFonts w:ascii="Times New Roman" w:hAnsi="Times New Roman" w:cs="Times New Roman"/>
          <w:sz w:val="24"/>
          <w:szCs w:val="24"/>
        </w:rPr>
        <w:t>emitent obligacji kapitałowych, o których mowa w art. 27a pkt 1 lit b, może w warunkach emisji wprowadzić mechanizm pokrywania strat</w:t>
      </w:r>
      <w:r w:rsidR="00E813A0">
        <w:rPr>
          <w:rFonts w:ascii="Times New Roman" w:hAnsi="Times New Roman" w:cs="Times New Roman"/>
          <w:sz w:val="24"/>
          <w:szCs w:val="24"/>
        </w:rPr>
        <w:t>,</w:t>
      </w:r>
      <w:r w:rsidRPr="004B2BBC">
        <w:t xml:space="preserve"> </w:t>
      </w:r>
      <w:r w:rsidRPr="004B2BBC">
        <w:rPr>
          <w:rFonts w:ascii="Times New Roman" w:hAnsi="Times New Roman" w:cs="Times New Roman"/>
          <w:sz w:val="24"/>
          <w:szCs w:val="24"/>
        </w:rPr>
        <w:t>o którym mowa w art. 27h ust. 1 pkt 2 lit</w:t>
      </w:r>
      <w:r w:rsidR="00E813A0">
        <w:rPr>
          <w:rFonts w:ascii="Times New Roman" w:hAnsi="Times New Roman" w:cs="Times New Roman"/>
          <w:sz w:val="24"/>
          <w:szCs w:val="24"/>
        </w:rPr>
        <w:t xml:space="preserve">, </w:t>
      </w:r>
      <w:r>
        <w:rPr>
          <w:rFonts w:ascii="Times New Roman" w:hAnsi="Times New Roman" w:cs="Times New Roman"/>
          <w:sz w:val="24"/>
          <w:szCs w:val="24"/>
        </w:rPr>
        <w:t xml:space="preserve">albo </w:t>
      </w:r>
      <w:r w:rsidRPr="004B2BBC">
        <w:rPr>
          <w:rFonts w:ascii="Times New Roman" w:hAnsi="Times New Roman" w:cs="Times New Roman"/>
          <w:sz w:val="24"/>
          <w:szCs w:val="24"/>
        </w:rPr>
        <w:t>przewidzieć uprawnienie do umorzenia odsetek albo część odsetek z tytułu obligacji kapitałowych, o którym mowa w art. 27f ust. 1</w:t>
      </w:r>
      <w:r w:rsidR="00E813A0">
        <w:rPr>
          <w:rFonts w:ascii="Times New Roman" w:hAnsi="Times New Roman" w:cs="Times New Roman"/>
          <w:sz w:val="24"/>
          <w:szCs w:val="24"/>
        </w:rPr>
        <w:t xml:space="preserve">; może także </w:t>
      </w:r>
      <w:r w:rsidRPr="004B2BBC">
        <w:rPr>
          <w:rFonts w:ascii="Times New Roman" w:hAnsi="Times New Roman" w:cs="Times New Roman"/>
          <w:sz w:val="24"/>
          <w:szCs w:val="24"/>
        </w:rPr>
        <w:t xml:space="preserve">zawrzeć informację o możliwości wykupu obligacji kapitałowych w przypadku odmowy wydania przez </w:t>
      </w:r>
      <w:r w:rsidR="00866C1A">
        <w:rPr>
          <w:rFonts w:ascii="Times New Roman" w:hAnsi="Times New Roman" w:cs="Times New Roman"/>
          <w:sz w:val="24"/>
          <w:szCs w:val="24"/>
        </w:rPr>
        <w:t xml:space="preserve">KNF  </w:t>
      </w:r>
      <w:r w:rsidRPr="004B2BBC">
        <w:rPr>
          <w:rFonts w:ascii="Times New Roman" w:hAnsi="Times New Roman" w:cs="Times New Roman"/>
          <w:sz w:val="24"/>
          <w:szCs w:val="24"/>
        </w:rPr>
        <w:t xml:space="preserve">zezwolenia na zakwalifikowanie obligacji kapitałowych do funduszy własnych, zgodnie z art. 63 rozporządzenia nr 575/2013 </w:t>
      </w:r>
      <w:r w:rsidR="00973120" w:rsidRPr="00D92FC1">
        <w:rPr>
          <w:rFonts w:ascii="Times New Roman" w:hAnsi="Times New Roman" w:cs="Times New Roman"/>
          <w:sz w:val="24"/>
          <w:szCs w:val="24"/>
        </w:rPr>
        <w:t>–</w:t>
      </w:r>
      <w:r w:rsidRPr="004B2BBC">
        <w:rPr>
          <w:rFonts w:ascii="Times New Roman" w:hAnsi="Times New Roman" w:cs="Times New Roman"/>
          <w:sz w:val="24"/>
          <w:szCs w:val="24"/>
        </w:rPr>
        <w:t xml:space="preserve"> jeżeli przewiduje wykup</w:t>
      </w:r>
      <w:r>
        <w:rPr>
          <w:rFonts w:ascii="Times New Roman" w:hAnsi="Times New Roman" w:cs="Times New Roman"/>
          <w:sz w:val="24"/>
          <w:szCs w:val="24"/>
        </w:rPr>
        <w:t xml:space="preserve">. </w:t>
      </w:r>
      <w:r w:rsidRPr="004B2BBC">
        <w:rPr>
          <w:rFonts w:ascii="Times New Roman" w:hAnsi="Times New Roman" w:cs="Times New Roman"/>
          <w:sz w:val="24"/>
          <w:szCs w:val="24"/>
        </w:rPr>
        <w:t>W przypadku gdy emitent obligacji kapitałowych, o których mowa w art. 27a pkt 1 lit. b, wprowadził w warunkach emisji mechanizm pokrywania strat, o którym mowa w art. 27h ust. 1 pkt 2 lit. a, obowiązany jest do określenia w warunkach emisji zdarzenia inicjującego, o którym mowa w art. 27h ust. 1 pkt 1. Jeżeli w warunkach emisji wprowadzono  mechanizm pokrywania strat, o którym mowa w art. 27h ust. 1 lit. a tiret pierwsze, w warunkach emisji można określić zasady i kryteria podwyższenia wartości nominalnej obligacji kapitałowych, o których mowa w art. 27h ust. 43 pkt 1.</w:t>
      </w:r>
    </w:p>
    <w:p w14:paraId="0D768A5E" w14:textId="3F409E44" w:rsidR="001677EF" w:rsidRPr="00D92FC1" w:rsidRDefault="004B2BBC" w:rsidP="005E5395">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Zgodnie z projektowanym </w:t>
      </w:r>
      <w:r w:rsidRPr="008E2C89">
        <w:rPr>
          <w:rFonts w:ascii="Times New Roman" w:hAnsi="Times New Roman" w:cs="Times New Roman"/>
          <w:b/>
          <w:sz w:val="24"/>
          <w:szCs w:val="24"/>
        </w:rPr>
        <w:t>a</w:t>
      </w:r>
      <w:r w:rsidR="001677EF" w:rsidRPr="008E2C89">
        <w:rPr>
          <w:rFonts w:ascii="Times New Roman" w:hAnsi="Times New Roman" w:cs="Times New Roman"/>
          <w:b/>
          <w:sz w:val="24"/>
          <w:szCs w:val="24"/>
        </w:rPr>
        <w:t>rt. 27j</w:t>
      </w:r>
      <w:r>
        <w:rPr>
          <w:rFonts w:ascii="Times New Roman" w:hAnsi="Times New Roman" w:cs="Times New Roman"/>
          <w:b/>
          <w:sz w:val="24"/>
          <w:szCs w:val="24"/>
        </w:rPr>
        <w:t xml:space="preserve"> </w:t>
      </w:r>
      <w:r w:rsidRPr="00DE6AD6">
        <w:rPr>
          <w:rFonts w:ascii="Times New Roman" w:hAnsi="Times New Roman" w:cs="Times New Roman"/>
          <w:sz w:val="24"/>
          <w:szCs w:val="24"/>
        </w:rPr>
        <w:t>w</w:t>
      </w:r>
      <w:r w:rsidRPr="008E2C89">
        <w:rPr>
          <w:rFonts w:ascii="Times New Roman" w:hAnsi="Times New Roman" w:cs="Times New Roman"/>
          <w:sz w:val="24"/>
          <w:szCs w:val="24"/>
        </w:rPr>
        <w:t xml:space="preserve"> przypadku gdy emitent obligacji kapitałowych zastrzega sobie w warunkach emisji uprawnienie do umorzenia odsetek albo część odsetek z tytułu obligacji kapitałowych, o którym mowa w art. 27f ust. 1, warunki emisji zawierają opis ryzyka związanego z umorzeniem odsetek</w:t>
      </w:r>
    </w:p>
    <w:p w14:paraId="24304DE5" w14:textId="4735CCDB" w:rsidR="00AB1420" w:rsidRPr="00D92FC1" w:rsidRDefault="00AB1420" w:rsidP="005E5395">
      <w:pPr>
        <w:spacing w:after="0" w:line="360" w:lineRule="auto"/>
        <w:jc w:val="both"/>
        <w:rPr>
          <w:rStyle w:val="Uwydatnienie"/>
          <w:rFonts w:ascii="Times New Roman" w:hAnsi="Times New Roman" w:cs="Times New Roman"/>
          <w:i w:val="0"/>
          <w:sz w:val="24"/>
          <w:szCs w:val="24"/>
        </w:rPr>
      </w:pPr>
      <w:r w:rsidRPr="00D92FC1">
        <w:rPr>
          <w:rFonts w:ascii="Times New Roman" w:hAnsi="Times New Roman" w:cs="Times New Roman"/>
          <w:sz w:val="24"/>
          <w:szCs w:val="24"/>
        </w:rPr>
        <w:t>Projektowany</w:t>
      </w:r>
      <w:r w:rsidRPr="00D92FC1">
        <w:rPr>
          <w:rFonts w:ascii="Times New Roman" w:hAnsi="Times New Roman" w:cs="Times New Roman"/>
          <w:b/>
          <w:sz w:val="24"/>
          <w:szCs w:val="24"/>
        </w:rPr>
        <w:t xml:space="preserve"> art. 27</w:t>
      </w:r>
      <w:r w:rsidR="001677EF">
        <w:rPr>
          <w:rFonts w:ascii="Times New Roman" w:hAnsi="Times New Roman" w:cs="Times New Roman"/>
          <w:b/>
          <w:sz w:val="24"/>
          <w:szCs w:val="24"/>
        </w:rPr>
        <w:t>k</w:t>
      </w:r>
      <w:r w:rsidRPr="00D92FC1">
        <w:rPr>
          <w:rFonts w:ascii="Times New Roman" w:hAnsi="Times New Roman" w:cs="Times New Roman"/>
          <w:b/>
          <w:sz w:val="24"/>
          <w:szCs w:val="24"/>
        </w:rPr>
        <w:t xml:space="preserve"> ust. 1 </w:t>
      </w:r>
      <w:r w:rsidRPr="00D92FC1">
        <w:rPr>
          <w:rFonts w:ascii="Times New Roman" w:hAnsi="Times New Roman" w:cs="Times New Roman"/>
          <w:sz w:val="24"/>
          <w:szCs w:val="24"/>
        </w:rPr>
        <w:t>zapewnia możliwość automatycznej absorpcji strat w wyniku dokonania przez bank krajowy albo dom maklerski odpisu trwałego albo tymczasowego obniżającego wartość nominalną obligacji kapitałowej w całości lub w części (</w:t>
      </w:r>
      <w:r w:rsidRPr="00D92FC1">
        <w:rPr>
          <w:rFonts w:ascii="Times New Roman" w:hAnsi="Times New Roman" w:cs="Times New Roman"/>
          <w:i/>
          <w:sz w:val="24"/>
          <w:szCs w:val="24"/>
        </w:rPr>
        <w:t>write-down</w:t>
      </w:r>
      <w:r w:rsidRPr="00D92FC1">
        <w:rPr>
          <w:rFonts w:ascii="Times New Roman" w:hAnsi="Times New Roman" w:cs="Times New Roman"/>
          <w:sz w:val="24"/>
          <w:szCs w:val="24"/>
        </w:rPr>
        <w:t>) albo konwersję obligacji kapitałowych na akcje (</w:t>
      </w:r>
      <w:r w:rsidRPr="00D92FC1">
        <w:rPr>
          <w:rFonts w:ascii="Times New Roman" w:hAnsi="Times New Roman" w:cs="Times New Roman"/>
          <w:i/>
          <w:sz w:val="24"/>
          <w:szCs w:val="24"/>
        </w:rPr>
        <w:t>conversion to equity</w:t>
      </w:r>
      <w:r w:rsidRPr="00D92FC1">
        <w:rPr>
          <w:rFonts w:ascii="Times New Roman" w:hAnsi="Times New Roman" w:cs="Times New Roman"/>
          <w:sz w:val="24"/>
          <w:szCs w:val="24"/>
        </w:rPr>
        <w:t xml:space="preserve">) na skutek zaistnienia zdarzenia inicjującego określonego w warunkach emisji. Zgodnie z raportem Europejskiego Urzędu Nadzoru Bankowego w sprawie monitorowania instrumentów dodatkowych w </w:t>
      </w:r>
      <w:r w:rsidRPr="00D92FC1">
        <w:rPr>
          <w:rFonts w:ascii="Times New Roman" w:hAnsi="Times New Roman" w:cs="Times New Roman"/>
          <w:i/>
          <w:sz w:val="24"/>
          <w:szCs w:val="24"/>
        </w:rPr>
        <w:t>Tier I</w:t>
      </w:r>
      <w:r w:rsidRPr="00D92FC1">
        <w:rPr>
          <w:rFonts w:ascii="Times New Roman" w:hAnsi="Times New Roman" w:cs="Times New Roman"/>
          <w:sz w:val="24"/>
          <w:szCs w:val="24"/>
        </w:rPr>
        <w:t xml:space="preserve"> z dnia 20 lipca 2018 r. (</w:t>
      </w:r>
      <w:r w:rsidRPr="00D92FC1">
        <w:rPr>
          <w:rFonts w:ascii="Times New Roman" w:hAnsi="Times New Roman" w:cs="Times New Roman"/>
          <w:i/>
          <w:sz w:val="24"/>
          <w:szCs w:val="24"/>
        </w:rPr>
        <w:t>EBA, Report on the monitoring of Additional Tier 1 Instruments of European Union</w:t>
      </w:r>
      <w:r w:rsidRPr="00D92FC1">
        <w:rPr>
          <w:rFonts w:ascii="Times New Roman" w:hAnsi="Times New Roman" w:cs="Times New Roman"/>
          <w:sz w:val="24"/>
          <w:szCs w:val="24"/>
        </w:rPr>
        <w:t xml:space="preserve"> – </w:t>
      </w:r>
      <w:r w:rsidRPr="00D92FC1">
        <w:rPr>
          <w:rFonts w:ascii="Times New Roman" w:hAnsi="Times New Roman" w:cs="Times New Roman"/>
          <w:i/>
          <w:sz w:val="24"/>
          <w:szCs w:val="24"/>
        </w:rPr>
        <w:t>Third update, 20 July 2018</w:t>
      </w:r>
      <w:r w:rsidRPr="00D92FC1">
        <w:rPr>
          <w:rFonts w:ascii="Times New Roman" w:hAnsi="Times New Roman" w:cs="Times New Roman"/>
          <w:sz w:val="24"/>
          <w:szCs w:val="24"/>
        </w:rPr>
        <w:t xml:space="preserve">) mechanizm odpisu i konwersji powinien mieć charakter automatyczny. Zdarzenie inicjujące określone w warunkach emisji powinno być zgodne z art. 54 ust. 1 rozporządzenia nr 575/2013. Istotne wytyczne określa wskazane wyżej rozporządzenie delegowane Komisji (UE) nr 241/2014 z dnia 7 stycznia 2014 r. uzupełniające rozporządzenie Parlamentu Europejskiego i Rady (UE) nr 575/2013 w odniesieniu do regulacyjnych standardów technicznych dotyczących wymogów w zakresie funduszy własnych </w:t>
      </w:r>
      <w:r w:rsidR="005A33AD">
        <w:rPr>
          <w:rFonts w:ascii="Times New Roman" w:hAnsi="Times New Roman" w:cs="Times New Roman"/>
          <w:sz w:val="24"/>
          <w:szCs w:val="24"/>
        </w:rPr>
        <w:t xml:space="preserve">obowiązujących instytucje. </w:t>
      </w:r>
      <w:r w:rsidRPr="00D92FC1">
        <w:rPr>
          <w:rStyle w:val="Uwydatnienie"/>
          <w:rFonts w:ascii="Times New Roman" w:hAnsi="Times New Roman" w:cs="Times New Roman"/>
          <w:i w:val="0"/>
          <w:sz w:val="24"/>
          <w:szCs w:val="24"/>
        </w:rPr>
        <w:t>Zgodnie z art. 54 ust. 5 rozporządzenia nr 575/2013, w przypadku wystąpienia zdarzenia inicjującego instytucje podejmują następujące działania:</w:t>
      </w:r>
    </w:p>
    <w:p w14:paraId="6C290A41" w14:textId="77777777" w:rsidR="00AB1420" w:rsidRPr="00D92FC1" w:rsidRDefault="00AB1420" w:rsidP="005E5395">
      <w:pPr>
        <w:pStyle w:val="Akapitzlist"/>
        <w:numPr>
          <w:ilvl w:val="0"/>
          <w:numId w:val="1"/>
        </w:numPr>
        <w:spacing w:after="0" w:line="360" w:lineRule="auto"/>
        <w:ind w:left="360"/>
        <w:jc w:val="both"/>
        <w:rPr>
          <w:rStyle w:val="Uwydatnienie"/>
          <w:rFonts w:ascii="Times New Roman" w:hAnsi="Times New Roman" w:cs="Times New Roman"/>
          <w:i w:val="0"/>
          <w:sz w:val="24"/>
          <w:szCs w:val="24"/>
        </w:rPr>
      </w:pPr>
      <w:r w:rsidRPr="00D92FC1">
        <w:rPr>
          <w:rStyle w:val="Uwydatnienie"/>
          <w:rFonts w:ascii="Times New Roman" w:hAnsi="Times New Roman" w:cs="Times New Roman"/>
          <w:i w:val="0"/>
          <w:sz w:val="24"/>
          <w:szCs w:val="24"/>
        </w:rPr>
        <w:t>niezwłocznie informują właściwe organy,</w:t>
      </w:r>
    </w:p>
    <w:p w14:paraId="7D7B4510" w14:textId="77777777" w:rsidR="00AB1420" w:rsidRPr="00D92FC1" w:rsidRDefault="00AB1420" w:rsidP="005E5395">
      <w:pPr>
        <w:pStyle w:val="Akapitzlist"/>
        <w:numPr>
          <w:ilvl w:val="0"/>
          <w:numId w:val="1"/>
        </w:numPr>
        <w:spacing w:after="120" w:line="360" w:lineRule="auto"/>
        <w:ind w:left="360"/>
        <w:jc w:val="both"/>
        <w:rPr>
          <w:rStyle w:val="Uwydatnienie"/>
          <w:rFonts w:ascii="Times New Roman" w:hAnsi="Times New Roman" w:cs="Times New Roman"/>
          <w:i w:val="0"/>
          <w:sz w:val="24"/>
          <w:szCs w:val="24"/>
        </w:rPr>
      </w:pPr>
      <w:r w:rsidRPr="00D92FC1">
        <w:rPr>
          <w:rStyle w:val="Uwydatnienie"/>
          <w:rFonts w:ascii="Times New Roman" w:hAnsi="Times New Roman" w:cs="Times New Roman"/>
          <w:i w:val="0"/>
          <w:sz w:val="24"/>
          <w:szCs w:val="24"/>
        </w:rPr>
        <w:t xml:space="preserve">informują posiadaczy instrumentów dodatkowych w </w:t>
      </w:r>
      <w:r w:rsidRPr="00D92FC1">
        <w:rPr>
          <w:rStyle w:val="Uwydatnienie"/>
          <w:rFonts w:ascii="Times New Roman" w:hAnsi="Times New Roman" w:cs="Times New Roman"/>
          <w:sz w:val="24"/>
          <w:szCs w:val="24"/>
        </w:rPr>
        <w:t>Tier I</w:t>
      </w:r>
      <w:r w:rsidRPr="00D92FC1">
        <w:rPr>
          <w:rStyle w:val="Uwydatnienie"/>
          <w:rFonts w:ascii="Times New Roman" w:hAnsi="Times New Roman" w:cs="Times New Roman"/>
          <w:i w:val="0"/>
          <w:sz w:val="24"/>
          <w:szCs w:val="24"/>
        </w:rPr>
        <w:t>,</w:t>
      </w:r>
    </w:p>
    <w:p w14:paraId="7D1574EA" w14:textId="77777777" w:rsidR="00AB1420" w:rsidRPr="00D92FC1" w:rsidRDefault="00AB1420" w:rsidP="005E5395">
      <w:pPr>
        <w:pStyle w:val="Akapitzlist"/>
        <w:numPr>
          <w:ilvl w:val="0"/>
          <w:numId w:val="1"/>
        </w:numPr>
        <w:spacing w:after="0" w:line="360" w:lineRule="auto"/>
        <w:ind w:left="360"/>
        <w:jc w:val="both"/>
        <w:rPr>
          <w:rFonts w:ascii="Times New Roman" w:hAnsi="Times New Roman" w:cs="Times New Roman"/>
          <w:sz w:val="24"/>
          <w:szCs w:val="24"/>
        </w:rPr>
      </w:pPr>
      <w:r w:rsidRPr="00D92FC1">
        <w:rPr>
          <w:rStyle w:val="Uwydatnienie"/>
          <w:rFonts w:ascii="Times New Roman" w:hAnsi="Times New Roman" w:cs="Times New Roman"/>
          <w:i w:val="0"/>
          <w:sz w:val="24"/>
          <w:szCs w:val="24"/>
        </w:rPr>
        <w:t xml:space="preserve">bezzwłocznie, i nie później niż w terminie jednego miesiąca, dokonują odpisu obniżającego wartość kwoty głównej instrumentów lub zamieniają te instrumenty na instrumenty w kapitale podstawowym </w:t>
      </w:r>
      <w:r w:rsidRPr="00D92FC1">
        <w:rPr>
          <w:rStyle w:val="Uwydatnienie"/>
          <w:rFonts w:ascii="Times New Roman" w:hAnsi="Times New Roman" w:cs="Times New Roman"/>
          <w:sz w:val="24"/>
          <w:szCs w:val="24"/>
        </w:rPr>
        <w:t>Tier I</w:t>
      </w:r>
      <w:r w:rsidRPr="00D92FC1">
        <w:rPr>
          <w:rStyle w:val="Uwydatnienie"/>
          <w:rFonts w:ascii="Times New Roman" w:hAnsi="Times New Roman" w:cs="Times New Roman"/>
          <w:i w:val="0"/>
          <w:sz w:val="24"/>
          <w:szCs w:val="24"/>
        </w:rPr>
        <w:t>.</w:t>
      </w:r>
    </w:p>
    <w:p w14:paraId="3B3329D2" w14:textId="559876AB" w:rsidR="00AB1420" w:rsidRPr="00D92FC1" w:rsidRDefault="00AB1420" w:rsidP="005E5395">
      <w:pPr>
        <w:spacing w:after="0" w:line="360" w:lineRule="auto"/>
        <w:jc w:val="both"/>
        <w:rPr>
          <w:rFonts w:ascii="Times New Roman" w:hAnsi="Times New Roman" w:cs="Times New Roman"/>
          <w:sz w:val="24"/>
          <w:szCs w:val="24"/>
        </w:rPr>
      </w:pPr>
      <w:r w:rsidRPr="00D92FC1">
        <w:rPr>
          <w:rFonts w:ascii="Times New Roman" w:hAnsi="Times New Roman" w:cs="Times New Roman"/>
          <w:sz w:val="24"/>
          <w:szCs w:val="24"/>
        </w:rPr>
        <w:t>Przepis</w:t>
      </w:r>
      <w:r w:rsidRPr="00D92FC1">
        <w:rPr>
          <w:rFonts w:ascii="Times New Roman" w:hAnsi="Times New Roman" w:cs="Times New Roman"/>
          <w:b/>
          <w:sz w:val="24"/>
          <w:szCs w:val="24"/>
        </w:rPr>
        <w:t xml:space="preserve"> ust. 2</w:t>
      </w:r>
      <w:r w:rsidRPr="00D92FC1">
        <w:rPr>
          <w:rFonts w:ascii="Times New Roman" w:hAnsi="Times New Roman" w:cs="Times New Roman"/>
          <w:sz w:val="24"/>
          <w:szCs w:val="24"/>
        </w:rPr>
        <w:t xml:space="preserve"> przewiduje, że w przypadku wystąpienia zdarzenia inicjującego określonego w warunkach emisji bank spółdzielczy, dom maklerski w formie spółki z ograniczoną odpowiedzialnością oraz bank państwowy dokonuje wyłącznie umorzenia obligacji kapitałowych w formie odpisu trwałego albo odpisu tymczasowego obniżającego wartość nominalną obligacji kapitałowych w całości albo w części – ze względu na szczególny charakter formy, w jakiej działa bank spółdzielczy, wyłączono możliwość konwersji obligacji kapitałowych na akcje.</w:t>
      </w:r>
    </w:p>
    <w:p w14:paraId="34D83E06" w14:textId="170A9388" w:rsidR="00AB1420" w:rsidRPr="00D92FC1" w:rsidRDefault="00AB1420" w:rsidP="005E5395">
      <w:pPr>
        <w:spacing w:after="0" w:line="360" w:lineRule="auto"/>
        <w:jc w:val="both"/>
        <w:rPr>
          <w:rFonts w:ascii="Times New Roman" w:hAnsi="Times New Roman" w:cs="Times New Roman"/>
          <w:sz w:val="24"/>
          <w:szCs w:val="24"/>
        </w:rPr>
      </w:pPr>
      <w:r w:rsidRPr="00D92FC1">
        <w:rPr>
          <w:rFonts w:ascii="Times New Roman" w:hAnsi="Times New Roman" w:cs="Times New Roman"/>
          <w:sz w:val="24"/>
          <w:szCs w:val="24"/>
        </w:rPr>
        <w:t xml:space="preserve">Zgodnie z </w:t>
      </w:r>
      <w:r w:rsidRPr="00D92FC1">
        <w:rPr>
          <w:rFonts w:ascii="Times New Roman" w:hAnsi="Times New Roman" w:cs="Times New Roman"/>
          <w:b/>
          <w:sz w:val="24"/>
          <w:szCs w:val="24"/>
        </w:rPr>
        <w:t>ust. 3</w:t>
      </w:r>
      <w:r w:rsidRPr="00D92FC1">
        <w:rPr>
          <w:rFonts w:ascii="Times New Roman" w:hAnsi="Times New Roman" w:cs="Times New Roman"/>
          <w:sz w:val="24"/>
          <w:szCs w:val="24"/>
        </w:rPr>
        <w:t xml:space="preserve"> wysokość odpisu określi uchwała zarządu emitenta obligacji kapitałowych. </w:t>
      </w:r>
    </w:p>
    <w:p w14:paraId="3F0E9602" w14:textId="77777777" w:rsidR="00E813A0" w:rsidRDefault="00AB1420" w:rsidP="005E5395">
      <w:pPr>
        <w:spacing w:after="0" w:line="360" w:lineRule="auto"/>
        <w:jc w:val="both"/>
        <w:rPr>
          <w:rFonts w:ascii="Times New Roman" w:hAnsi="Times New Roman" w:cs="Times New Roman"/>
          <w:sz w:val="24"/>
          <w:szCs w:val="24"/>
        </w:rPr>
      </w:pPr>
      <w:r w:rsidRPr="00D92FC1">
        <w:rPr>
          <w:rFonts w:ascii="Times New Roman" w:hAnsi="Times New Roman" w:cs="Times New Roman"/>
          <w:sz w:val="24"/>
          <w:szCs w:val="24"/>
        </w:rPr>
        <w:lastRenderedPageBreak/>
        <w:t xml:space="preserve">Ponadto </w:t>
      </w:r>
      <w:r w:rsidRPr="00D92FC1">
        <w:rPr>
          <w:rFonts w:ascii="Times New Roman" w:hAnsi="Times New Roman" w:cs="Times New Roman"/>
          <w:b/>
          <w:sz w:val="24"/>
          <w:szCs w:val="24"/>
        </w:rPr>
        <w:t>ust. 4</w:t>
      </w:r>
      <w:r w:rsidRPr="00D92FC1">
        <w:rPr>
          <w:rFonts w:ascii="Times New Roman" w:hAnsi="Times New Roman" w:cs="Times New Roman"/>
          <w:sz w:val="24"/>
          <w:szCs w:val="24"/>
        </w:rPr>
        <w:t xml:space="preserve"> przewiduje, że niezwłocznie od daty stwierdzenia wystąpienia zdarzenia inicjującego emitent obligacji kapitałowych będzie obowiązany udostępnić na swojej stronie internetowej informację o wystąpieniu tego zdarzenia. </w:t>
      </w:r>
    </w:p>
    <w:p w14:paraId="66D032C3" w14:textId="7C3C2DA6" w:rsidR="00AB1420" w:rsidRPr="00D92FC1" w:rsidRDefault="00AB1420" w:rsidP="005E5395">
      <w:pPr>
        <w:spacing w:after="120" w:line="360" w:lineRule="auto"/>
        <w:jc w:val="both"/>
        <w:rPr>
          <w:rFonts w:ascii="Times New Roman" w:hAnsi="Times New Roman" w:cs="Times New Roman"/>
          <w:sz w:val="24"/>
          <w:szCs w:val="24"/>
        </w:rPr>
      </w:pPr>
      <w:r w:rsidRPr="00D92FC1">
        <w:rPr>
          <w:rFonts w:ascii="Times New Roman" w:hAnsi="Times New Roman" w:cs="Times New Roman"/>
          <w:sz w:val="24"/>
          <w:szCs w:val="24"/>
        </w:rPr>
        <w:t xml:space="preserve">Przepis art. 50 przewiduje </w:t>
      </w:r>
      <w:r w:rsidR="00E813A0">
        <w:rPr>
          <w:rFonts w:ascii="Times New Roman" w:hAnsi="Times New Roman" w:cs="Times New Roman"/>
          <w:sz w:val="24"/>
          <w:szCs w:val="24"/>
        </w:rPr>
        <w:t xml:space="preserve">już </w:t>
      </w:r>
      <w:r w:rsidRPr="00D92FC1">
        <w:rPr>
          <w:rFonts w:ascii="Times New Roman" w:hAnsi="Times New Roman" w:cs="Times New Roman"/>
          <w:sz w:val="24"/>
          <w:szCs w:val="24"/>
        </w:rPr>
        <w:t>uprawnienie do zwołania oraz żądania zwołania zgromadzenia obligatariuszy w przypadkach wskazanych w warunkach emisji lub w innych przypadkach, stosownie do własnej oceny sytuacji</w:t>
      </w:r>
      <w:r w:rsidR="00E813A0">
        <w:rPr>
          <w:rFonts w:ascii="Times New Roman" w:hAnsi="Times New Roman" w:cs="Times New Roman"/>
          <w:sz w:val="24"/>
          <w:szCs w:val="24"/>
        </w:rPr>
        <w:t xml:space="preserve">; </w:t>
      </w:r>
      <w:r w:rsidR="00973120">
        <w:rPr>
          <w:rFonts w:ascii="Times New Roman" w:hAnsi="Times New Roman" w:cs="Times New Roman"/>
          <w:sz w:val="24"/>
          <w:szCs w:val="24"/>
        </w:rPr>
        <w:t xml:space="preserve">w </w:t>
      </w:r>
      <w:r w:rsidRPr="00D92FC1">
        <w:rPr>
          <w:rFonts w:ascii="Times New Roman" w:hAnsi="Times New Roman" w:cs="Times New Roman"/>
          <w:sz w:val="24"/>
          <w:szCs w:val="24"/>
        </w:rPr>
        <w:t>art. 51 zostały uregulowane zasady ogłaszania zwołani</w:t>
      </w:r>
      <w:r w:rsidR="00E813A0">
        <w:rPr>
          <w:rFonts w:ascii="Times New Roman" w:hAnsi="Times New Roman" w:cs="Times New Roman"/>
          <w:sz w:val="24"/>
          <w:szCs w:val="24"/>
        </w:rPr>
        <w:t>a</w:t>
      </w:r>
      <w:r w:rsidRPr="00D92FC1">
        <w:rPr>
          <w:rFonts w:ascii="Times New Roman" w:hAnsi="Times New Roman" w:cs="Times New Roman"/>
          <w:sz w:val="24"/>
          <w:szCs w:val="24"/>
        </w:rPr>
        <w:t xml:space="preserve"> zgromadzenia obligatariuszy. W ten sposób będzie zapewniony pełny dostęp obligatariuszy do istotnych informacji. Ponadto emitent obligacji kapitałowych </w:t>
      </w:r>
      <w:r w:rsidR="00E813A0">
        <w:rPr>
          <w:rFonts w:ascii="Times New Roman" w:hAnsi="Times New Roman" w:cs="Times New Roman"/>
          <w:sz w:val="24"/>
          <w:szCs w:val="24"/>
        </w:rPr>
        <w:t xml:space="preserve">będzie </w:t>
      </w:r>
      <w:r w:rsidRPr="00D92FC1">
        <w:rPr>
          <w:rFonts w:ascii="Times New Roman" w:hAnsi="Times New Roman" w:cs="Times New Roman"/>
          <w:sz w:val="24"/>
          <w:szCs w:val="24"/>
        </w:rPr>
        <w:t xml:space="preserve"> niezwłocznie </w:t>
      </w:r>
      <w:r w:rsidR="00E813A0">
        <w:rPr>
          <w:rFonts w:ascii="Times New Roman" w:hAnsi="Times New Roman" w:cs="Times New Roman"/>
          <w:sz w:val="24"/>
          <w:szCs w:val="24"/>
        </w:rPr>
        <w:t xml:space="preserve">informował </w:t>
      </w:r>
      <w:r w:rsidRPr="00D92FC1">
        <w:rPr>
          <w:rFonts w:ascii="Times New Roman" w:hAnsi="Times New Roman" w:cs="Times New Roman"/>
          <w:sz w:val="24"/>
          <w:szCs w:val="24"/>
        </w:rPr>
        <w:t>obligatariuszy o podjętej uchwale</w:t>
      </w:r>
      <w:r w:rsidR="00E813A0">
        <w:rPr>
          <w:rFonts w:ascii="Times New Roman" w:hAnsi="Times New Roman" w:cs="Times New Roman"/>
          <w:sz w:val="24"/>
          <w:szCs w:val="24"/>
        </w:rPr>
        <w:t>,</w:t>
      </w:r>
      <w:r w:rsidRPr="00D92FC1">
        <w:rPr>
          <w:rFonts w:ascii="Times New Roman" w:hAnsi="Times New Roman" w:cs="Times New Roman"/>
          <w:sz w:val="24"/>
          <w:szCs w:val="24"/>
        </w:rPr>
        <w:t xml:space="preserve"> na zasadach określonych w warunkach emisji tych obligacji. Emitent </w:t>
      </w:r>
      <w:r w:rsidR="00E813A0">
        <w:rPr>
          <w:rFonts w:ascii="Times New Roman" w:hAnsi="Times New Roman" w:cs="Times New Roman"/>
          <w:sz w:val="24"/>
          <w:szCs w:val="24"/>
        </w:rPr>
        <w:t xml:space="preserve">będzie także </w:t>
      </w:r>
      <w:r w:rsidRPr="00D92FC1">
        <w:rPr>
          <w:rFonts w:ascii="Times New Roman" w:hAnsi="Times New Roman" w:cs="Times New Roman"/>
          <w:sz w:val="24"/>
          <w:szCs w:val="24"/>
        </w:rPr>
        <w:t>niezwłocznie inform</w:t>
      </w:r>
      <w:r w:rsidR="00E813A0">
        <w:rPr>
          <w:rFonts w:ascii="Times New Roman" w:hAnsi="Times New Roman" w:cs="Times New Roman"/>
          <w:sz w:val="24"/>
          <w:szCs w:val="24"/>
        </w:rPr>
        <w:t xml:space="preserve">ował </w:t>
      </w:r>
      <w:r w:rsidR="00E813A0" w:rsidRPr="00D92FC1">
        <w:rPr>
          <w:rFonts w:ascii="Times New Roman" w:hAnsi="Times New Roman" w:cs="Times New Roman"/>
          <w:sz w:val="24"/>
          <w:szCs w:val="24"/>
        </w:rPr>
        <w:t xml:space="preserve">o wydaniu uchwały </w:t>
      </w:r>
      <w:r w:rsidRPr="00D92FC1">
        <w:rPr>
          <w:rFonts w:ascii="Times New Roman" w:hAnsi="Times New Roman" w:cs="Times New Roman"/>
          <w:sz w:val="24"/>
          <w:szCs w:val="24"/>
        </w:rPr>
        <w:t xml:space="preserve">Krajowy Depozyt Papierów Wartościowych </w:t>
      </w:r>
      <w:r>
        <w:rPr>
          <w:rFonts w:ascii="Times New Roman" w:hAnsi="Times New Roman" w:cs="Times New Roman"/>
          <w:sz w:val="24"/>
          <w:szCs w:val="24"/>
        </w:rPr>
        <w:t xml:space="preserve">SA </w:t>
      </w:r>
      <w:r w:rsidRPr="00D92FC1">
        <w:rPr>
          <w:rFonts w:ascii="Times New Roman" w:hAnsi="Times New Roman" w:cs="Times New Roman"/>
          <w:sz w:val="24"/>
          <w:szCs w:val="24"/>
        </w:rPr>
        <w:t xml:space="preserve"> albo podmiot prowadzący rejestr akcjonariuszy.</w:t>
      </w:r>
    </w:p>
    <w:p w14:paraId="5C3840B9" w14:textId="240A3547" w:rsidR="00AB1420" w:rsidRPr="00D92FC1" w:rsidRDefault="00AB1420" w:rsidP="005E5395">
      <w:pPr>
        <w:spacing w:after="0" w:line="360" w:lineRule="auto"/>
        <w:jc w:val="both"/>
        <w:rPr>
          <w:rFonts w:ascii="Times New Roman" w:hAnsi="Times New Roman" w:cs="Times New Roman"/>
          <w:sz w:val="24"/>
          <w:szCs w:val="24"/>
        </w:rPr>
      </w:pPr>
      <w:r w:rsidRPr="00D92FC1">
        <w:rPr>
          <w:rFonts w:ascii="Times New Roman" w:hAnsi="Times New Roman" w:cs="Times New Roman"/>
          <w:sz w:val="24"/>
          <w:szCs w:val="24"/>
        </w:rPr>
        <w:t>Zgodnie z</w:t>
      </w:r>
      <w:r w:rsidRPr="00D92FC1">
        <w:rPr>
          <w:rFonts w:ascii="Times New Roman" w:hAnsi="Times New Roman" w:cs="Times New Roman"/>
          <w:b/>
          <w:sz w:val="24"/>
          <w:szCs w:val="24"/>
        </w:rPr>
        <w:t xml:space="preserve"> art. 27</w:t>
      </w:r>
      <w:r w:rsidR="001677EF">
        <w:rPr>
          <w:rFonts w:ascii="Times New Roman" w:hAnsi="Times New Roman" w:cs="Times New Roman"/>
          <w:b/>
          <w:sz w:val="24"/>
          <w:szCs w:val="24"/>
        </w:rPr>
        <w:t>l</w:t>
      </w:r>
      <w:r w:rsidRPr="00D92FC1">
        <w:rPr>
          <w:rFonts w:ascii="Times New Roman" w:hAnsi="Times New Roman" w:cs="Times New Roman"/>
          <w:b/>
          <w:sz w:val="24"/>
          <w:szCs w:val="24"/>
        </w:rPr>
        <w:t xml:space="preserve"> ust. 1</w:t>
      </w:r>
      <w:r w:rsidRPr="00D92FC1">
        <w:rPr>
          <w:rFonts w:ascii="Times New Roman" w:hAnsi="Times New Roman" w:cs="Times New Roman"/>
          <w:sz w:val="24"/>
          <w:szCs w:val="24"/>
        </w:rPr>
        <w:t xml:space="preserve"> zapewniono możliwość automatycznego pokrycia strat przez zastosowanie przez zakład ubezpieczeń lub zakład reasekuracji jednego z głównych mechanizmów pokrywania strat przewidzianego w art. 71 ust. 1 lit. e rozporządzenia delegowanego Komisji (UE) 2015/35. Mechanizm ten może mieć formę odliczeń obniżających wartość nominalną obligacji kapitałowych w całości albo w części, zamiany obligacji kapitałowych na akcje albo innego głównego mechanizmu pokrywania strat pozwalającego na uzyskanie rezultatu równoważnego do rezultatów dwóch pozostałych głównych mechanizmów pokrywania strat. Główny mechanizm pokrywania strat będzie stosowany w przypadku wystąpienia zdarzenia inicjującego określonego w warunkach emisji, tzn. istotnej niezgodności z kapitałowym wymogiem wypłacalności, o której mowa w art. 71 ust. 8 rozporządzenia delegowanego Komisji (UE) 2015/35.</w:t>
      </w:r>
    </w:p>
    <w:p w14:paraId="7517E9E5" w14:textId="376C70F1" w:rsidR="00AB1420" w:rsidRPr="00D92FC1" w:rsidRDefault="00AB1420" w:rsidP="005E5395">
      <w:pPr>
        <w:spacing w:after="0" w:line="360" w:lineRule="auto"/>
        <w:jc w:val="both"/>
        <w:rPr>
          <w:rFonts w:ascii="Times New Roman" w:hAnsi="Times New Roman" w:cs="Times New Roman"/>
          <w:sz w:val="24"/>
          <w:szCs w:val="24"/>
        </w:rPr>
      </w:pPr>
      <w:r w:rsidRPr="00D92FC1">
        <w:rPr>
          <w:rFonts w:ascii="Times New Roman" w:hAnsi="Times New Roman" w:cs="Times New Roman"/>
          <w:sz w:val="24"/>
          <w:szCs w:val="24"/>
        </w:rPr>
        <w:t xml:space="preserve">Zgodnie z </w:t>
      </w:r>
      <w:r w:rsidRPr="00D92FC1">
        <w:rPr>
          <w:rFonts w:ascii="Times New Roman" w:hAnsi="Times New Roman" w:cs="Times New Roman"/>
          <w:b/>
          <w:sz w:val="24"/>
          <w:szCs w:val="24"/>
        </w:rPr>
        <w:t>ust. 2</w:t>
      </w:r>
      <w:r w:rsidRPr="00D92FC1">
        <w:rPr>
          <w:rFonts w:ascii="Times New Roman" w:hAnsi="Times New Roman" w:cs="Times New Roman"/>
          <w:sz w:val="24"/>
          <w:szCs w:val="24"/>
        </w:rPr>
        <w:t xml:space="preserve"> w przypadku wyemitowania obligacji kapitałowych przez zakłady ubezpieczeń wykonujących działalność w formie towarzystwa ubezpieczeń wzajemnych oraz zakłady reasekuracji wykonujących działalność w formie towarzystwa reasekuracji wzajemnej i wystąpienia istotnej niezgodności z kapitałowym wymogiem wypłacalności emitent będzie mógł dokonywać odliczeń obniżających wartość nominalną obligacji kapitałowych w całości albo w części albo stosować inny główny mechanizm pokrywania strat. Proponowany przepis wyklucza możliwość zamiany obligacji kapitałowych na udziały, co wynika ze szczególnej formy i celów działalności tych zakładów.</w:t>
      </w:r>
    </w:p>
    <w:p w14:paraId="3174FD97" w14:textId="5640CD11" w:rsidR="00AB1420" w:rsidRPr="00D92FC1" w:rsidRDefault="00AB1420" w:rsidP="005E5395">
      <w:pPr>
        <w:spacing w:after="0" w:line="360" w:lineRule="auto"/>
        <w:jc w:val="both"/>
        <w:rPr>
          <w:rFonts w:ascii="Times New Roman" w:hAnsi="Times New Roman" w:cs="Times New Roman"/>
          <w:sz w:val="24"/>
          <w:szCs w:val="24"/>
        </w:rPr>
      </w:pPr>
      <w:r w:rsidRPr="00D92FC1">
        <w:rPr>
          <w:rFonts w:ascii="Times New Roman" w:hAnsi="Times New Roman" w:cs="Times New Roman"/>
          <w:sz w:val="24"/>
          <w:szCs w:val="24"/>
        </w:rPr>
        <w:t xml:space="preserve">Zgodnie z </w:t>
      </w:r>
      <w:r w:rsidRPr="00D92FC1">
        <w:rPr>
          <w:rFonts w:ascii="Times New Roman" w:hAnsi="Times New Roman" w:cs="Times New Roman"/>
          <w:b/>
          <w:sz w:val="24"/>
          <w:szCs w:val="24"/>
        </w:rPr>
        <w:t>ust. 3</w:t>
      </w:r>
      <w:r w:rsidRPr="00D92FC1">
        <w:rPr>
          <w:rFonts w:ascii="Times New Roman" w:hAnsi="Times New Roman" w:cs="Times New Roman"/>
          <w:sz w:val="24"/>
          <w:szCs w:val="24"/>
        </w:rPr>
        <w:t xml:space="preserve"> wysokość odliczeń określi uchwała zarządu emitenta obligacji kapitałowych.</w:t>
      </w:r>
    </w:p>
    <w:p w14:paraId="0FB2C205" w14:textId="6ED05904" w:rsidR="00E813A0" w:rsidRDefault="00AB1420" w:rsidP="005E5395">
      <w:pPr>
        <w:spacing w:after="0" w:line="360" w:lineRule="auto"/>
        <w:jc w:val="both"/>
        <w:rPr>
          <w:rFonts w:ascii="Times New Roman" w:hAnsi="Times New Roman" w:cs="Times New Roman"/>
          <w:sz w:val="24"/>
          <w:szCs w:val="24"/>
        </w:rPr>
      </w:pPr>
      <w:r w:rsidRPr="00D92FC1">
        <w:rPr>
          <w:rFonts w:ascii="Times New Roman" w:hAnsi="Times New Roman" w:cs="Times New Roman"/>
          <w:sz w:val="24"/>
          <w:szCs w:val="24"/>
        </w:rPr>
        <w:t xml:space="preserve">Przepis </w:t>
      </w:r>
      <w:r w:rsidRPr="00D92FC1">
        <w:rPr>
          <w:rFonts w:ascii="Times New Roman" w:hAnsi="Times New Roman" w:cs="Times New Roman"/>
          <w:b/>
          <w:sz w:val="24"/>
          <w:szCs w:val="24"/>
        </w:rPr>
        <w:t>ust. 4</w:t>
      </w:r>
      <w:r w:rsidRPr="00D92FC1">
        <w:rPr>
          <w:rFonts w:ascii="Times New Roman" w:hAnsi="Times New Roman" w:cs="Times New Roman"/>
          <w:sz w:val="24"/>
          <w:szCs w:val="24"/>
        </w:rPr>
        <w:t xml:space="preserve"> stanowi analogiczny przepis do art. </w:t>
      </w:r>
      <w:r w:rsidR="00AC0B8D" w:rsidRPr="00D92FC1">
        <w:rPr>
          <w:rFonts w:ascii="Times New Roman" w:hAnsi="Times New Roman" w:cs="Times New Roman"/>
          <w:sz w:val="24"/>
          <w:szCs w:val="24"/>
        </w:rPr>
        <w:t>27</w:t>
      </w:r>
      <w:r w:rsidR="00AC0B8D">
        <w:rPr>
          <w:rFonts w:ascii="Times New Roman" w:hAnsi="Times New Roman" w:cs="Times New Roman"/>
          <w:sz w:val="24"/>
          <w:szCs w:val="24"/>
        </w:rPr>
        <w:t>k</w:t>
      </w:r>
      <w:r w:rsidR="00AC0B8D" w:rsidRPr="00D92FC1">
        <w:rPr>
          <w:rFonts w:ascii="Times New Roman" w:hAnsi="Times New Roman" w:cs="Times New Roman"/>
          <w:sz w:val="24"/>
          <w:szCs w:val="24"/>
        </w:rPr>
        <w:t xml:space="preserve"> </w:t>
      </w:r>
      <w:r w:rsidRPr="00D92FC1">
        <w:rPr>
          <w:rFonts w:ascii="Times New Roman" w:hAnsi="Times New Roman" w:cs="Times New Roman"/>
          <w:sz w:val="24"/>
          <w:szCs w:val="24"/>
        </w:rPr>
        <w:t>ust. 4</w:t>
      </w:r>
      <w:r w:rsidR="00AC0B8D">
        <w:rPr>
          <w:rFonts w:ascii="Times New Roman" w:hAnsi="Times New Roman" w:cs="Times New Roman"/>
          <w:sz w:val="24"/>
          <w:szCs w:val="24"/>
        </w:rPr>
        <w:t xml:space="preserve">. </w:t>
      </w:r>
      <w:r w:rsidR="00E813A0">
        <w:rPr>
          <w:rFonts w:ascii="Times New Roman" w:hAnsi="Times New Roman" w:cs="Times New Roman"/>
          <w:sz w:val="24"/>
          <w:szCs w:val="24"/>
        </w:rPr>
        <w:t>Z</w:t>
      </w:r>
      <w:r w:rsidR="00AC0B8D">
        <w:rPr>
          <w:rFonts w:ascii="Times New Roman" w:hAnsi="Times New Roman" w:cs="Times New Roman"/>
          <w:sz w:val="24"/>
          <w:szCs w:val="24"/>
        </w:rPr>
        <w:t xml:space="preserve">godnie z </w:t>
      </w:r>
      <w:r w:rsidR="00AC0B8D" w:rsidRPr="0069297C">
        <w:rPr>
          <w:rFonts w:ascii="Times New Roman" w:hAnsi="Times New Roman" w:cs="Times New Roman"/>
          <w:b/>
          <w:sz w:val="24"/>
          <w:szCs w:val="24"/>
        </w:rPr>
        <w:t>pkt 1</w:t>
      </w:r>
      <w:r w:rsidRPr="00D92FC1">
        <w:rPr>
          <w:rFonts w:ascii="Times New Roman" w:hAnsi="Times New Roman" w:cs="Times New Roman"/>
          <w:sz w:val="24"/>
          <w:szCs w:val="24"/>
        </w:rPr>
        <w:t xml:space="preserve"> zakład ubezpieczeń albo zakład reasekuracji poinformuje niezwłocznie obligatariuszy o podjętej </w:t>
      </w:r>
      <w:r w:rsidRPr="00D92FC1">
        <w:rPr>
          <w:rFonts w:ascii="Times New Roman" w:hAnsi="Times New Roman" w:cs="Times New Roman"/>
          <w:sz w:val="24"/>
          <w:szCs w:val="24"/>
        </w:rPr>
        <w:lastRenderedPageBreak/>
        <w:t xml:space="preserve">uchwale na zasadach określonych w warunkach emisji tych obligacji. Emitent niezwłocznie </w:t>
      </w:r>
      <w:r>
        <w:rPr>
          <w:rFonts w:ascii="Times New Roman" w:hAnsi="Times New Roman" w:cs="Times New Roman"/>
          <w:sz w:val="24"/>
          <w:szCs w:val="24"/>
        </w:rPr>
        <w:t>po</w:t>
      </w:r>
      <w:r w:rsidRPr="00D92FC1">
        <w:rPr>
          <w:rFonts w:ascii="Times New Roman" w:hAnsi="Times New Roman" w:cs="Times New Roman"/>
          <w:sz w:val="24"/>
          <w:szCs w:val="24"/>
        </w:rPr>
        <w:t xml:space="preserve">informuje również Krajowy Depozyt Papierów Wartościowych </w:t>
      </w:r>
      <w:r>
        <w:rPr>
          <w:rFonts w:ascii="Times New Roman" w:hAnsi="Times New Roman" w:cs="Times New Roman"/>
          <w:sz w:val="24"/>
          <w:szCs w:val="24"/>
        </w:rPr>
        <w:t xml:space="preserve">SA </w:t>
      </w:r>
      <w:r w:rsidRPr="00D92FC1">
        <w:rPr>
          <w:rFonts w:ascii="Times New Roman" w:hAnsi="Times New Roman" w:cs="Times New Roman"/>
          <w:sz w:val="24"/>
          <w:szCs w:val="24"/>
        </w:rPr>
        <w:t>albo podmiot prowadzący rejestr</w:t>
      </w:r>
      <w:r w:rsidR="00AC0B8D">
        <w:rPr>
          <w:rFonts w:ascii="Times New Roman" w:hAnsi="Times New Roman" w:cs="Times New Roman"/>
          <w:sz w:val="24"/>
          <w:szCs w:val="24"/>
        </w:rPr>
        <w:t xml:space="preserve"> </w:t>
      </w:r>
      <w:r w:rsidR="00AC0B8D" w:rsidRPr="00AC0B8D">
        <w:rPr>
          <w:rFonts w:ascii="Times New Roman" w:hAnsi="Times New Roman" w:cs="Times New Roman"/>
          <w:sz w:val="24"/>
          <w:szCs w:val="24"/>
        </w:rPr>
        <w:t>osób uprawnionych z obligacji kapitałowych</w:t>
      </w:r>
      <w:r w:rsidRPr="00D92FC1">
        <w:rPr>
          <w:rFonts w:ascii="Times New Roman" w:hAnsi="Times New Roman" w:cs="Times New Roman"/>
          <w:sz w:val="24"/>
          <w:szCs w:val="24"/>
        </w:rPr>
        <w:t xml:space="preserve"> o podjęciu uchwały</w:t>
      </w:r>
      <w:r w:rsidR="00AC0B8D">
        <w:rPr>
          <w:rFonts w:ascii="Times New Roman" w:hAnsi="Times New Roman" w:cs="Times New Roman"/>
          <w:sz w:val="24"/>
          <w:szCs w:val="24"/>
        </w:rPr>
        <w:t xml:space="preserve"> </w:t>
      </w:r>
      <w:r w:rsidR="00AC0B8D" w:rsidRPr="00AC0B8D">
        <w:rPr>
          <w:rFonts w:ascii="Times New Roman" w:hAnsi="Times New Roman" w:cs="Times New Roman"/>
          <w:sz w:val="24"/>
          <w:szCs w:val="24"/>
        </w:rPr>
        <w:t>i przekaże odpis uchwały w zakresie niezbędnym do ujawnienia dokonania odliczeń obniżających w całości albo w części wartość nominalną obligacji kapitałowych w tej ewidencji albo w tym rejestrze.</w:t>
      </w:r>
      <w:r w:rsidR="00E813A0" w:rsidRPr="00E813A0">
        <w:rPr>
          <w:rFonts w:ascii="Times New Roman" w:hAnsi="Times New Roman" w:cs="Times New Roman"/>
          <w:sz w:val="24"/>
          <w:szCs w:val="24"/>
        </w:rPr>
        <w:t xml:space="preserve"> </w:t>
      </w:r>
    </w:p>
    <w:p w14:paraId="70314605" w14:textId="49F3EA4F" w:rsidR="00AB1420" w:rsidRPr="00D92FC1" w:rsidRDefault="00E813A0" w:rsidP="005E5395">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Przepis </w:t>
      </w:r>
      <w:r w:rsidRPr="0069297C">
        <w:rPr>
          <w:rFonts w:ascii="Times New Roman" w:hAnsi="Times New Roman" w:cs="Times New Roman"/>
          <w:b/>
          <w:sz w:val="24"/>
          <w:szCs w:val="24"/>
        </w:rPr>
        <w:t>pkt 2</w:t>
      </w:r>
      <w:r w:rsidRPr="00D92FC1">
        <w:rPr>
          <w:rFonts w:ascii="Times New Roman" w:hAnsi="Times New Roman" w:cs="Times New Roman"/>
          <w:sz w:val="24"/>
          <w:szCs w:val="24"/>
        </w:rPr>
        <w:t xml:space="preserve"> przewiduje, że niezwłocznie od daty stwierdzenia wystąpienia zdarzenia inicjującego emitent obligacji kapitałowych będzie obowiązany udostępnić na swojej stronie internetowej informację o wystąpieniu zdarzenia inicjującego.</w:t>
      </w:r>
    </w:p>
    <w:p w14:paraId="2D58288D" w14:textId="51F9BEAA" w:rsidR="00AB1420" w:rsidRPr="00D92FC1" w:rsidRDefault="00AB1420" w:rsidP="005E5395">
      <w:pPr>
        <w:spacing w:after="0" w:line="360" w:lineRule="auto"/>
        <w:jc w:val="both"/>
        <w:rPr>
          <w:rFonts w:ascii="Times New Roman" w:hAnsi="Times New Roman" w:cs="Times New Roman"/>
          <w:sz w:val="24"/>
          <w:szCs w:val="24"/>
        </w:rPr>
      </w:pPr>
      <w:r w:rsidRPr="00D92FC1">
        <w:rPr>
          <w:rFonts w:ascii="Times New Roman" w:hAnsi="Times New Roman" w:cs="Times New Roman"/>
          <w:sz w:val="24"/>
          <w:szCs w:val="24"/>
        </w:rPr>
        <w:t xml:space="preserve">Proponowany </w:t>
      </w:r>
      <w:r w:rsidRPr="00D92FC1">
        <w:rPr>
          <w:rFonts w:ascii="Times New Roman" w:hAnsi="Times New Roman" w:cs="Times New Roman"/>
          <w:b/>
          <w:sz w:val="24"/>
          <w:szCs w:val="24"/>
        </w:rPr>
        <w:t xml:space="preserve">art. </w:t>
      </w:r>
      <w:r w:rsidR="001677EF" w:rsidRPr="00D92FC1">
        <w:rPr>
          <w:rFonts w:ascii="Times New Roman" w:hAnsi="Times New Roman" w:cs="Times New Roman"/>
          <w:b/>
          <w:sz w:val="24"/>
          <w:szCs w:val="24"/>
        </w:rPr>
        <w:t>27</w:t>
      </w:r>
      <w:r w:rsidR="001677EF">
        <w:rPr>
          <w:rFonts w:ascii="Times New Roman" w:hAnsi="Times New Roman" w:cs="Times New Roman"/>
          <w:b/>
          <w:sz w:val="24"/>
          <w:szCs w:val="24"/>
        </w:rPr>
        <w:t>m</w:t>
      </w:r>
      <w:r w:rsidR="001677EF" w:rsidRPr="00D92FC1">
        <w:rPr>
          <w:rFonts w:ascii="Times New Roman" w:hAnsi="Times New Roman" w:cs="Times New Roman"/>
          <w:b/>
          <w:sz w:val="24"/>
          <w:szCs w:val="24"/>
        </w:rPr>
        <w:t xml:space="preserve"> </w:t>
      </w:r>
      <w:r w:rsidRPr="00D92FC1">
        <w:rPr>
          <w:rFonts w:ascii="Times New Roman" w:hAnsi="Times New Roman" w:cs="Times New Roman"/>
          <w:b/>
          <w:sz w:val="24"/>
          <w:szCs w:val="24"/>
        </w:rPr>
        <w:t>pkt 1</w:t>
      </w:r>
      <w:r w:rsidRPr="00D92FC1">
        <w:rPr>
          <w:rFonts w:ascii="Times New Roman" w:hAnsi="Times New Roman" w:cs="Times New Roman"/>
          <w:sz w:val="24"/>
          <w:szCs w:val="24"/>
        </w:rPr>
        <w:t xml:space="preserve"> określa organ właściwy do podjęcia decyzji o emisji instrumentów kapitałowych zaliczanych do kapitału </w:t>
      </w:r>
      <w:r w:rsidRPr="00D92FC1">
        <w:rPr>
          <w:rFonts w:ascii="Times New Roman" w:hAnsi="Times New Roman" w:cs="Times New Roman"/>
          <w:i/>
          <w:sz w:val="24"/>
          <w:szCs w:val="24"/>
        </w:rPr>
        <w:t>Tier I</w:t>
      </w:r>
      <w:r w:rsidRPr="00D92FC1">
        <w:rPr>
          <w:rFonts w:ascii="Times New Roman" w:hAnsi="Times New Roman" w:cs="Times New Roman"/>
          <w:sz w:val="24"/>
          <w:szCs w:val="24"/>
        </w:rPr>
        <w:t xml:space="preserve"> w przypadku gdy warunki emisji przewidują możliwość ich umorzenia w formie odpisu trwałego albo odpisu tymczasowego obniżającego wartość nominalną obligacji kapitałowej w całości albo w części. Proponuje się, aby organy emitenta – banku albo domu maklerskiego (zarząd i rada nadzorcza) podejmowały – odpowiednio – uchwałę i wyrażały zgodę w sprawie emisji instrumentów kapitałowych emitowanych w celu ich zakwalifikowania jako instrumenty dodatkowe w kapitale </w:t>
      </w:r>
      <w:r w:rsidRPr="00D92FC1">
        <w:rPr>
          <w:rFonts w:ascii="Times New Roman" w:hAnsi="Times New Roman" w:cs="Times New Roman"/>
          <w:i/>
          <w:sz w:val="24"/>
          <w:szCs w:val="24"/>
        </w:rPr>
        <w:t>Tier I</w:t>
      </w:r>
      <w:r w:rsidRPr="00D92FC1">
        <w:rPr>
          <w:rFonts w:ascii="Times New Roman" w:hAnsi="Times New Roman" w:cs="Times New Roman"/>
          <w:sz w:val="24"/>
          <w:szCs w:val="24"/>
        </w:rPr>
        <w:t xml:space="preserve">. </w:t>
      </w:r>
    </w:p>
    <w:p w14:paraId="2A187115" w14:textId="2A5EF450" w:rsidR="00AB1420" w:rsidRPr="00D92FC1" w:rsidRDefault="00AB1420" w:rsidP="005E5395">
      <w:pPr>
        <w:spacing w:after="120" w:line="360" w:lineRule="auto"/>
        <w:jc w:val="both"/>
        <w:rPr>
          <w:rFonts w:ascii="Times New Roman" w:hAnsi="Times New Roman" w:cs="Times New Roman"/>
          <w:sz w:val="24"/>
          <w:szCs w:val="24"/>
        </w:rPr>
      </w:pPr>
      <w:r w:rsidRPr="00D92FC1">
        <w:rPr>
          <w:rFonts w:ascii="Times New Roman" w:hAnsi="Times New Roman" w:cs="Times New Roman"/>
          <w:sz w:val="24"/>
          <w:szCs w:val="24"/>
        </w:rPr>
        <w:t xml:space="preserve">Przepis </w:t>
      </w:r>
      <w:r w:rsidRPr="00D92FC1">
        <w:rPr>
          <w:rFonts w:ascii="Times New Roman" w:hAnsi="Times New Roman" w:cs="Times New Roman"/>
          <w:b/>
          <w:sz w:val="24"/>
          <w:szCs w:val="24"/>
        </w:rPr>
        <w:t>pkt 2</w:t>
      </w:r>
      <w:r w:rsidRPr="00D92FC1">
        <w:rPr>
          <w:rFonts w:ascii="Times New Roman" w:hAnsi="Times New Roman" w:cs="Times New Roman"/>
          <w:sz w:val="24"/>
          <w:szCs w:val="24"/>
        </w:rPr>
        <w:t xml:space="preserve"> określa organ zakładu ubezpieczeń i zakładu reasekuracji właściwy do podjęcia decyzji o emisji obligacji kapitałowych emitowanych w celu ich zakwalifikowania do środków własnych jako pozycji podstawowych środków własnych kategorii 1</w:t>
      </w:r>
      <w:r w:rsidR="005A33AD">
        <w:rPr>
          <w:rFonts w:ascii="Times New Roman" w:hAnsi="Times New Roman" w:cs="Times New Roman"/>
          <w:sz w:val="24"/>
          <w:szCs w:val="24"/>
        </w:rPr>
        <w:t>,</w:t>
      </w:r>
      <w:r w:rsidRPr="00D92FC1">
        <w:rPr>
          <w:rFonts w:ascii="Times New Roman" w:hAnsi="Times New Roman" w:cs="Times New Roman"/>
          <w:sz w:val="24"/>
          <w:szCs w:val="24"/>
        </w:rPr>
        <w:t xml:space="preserve"> w przypadku gdy warunki emisji przewidują możliwość dokonania odliczeń kwoty nominalnej obligacji kapitałowych w całości albo w części. </w:t>
      </w:r>
      <w:r>
        <w:rPr>
          <w:rFonts w:ascii="Times New Roman" w:hAnsi="Times New Roman" w:cs="Times New Roman"/>
          <w:sz w:val="24"/>
          <w:szCs w:val="24"/>
        </w:rPr>
        <w:t xml:space="preserve">Jest to </w:t>
      </w:r>
      <w:r w:rsidRPr="00D92FC1">
        <w:rPr>
          <w:rFonts w:ascii="Times New Roman" w:hAnsi="Times New Roman" w:cs="Times New Roman"/>
          <w:sz w:val="24"/>
          <w:szCs w:val="24"/>
        </w:rPr>
        <w:t>rozwiązani</w:t>
      </w:r>
      <w:r>
        <w:rPr>
          <w:rFonts w:ascii="Times New Roman" w:hAnsi="Times New Roman" w:cs="Times New Roman"/>
          <w:sz w:val="24"/>
          <w:szCs w:val="24"/>
        </w:rPr>
        <w:t>e</w:t>
      </w:r>
      <w:r w:rsidRPr="00D92FC1">
        <w:rPr>
          <w:rFonts w:ascii="Times New Roman" w:hAnsi="Times New Roman" w:cs="Times New Roman"/>
          <w:sz w:val="24"/>
          <w:szCs w:val="24"/>
        </w:rPr>
        <w:t xml:space="preserve"> analogiczne jak w przypadku banku i domu maklerskiego. Proponuje się, aby rozwiązania miały zastosowanie także w przypadku emisji obligacji kapitałowych emitowanych w celu ich zakwalifikowania do środków własnych jako pozycji podstawowych środków własnych kategorii 1, w przypadku gdy warunki emisji przewidują możliwość stosowania innego głównego mechanizmu pokrycia strat przez zakład ubezpieczeń albo zakład reasekuracji.</w:t>
      </w:r>
    </w:p>
    <w:p w14:paraId="06B6ED87" w14:textId="75144EBB" w:rsidR="00AB1420" w:rsidRPr="00D92FC1" w:rsidRDefault="00AB1420" w:rsidP="005E5395">
      <w:pPr>
        <w:spacing w:after="0" w:line="360" w:lineRule="auto"/>
        <w:jc w:val="both"/>
        <w:rPr>
          <w:rFonts w:ascii="Times New Roman" w:hAnsi="Times New Roman" w:cs="Times New Roman"/>
          <w:sz w:val="24"/>
          <w:szCs w:val="24"/>
        </w:rPr>
      </w:pPr>
      <w:r w:rsidRPr="00D92FC1">
        <w:rPr>
          <w:rFonts w:ascii="Times New Roman" w:hAnsi="Times New Roman" w:cs="Times New Roman"/>
          <w:sz w:val="24"/>
          <w:szCs w:val="24"/>
        </w:rPr>
        <w:t xml:space="preserve">Przepis </w:t>
      </w:r>
      <w:r w:rsidRPr="00D92FC1">
        <w:rPr>
          <w:rFonts w:ascii="Times New Roman" w:hAnsi="Times New Roman" w:cs="Times New Roman"/>
          <w:b/>
          <w:sz w:val="24"/>
          <w:szCs w:val="24"/>
        </w:rPr>
        <w:t xml:space="preserve">art. </w:t>
      </w:r>
      <w:r w:rsidR="001677EF" w:rsidRPr="00D92FC1">
        <w:rPr>
          <w:rFonts w:ascii="Times New Roman" w:hAnsi="Times New Roman" w:cs="Times New Roman"/>
          <w:b/>
          <w:sz w:val="24"/>
          <w:szCs w:val="24"/>
        </w:rPr>
        <w:t>27</w:t>
      </w:r>
      <w:r w:rsidR="001677EF">
        <w:rPr>
          <w:rFonts w:ascii="Times New Roman" w:hAnsi="Times New Roman" w:cs="Times New Roman"/>
          <w:b/>
          <w:sz w:val="24"/>
          <w:szCs w:val="24"/>
        </w:rPr>
        <w:t>n</w:t>
      </w:r>
      <w:r w:rsidR="001677EF" w:rsidRPr="00D92FC1">
        <w:rPr>
          <w:rFonts w:ascii="Times New Roman" w:hAnsi="Times New Roman" w:cs="Times New Roman"/>
          <w:b/>
          <w:sz w:val="24"/>
          <w:szCs w:val="24"/>
        </w:rPr>
        <w:t xml:space="preserve"> </w:t>
      </w:r>
      <w:r w:rsidRPr="0034774E">
        <w:rPr>
          <w:rFonts w:ascii="Times New Roman" w:hAnsi="Times New Roman" w:cs="Times New Roman"/>
          <w:b/>
          <w:sz w:val="24"/>
          <w:szCs w:val="24"/>
        </w:rPr>
        <w:t>ust. 1</w:t>
      </w:r>
      <w:r w:rsidRPr="00D92FC1">
        <w:rPr>
          <w:rFonts w:ascii="Times New Roman" w:hAnsi="Times New Roman" w:cs="Times New Roman"/>
          <w:sz w:val="24"/>
          <w:szCs w:val="24"/>
        </w:rPr>
        <w:t xml:space="preserve"> stanowi, że emisja obligacji kapitałowych emitowanych w celu ich zakwalifikowania jako instrumenty dodatkowe w kapitale </w:t>
      </w:r>
      <w:r w:rsidRPr="00D92FC1">
        <w:rPr>
          <w:rFonts w:ascii="Times New Roman" w:hAnsi="Times New Roman" w:cs="Times New Roman"/>
          <w:i/>
          <w:sz w:val="24"/>
          <w:szCs w:val="24"/>
        </w:rPr>
        <w:t>Tier I</w:t>
      </w:r>
      <w:r w:rsidRPr="00D92FC1">
        <w:rPr>
          <w:rFonts w:ascii="Times New Roman" w:hAnsi="Times New Roman" w:cs="Times New Roman"/>
          <w:sz w:val="24"/>
          <w:szCs w:val="24"/>
        </w:rPr>
        <w:t xml:space="preserve"> oraz emisja obligacji kapitałowych emitowanych w celu ich zakwalifikowania do środków własnych jako pozycji podstawowych środków własnych kategorii 1 wymaga uchwały walnego zgromadzenia emitenta podjętej większością trzech czwartych głosów w przypadku gdy warunki emisji przewidują możliwość zamiany tych instrumentów na akcje. Jest to rozwiązanie analogiczne do art. 415 § 1 Kodeksu spółek handlowych, zgodnie z którym uchwała dotycząca emisji </w:t>
      </w:r>
      <w:r w:rsidRPr="00D92FC1">
        <w:rPr>
          <w:rFonts w:ascii="Times New Roman" w:hAnsi="Times New Roman" w:cs="Times New Roman"/>
          <w:sz w:val="24"/>
          <w:szCs w:val="24"/>
        </w:rPr>
        <w:lastRenderedPageBreak/>
        <w:t>obligacji zamiennych i obligacji z prawem pierwszeństwa objęcia akcji, zmiany statutu, umorzenia akcji, obniżenia kapitału zakładowego, zbycia przedsiębiorstwa albo jego zorganizowanej części i rozwiązania spółki zapada większością trzech czwartych głosów.</w:t>
      </w:r>
    </w:p>
    <w:p w14:paraId="32C2FEAE" w14:textId="77777777" w:rsidR="00AB1420" w:rsidRPr="00D92FC1" w:rsidRDefault="00AB1420" w:rsidP="005E5395">
      <w:pPr>
        <w:spacing w:after="0" w:line="360" w:lineRule="auto"/>
        <w:jc w:val="both"/>
        <w:rPr>
          <w:rFonts w:ascii="Times New Roman" w:hAnsi="Times New Roman" w:cs="Times New Roman"/>
          <w:sz w:val="24"/>
          <w:szCs w:val="24"/>
        </w:rPr>
      </w:pPr>
      <w:r w:rsidRPr="00D92FC1">
        <w:rPr>
          <w:rFonts w:ascii="Times New Roman" w:hAnsi="Times New Roman" w:cs="Times New Roman"/>
          <w:sz w:val="24"/>
          <w:szCs w:val="24"/>
        </w:rPr>
        <w:t xml:space="preserve">W </w:t>
      </w:r>
      <w:r w:rsidRPr="00D92FC1">
        <w:rPr>
          <w:rFonts w:ascii="Times New Roman" w:hAnsi="Times New Roman" w:cs="Times New Roman"/>
          <w:b/>
          <w:sz w:val="24"/>
          <w:szCs w:val="24"/>
        </w:rPr>
        <w:t>ust. 2</w:t>
      </w:r>
      <w:r w:rsidRPr="00D92FC1">
        <w:rPr>
          <w:rFonts w:ascii="Times New Roman" w:hAnsi="Times New Roman" w:cs="Times New Roman"/>
          <w:sz w:val="24"/>
          <w:szCs w:val="24"/>
        </w:rPr>
        <w:t xml:space="preserve"> określono minimalne elementy uchwały walnego zgromadzenia emitenta, kierując się koniecznością uwzględnienia w tej uchwale generalnych warunków emisji. </w:t>
      </w:r>
    </w:p>
    <w:p w14:paraId="7DB11A3F" w14:textId="77777777" w:rsidR="00AB1420" w:rsidRPr="00D92FC1" w:rsidRDefault="00AB1420" w:rsidP="005E5395">
      <w:pPr>
        <w:spacing w:after="120" w:line="360" w:lineRule="auto"/>
        <w:jc w:val="both"/>
        <w:rPr>
          <w:rFonts w:ascii="Times New Roman" w:hAnsi="Times New Roman" w:cs="Times New Roman"/>
          <w:sz w:val="24"/>
          <w:szCs w:val="24"/>
        </w:rPr>
      </w:pPr>
      <w:r w:rsidRPr="00D92FC1">
        <w:rPr>
          <w:rFonts w:ascii="Times New Roman" w:hAnsi="Times New Roman" w:cs="Times New Roman"/>
          <w:sz w:val="24"/>
          <w:szCs w:val="24"/>
        </w:rPr>
        <w:t xml:space="preserve">Na podstawie </w:t>
      </w:r>
      <w:r w:rsidRPr="00D92FC1">
        <w:rPr>
          <w:rFonts w:ascii="Times New Roman" w:hAnsi="Times New Roman" w:cs="Times New Roman"/>
          <w:b/>
          <w:sz w:val="24"/>
          <w:szCs w:val="24"/>
        </w:rPr>
        <w:t>ust. 3</w:t>
      </w:r>
      <w:r w:rsidRPr="00D92FC1">
        <w:rPr>
          <w:rFonts w:ascii="Times New Roman" w:hAnsi="Times New Roman" w:cs="Times New Roman"/>
          <w:sz w:val="24"/>
          <w:szCs w:val="24"/>
        </w:rPr>
        <w:t xml:space="preserve"> uchwała walnego zgromadzenia emitenta będzie mogła zawierać upoważnienie dla zarządu emitenta do określenia warunków emisji obligacji kapitałowych emitowanych w celu ich zakwalifikowania do funduszy własnych jako instrumenty dodatkowe w </w:t>
      </w:r>
      <w:r w:rsidRPr="00D92FC1">
        <w:rPr>
          <w:rFonts w:ascii="Times New Roman" w:hAnsi="Times New Roman" w:cs="Times New Roman"/>
          <w:i/>
          <w:sz w:val="24"/>
          <w:szCs w:val="24"/>
        </w:rPr>
        <w:t>Tier I</w:t>
      </w:r>
      <w:r w:rsidRPr="00D92FC1">
        <w:rPr>
          <w:rFonts w:ascii="Times New Roman" w:hAnsi="Times New Roman" w:cs="Times New Roman"/>
          <w:sz w:val="24"/>
          <w:szCs w:val="24"/>
        </w:rPr>
        <w:t xml:space="preserve"> albo w celu ich zakwalifikowania do środków własnych jako pozycji podstawowych środków własnych kategorii 1 w zakresie innym niż określony przez walne zgromadzenie emitenta zgodnie z ust. 2, w tym wysokości marży w przypadku obligacji o zmiennym oprocentowaniu.</w:t>
      </w:r>
    </w:p>
    <w:p w14:paraId="0E48D634" w14:textId="271D4702" w:rsidR="00AB1420" w:rsidRPr="00D92FC1" w:rsidRDefault="00AB1420" w:rsidP="005E5395">
      <w:pPr>
        <w:spacing w:after="120" w:line="360" w:lineRule="auto"/>
        <w:jc w:val="both"/>
        <w:rPr>
          <w:rFonts w:ascii="Times New Roman" w:eastAsia="Calibri" w:hAnsi="Times New Roman" w:cs="Times New Roman"/>
          <w:sz w:val="24"/>
          <w:szCs w:val="24"/>
        </w:rPr>
      </w:pPr>
      <w:r w:rsidRPr="00D92FC1">
        <w:rPr>
          <w:rFonts w:ascii="Times New Roman" w:eastAsia="Calibri" w:hAnsi="Times New Roman" w:cs="Times New Roman"/>
          <w:sz w:val="24"/>
          <w:szCs w:val="24"/>
        </w:rPr>
        <w:t>W pozostałym zakresie do obligacji kapitałowych znajdą zastosowanie przepisy ustawy o obligacjach, z wyjątkiem przepisów art. 28</w:t>
      </w:r>
      <w:r w:rsidRPr="00D92FC1">
        <w:rPr>
          <w:rFonts w:ascii="Times New Roman" w:hAnsi="Times New Roman" w:cs="Times New Roman"/>
          <w:sz w:val="24"/>
          <w:szCs w:val="24"/>
        </w:rPr>
        <w:t>–</w:t>
      </w:r>
      <w:r w:rsidRPr="00D92FC1">
        <w:rPr>
          <w:rFonts w:ascii="Times New Roman" w:eastAsia="Calibri" w:hAnsi="Times New Roman" w:cs="Times New Roman"/>
          <w:sz w:val="24"/>
          <w:szCs w:val="24"/>
        </w:rPr>
        <w:t>31, art. 36, art. 74 ust. 2</w:t>
      </w:r>
      <w:r w:rsidRPr="00D92FC1">
        <w:rPr>
          <w:rFonts w:ascii="Times New Roman" w:hAnsi="Times New Roman" w:cs="Times New Roman"/>
          <w:sz w:val="24"/>
          <w:szCs w:val="24"/>
        </w:rPr>
        <w:t>–</w:t>
      </w:r>
      <w:r w:rsidRPr="00D92FC1">
        <w:rPr>
          <w:rFonts w:ascii="Times New Roman" w:eastAsia="Calibri" w:hAnsi="Times New Roman" w:cs="Times New Roman"/>
          <w:sz w:val="24"/>
          <w:szCs w:val="24"/>
        </w:rPr>
        <w:t>6 oraz art. 76 ust. 2 i 3 tej ustawy (</w:t>
      </w:r>
      <w:r w:rsidRPr="00D92FC1">
        <w:rPr>
          <w:rFonts w:ascii="Times New Roman" w:eastAsia="Calibri" w:hAnsi="Times New Roman" w:cs="Times New Roman"/>
          <w:b/>
          <w:sz w:val="24"/>
          <w:szCs w:val="24"/>
        </w:rPr>
        <w:t xml:space="preserve">art. </w:t>
      </w:r>
      <w:r w:rsidR="001677EF" w:rsidRPr="00D92FC1">
        <w:rPr>
          <w:rFonts w:ascii="Times New Roman" w:eastAsia="Calibri" w:hAnsi="Times New Roman" w:cs="Times New Roman"/>
          <w:b/>
          <w:sz w:val="24"/>
          <w:szCs w:val="24"/>
        </w:rPr>
        <w:t>27</w:t>
      </w:r>
      <w:r w:rsidR="001677EF">
        <w:rPr>
          <w:rFonts w:ascii="Times New Roman" w:eastAsia="Calibri" w:hAnsi="Times New Roman" w:cs="Times New Roman"/>
          <w:b/>
          <w:sz w:val="24"/>
          <w:szCs w:val="24"/>
        </w:rPr>
        <w:t>o</w:t>
      </w:r>
      <w:r w:rsidRPr="00D92FC1">
        <w:rPr>
          <w:rFonts w:ascii="Times New Roman" w:eastAsia="Calibri" w:hAnsi="Times New Roman" w:cs="Times New Roman"/>
          <w:sz w:val="24"/>
          <w:szCs w:val="24"/>
        </w:rPr>
        <w:t>).</w:t>
      </w:r>
    </w:p>
    <w:p w14:paraId="1B4E5159" w14:textId="77777777" w:rsidR="00AB1420" w:rsidRPr="00D92FC1" w:rsidRDefault="00AB1420" w:rsidP="005E5395">
      <w:pPr>
        <w:spacing w:after="120" w:line="360" w:lineRule="auto"/>
        <w:jc w:val="both"/>
        <w:rPr>
          <w:rFonts w:ascii="Times New Roman" w:eastAsia="Calibri" w:hAnsi="Times New Roman" w:cs="Times New Roman"/>
          <w:sz w:val="24"/>
          <w:szCs w:val="24"/>
        </w:rPr>
      </w:pPr>
      <w:r w:rsidRPr="00D92FC1">
        <w:rPr>
          <w:rFonts w:ascii="Times New Roman" w:eastAsia="Calibri" w:hAnsi="Times New Roman" w:cs="Times New Roman"/>
          <w:sz w:val="24"/>
          <w:szCs w:val="24"/>
        </w:rPr>
        <w:t xml:space="preserve">Zmieniany </w:t>
      </w:r>
      <w:r w:rsidRPr="00D92FC1">
        <w:rPr>
          <w:rFonts w:ascii="Times New Roman" w:eastAsia="Calibri" w:hAnsi="Times New Roman" w:cs="Times New Roman"/>
          <w:b/>
          <w:sz w:val="24"/>
          <w:szCs w:val="24"/>
        </w:rPr>
        <w:t>art. 57</w:t>
      </w:r>
      <w:r w:rsidRPr="00D92FC1">
        <w:rPr>
          <w:rFonts w:ascii="Times New Roman" w:eastAsia="Calibri" w:hAnsi="Times New Roman" w:cs="Times New Roman"/>
          <w:sz w:val="24"/>
          <w:szCs w:val="24"/>
        </w:rPr>
        <w:t xml:space="preserve"> </w:t>
      </w:r>
      <w:r w:rsidRPr="0069297C">
        <w:rPr>
          <w:rFonts w:ascii="Times New Roman" w:eastAsia="Calibri" w:hAnsi="Times New Roman" w:cs="Times New Roman"/>
          <w:b/>
          <w:sz w:val="24"/>
          <w:szCs w:val="24"/>
        </w:rPr>
        <w:t>ust. 1</w:t>
      </w:r>
      <w:r w:rsidRPr="00D92FC1">
        <w:rPr>
          <w:rFonts w:ascii="Times New Roman" w:eastAsia="Calibri" w:hAnsi="Times New Roman" w:cs="Times New Roman"/>
          <w:sz w:val="24"/>
          <w:szCs w:val="24"/>
        </w:rPr>
        <w:t xml:space="preserve"> przewiduje, że udzielenie i odwołanie pełnomocnictwa do uczestniczenia w zgromadzeniu obligatariuszy oraz wykonywania prawa głosu wymagają formy pisemnej lub formy elektronicznej, pod rygorem nieważności.</w:t>
      </w:r>
    </w:p>
    <w:p w14:paraId="26938F9C" w14:textId="0F1144B7" w:rsidR="00AB1420" w:rsidRPr="00D92FC1" w:rsidRDefault="00AB1420" w:rsidP="005E5395">
      <w:pPr>
        <w:spacing w:after="120" w:line="360" w:lineRule="auto"/>
        <w:jc w:val="both"/>
        <w:rPr>
          <w:rFonts w:ascii="Times New Roman" w:eastAsia="Calibri" w:hAnsi="Times New Roman" w:cs="Times New Roman"/>
          <w:sz w:val="24"/>
          <w:szCs w:val="24"/>
        </w:rPr>
      </w:pPr>
      <w:r w:rsidRPr="00D92FC1">
        <w:rPr>
          <w:rFonts w:ascii="Times New Roman" w:eastAsia="Calibri" w:hAnsi="Times New Roman" w:cs="Times New Roman"/>
          <w:sz w:val="24"/>
          <w:szCs w:val="24"/>
        </w:rPr>
        <w:t xml:space="preserve">Zmianie ulega </w:t>
      </w:r>
      <w:r w:rsidRPr="00D92FC1">
        <w:rPr>
          <w:rFonts w:ascii="Times New Roman" w:eastAsia="Calibri" w:hAnsi="Times New Roman" w:cs="Times New Roman"/>
          <w:b/>
          <w:sz w:val="24"/>
          <w:szCs w:val="24"/>
        </w:rPr>
        <w:t>art. 74 ust. 7</w:t>
      </w:r>
      <w:r w:rsidRPr="00D92FC1">
        <w:rPr>
          <w:rFonts w:ascii="Times New Roman" w:eastAsia="Calibri" w:hAnsi="Times New Roman" w:cs="Times New Roman"/>
          <w:sz w:val="24"/>
          <w:szCs w:val="24"/>
        </w:rPr>
        <w:t>, który wyłączy stosowanie ust. 2 tego artykułu</w:t>
      </w:r>
      <w:r w:rsidR="005A33AD">
        <w:rPr>
          <w:rFonts w:ascii="Times New Roman" w:eastAsia="Calibri" w:hAnsi="Times New Roman" w:cs="Times New Roman"/>
          <w:sz w:val="24"/>
          <w:szCs w:val="24"/>
        </w:rPr>
        <w:t>,</w:t>
      </w:r>
      <w:r w:rsidRPr="00D92FC1">
        <w:rPr>
          <w:rFonts w:ascii="Times New Roman" w:eastAsia="Calibri" w:hAnsi="Times New Roman" w:cs="Times New Roman"/>
          <w:sz w:val="24"/>
          <w:szCs w:val="24"/>
        </w:rPr>
        <w:t xml:space="preserve"> w przypadku gdy obligacje – inne niż obligacje kapitałowe – zostały wyemitowane w celu ich zakwalifikowania jako składniki funduszy własnych zgodnie z przepisami rozporządzenia nr 575/2013 i zaliczone do tych funduszy. Oznacza to</w:t>
      </w:r>
      <w:r w:rsidR="001956CF">
        <w:rPr>
          <w:rFonts w:ascii="Times New Roman" w:eastAsia="Calibri" w:hAnsi="Times New Roman" w:cs="Times New Roman"/>
          <w:sz w:val="24"/>
          <w:szCs w:val="24"/>
        </w:rPr>
        <w:t xml:space="preserve"> </w:t>
      </w:r>
      <w:r w:rsidRPr="00D92FC1">
        <w:rPr>
          <w:rFonts w:ascii="Times New Roman" w:eastAsia="Calibri" w:hAnsi="Times New Roman" w:cs="Times New Roman"/>
          <w:sz w:val="24"/>
          <w:szCs w:val="24"/>
        </w:rPr>
        <w:t xml:space="preserve">wyłączenie rozwiązania, zgodnie z którym w przypadku zwłoki emitenta w zakresie wykonania zobowiązań wynikających z obligacji podlegają one, na żądanie obligatariusza, natychmiastowemu wykupowi w części, w jakiej przewidują świadczenie pieniężne. Analogiczne rozwiązanie przyjęto w </w:t>
      </w:r>
      <w:r w:rsidRPr="00D92FC1">
        <w:rPr>
          <w:rFonts w:ascii="Times New Roman" w:eastAsia="Calibri" w:hAnsi="Times New Roman" w:cs="Times New Roman"/>
          <w:b/>
          <w:sz w:val="24"/>
          <w:szCs w:val="24"/>
        </w:rPr>
        <w:t>ust. 8</w:t>
      </w:r>
      <w:r w:rsidRPr="00D92FC1">
        <w:rPr>
          <w:rFonts w:ascii="Times New Roman" w:eastAsia="Calibri" w:hAnsi="Times New Roman" w:cs="Times New Roman"/>
          <w:sz w:val="24"/>
          <w:szCs w:val="24"/>
        </w:rPr>
        <w:t xml:space="preserve"> tego artykułu w odniesieniu do emisji obligacji innych niż obligacje kapitałowe przez zakłady ubezpieczeń i zakłady reasekuracji.</w:t>
      </w:r>
      <w:r w:rsidRPr="00D92FC1">
        <w:rPr>
          <w:rFonts w:ascii="Times New Roman" w:hAnsi="Times New Roman" w:cs="Times New Roman"/>
          <w:sz w:val="24"/>
          <w:szCs w:val="24"/>
        </w:rPr>
        <w:t xml:space="preserve"> </w:t>
      </w:r>
    </w:p>
    <w:p w14:paraId="05F92A11" w14:textId="77777777" w:rsidR="00AB1420" w:rsidRPr="00D92FC1" w:rsidRDefault="00AB1420" w:rsidP="005E5395">
      <w:pPr>
        <w:spacing w:after="0" w:line="360" w:lineRule="auto"/>
        <w:jc w:val="both"/>
        <w:rPr>
          <w:rFonts w:ascii="Times New Roman" w:eastAsia="Calibri" w:hAnsi="Times New Roman" w:cs="Times New Roman"/>
          <w:sz w:val="24"/>
          <w:szCs w:val="24"/>
        </w:rPr>
      </w:pPr>
      <w:r w:rsidRPr="00D92FC1">
        <w:rPr>
          <w:rFonts w:ascii="Times New Roman" w:eastAsia="Calibri" w:hAnsi="Times New Roman" w:cs="Times New Roman"/>
          <w:sz w:val="24"/>
          <w:szCs w:val="24"/>
        </w:rPr>
        <w:t xml:space="preserve">Przepis </w:t>
      </w:r>
      <w:r w:rsidRPr="00D92FC1">
        <w:rPr>
          <w:rFonts w:ascii="Times New Roman" w:eastAsia="Calibri" w:hAnsi="Times New Roman" w:cs="Times New Roman"/>
          <w:b/>
          <w:sz w:val="24"/>
          <w:szCs w:val="24"/>
        </w:rPr>
        <w:t>art. 74a</w:t>
      </w:r>
      <w:r w:rsidRPr="00D92FC1">
        <w:rPr>
          <w:rFonts w:ascii="Times New Roman" w:eastAsia="Calibri" w:hAnsi="Times New Roman" w:cs="Times New Roman"/>
          <w:sz w:val="24"/>
          <w:szCs w:val="24"/>
        </w:rPr>
        <w:t xml:space="preserve"> określa zasady wykupu obligacji kapitałowych. Emitent będący bankiem krajowym lub domem maklerskim (</w:t>
      </w:r>
      <w:r w:rsidRPr="00D92FC1">
        <w:rPr>
          <w:rFonts w:ascii="Times New Roman" w:eastAsia="Calibri" w:hAnsi="Times New Roman" w:cs="Times New Roman"/>
          <w:b/>
          <w:sz w:val="24"/>
          <w:szCs w:val="24"/>
        </w:rPr>
        <w:t>ust. 1</w:t>
      </w:r>
      <w:r w:rsidRPr="00D92FC1">
        <w:rPr>
          <w:rFonts w:ascii="Times New Roman" w:eastAsia="Calibri" w:hAnsi="Times New Roman" w:cs="Times New Roman"/>
          <w:sz w:val="24"/>
          <w:szCs w:val="24"/>
        </w:rPr>
        <w:t xml:space="preserve"> </w:t>
      </w:r>
      <w:r w:rsidRPr="00D92FC1">
        <w:rPr>
          <w:rFonts w:ascii="Times New Roman" w:eastAsia="Calibri" w:hAnsi="Times New Roman" w:cs="Times New Roman"/>
          <w:b/>
          <w:sz w:val="24"/>
          <w:szCs w:val="24"/>
        </w:rPr>
        <w:t>pkt 2 lit. a</w:t>
      </w:r>
      <w:r w:rsidRPr="00D92FC1">
        <w:rPr>
          <w:rFonts w:ascii="Times New Roman" w:eastAsia="Calibri" w:hAnsi="Times New Roman" w:cs="Times New Roman"/>
          <w:sz w:val="24"/>
          <w:szCs w:val="24"/>
        </w:rPr>
        <w:t xml:space="preserve">) będzie mógł dokonać wykupu obligacji kapitałowych, jeżeli w warunkach emisji zastrzegł takie prawo oraz uzyskał zezwolenie KNF, nie wcześniej jednak niż po upływie 5 lat od dnia ich emisji, zgodnie z art. 77 rozporządzenia nr 575/2013. Wbudowana w instrument kapitałowy opcja wykupu (tzw. </w:t>
      </w:r>
      <w:r w:rsidRPr="00D92FC1">
        <w:rPr>
          <w:rFonts w:ascii="Times New Roman" w:eastAsia="Calibri" w:hAnsi="Times New Roman" w:cs="Times New Roman"/>
          <w:i/>
          <w:sz w:val="24"/>
          <w:szCs w:val="24"/>
        </w:rPr>
        <w:t>call</w:t>
      </w:r>
      <w:r w:rsidRPr="00D92FC1">
        <w:rPr>
          <w:rFonts w:ascii="Times New Roman" w:eastAsia="Calibri" w:hAnsi="Times New Roman" w:cs="Times New Roman"/>
          <w:sz w:val="24"/>
          <w:szCs w:val="24"/>
        </w:rPr>
        <w:t xml:space="preserve">) będzie mogła być </w:t>
      </w:r>
      <w:r w:rsidRPr="00D92FC1">
        <w:rPr>
          <w:rFonts w:ascii="Times New Roman" w:eastAsia="Calibri" w:hAnsi="Times New Roman" w:cs="Times New Roman"/>
          <w:sz w:val="24"/>
          <w:szCs w:val="24"/>
        </w:rPr>
        <w:lastRenderedPageBreak/>
        <w:t>wykonana wyłącznie w określonym terminie, a przed jego upływem wyłącznie za zgodą właściwego organu i jedynie w przypadkach określonych w art. 78 rozporządzenia nr 575/2013.</w:t>
      </w:r>
    </w:p>
    <w:p w14:paraId="42CF9236" w14:textId="5DD9DBB0" w:rsidR="00AB1420" w:rsidRPr="00D92FC1" w:rsidRDefault="00AB1420" w:rsidP="005E5395">
      <w:pPr>
        <w:spacing w:after="0" w:line="360" w:lineRule="auto"/>
        <w:jc w:val="both"/>
        <w:rPr>
          <w:rFonts w:ascii="Times New Roman" w:eastAsia="Calibri" w:hAnsi="Times New Roman" w:cs="Times New Roman"/>
          <w:sz w:val="24"/>
          <w:szCs w:val="24"/>
        </w:rPr>
      </w:pPr>
      <w:r w:rsidRPr="00D92FC1">
        <w:rPr>
          <w:rFonts w:ascii="Times New Roman" w:eastAsia="Calibri" w:hAnsi="Times New Roman" w:cs="Times New Roman"/>
          <w:sz w:val="24"/>
          <w:szCs w:val="24"/>
        </w:rPr>
        <w:t xml:space="preserve">Emitent będący krajowym zakładem ubezpieczeń lub krajowym zakładem reasekuracji (ust. 1 </w:t>
      </w:r>
      <w:r w:rsidRPr="00D92FC1">
        <w:rPr>
          <w:rFonts w:ascii="Times New Roman" w:eastAsia="Calibri" w:hAnsi="Times New Roman" w:cs="Times New Roman"/>
          <w:b/>
          <w:sz w:val="24"/>
          <w:szCs w:val="24"/>
        </w:rPr>
        <w:t>pkt 2 lit. b</w:t>
      </w:r>
      <w:r w:rsidRPr="00D92FC1">
        <w:rPr>
          <w:rFonts w:ascii="Times New Roman" w:eastAsia="Calibri" w:hAnsi="Times New Roman" w:cs="Times New Roman"/>
          <w:sz w:val="24"/>
          <w:szCs w:val="24"/>
        </w:rPr>
        <w:t xml:space="preserve">) będzie mógł dokonać wykupu obligacji, jeżeli w warunkach emisji zastrzegł prawo wykupu oraz uzyskał zezwolenie KNF, zgodnie z art. 71, art. 73 albo art. 77 rozporządzenia </w:t>
      </w:r>
      <w:r w:rsidRPr="00D92FC1">
        <w:rPr>
          <w:rFonts w:ascii="Times New Roman" w:hAnsi="Times New Roman" w:cs="Times New Roman"/>
          <w:sz w:val="24"/>
          <w:szCs w:val="24"/>
        </w:rPr>
        <w:t xml:space="preserve">delegowanego Komisji (UE) </w:t>
      </w:r>
      <w:r w:rsidRPr="00D92FC1">
        <w:rPr>
          <w:rFonts w:ascii="Times New Roman" w:eastAsia="Calibri" w:hAnsi="Times New Roman" w:cs="Times New Roman"/>
          <w:sz w:val="24"/>
          <w:szCs w:val="24"/>
        </w:rPr>
        <w:t xml:space="preserve">2015/35. Jeżeli obligacje kapitałowe zostały wyemitowane w celu zakwalifikowania ich do środków własnych jako pozycje podstawowych środków własnych kategorii 1, kategorii 2 albo kategorii 3, termin wykupu nie może przypadać wcześniej niż po upływie 5 lat od dnia emisji obligacji kapitałowych. </w:t>
      </w:r>
    </w:p>
    <w:p w14:paraId="7E46D440" w14:textId="77FD5C04" w:rsidR="00B23447" w:rsidRDefault="00AB1420" w:rsidP="005E5395">
      <w:pPr>
        <w:spacing w:after="0" w:line="360" w:lineRule="auto"/>
        <w:jc w:val="both"/>
        <w:rPr>
          <w:rFonts w:ascii="Times New Roman" w:eastAsia="Calibri" w:hAnsi="Times New Roman" w:cs="Times New Roman"/>
          <w:sz w:val="24"/>
          <w:szCs w:val="24"/>
        </w:rPr>
      </w:pPr>
      <w:r w:rsidRPr="00D92FC1">
        <w:rPr>
          <w:rFonts w:ascii="Times New Roman" w:eastAsia="Calibri" w:hAnsi="Times New Roman" w:cs="Times New Roman"/>
          <w:sz w:val="24"/>
          <w:szCs w:val="24"/>
        </w:rPr>
        <w:t xml:space="preserve">Zgodnie z </w:t>
      </w:r>
      <w:r w:rsidRPr="00D92FC1">
        <w:rPr>
          <w:rFonts w:ascii="Times New Roman" w:eastAsia="Calibri" w:hAnsi="Times New Roman" w:cs="Times New Roman"/>
          <w:b/>
          <w:sz w:val="24"/>
          <w:szCs w:val="24"/>
        </w:rPr>
        <w:t>ust. 2</w:t>
      </w:r>
      <w:r w:rsidRPr="00D92FC1">
        <w:rPr>
          <w:rFonts w:ascii="Times New Roman" w:eastAsia="Calibri" w:hAnsi="Times New Roman" w:cs="Times New Roman"/>
          <w:sz w:val="24"/>
          <w:szCs w:val="24"/>
        </w:rPr>
        <w:t xml:space="preserve"> emitentowi przysługuje uprawnienie do wykupu obligacji kapitałowych w przypadku odmowy wydania przez KNF zezwolenia na zakwalifikowanie obligacji kapitałowych do funduszy własnych zgodnie z art. 52 rozporządzenia nr 575/2013, jeżeli w warunkach emisji została zawarta informacja, o której mowa w art. 27h ust. </w:t>
      </w:r>
      <w:r w:rsidR="004C7D1C">
        <w:rPr>
          <w:rFonts w:ascii="Times New Roman" w:eastAsia="Calibri" w:hAnsi="Times New Roman" w:cs="Times New Roman"/>
          <w:sz w:val="24"/>
          <w:szCs w:val="24"/>
        </w:rPr>
        <w:t>2</w:t>
      </w:r>
      <w:r w:rsidRPr="00D92FC1">
        <w:rPr>
          <w:rFonts w:ascii="Times New Roman" w:eastAsia="Calibri" w:hAnsi="Times New Roman" w:cs="Times New Roman"/>
          <w:sz w:val="24"/>
          <w:szCs w:val="24"/>
        </w:rPr>
        <w:t>, tj. informacj</w:t>
      </w:r>
      <w:r w:rsidR="008F3A32">
        <w:rPr>
          <w:rFonts w:ascii="Times New Roman" w:eastAsia="Calibri" w:hAnsi="Times New Roman" w:cs="Times New Roman"/>
          <w:sz w:val="24"/>
          <w:szCs w:val="24"/>
        </w:rPr>
        <w:t>a</w:t>
      </w:r>
      <w:r w:rsidRPr="00D92FC1">
        <w:rPr>
          <w:rFonts w:ascii="Times New Roman" w:eastAsia="Calibri" w:hAnsi="Times New Roman" w:cs="Times New Roman"/>
          <w:sz w:val="24"/>
          <w:szCs w:val="24"/>
        </w:rPr>
        <w:t xml:space="preserve"> o możliwości wykupu</w:t>
      </w:r>
      <w:r w:rsidRPr="00D92FC1">
        <w:rPr>
          <w:rFonts w:ascii="Times New Roman" w:hAnsi="Times New Roman" w:cs="Times New Roman"/>
          <w:sz w:val="24"/>
          <w:szCs w:val="24"/>
        </w:rPr>
        <w:t xml:space="preserve"> </w:t>
      </w:r>
      <w:r w:rsidRPr="00D92FC1">
        <w:rPr>
          <w:rFonts w:ascii="Times New Roman" w:eastAsia="Calibri" w:hAnsi="Times New Roman" w:cs="Times New Roman"/>
          <w:sz w:val="24"/>
          <w:szCs w:val="24"/>
        </w:rPr>
        <w:t xml:space="preserve">obligacji kapitałowych przez emitenta w przypadku odmowy wydania przez KNF zezwolenia na zakwalifikowanie obligacji kapitałowych do funduszy własnych. </w:t>
      </w:r>
    </w:p>
    <w:p w14:paraId="3028F8C3" w14:textId="5E3833CC" w:rsidR="00AB1420" w:rsidRPr="001F0077" w:rsidRDefault="00B23447" w:rsidP="005E5395">
      <w:pPr>
        <w:spacing w:after="12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Zgodnie z </w:t>
      </w:r>
      <w:r w:rsidRPr="001F0077">
        <w:rPr>
          <w:rFonts w:ascii="Times New Roman" w:eastAsia="Calibri" w:hAnsi="Times New Roman" w:cs="Times New Roman"/>
          <w:b/>
          <w:sz w:val="24"/>
          <w:szCs w:val="24"/>
        </w:rPr>
        <w:t>ust. 3</w:t>
      </w:r>
      <w:r>
        <w:rPr>
          <w:rFonts w:ascii="Times New Roman" w:eastAsia="Calibri" w:hAnsi="Times New Roman" w:cs="Times New Roman"/>
          <w:sz w:val="24"/>
          <w:szCs w:val="24"/>
        </w:rPr>
        <w:t xml:space="preserve"> w</w:t>
      </w:r>
      <w:r w:rsidRPr="00B23447">
        <w:rPr>
          <w:rFonts w:ascii="Times New Roman" w:eastAsia="Calibri" w:hAnsi="Times New Roman" w:cs="Times New Roman"/>
          <w:sz w:val="24"/>
          <w:szCs w:val="24"/>
        </w:rPr>
        <w:t xml:space="preserve">ymogu uzyskania </w:t>
      </w:r>
      <w:r w:rsidRPr="001F0077">
        <w:rPr>
          <w:rFonts w:ascii="Times New Roman" w:eastAsia="Calibri" w:hAnsi="Times New Roman" w:cs="Times New Roman"/>
          <w:sz w:val="24"/>
          <w:szCs w:val="24"/>
        </w:rPr>
        <w:t>zezwolenia na wykup obligacji kapitałowych, o którym mowa w ust. 1 pkt 2, nie stosuje się w przypadku określonym w art. 9 ust. 3 rozporządzenia Parlamentu Europejskiego i Rady (UE) 2019/2033 z dnia 27 listopada 2019 r. w sprawie wymogów ostrożnościowych dla firm inwestycyjnych oraz zmieniającego rozporządzenia (UE) nr 1093/2010, (UE) nr 575/2013, (UE) nr 600/2014 i (UE) nr 806/2014 (Dz. Urz. UE L 314 z 05.12.2019, str. 1, z późn. zm.)</w:t>
      </w:r>
      <w:r w:rsidR="001F0077" w:rsidRPr="001F0077">
        <w:rPr>
          <w:rFonts w:ascii="Times New Roman" w:hAnsi="Times New Roman" w:cs="Times New Roman"/>
          <w:sz w:val="24"/>
          <w:szCs w:val="24"/>
        </w:rPr>
        <w:t xml:space="preserve">, </w:t>
      </w:r>
      <w:r w:rsidR="001F0077" w:rsidRPr="0045156C">
        <w:rPr>
          <w:rFonts w:ascii="Times New Roman" w:hAnsi="Times New Roman" w:cs="Times New Roman"/>
          <w:sz w:val="24"/>
          <w:szCs w:val="24"/>
        </w:rPr>
        <w:t xml:space="preserve">tj. w przypadku emitentów posiadających fundusze własne </w:t>
      </w:r>
      <w:r w:rsidR="00E90422" w:rsidRPr="0045156C">
        <w:rPr>
          <w:rFonts w:ascii="Times New Roman" w:hAnsi="Times New Roman" w:cs="Times New Roman"/>
          <w:sz w:val="24"/>
          <w:szCs w:val="24"/>
        </w:rPr>
        <w:t xml:space="preserve">w </w:t>
      </w:r>
      <w:r w:rsidR="001F0077" w:rsidRPr="0045156C">
        <w:rPr>
          <w:rFonts w:ascii="Times New Roman" w:hAnsi="Times New Roman" w:cs="Times New Roman"/>
          <w:sz w:val="24"/>
          <w:szCs w:val="24"/>
        </w:rPr>
        <w:t>wysokości wynikającej z  rozporządzenia nr 575/2013</w:t>
      </w:r>
      <w:r w:rsidRPr="0045156C">
        <w:rPr>
          <w:rFonts w:ascii="Times New Roman" w:eastAsia="Calibri" w:hAnsi="Times New Roman" w:cs="Times New Roman"/>
          <w:sz w:val="24"/>
          <w:szCs w:val="24"/>
        </w:rPr>
        <w:t>.</w:t>
      </w:r>
      <w:r w:rsidR="00132756" w:rsidRPr="001F0077">
        <w:rPr>
          <w:rFonts w:ascii="Times New Roman" w:eastAsia="Calibri" w:hAnsi="Times New Roman" w:cs="Times New Roman"/>
          <w:sz w:val="24"/>
          <w:szCs w:val="24"/>
        </w:rPr>
        <w:t xml:space="preserve"> </w:t>
      </w:r>
    </w:p>
    <w:p w14:paraId="2EDC0DD5" w14:textId="77777777" w:rsidR="00AB1420" w:rsidRPr="00D92FC1" w:rsidRDefault="00AB1420" w:rsidP="005E5395">
      <w:pPr>
        <w:spacing w:after="0" w:line="360" w:lineRule="auto"/>
        <w:jc w:val="both"/>
        <w:rPr>
          <w:rFonts w:ascii="Times New Roman" w:hAnsi="Times New Roman" w:cs="Times New Roman"/>
          <w:sz w:val="24"/>
          <w:szCs w:val="24"/>
        </w:rPr>
      </w:pPr>
      <w:r w:rsidRPr="00D92FC1">
        <w:rPr>
          <w:rFonts w:ascii="Times New Roman" w:hAnsi="Times New Roman" w:cs="Times New Roman"/>
          <w:sz w:val="24"/>
          <w:szCs w:val="24"/>
        </w:rPr>
        <w:t xml:space="preserve">Przepis </w:t>
      </w:r>
      <w:r w:rsidRPr="00D92FC1">
        <w:rPr>
          <w:rFonts w:ascii="Times New Roman" w:hAnsi="Times New Roman" w:cs="Times New Roman"/>
          <w:b/>
          <w:sz w:val="24"/>
          <w:szCs w:val="24"/>
        </w:rPr>
        <w:t>art. 74b</w:t>
      </w:r>
      <w:r w:rsidRPr="00D92FC1">
        <w:rPr>
          <w:rFonts w:ascii="Times New Roman" w:hAnsi="Times New Roman" w:cs="Times New Roman"/>
          <w:sz w:val="24"/>
          <w:szCs w:val="24"/>
        </w:rPr>
        <w:t xml:space="preserve"> </w:t>
      </w:r>
      <w:r w:rsidRPr="00D92FC1">
        <w:rPr>
          <w:rFonts w:ascii="Times New Roman" w:hAnsi="Times New Roman" w:cs="Times New Roman"/>
          <w:b/>
          <w:sz w:val="24"/>
          <w:szCs w:val="24"/>
        </w:rPr>
        <w:t>pkt</w:t>
      </w:r>
      <w:r w:rsidRPr="00D92FC1">
        <w:rPr>
          <w:rFonts w:ascii="Times New Roman" w:hAnsi="Times New Roman" w:cs="Times New Roman"/>
          <w:sz w:val="24"/>
          <w:szCs w:val="24"/>
        </w:rPr>
        <w:t xml:space="preserve"> </w:t>
      </w:r>
      <w:r w:rsidRPr="00D92FC1">
        <w:rPr>
          <w:rFonts w:ascii="Times New Roman" w:hAnsi="Times New Roman" w:cs="Times New Roman"/>
          <w:b/>
          <w:sz w:val="24"/>
          <w:szCs w:val="24"/>
        </w:rPr>
        <w:t>1</w:t>
      </w:r>
      <w:r w:rsidRPr="00D92FC1">
        <w:rPr>
          <w:rFonts w:ascii="Times New Roman" w:hAnsi="Times New Roman" w:cs="Times New Roman"/>
          <w:sz w:val="24"/>
          <w:szCs w:val="24"/>
        </w:rPr>
        <w:t xml:space="preserve"> dotyczy emisji obligacji kapitałowych przez zakład ubezpieczeń albo zakład reasekuracji w celu ich zakwalifikowania do środków własnych jako pozycji podstawowych środków własnych kategorii 1. W przypadku wystąpienia niezgodności z kapitałowym wymogiem wypłacalności lub gdy wykup obligacji prowadziłby do powstania takiej niegodności zakład ubezpieczeń albo zakład reasekuracji będzie wstrzymywał wykup obligacji kapitałowych do czasu spełnienia kapitałowego wymogu wypłacalności, także w przypadku gdy wykup obligacji kapitałowych nie będzie prowadził do powstania takiej niezgodności, zgodnie z art. 71 ust. 1 lit. j oraz ust. 9 rozporządzenia delegowanego Komisji (UE) 2015/35.</w:t>
      </w:r>
    </w:p>
    <w:p w14:paraId="4B0B78AC" w14:textId="77777777" w:rsidR="00AB1420" w:rsidRPr="00D92FC1" w:rsidRDefault="00AB1420" w:rsidP="005E5395">
      <w:pPr>
        <w:spacing w:after="0" w:line="360" w:lineRule="auto"/>
        <w:jc w:val="both"/>
        <w:rPr>
          <w:rFonts w:ascii="Times New Roman" w:hAnsi="Times New Roman" w:cs="Times New Roman"/>
          <w:sz w:val="24"/>
          <w:szCs w:val="24"/>
        </w:rPr>
      </w:pPr>
      <w:r w:rsidRPr="00D92FC1">
        <w:rPr>
          <w:rFonts w:ascii="Times New Roman" w:hAnsi="Times New Roman" w:cs="Times New Roman"/>
          <w:sz w:val="24"/>
          <w:szCs w:val="24"/>
        </w:rPr>
        <w:t xml:space="preserve">Przepis </w:t>
      </w:r>
      <w:r w:rsidRPr="00D92FC1">
        <w:rPr>
          <w:rFonts w:ascii="Times New Roman" w:hAnsi="Times New Roman" w:cs="Times New Roman"/>
          <w:b/>
          <w:sz w:val="24"/>
          <w:szCs w:val="24"/>
        </w:rPr>
        <w:t>pkt 2</w:t>
      </w:r>
      <w:r w:rsidRPr="00D92FC1">
        <w:rPr>
          <w:rFonts w:ascii="Times New Roman" w:hAnsi="Times New Roman" w:cs="Times New Roman"/>
          <w:sz w:val="24"/>
          <w:szCs w:val="24"/>
        </w:rPr>
        <w:t xml:space="preserve"> dotyczy emisji obligacji kapitałowych przez zakład ubezpieczeń albo zakład reasekuracji w celu zakwalifikowania ich do środków własnych jako pozycji podstawowych </w:t>
      </w:r>
      <w:r w:rsidRPr="00D92FC1">
        <w:rPr>
          <w:rFonts w:ascii="Times New Roman" w:hAnsi="Times New Roman" w:cs="Times New Roman"/>
          <w:sz w:val="24"/>
          <w:szCs w:val="24"/>
        </w:rPr>
        <w:lastRenderedPageBreak/>
        <w:t>środków własnych kategorii 2 – zastosowanie znajdą rozwiązania analogiczne jak przypadku środków własnych kategorii 1, zgodnie z art. 73 ust. 1 lit. f oraz ust. 3 rozporządzenia delegowanego Komisji (UE) 2015/35.</w:t>
      </w:r>
    </w:p>
    <w:p w14:paraId="12214597" w14:textId="0B0D25F2" w:rsidR="00AB1420" w:rsidRPr="00D92FC1" w:rsidRDefault="00AB1420" w:rsidP="005E5395">
      <w:pPr>
        <w:pStyle w:val="Tekstpodstawowy1"/>
        <w:shd w:val="clear" w:color="auto" w:fill="auto"/>
        <w:spacing w:after="120" w:line="360" w:lineRule="auto"/>
        <w:ind w:firstLine="0"/>
        <w:jc w:val="both"/>
        <w:rPr>
          <w:rFonts w:ascii="Times New Roman" w:hAnsi="Times New Roman" w:cs="Times New Roman"/>
          <w:szCs w:val="24"/>
        </w:rPr>
      </w:pPr>
      <w:r w:rsidRPr="00D92FC1">
        <w:rPr>
          <w:rFonts w:ascii="Times New Roman" w:hAnsi="Times New Roman" w:cs="Times New Roman"/>
          <w:szCs w:val="24"/>
        </w:rPr>
        <w:t xml:space="preserve">Przepis </w:t>
      </w:r>
      <w:r w:rsidRPr="00D92FC1">
        <w:rPr>
          <w:rFonts w:ascii="Times New Roman" w:hAnsi="Times New Roman" w:cs="Times New Roman"/>
          <w:b/>
          <w:szCs w:val="24"/>
        </w:rPr>
        <w:t>pkt 3</w:t>
      </w:r>
      <w:r w:rsidRPr="00D92FC1">
        <w:rPr>
          <w:rFonts w:ascii="Times New Roman" w:hAnsi="Times New Roman" w:cs="Times New Roman"/>
          <w:szCs w:val="24"/>
        </w:rPr>
        <w:t xml:space="preserve"> dotyczy emisji obligacji kapitałowych przez zakład ubezpieczeń albo zakład reasekuracji w celu zakwalifikowania ich do środków własnych jako pozycji podstawowych środków własnych kategorii 3 – zastosowanie znajdą rozwiązania analogiczne jak przypadku środków własnych kategorii 1 i kategorii 2, zgodnie z art. 77 ust. 1 lit. f oraz ust. 3 rozporządzenia delegowanego Komisji (UE) 2015/35.</w:t>
      </w:r>
    </w:p>
    <w:p w14:paraId="2FFF771F" w14:textId="77777777" w:rsidR="00682672" w:rsidRDefault="00AB1420" w:rsidP="005E5395">
      <w:pPr>
        <w:pStyle w:val="Tekstpodstawowy1"/>
        <w:shd w:val="clear" w:color="auto" w:fill="auto"/>
        <w:spacing w:after="0" w:line="360" w:lineRule="auto"/>
        <w:ind w:firstLine="0"/>
        <w:jc w:val="both"/>
        <w:rPr>
          <w:rFonts w:ascii="Times New Roman" w:hAnsi="Times New Roman" w:cs="Times New Roman"/>
          <w:szCs w:val="24"/>
        </w:rPr>
      </w:pPr>
      <w:r w:rsidRPr="00D92FC1">
        <w:rPr>
          <w:rFonts w:ascii="Times New Roman" w:hAnsi="Times New Roman" w:cs="Times New Roman"/>
          <w:szCs w:val="24"/>
        </w:rPr>
        <w:t xml:space="preserve">Przepis </w:t>
      </w:r>
      <w:r w:rsidRPr="00D92FC1">
        <w:rPr>
          <w:rFonts w:ascii="Times New Roman" w:hAnsi="Times New Roman" w:cs="Times New Roman"/>
          <w:b/>
          <w:szCs w:val="24"/>
        </w:rPr>
        <w:t>art. 74c</w:t>
      </w:r>
      <w:r w:rsidRPr="00D92FC1">
        <w:rPr>
          <w:rFonts w:ascii="Times New Roman" w:hAnsi="Times New Roman" w:cs="Times New Roman"/>
          <w:szCs w:val="24"/>
        </w:rPr>
        <w:t xml:space="preserve"> przewiduje, że obligacje kapitałowe stają się wymagalne w przypadku ogłoszenia upadłości albo otwarcia likwidacji emitenta obligacji kapitałowych.</w:t>
      </w:r>
    </w:p>
    <w:p w14:paraId="1D0005C2" w14:textId="77777777" w:rsidR="00682672" w:rsidRDefault="00682672" w:rsidP="005E5395">
      <w:pPr>
        <w:pStyle w:val="Tekstpodstawowy1"/>
        <w:shd w:val="clear" w:color="auto" w:fill="auto"/>
        <w:spacing w:after="0" w:line="360" w:lineRule="auto"/>
        <w:ind w:firstLine="0"/>
        <w:jc w:val="both"/>
        <w:rPr>
          <w:rFonts w:ascii="Times New Roman" w:hAnsi="Times New Roman" w:cs="Times New Roman"/>
          <w:szCs w:val="24"/>
        </w:rPr>
      </w:pPr>
    </w:p>
    <w:p w14:paraId="24E99E72" w14:textId="12FD3AC8" w:rsidR="00682672" w:rsidRPr="00D92FC1" w:rsidRDefault="00682672" w:rsidP="005E5395">
      <w:pPr>
        <w:spacing w:after="120" w:line="360" w:lineRule="auto"/>
        <w:jc w:val="both"/>
        <w:rPr>
          <w:rFonts w:ascii="Times New Roman" w:eastAsia="Calibri" w:hAnsi="Times New Roman" w:cs="Times New Roman"/>
          <w:b/>
          <w:sz w:val="24"/>
          <w:szCs w:val="24"/>
          <w:u w:val="single"/>
        </w:rPr>
      </w:pPr>
      <w:r w:rsidRPr="00D92FC1">
        <w:rPr>
          <w:rFonts w:ascii="Times New Roman" w:eastAsia="Calibri" w:hAnsi="Times New Roman" w:cs="Times New Roman"/>
          <w:b/>
          <w:sz w:val="24"/>
          <w:szCs w:val="24"/>
          <w:u w:val="single"/>
        </w:rPr>
        <w:t xml:space="preserve">Art. </w:t>
      </w:r>
      <w:r>
        <w:rPr>
          <w:rFonts w:ascii="Times New Roman" w:eastAsia="Calibri" w:hAnsi="Times New Roman" w:cs="Times New Roman"/>
          <w:b/>
          <w:sz w:val="24"/>
          <w:szCs w:val="24"/>
          <w:u w:val="single"/>
        </w:rPr>
        <w:t>2</w:t>
      </w:r>
      <w:r w:rsidRPr="00D92FC1">
        <w:rPr>
          <w:rFonts w:ascii="Times New Roman" w:eastAsia="Calibri" w:hAnsi="Times New Roman" w:cs="Times New Roman"/>
          <w:b/>
          <w:sz w:val="24"/>
          <w:szCs w:val="24"/>
          <w:u w:val="single"/>
        </w:rPr>
        <w:t xml:space="preserve"> projektu – zmiany w ustawie o funduszach inwestycyjnych oraz zarządzaniu alternatywnymi funduszami inwestycyjnymi</w:t>
      </w:r>
    </w:p>
    <w:p w14:paraId="31705362" w14:textId="77777777" w:rsidR="00682672" w:rsidRPr="00D92FC1" w:rsidRDefault="00682672" w:rsidP="005E5395">
      <w:pPr>
        <w:suppressAutoHyphens/>
        <w:autoSpaceDE w:val="0"/>
        <w:autoSpaceDN w:val="0"/>
        <w:adjustRightInd w:val="0"/>
        <w:spacing w:after="0" w:line="360" w:lineRule="auto"/>
        <w:jc w:val="both"/>
        <w:rPr>
          <w:rFonts w:ascii="Times New Roman" w:eastAsia="Times New Roman" w:hAnsi="Times New Roman" w:cs="Times New Roman"/>
          <w:bCs/>
          <w:sz w:val="24"/>
          <w:szCs w:val="24"/>
          <w:lang w:eastAsia="pl-PL"/>
        </w:rPr>
      </w:pPr>
      <w:r w:rsidRPr="00D92FC1">
        <w:rPr>
          <w:rFonts w:ascii="Times New Roman" w:eastAsia="Times New Roman" w:hAnsi="Times New Roman" w:cs="Times New Roman"/>
          <w:bCs/>
          <w:sz w:val="24"/>
          <w:szCs w:val="24"/>
          <w:lang w:eastAsia="pl-PL"/>
        </w:rPr>
        <w:t xml:space="preserve">Zmiany zawarte w </w:t>
      </w:r>
      <w:r w:rsidRPr="00D92FC1">
        <w:rPr>
          <w:rFonts w:ascii="Times New Roman" w:eastAsia="Times New Roman" w:hAnsi="Times New Roman" w:cs="Times New Roman"/>
          <w:b/>
          <w:bCs/>
          <w:sz w:val="24"/>
          <w:szCs w:val="24"/>
          <w:lang w:eastAsia="pl-PL"/>
        </w:rPr>
        <w:t>art. 2</w:t>
      </w:r>
      <w:r w:rsidRPr="00D92FC1">
        <w:rPr>
          <w:rFonts w:ascii="Times New Roman" w:eastAsia="Times New Roman" w:hAnsi="Times New Roman" w:cs="Times New Roman"/>
          <w:bCs/>
          <w:sz w:val="24"/>
          <w:szCs w:val="24"/>
          <w:lang w:eastAsia="pl-PL"/>
        </w:rPr>
        <w:t xml:space="preserve"> mają na celu uzupełnienie </w:t>
      </w:r>
      <w:r>
        <w:rPr>
          <w:rFonts w:ascii="Times New Roman" w:eastAsia="Times New Roman" w:hAnsi="Times New Roman" w:cs="Times New Roman"/>
          <w:bCs/>
          <w:sz w:val="24"/>
          <w:szCs w:val="24"/>
          <w:lang w:eastAsia="pl-PL"/>
        </w:rPr>
        <w:t xml:space="preserve">zakresu </w:t>
      </w:r>
      <w:r w:rsidRPr="00D92FC1">
        <w:rPr>
          <w:rFonts w:ascii="Times New Roman" w:eastAsia="Times New Roman" w:hAnsi="Times New Roman" w:cs="Times New Roman"/>
          <w:bCs/>
          <w:sz w:val="24"/>
          <w:szCs w:val="24"/>
          <w:lang w:eastAsia="pl-PL"/>
        </w:rPr>
        <w:t>definicji stosowanych w ustawie</w:t>
      </w:r>
      <w:r>
        <w:rPr>
          <w:rFonts w:ascii="Times New Roman" w:eastAsia="Times New Roman" w:hAnsi="Times New Roman" w:cs="Times New Roman"/>
          <w:bCs/>
          <w:sz w:val="24"/>
          <w:szCs w:val="24"/>
          <w:lang w:eastAsia="pl-PL"/>
        </w:rPr>
        <w:t>:</w:t>
      </w:r>
      <w:r w:rsidRPr="00D92FC1">
        <w:rPr>
          <w:rFonts w:ascii="Times New Roman" w:eastAsia="Times New Roman" w:hAnsi="Times New Roman" w:cs="Times New Roman"/>
          <w:bCs/>
          <w:sz w:val="24"/>
          <w:szCs w:val="24"/>
          <w:lang w:eastAsia="pl-PL"/>
        </w:rPr>
        <w:t xml:space="preserve"> </w:t>
      </w:r>
    </w:p>
    <w:p w14:paraId="3D3B9385" w14:textId="77777777" w:rsidR="00682672" w:rsidRPr="00A65875" w:rsidRDefault="00682672" w:rsidP="005E5395">
      <w:pPr>
        <w:pStyle w:val="Akapitzlist"/>
        <w:numPr>
          <w:ilvl w:val="0"/>
          <w:numId w:val="13"/>
        </w:numPr>
        <w:suppressAutoHyphens/>
        <w:autoSpaceDE w:val="0"/>
        <w:autoSpaceDN w:val="0"/>
        <w:adjustRightInd w:val="0"/>
        <w:spacing w:after="0" w:line="360" w:lineRule="auto"/>
        <w:ind w:left="360"/>
        <w:jc w:val="both"/>
        <w:rPr>
          <w:rFonts w:ascii="Times New Roman" w:eastAsia="Times New Roman" w:hAnsi="Times New Roman" w:cs="Times New Roman"/>
          <w:bCs/>
          <w:sz w:val="24"/>
          <w:szCs w:val="24"/>
          <w:lang w:eastAsia="pl-PL"/>
        </w:rPr>
      </w:pPr>
      <w:r>
        <w:rPr>
          <w:rFonts w:ascii="Times New Roman" w:eastAsia="Times New Roman" w:hAnsi="Times New Roman" w:cs="Times New Roman"/>
          <w:bCs/>
          <w:sz w:val="24"/>
          <w:szCs w:val="24"/>
          <w:lang w:eastAsia="pl-PL"/>
        </w:rPr>
        <w:t>w</w:t>
      </w:r>
      <w:r w:rsidRPr="00A65875">
        <w:rPr>
          <w:rFonts w:ascii="Times New Roman" w:eastAsia="Times New Roman" w:hAnsi="Times New Roman" w:cs="Times New Roman"/>
          <w:bCs/>
          <w:sz w:val="24"/>
          <w:szCs w:val="24"/>
          <w:lang w:eastAsia="pl-PL"/>
        </w:rPr>
        <w:t xml:space="preserve"> </w:t>
      </w:r>
      <w:r w:rsidRPr="00A65875">
        <w:rPr>
          <w:rFonts w:ascii="Times New Roman" w:eastAsia="Times New Roman" w:hAnsi="Times New Roman" w:cs="Times New Roman"/>
          <w:b/>
          <w:bCs/>
          <w:sz w:val="24"/>
          <w:szCs w:val="24"/>
          <w:lang w:eastAsia="pl-PL"/>
        </w:rPr>
        <w:t>pkt 2l</w:t>
      </w:r>
      <w:r w:rsidRPr="00A65875">
        <w:rPr>
          <w:rFonts w:ascii="Times New Roman" w:eastAsia="Times New Roman" w:hAnsi="Times New Roman" w:cs="Times New Roman"/>
          <w:bCs/>
          <w:sz w:val="24"/>
          <w:szCs w:val="24"/>
          <w:lang w:eastAsia="pl-PL"/>
        </w:rPr>
        <w:t xml:space="preserve"> wprowadzono skrót na oznaczenie rozporządzenia 1286/2014</w:t>
      </w:r>
      <w:r>
        <w:rPr>
          <w:rFonts w:ascii="Times New Roman" w:eastAsia="Times New Roman" w:hAnsi="Times New Roman" w:cs="Times New Roman"/>
          <w:bCs/>
          <w:sz w:val="24"/>
          <w:szCs w:val="24"/>
          <w:lang w:eastAsia="pl-PL"/>
        </w:rPr>
        <w:t xml:space="preserve">, </w:t>
      </w:r>
      <w:r w:rsidRPr="00A65875">
        <w:rPr>
          <w:rFonts w:ascii="Times New Roman" w:eastAsia="Times New Roman" w:hAnsi="Times New Roman" w:cs="Times New Roman"/>
          <w:bCs/>
          <w:sz w:val="24"/>
          <w:szCs w:val="24"/>
          <w:lang w:eastAsia="pl-PL"/>
        </w:rPr>
        <w:t xml:space="preserve"> </w:t>
      </w:r>
    </w:p>
    <w:p w14:paraId="319722A5" w14:textId="77777777" w:rsidR="00682672" w:rsidRPr="00A65875" w:rsidRDefault="00682672" w:rsidP="005E5395">
      <w:pPr>
        <w:pStyle w:val="Akapitzlist"/>
        <w:numPr>
          <w:ilvl w:val="0"/>
          <w:numId w:val="13"/>
        </w:numPr>
        <w:suppressAutoHyphens/>
        <w:autoSpaceDE w:val="0"/>
        <w:autoSpaceDN w:val="0"/>
        <w:adjustRightInd w:val="0"/>
        <w:spacing w:after="0" w:line="360" w:lineRule="auto"/>
        <w:ind w:left="360"/>
        <w:jc w:val="both"/>
        <w:rPr>
          <w:rFonts w:ascii="Times New Roman" w:eastAsia="Times New Roman" w:hAnsi="Times New Roman" w:cs="Times New Roman"/>
          <w:bCs/>
          <w:sz w:val="24"/>
          <w:szCs w:val="24"/>
          <w:lang w:eastAsia="pl-PL"/>
        </w:rPr>
      </w:pPr>
      <w:r>
        <w:rPr>
          <w:rFonts w:ascii="Times New Roman" w:eastAsia="Times New Roman" w:hAnsi="Times New Roman" w:cs="Times New Roman"/>
          <w:bCs/>
          <w:sz w:val="24"/>
          <w:szCs w:val="24"/>
          <w:lang w:eastAsia="pl-PL"/>
        </w:rPr>
        <w:t>w</w:t>
      </w:r>
      <w:r w:rsidRPr="00A65875">
        <w:rPr>
          <w:rFonts w:ascii="Times New Roman" w:eastAsia="Times New Roman" w:hAnsi="Times New Roman" w:cs="Times New Roman"/>
          <w:bCs/>
          <w:sz w:val="24"/>
          <w:szCs w:val="24"/>
          <w:lang w:eastAsia="pl-PL"/>
        </w:rPr>
        <w:t xml:space="preserve"> </w:t>
      </w:r>
      <w:r w:rsidRPr="00A65875">
        <w:rPr>
          <w:rFonts w:ascii="Times New Roman" w:eastAsia="Times New Roman" w:hAnsi="Times New Roman" w:cs="Times New Roman"/>
          <w:b/>
          <w:bCs/>
          <w:sz w:val="24"/>
          <w:szCs w:val="24"/>
          <w:lang w:eastAsia="pl-PL"/>
        </w:rPr>
        <w:t>pkt 13c</w:t>
      </w:r>
      <w:r w:rsidRPr="00A65875">
        <w:rPr>
          <w:rFonts w:ascii="Times New Roman" w:eastAsia="Times New Roman" w:hAnsi="Times New Roman" w:cs="Times New Roman"/>
          <w:bCs/>
          <w:sz w:val="24"/>
          <w:szCs w:val="24"/>
          <w:lang w:eastAsia="pl-PL"/>
        </w:rPr>
        <w:t xml:space="preserve"> dodano definicję inwestora indywidualnego, która odsyła do art. 4 pkt 6 rozporządzenia 1286/2014</w:t>
      </w:r>
      <w:r>
        <w:rPr>
          <w:rFonts w:ascii="Times New Roman" w:eastAsia="Times New Roman" w:hAnsi="Times New Roman" w:cs="Times New Roman"/>
          <w:bCs/>
          <w:sz w:val="24"/>
          <w:szCs w:val="24"/>
          <w:lang w:eastAsia="pl-PL"/>
        </w:rPr>
        <w:t>,</w:t>
      </w:r>
      <w:r w:rsidRPr="00A65875">
        <w:rPr>
          <w:rFonts w:ascii="Times New Roman" w:eastAsia="Times New Roman" w:hAnsi="Times New Roman" w:cs="Times New Roman"/>
          <w:bCs/>
          <w:sz w:val="24"/>
          <w:szCs w:val="24"/>
          <w:lang w:eastAsia="pl-PL"/>
        </w:rPr>
        <w:t xml:space="preserve"> </w:t>
      </w:r>
    </w:p>
    <w:p w14:paraId="0E18D8CE" w14:textId="77777777" w:rsidR="00682672" w:rsidRPr="00A65875" w:rsidRDefault="00682672" w:rsidP="005E5395">
      <w:pPr>
        <w:pStyle w:val="Akapitzlist"/>
        <w:numPr>
          <w:ilvl w:val="0"/>
          <w:numId w:val="13"/>
        </w:numPr>
        <w:suppressAutoHyphens/>
        <w:autoSpaceDE w:val="0"/>
        <w:autoSpaceDN w:val="0"/>
        <w:adjustRightInd w:val="0"/>
        <w:spacing w:after="120" w:line="360" w:lineRule="auto"/>
        <w:ind w:left="360"/>
        <w:jc w:val="both"/>
        <w:rPr>
          <w:rFonts w:ascii="Times New Roman" w:eastAsia="Times New Roman" w:hAnsi="Times New Roman" w:cs="Times New Roman"/>
          <w:bCs/>
          <w:sz w:val="24"/>
          <w:szCs w:val="24"/>
          <w:lang w:eastAsia="pl-PL"/>
        </w:rPr>
      </w:pPr>
      <w:r>
        <w:rPr>
          <w:rFonts w:ascii="Times New Roman" w:eastAsia="Times New Roman" w:hAnsi="Times New Roman" w:cs="Times New Roman"/>
          <w:bCs/>
          <w:sz w:val="24"/>
          <w:szCs w:val="24"/>
          <w:lang w:eastAsia="pl-PL"/>
        </w:rPr>
        <w:t>w</w:t>
      </w:r>
      <w:r w:rsidRPr="00A65875">
        <w:rPr>
          <w:rFonts w:ascii="Times New Roman" w:eastAsia="Times New Roman" w:hAnsi="Times New Roman" w:cs="Times New Roman"/>
          <w:bCs/>
          <w:sz w:val="24"/>
          <w:szCs w:val="24"/>
          <w:lang w:eastAsia="pl-PL"/>
        </w:rPr>
        <w:t xml:space="preserve"> </w:t>
      </w:r>
      <w:r w:rsidRPr="00A65875">
        <w:rPr>
          <w:rFonts w:ascii="Times New Roman" w:eastAsia="Times New Roman" w:hAnsi="Times New Roman" w:cs="Times New Roman"/>
          <w:b/>
          <w:bCs/>
          <w:sz w:val="24"/>
          <w:szCs w:val="24"/>
          <w:lang w:eastAsia="pl-PL"/>
        </w:rPr>
        <w:t xml:space="preserve">pkt 42d </w:t>
      </w:r>
      <w:r w:rsidRPr="00A65875">
        <w:rPr>
          <w:rFonts w:ascii="Times New Roman" w:eastAsia="Times New Roman" w:hAnsi="Times New Roman" w:cs="Times New Roman"/>
          <w:bCs/>
          <w:sz w:val="24"/>
          <w:szCs w:val="24"/>
          <w:lang w:eastAsia="pl-PL"/>
        </w:rPr>
        <w:t>dodano definicję kluczowych informacji, które – w odróżnieniu od kluczowych informacji dla inwestorów sporządzanych zgodnie z przepisami dyrektywy 2009/65/WE – są dokumentem w całości regulowanym przepisami rozporządzenia 1286/2014.</w:t>
      </w:r>
    </w:p>
    <w:p w14:paraId="6A420789" w14:textId="77777777" w:rsidR="00682672" w:rsidRPr="00D92FC1" w:rsidRDefault="00682672" w:rsidP="005E5395">
      <w:pPr>
        <w:suppressAutoHyphens/>
        <w:autoSpaceDE w:val="0"/>
        <w:autoSpaceDN w:val="0"/>
        <w:adjustRightInd w:val="0"/>
        <w:spacing w:after="0" w:line="360" w:lineRule="auto"/>
        <w:jc w:val="both"/>
        <w:rPr>
          <w:rFonts w:ascii="Times New Roman" w:eastAsia="Times New Roman" w:hAnsi="Times New Roman" w:cs="Times New Roman"/>
          <w:bCs/>
          <w:sz w:val="24"/>
          <w:szCs w:val="24"/>
          <w:lang w:eastAsia="pl-PL"/>
        </w:rPr>
      </w:pPr>
      <w:r w:rsidRPr="00D92FC1">
        <w:rPr>
          <w:rFonts w:ascii="Times New Roman" w:eastAsia="Times New Roman" w:hAnsi="Times New Roman" w:cs="Times New Roman"/>
          <w:bCs/>
          <w:sz w:val="24"/>
          <w:szCs w:val="24"/>
          <w:lang w:eastAsia="pl-PL"/>
        </w:rPr>
        <w:t xml:space="preserve">Zmiana w </w:t>
      </w:r>
      <w:r w:rsidRPr="00D92FC1">
        <w:rPr>
          <w:rFonts w:ascii="Times New Roman" w:eastAsia="Times New Roman" w:hAnsi="Times New Roman" w:cs="Times New Roman"/>
          <w:b/>
          <w:bCs/>
          <w:sz w:val="24"/>
          <w:szCs w:val="24"/>
          <w:lang w:eastAsia="pl-PL"/>
        </w:rPr>
        <w:t>art. 22 ust. 1 pkt 10</w:t>
      </w:r>
      <w:r w:rsidRPr="00D92FC1">
        <w:rPr>
          <w:rFonts w:ascii="Times New Roman" w:eastAsia="Times New Roman" w:hAnsi="Times New Roman" w:cs="Times New Roman"/>
          <w:bCs/>
          <w:sz w:val="24"/>
          <w:szCs w:val="24"/>
          <w:lang w:eastAsia="pl-PL"/>
        </w:rPr>
        <w:t xml:space="preserve"> ma na celu uzupełnienie wykazu dokumentów przekazywanych wraz z wnioskiem towarzystwa o wydanie zezwolenia na utworzenie funduszu inwestycyjnego o kluczowe informacje. </w:t>
      </w:r>
    </w:p>
    <w:p w14:paraId="02281586" w14:textId="77777777" w:rsidR="00682672" w:rsidRPr="00D92FC1" w:rsidRDefault="00682672" w:rsidP="005E5395">
      <w:pPr>
        <w:suppressAutoHyphens/>
        <w:autoSpaceDE w:val="0"/>
        <w:autoSpaceDN w:val="0"/>
        <w:adjustRightInd w:val="0"/>
        <w:spacing w:after="0" w:line="360" w:lineRule="auto"/>
        <w:jc w:val="both"/>
        <w:rPr>
          <w:rFonts w:ascii="Times New Roman" w:eastAsia="Times New Roman" w:hAnsi="Times New Roman" w:cs="Times New Roman"/>
          <w:bCs/>
          <w:sz w:val="24"/>
          <w:szCs w:val="24"/>
          <w:lang w:eastAsia="pl-PL"/>
        </w:rPr>
      </w:pPr>
      <w:r w:rsidRPr="00D92FC1">
        <w:rPr>
          <w:rFonts w:ascii="Times New Roman" w:eastAsia="Times New Roman" w:hAnsi="Times New Roman" w:cs="Times New Roman"/>
          <w:bCs/>
          <w:sz w:val="24"/>
          <w:szCs w:val="24"/>
          <w:lang w:eastAsia="pl-PL"/>
        </w:rPr>
        <w:t xml:space="preserve">W przypadku funduszy inwestycyjnych otwartych i specjalistycznych funduszy inwestycyjnych otwartych kluczowe informacje będą podstawowym dokumentem informacyjnym przekazywanym inwestorom, dlatego też (podobnie jak obecnie w przypadku kluczowych informacji dla inwestorów) powinny być przekazywany KNF, wraz z wnioskiem o utworzenie funduszu. </w:t>
      </w:r>
    </w:p>
    <w:p w14:paraId="56CE67BB" w14:textId="77777777" w:rsidR="00682672" w:rsidRPr="00D92FC1" w:rsidRDefault="00682672" w:rsidP="005E5395">
      <w:pPr>
        <w:suppressAutoHyphens/>
        <w:autoSpaceDE w:val="0"/>
        <w:autoSpaceDN w:val="0"/>
        <w:adjustRightInd w:val="0"/>
        <w:spacing w:after="0" w:line="360" w:lineRule="auto"/>
        <w:jc w:val="both"/>
        <w:rPr>
          <w:rFonts w:ascii="Times New Roman" w:eastAsia="Times New Roman" w:hAnsi="Times New Roman" w:cs="Times New Roman"/>
          <w:bCs/>
          <w:sz w:val="24"/>
          <w:szCs w:val="24"/>
          <w:lang w:eastAsia="pl-PL"/>
        </w:rPr>
      </w:pPr>
      <w:r w:rsidRPr="00D92FC1">
        <w:rPr>
          <w:rFonts w:ascii="Times New Roman" w:eastAsia="Times New Roman" w:hAnsi="Times New Roman" w:cs="Times New Roman"/>
          <w:bCs/>
          <w:sz w:val="24"/>
          <w:szCs w:val="24"/>
          <w:lang w:eastAsia="pl-PL"/>
        </w:rPr>
        <w:t xml:space="preserve">Rozwiązanie to pozostaje w zgodzie z art. 5 ust. 2 rozporządzenia 1286/2014, który przewiduje, że każde państwo członkowskie może wymagać uprzedniego przekazania właściwemu organowi przez twórcę PRIIP lub osobę sprzedającą PRIIP dokumentu zawierającego kluczowe informacje w odniesieniu do PRIIP wprowadzanych do obrotu w tym państwie członkowskim. </w:t>
      </w:r>
    </w:p>
    <w:p w14:paraId="476E57AA" w14:textId="77777777" w:rsidR="00682672" w:rsidRPr="00D92FC1" w:rsidRDefault="00682672" w:rsidP="005E5395">
      <w:pPr>
        <w:suppressAutoHyphens/>
        <w:autoSpaceDE w:val="0"/>
        <w:autoSpaceDN w:val="0"/>
        <w:adjustRightInd w:val="0"/>
        <w:spacing w:after="120" w:line="360" w:lineRule="auto"/>
        <w:jc w:val="both"/>
        <w:rPr>
          <w:rFonts w:ascii="Times New Roman" w:eastAsia="Times New Roman" w:hAnsi="Times New Roman" w:cs="Times New Roman"/>
          <w:bCs/>
          <w:sz w:val="24"/>
          <w:szCs w:val="24"/>
          <w:lang w:eastAsia="pl-PL"/>
        </w:rPr>
      </w:pPr>
      <w:r w:rsidRPr="00D92FC1">
        <w:rPr>
          <w:rFonts w:ascii="Times New Roman" w:eastAsia="Times New Roman" w:hAnsi="Times New Roman" w:cs="Times New Roman"/>
          <w:bCs/>
          <w:sz w:val="24"/>
          <w:szCs w:val="24"/>
          <w:lang w:eastAsia="pl-PL"/>
        </w:rPr>
        <w:lastRenderedPageBreak/>
        <w:t xml:space="preserve">Zgodnie z dyrektywą 2021/2261 fundusze te będą mogły zdecydować o udostępnianiu kluczowych informacji również inwestorom innym niż inwestorzy indywidualni, a co za tym idzie towarzystwo nie będzie sporządzać kluczowych informacji dla inwestorów. </w:t>
      </w:r>
    </w:p>
    <w:p w14:paraId="6F25E05C" w14:textId="1F8EC747" w:rsidR="00682672" w:rsidRPr="00D92FC1" w:rsidRDefault="00682672" w:rsidP="005E5395">
      <w:pPr>
        <w:suppressAutoHyphens/>
        <w:autoSpaceDE w:val="0"/>
        <w:autoSpaceDN w:val="0"/>
        <w:adjustRightInd w:val="0"/>
        <w:spacing w:after="120" w:line="360" w:lineRule="auto"/>
        <w:jc w:val="both"/>
        <w:rPr>
          <w:rFonts w:ascii="Times New Roman" w:eastAsia="Times New Roman" w:hAnsi="Times New Roman" w:cs="Times New Roman"/>
          <w:bCs/>
          <w:sz w:val="24"/>
          <w:szCs w:val="24"/>
          <w:lang w:eastAsia="pl-PL"/>
        </w:rPr>
      </w:pPr>
      <w:r w:rsidRPr="00D92FC1">
        <w:rPr>
          <w:rFonts w:ascii="Times New Roman" w:eastAsia="Times New Roman" w:hAnsi="Times New Roman" w:cs="Times New Roman"/>
          <w:bCs/>
          <w:sz w:val="24"/>
          <w:szCs w:val="24"/>
          <w:lang w:eastAsia="pl-PL"/>
        </w:rPr>
        <w:t xml:space="preserve">Zmiany w </w:t>
      </w:r>
      <w:r w:rsidRPr="00D92FC1">
        <w:rPr>
          <w:rFonts w:ascii="Times New Roman" w:eastAsia="Times New Roman" w:hAnsi="Times New Roman" w:cs="Times New Roman"/>
          <w:b/>
          <w:bCs/>
          <w:sz w:val="24"/>
          <w:szCs w:val="24"/>
          <w:lang w:eastAsia="pl-PL"/>
        </w:rPr>
        <w:t>art. 27 ust. 2</w:t>
      </w:r>
      <w:r w:rsidRPr="00D92FC1">
        <w:rPr>
          <w:rFonts w:ascii="Times New Roman" w:eastAsia="Times New Roman" w:hAnsi="Times New Roman" w:cs="Times New Roman"/>
          <w:bCs/>
          <w:sz w:val="24"/>
          <w:szCs w:val="24"/>
          <w:lang w:eastAsia="pl-PL"/>
        </w:rPr>
        <w:t xml:space="preserve"> mają charakter dostosowujący </w:t>
      </w:r>
      <w:r>
        <w:rPr>
          <w:rFonts w:ascii="Times New Roman" w:eastAsia="Times New Roman" w:hAnsi="Times New Roman" w:cs="Times New Roman"/>
          <w:bCs/>
          <w:sz w:val="24"/>
          <w:szCs w:val="24"/>
          <w:lang w:eastAsia="pl-PL"/>
        </w:rPr>
        <w:t xml:space="preserve">– </w:t>
      </w:r>
      <w:r w:rsidRPr="00D92FC1">
        <w:rPr>
          <w:rFonts w:ascii="Times New Roman" w:eastAsia="Times New Roman" w:hAnsi="Times New Roman" w:cs="Times New Roman"/>
          <w:bCs/>
          <w:sz w:val="24"/>
          <w:szCs w:val="24"/>
          <w:lang w:eastAsia="pl-PL"/>
        </w:rPr>
        <w:t>zobowiązują towarzystwa funduszy inwestycyjnych do udostępniania kluczowych informacji oraz kluczowych informacji dla inwestorów</w:t>
      </w:r>
      <w:r w:rsidR="008F3A32">
        <w:rPr>
          <w:rFonts w:ascii="Times New Roman" w:eastAsia="Times New Roman" w:hAnsi="Times New Roman" w:cs="Times New Roman"/>
          <w:bCs/>
          <w:sz w:val="24"/>
          <w:szCs w:val="24"/>
          <w:lang w:eastAsia="pl-PL"/>
        </w:rPr>
        <w:t>,</w:t>
      </w:r>
      <w:r w:rsidRPr="00D92FC1">
        <w:rPr>
          <w:rFonts w:ascii="Times New Roman" w:eastAsia="Times New Roman" w:hAnsi="Times New Roman" w:cs="Times New Roman"/>
          <w:bCs/>
          <w:sz w:val="24"/>
          <w:szCs w:val="24"/>
          <w:lang w:eastAsia="pl-PL"/>
        </w:rPr>
        <w:t xml:space="preserve"> w przypadku gdy fundusz będzie </w:t>
      </w:r>
      <w:r>
        <w:rPr>
          <w:rFonts w:ascii="Times New Roman" w:eastAsia="Times New Roman" w:hAnsi="Times New Roman" w:cs="Times New Roman"/>
          <w:bCs/>
          <w:sz w:val="24"/>
          <w:szCs w:val="24"/>
          <w:lang w:eastAsia="pl-PL"/>
        </w:rPr>
        <w:t xml:space="preserve">je </w:t>
      </w:r>
      <w:r w:rsidRPr="00D92FC1">
        <w:rPr>
          <w:rFonts w:ascii="Times New Roman" w:eastAsia="Times New Roman" w:hAnsi="Times New Roman" w:cs="Times New Roman"/>
          <w:bCs/>
          <w:sz w:val="24"/>
          <w:szCs w:val="24"/>
          <w:lang w:eastAsia="pl-PL"/>
        </w:rPr>
        <w:t xml:space="preserve">udostępniał inwestorom innym niż inwestorzy indywidualni. </w:t>
      </w:r>
    </w:p>
    <w:p w14:paraId="1B1D0DD4" w14:textId="77777777" w:rsidR="00682672" w:rsidRPr="00D92FC1" w:rsidRDefault="00682672" w:rsidP="005E5395">
      <w:pPr>
        <w:suppressAutoHyphens/>
        <w:autoSpaceDE w:val="0"/>
        <w:autoSpaceDN w:val="0"/>
        <w:adjustRightInd w:val="0"/>
        <w:spacing w:after="0" w:line="360" w:lineRule="auto"/>
        <w:jc w:val="both"/>
        <w:rPr>
          <w:rFonts w:ascii="Times New Roman" w:eastAsia="Times New Roman" w:hAnsi="Times New Roman" w:cs="Times New Roman"/>
          <w:bCs/>
          <w:sz w:val="24"/>
          <w:szCs w:val="24"/>
          <w:lang w:eastAsia="pl-PL"/>
        </w:rPr>
      </w:pPr>
      <w:r w:rsidRPr="00D92FC1">
        <w:rPr>
          <w:rFonts w:ascii="Times New Roman" w:eastAsia="Times New Roman" w:hAnsi="Times New Roman" w:cs="Times New Roman"/>
          <w:bCs/>
          <w:sz w:val="24"/>
          <w:szCs w:val="24"/>
          <w:lang w:eastAsia="pl-PL"/>
        </w:rPr>
        <w:t xml:space="preserve">Zmiana </w:t>
      </w:r>
      <w:r w:rsidRPr="00D92FC1">
        <w:rPr>
          <w:rFonts w:ascii="Times New Roman" w:eastAsia="Times New Roman" w:hAnsi="Times New Roman" w:cs="Times New Roman"/>
          <w:b/>
          <w:bCs/>
          <w:sz w:val="24"/>
          <w:szCs w:val="24"/>
          <w:lang w:eastAsia="pl-PL"/>
        </w:rPr>
        <w:t>art. 146 ust. 3 pkt 2</w:t>
      </w:r>
      <w:r w:rsidRPr="00D92FC1">
        <w:rPr>
          <w:rFonts w:ascii="Times New Roman" w:eastAsia="Times New Roman" w:hAnsi="Times New Roman" w:cs="Times New Roman"/>
          <w:bCs/>
          <w:sz w:val="24"/>
          <w:szCs w:val="24"/>
          <w:lang w:eastAsia="pl-PL"/>
        </w:rPr>
        <w:t xml:space="preserve"> zakłada uzupełnienie tego przepisu o kluczowe informacje, które będą mogły udostępniać inwestorom fundusze typu UCITS. </w:t>
      </w:r>
    </w:p>
    <w:p w14:paraId="44A840C7" w14:textId="77777777" w:rsidR="00682672" w:rsidRPr="00D92FC1" w:rsidRDefault="00682672" w:rsidP="005E5395">
      <w:pPr>
        <w:suppressAutoHyphens/>
        <w:autoSpaceDE w:val="0"/>
        <w:autoSpaceDN w:val="0"/>
        <w:adjustRightInd w:val="0"/>
        <w:spacing w:after="0" w:line="360" w:lineRule="auto"/>
        <w:jc w:val="both"/>
        <w:rPr>
          <w:rFonts w:ascii="Times New Roman" w:eastAsia="Times New Roman" w:hAnsi="Times New Roman" w:cs="Times New Roman"/>
          <w:bCs/>
          <w:sz w:val="24"/>
          <w:szCs w:val="24"/>
          <w:lang w:eastAsia="pl-PL"/>
        </w:rPr>
      </w:pPr>
      <w:r w:rsidRPr="00D92FC1">
        <w:rPr>
          <w:rFonts w:ascii="Times New Roman" w:eastAsia="Times New Roman" w:hAnsi="Times New Roman" w:cs="Times New Roman"/>
          <w:bCs/>
          <w:sz w:val="24"/>
          <w:szCs w:val="24"/>
          <w:lang w:eastAsia="pl-PL"/>
        </w:rPr>
        <w:t xml:space="preserve">Zmieniany przepis ma zastosowanie do konstrukcji funduszu podstawowego, którego jednostki uczestnictwa mogą być oferowane wyłącznie inwestorom innym niż inwestorzy indywidualni, dlatego fundusz podstawowy będzie mógł nadal sporządzać wyłącznie kluczowe informacje dla inwestorów. </w:t>
      </w:r>
    </w:p>
    <w:p w14:paraId="05C9E611" w14:textId="77777777" w:rsidR="00682672" w:rsidRPr="00D92FC1" w:rsidRDefault="00682672" w:rsidP="005E5395">
      <w:pPr>
        <w:suppressAutoHyphens/>
        <w:autoSpaceDE w:val="0"/>
        <w:autoSpaceDN w:val="0"/>
        <w:adjustRightInd w:val="0"/>
        <w:spacing w:after="120" w:line="360" w:lineRule="auto"/>
        <w:jc w:val="both"/>
        <w:rPr>
          <w:rFonts w:ascii="Times New Roman" w:eastAsia="Times New Roman" w:hAnsi="Times New Roman" w:cs="Times New Roman"/>
          <w:bCs/>
          <w:sz w:val="24"/>
          <w:szCs w:val="24"/>
          <w:lang w:eastAsia="pl-PL"/>
        </w:rPr>
      </w:pPr>
      <w:r w:rsidRPr="00D92FC1">
        <w:rPr>
          <w:rFonts w:ascii="Times New Roman" w:eastAsia="Times New Roman" w:hAnsi="Times New Roman" w:cs="Times New Roman"/>
          <w:bCs/>
          <w:sz w:val="24"/>
          <w:szCs w:val="24"/>
          <w:lang w:eastAsia="pl-PL"/>
        </w:rPr>
        <w:t>Niezależnie od powyższego w zmienianym przepisie zastąpiono</w:t>
      </w:r>
      <w:r w:rsidRPr="00D92FC1" w:rsidDel="00AA3C20">
        <w:rPr>
          <w:rFonts w:ascii="Times New Roman" w:eastAsia="Times New Roman" w:hAnsi="Times New Roman" w:cs="Times New Roman"/>
          <w:bCs/>
          <w:sz w:val="24"/>
          <w:szCs w:val="24"/>
          <w:lang w:eastAsia="pl-PL"/>
        </w:rPr>
        <w:t xml:space="preserve"> </w:t>
      </w:r>
      <w:r w:rsidRPr="00D92FC1">
        <w:rPr>
          <w:rFonts w:ascii="Times New Roman" w:eastAsia="Times New Roman" w:hAnsi="Times New Roman" w:cs="Times New Roman"/>
          <w:bCs/>
          <w:sz w:val="24"/>
          <w:szCs w:val="24"/>
          <w:lang w:eastAsia="pl-PL"/>
        </w:rPr>
        <w:t>pojęcie prospektu emisyjnego pojęciem prospektu, co wynika ze zmian pojęciowych</w:t>
      </w:r>
      <w:r>
        <w:rPr>
          <w:rFonts w:ascii="Times New Roman" w:eastAsia="Times New Roman" w:hAnsi="Times New Roman" w:cs="Times New Roman"/>
          <w:bCs/>
          <w:sz w:val="24"/>
          <w:szCs w:val="24"/>
          <w:lang w:eastAsia="pl-PL"/>
        </w:rPr>
        <w:t>,</w:t>
      </w:r>
      <w:r w:rsidRPr="00D92FC1">
        <w:rPr>
          <w:rFonts w:ascii="Times New Roman" w:eastAsia="Times New Roman" w:hAnsi="Times New Roman" w:cs="Times New Roman"/>
          <w:bCs/>
          <w:sz w:val="24"/>
          <w:szCs w:val="24"/>
          <w:lang w:eastAsia="pl-PL"/>
        </w:rPr>
        <w:t xml:space="preserve"> jakie zaszły w ostatnim czasie w regulacjach z zakresu ofert publicznych papierów wartościowych.</w:t>
      </w:r>
    </w:p>
    <w:p w14:paraId="2D8BD080" w14:textId="6054D028" w:rsidR="00682672" w:rsidRPr="00B451BA" w:rsidRDefault="00682672" w:rsidP="005E5395">
      <w:pPr>
        <w:suppressAutoHyphens/>
        <w:autoSpaceDE w:val="0"/>
        <w:autoSpaceDN w:val="0"/>
        <w:adjustRightInd w:val="0"/>
        <w:spacing w:after="0" w:line="360" w:lineRule="auto"/>
        <w:jc w:val="both"/>
        <w:rPr>
          <w:rFonts w:ascii="Times New Roman" w:hAnsi="Times New Roman" w:cs="Times New Roman"/>
          <w:sz w:val="24"/>
          <w:szCs w:val="24"/>
          <w:shd w:val="clear" w:color="auto" w:fill="FFFFFF"/>
        </w:rPr>
      </w:pPr>
      <w:r w:rsidRPr="00D92FC1">
        <w:rPr>
          <w:rFonts w:ascii="Times New Roman" w:eastAsia="Times New Roman" w:hAnsi="Times New Roman" w:cs="Times New Roman"/>
          <w:bCs/>
          <w:sz w:val="24"/>
          <w:szCs w:val="24"/>
          <w:lang w:eastAsia="pl-PL"/>
        </w:rPr>
        <w:t xml:space="preserve">Zmiany w </w:t>
      </w:r>
      <w:r w:rsidRPr="00D92FC1">
        <w:rPr>
          <w:rFonts w:ascii="Times New Roman" w:eastAsia="Times New Roman" w:hAnsi="Times New Roman" w:cs="Times New Roman"/>
          <w:b/>
          <w:bCs/>
          <w:sz w:val="24"/>
          <w:szCs w:val="24"/>
          <w:lang w:eastAsia="pl-PL"/>
        </w:rPr>
        <w:t xml:space="preserve">art. 169b ust. 2 pkt 2 i ust. 3 pkt 2, art. 169d ust. 1 pkt 2, art. 169p ust. 2 pkt 2 i ust. 7 pkt 2, art. 169s ust. 2 pkt 3 i ust. 7 pkt 2, art. 169w ust. 1 pkt 2 oraz art. 175 ust. 1 </w:t>
      </w:r>
      <w:r w:rsidRPr="00D92FC1">
        <w:rPr>
          <w:rFonts w:ascii="Times New Roman" w:eastAsia="Times New Roman" w:hAnsi="Times New Roman" w:cs="Times New Roman"/>
          <w:bCs/>
          <w:sz w:val="24"/>
          <w:szCs w:val="24"/>
          <w:lang w:eastAsia="pl-PL"/>
        </w:rPr>
        <w:t>i</w:t>
      </w:r>
      <w:r w:rsidRPr="00D92FC1">
        <w:rPr>
          <w:rFonts w:ascii="Times New Roman" w:eastAsia="Times New Roman" w:hAnsi="Times New Roman" w:cs="Times New Roman"/>
          <w:b/>
          <w:bCs/>
          <w:sz w:val="24"/>
          <w:szCs w:val="24"/>
          <w:lang w:eastAsia="pl-PL"/>
        </w:rPr>
        <w:t xml:space="preserve"> 3</w:t>
      </w:r>
      <w:r w:rsidRPr="00D92FC1">
        <w:rPr>
          <w:rFonts w:ascii="Times New Roman" w:eastAsia="Times New Roman" w:hAnsi="Times New Roman" w:cs="Times New Roman"/>
          <w:bCs/>
          <w:sz w:val="24"/>
          <w:szCs w:val="24"/>
          <w:lang w:eastAsia="pl-PL"/>
        </w:rPr>
        <w:t xml:space="preserve"> odnoszą się do przepisów regulujących zasady działania funduszy podstawowych i funduszy powiązanych</w:t>
      </w:r>
      <w:r>
        <w:rPr>
          <w:rFonts w:ascii="Times New Roman" w:eastAsia="Times New Roman" w:hAnsi="Times New Roman" w:cs="Times New Roman"/>
          <w:bCs/>
          <w:sz w:val="24"/>
          <w:szCs w:val="24"/>
          <w:lang w:eastAsia="pl-PL"/>
        </w:rPr>
        <w:t xml:space="preserve">, działających w konstrukcji tzw. </w:t>
      </w:r>
      <w:r w:rsidRPr="00D92FC1">
        <w:rPr>
          <w:rFonts w:ascii="Times New Roman" w:eastAsia="Times New Roman" w:hAnsi="Times New Roman" w:cs="Times New Roman"/>
          <w:bCs/>
          <w:i/>
          <w:sz w:val="24"/>
          <w:szCs w:val="24"/>
          <w:lang w:eastAsia="pl-PL"/>
        </w:rPr>
        <w:t>master-feeder</w:t>
      </w:r>
      <w:r>
        <w:rPr>
          <w:rFonts w:ascii="Times New Roman" w:eastAsia="Times New Roman" w:hAnsi="Times New Roman" w:cs="Times New Roman"/>
          <w:bCs/>
          <w:i/>
          <w:sz w:val="24"/>
          <w:szCs w:val="24"/>
          <w:lang w:eastAsia="pl-PL"/>
        </w:rPr>
        <w:t xml:space="preserve"> </w:t>
      </w:r>
      <w:r w:rsidRPr="00B451BA">
        <w:rPr>
          <w:rFonts w:ascii="Times New Roman" w:eastAsia="Times New Roman" w:hAnsi="Times New Roman" w:cs="Times New Roman"/>
          <w:bCs/>
          <w:sz w:val="24"/>
          <w:szCs w:val="24"/>
          <w:lang w:eastAsia="pl-PL"/>
        </w:rPr>
        <w:t xml:space="preserve">(jest to </w:t>
      </w:r>
      <w:r w:rsidRPr="00B451BA">
        <w:rPr>
          <w:rFonts w:ascii="Times New Roman" w:hAnsi="Times New Roman" w:cs="Times New Roman"/>
          <w:sz w:val="24"/>
          <w:szCs w:val="24"/>
          <w:shd w:val="clear" w:color="auto" w:fill="FFFFFF"/>
        </w:rPr>
        <w:t>konstrukcja, w której fundusz</w:t>
      </w:r>
      <w:r>
        <w:rPr>
          <w:rFonts w:ascii="Times New Roman" w:hAnsi="Times New Roman" w:cs="Times New Roman"/>
          <w:sz w:val="24"/>
          <w:szCs w:val="24"/>
          <w:shd w:val="clear" w:color="auto" w:fill="FFFFFF"/>
        </w:rPr>
        <w:t xml:space="preserve"> </w:t>
      </w:r>
      <w:r w:rsidR="001641F5">
        <w:rPr>
          <w:rFonts w:ascii="Times New Roman" w:hAnsi="Times New Roman" w:cs="Times New Roman"/>
          <w:sz w:val="24"/>
          <w:szCs w:val="24"/>
          <w:shd w:val="clear" w:color="auto" w:fill="FFFFFF"/>
        </w:rPr>
        <w:t>–</w:t>
      </w:r>
      <w:r>
        <w:rPr>
          <w:rFonts w:ascii="Times New Roman" w:hAnsi="Times New Roman" w:cs="Times New Roman"/>
          <w:sz w:val="24"/>
          <w:szCs w:val="24"/>
          <w:shd w:val="clear" w:color="auto" w:fill="FFFFFF"/>
        </w:rPr>
        <w:t xml:space="preserve"> </w:t>
      </w:r>
      <w:r w:rsidRPr="00B451BA">
        <w:rPr>
          <w:rFonts w:ascii="Times New Roman" w:hAnsi="Times New Roman" w:cs="Times New Roman"/>
          <w:i/>
          <w:iCs/>
          <w:sz w:val="24"/>
          <w:szCs w:val="24"/>
          <w:shd w:val="clear" w:color="auto" w:fill="FFFFFF"/>
        </w:rPr>
        <w:t xml:space="preserve">feeder </w:t>
      </w:r>
      <w:r w:rsidRPr="00B451BA">
        <w:rPr>
          <w:rFonts w:ascii="Times New Roman" w:hAnsi="Times New Roman" w:cs="Times New Roman"/>
          <w:sz w:val="24"/>
          <w:szCs w:val="24"/>
          <w:shd w:val="clear" w:color="auto" w:fill="FFFFFF"/>
        </w:rPr>
        <w:t> inwestuje minimum 85% aktywów w </w:t>
      </w:r>
      <w:hyperlink r:id="rId9" w:history="1">
        <w:r w:rsidRPr="00B451BA">
          <w:rPr>
            <w:rFonts w:ascii="Times New Roman" w:hAnsi="Times New Roman" w:cs="Times New Roman"/>
            <w:sz w:val="24"/>
            <w:szCs w:val="24"/>
            <w:shd w:val="clear" w:color="auto" w:fill="FFFFFF"/>
          </w:rPr>
          <w:t>jednostki lub tytuły uczestnictwa</w:t>
        </w:r>
      </w:hyperlink>
      <w:r w:rsidRPr="00B451BA">
        <w:rPr>
          <w:rFonts w:ascii="Times New Roman" w:hAnsi="Times New Roman" w:cs="Times New Roman"/>
          <w:sz w:val="24"/>
          <w:szCs w:val="24"/>
          <w:shd w:val="clear" w:color="auto" w:fill="FFFFFF"/>
        </w:rPr>
        <w:t> innego funduszu</w:t>
      </w:r>
      <w:r>
        <w:rPr>
          <w:rFonts w:ascii="Times New Roman" w:hAnsi="Times New Roman" w:cs="Times New Roman"/>
          <w:sz w:val="24"/>
          <w:szCs w:val="24"/>
          <w:shd w:val="clear" w:color="auto" w:fill="FFFFFF"/>
        </w:rPr>
        <w:t xml:space="preserve"> </w:t>
      </w:r>
      <w:r w:rsidR="001641F5">
        <w:rPr>
          <w:rFonts w:ascii="Times New Roman" w:hAnsi="Times New Roman" w:cs="Times New Roman"/>
          <w:sz w:val="24"/>
          <w:szCs w:val="24"/>
          <w:shd w:val="clear" w:color="auto" w:fill="FFFFFF"/>
        </w:rPr>
        <w:t>–</w:t>
      </w:r>
      <w:r>
        <w:rPr>
          <w:rFonts w:ascii="Times New Roman" w:hAnsi="Times New Roman" w:cs="Times New Roman"/>
          <w:sz w:val="24"/>
          <w:szCs w:val="24"/>
          <w:shd w:val="clear" w:color="auto" w:fill="FFFFFF"/>
        </w:rPr>
        <w:t xml:space="preserve"> </w:t>
      </w:r>
      <w:r w:rsidRPr="00B451BA">
        <w:rPr>
          <w:rFonts w:ascii="Times New Roman" w:hAnsi="Times New Roman" w:cs="Times New Roman"/>
          <w:i/>
          <w:iCs/>
          <w:sz w:val="24"/>
          <w:szCs w:val="24"/>
          <w:shd w:val="clear" w:color="auto" w:fill="FFFFFF"/>
        </w:rPr>
        <w:t>master</w:t>
      </w:r>
      <w:r w:rsidRPr="00B451BA">
        <w:rPr>
          <w:rFonts w:ascii="Times New Roman" w:eastAsia="Times New Roman" w:hAnsi="Times New Roman" w:cs="Times New Roman"/>
          <w:bCs/>
          <w:sz w:val="24"/>
          <w:szCs w:val="24"/>
          <w:lang w:eastAsia="pl-PL"/>
        </w:rPr>
        <w:t xml:space="preserve">). </w:t>
      </w:r>
    </w:p>
    <w:p w14:paraId="67CA8C6C" w14:textId="77777777" w:rsidR="00682672" w:rsidRPr="00D92FC1" w:rsidRDefault="00682672" w:rsidP="005E5395">
      <w:pPr>
        <w:suppressAutoHyphens/>
        <w:autoSpaceDE w:val="0"/>
        <w:autoSpaceDN w:val="0"/>
        <w:adjustRightInd w:val="0"/>
        <w:spacing w:after="0" w:line="360" w:lineRule="auto"/>
        <w:jc w:val="both"/>
        <w:rPr>
          <w:rFonts w:ascii="Times New Roman" w:eastAsia="Times New Roman" w:hAnsi="Times New Roman" w:cs="Times New Roman"/>
          <w:bCs/>
          <w:sz w:val="24"/>
          <w:szCs w:val="24"/>
          <w:lang w:eastAsia="pl-PL"/>
        </w:rPr>
      </w:pPr>
      <w:r w:rsidRPr="00D92FC1">
        <w:rPr>
          <w:rFonts w:ascii="Times New Roman" w:eastAsia="Times New Roman" w:hAnsi="Times New Roman" w:cs="Times New Roman"/>
          <w:bCs/>
          <w:sz w:val="24"/>
          <w:szCs w:val="24"/>
          <w:lang w:eastAsia="pl-PL"/>
        </w:rPr>
        <w:t xml:space="preserve">Zmiany te przewidują </w:t>
      </w:r>
      <w:r>
        <w:rPr>
          <w:rFonts w:ascii="Times New Roman" w:eastAsia="Times New Roman" w:hAnsi="Times New Roman" w:cs="Times New Roman"/>
          <w:bCs/>
          <w:sz w:val="24"/>
          <w:szCs w:val="24"/>
          <w:lang w:eastAsia="pl-PL"/>
        </w:rPr>
        <w:t xml:space="preserve">we wskazanych przypadkach </w:t>
      </w:r>
      <w:r w:rsidRPr="00D92FC1">
        <w:rPr>
          <w:rFonts w:ascii="Times New Roman" w:eastAsia="Times New Roman" w:hAnsi="Times New Roman" w:cs="Times New Roman"/>
          <w:bCs/>
          <w:sz w:val="24"/>
          <w:szCs w:val="24"/>
          <w:lang w:eastAsia="pl-PL"/>
        </w:rPr>
        <w:t xml:space="preserve">uzupełnienie </w:t>
      </w:r>
      <w:r>
        <w:rPr>
          <w:rFonts w:ascii="Times New Roman" w:eastAsia="Times New Roman" w:hAnsi="Times New Roman" w:cs="Times New Roman"/>
          <w:bCs/>
          <w:sz w:val="24"/>
          <w:szCs w:val="24"/>
          <w:lang w:eastAsia="pl-PL"/>
        </w:rPr>
        <w:t xml:space="preserve">listy dokumentów przekazywanych do KNF o </w:t>
      </w:r>
      <w:r w:rsidRPr="00D92FC1">
        <w:rPr>
          <w:rFonts w:ascii="Times New Roman" w:eastAsia="Times New Roman" w:hAnsi="Times New Roman" w:cs="Times New Roman"/>
          <w:bCs/>
          <w:sz w:val="24"/>
          <w:szCs w:val="24"/>
          <w:lang w:eastAsia="pl-PL"/>
        </w:rPr>
        <w:t>kluczow</w:t>
      </w:r>
      <w:r>
        <w:rPr>
          <w:rFonts w:ascii="Times New Roman" w:eastAsia="Times New Roman" w:hAnsi="Times New Roman" w:cs="Times New Roman"/>
          <w:bCs/>
          <w:sz w:val="24"/>
          <w:szCs w:val="24"/>
          <w:lang w:eastAsia="pl-PL"/>
        </w:rPr>
        <w:t xml:space="preserve">e </w:t>
      </w:r>
      <w:r w:rsidRPr="00D92FC1">
        <w:rPr>
          <w:rFonts w:ascii="Times New Roman" w:eastAsia="Times New Roman" w:hAnsi="Times New Roman" w:cs="Times New Roman"/>
          <w:bCs/>
          <w:sz w:val="24"/>
          <w:szCs w:val="24"/>
          <w:lang w:eastAsia="pl-PL"/>
        </w:rPr>
        <w:t>informacj</w:t>
      </w:r>
      <w:r>
        <w:rPr>
          <w:rFonts w:ascii="Times New Roman" w:eastAsia="Times New Roman" w:hAnsi="Times New Roman" w:cs="Times New Roman"/>
          <w:bCs/>
          <w:sz w:val="24"/>
          <w:szCs w:val="24"/>
          <w:lang w:eastAsia="pl-PL"/>
        </w:rPr>
        <w:t>e</w:t>
      </w:r>
      <w:r w:rsidRPr="00D92FC1">
        <w:rPr>
          <w:rFonts w:ascii="Times New Roman" w:eastAsia="Times New Roman" w:hAnsi="Times New Roman" w:cs="Times New Roman"/>
          <w:bCs/>
          <w:sz w:val="24"/>
          <w:szCs w:val="24"/>
          <w:lang w:eastAsia="pl-PL"/>
        </w:rPr>
        <w:t xml:space="preserve">. </w:t>
      </w:r>
    </w:p>
    <w:p w14:paraId="607A07D7" w14:textId="77777777" w:rsidR="00682672" w:rsidRPr="00D92FC1" w:rsidRDefault="00682672" w:rsidP="005E5395">
      <w:pPr>
        <w:suppressAutoHyphens/>
        <w:autoSpaceDE w:val="0"/>
        <w:autoSpaceDN w:val="0"/>
        <w:adjustRightInd w:val="0"/>
        <w:spacing w:after="120" w:line="360" w:lineRule="auto"/>
        <w:jc w:val="both"/>
        <w:rPr>
          <w:rFonts w:ascii="Times New Roman" w:eastAsia="Times New Roman" w:hAnsi="Times New Roman" w:cs="Times New Roman"/>
          <w:bCs/>
          <w:sz w:val="24"/>
          <w:szCs w:val="24"/>
          <w:lang w:eastAsia="pl-PL"/>
        </w:rPr>
      </w:pPr>
      <w:r w:rsidRPr="00D92FC1">
        <w:rPr>
          <w:rFonts w:ascii="Times New Roman" w:eastAsia="Times New Roman" w:hAnsi="Times New Roman" w:cs="Times New Roman"/>
          <w:bCs/>
          <w:sz w:val="24"/>
          <w:szCs w:val="24"/>
          <w:lang w:eastAsia="pl-PL"/>
        </w:rPr>
        <w:t xml:space="preserve">Zmieniane przepisy stanowią implementację dyrektywy 2009/65/WE i nie zostały wprost zmienione dyrektywą 2021/2261, jednak rozwiązania przewidziane dyrektywą 2021/2261 (umożliwienie sporządzania przez fundusze </w:t>
      </w:r>
      <w:r>
        <w:rPr>
          <w:rFonts w:ascii="Times New Roman" w:eastAsia="Times New Roman" w:hAnsi="Times New Roman" w:cs="Times New Roman"/>
          <w:bCs/>
          <w:sz w:val="24"/>
          <w:szCs w:val="24"/>
          <w:lang w:eastAsia="pl-PL"/>
        </w:rPr>
        <w:t xml:space="preserve">inwestycyjne </w:t>
      </w:r>
      <w:r w:rsidRPr="00D92FC1">
        <w:rPr>
          <w:rFonts w:ascii="Times New Roman" w:eastAsia="Times New Roman" w:hAnsi="Times New Roman" w:cs="Times New Roman"/>
          <w:bCs/>
          <w:sz w:val="24"/>
          <w:szCs w:val="24"/>
          <w:lang w:eastAsia="pl-PL"/>
        </w:rPr>
        <w:t xml:space="preserve">typu UCITS wyłącznie kluczowych informacji) sprawiają, że pośrednio zmianie uległy również przepisy odnoszące się do funduszy </w:t>
      </w:r>
      <w:r w:rsidRPr="00D92FC1">
        <w:rPr>
          <w:rFonts w:ascii="Times New Roman" w:eastAsia="Times New Roman" w:hAnsi="Times New Roman" w:cs="Times New Roman"/>
          <w:bCs/>
          <w:i/>
          <w:sz w:val="24"/>
          <w:szCs w:val="24"/>
          <w:lang w:eastAsia="pl-PL"/>
        </w:rPr>
        <w:t>master-feeder</w:t>
      </w:r>
      <w:r w:rsidRPr="00D92FC1">
        <w:rPr>
          <w:rFonts w:ascii="Times New Roman" w:eastAsia="Times New Roman" w:hAnsi="Times New Roman" w:cs="Times New Roman"/>
          <w:bCs/>
          <w:sz w:val="24"/>
          <w:szCs w:val="24"/>
          <w:lang w:eastAsia="pl-PL"/>
        </w:rPr>
        <w:t xml:space="preserve"> w dyrektywie 2009/65/WE.</w:t>
      </w:r>
    </w:p>
    <w:p w14:paraId="448B9F91" w14:textId="77777777" w:rsidR="00682672" w:rsidRPr="00D92FC1" w:rsidRDefault="00682672" w:rsidP="005E5395">
      <w:pPr>
        <w:suppressAutoHyphens/>
        <w:autoSpaceDE w:val="0"/>
        <w:autoSpaceDN w:val="0"/>
        <w:adjustRightInd w:val="0"/>
        <w:spacing w:after="0" w:line="360" w:lineRule="auto"/>
        <w:jc w:val="both"/>
        <w:rPr>
          <w:rFonts w:ascii="Times New Roman" w:eastAsia="Times New Roman" w:hAnsi="Times New Roman" w:cs="Times New Roman"/>
          <w:bCs/>
          <w:sz w:val="24"/>
          <w:szCs w:val="24"/>
          <w:lang w:eastAsia="pl-PL"/>
        </w:rPr>
      </w:pPr>
      <w:r w:rsidRPr="00D92FC1">
        <w:rPr>
          <w:rFonts w:ascii="Times New Roman" w:eastAsia="Times New Roman" w:hAnsi="Times New Roman" w:cs="Times New Roman"/>
          <w:bCs/>
          <w:sz w:val="24"/>
          <w:szCs w:val="24"/>
          <w:lang w:eastAsia="pl-PL"/>
        </w:rPr>
        <w:t xml:space="preserve">Zmiany w </w:t>
      </w:r>
      <w:r w:rsidRPr="00D92FC1">
        <w:rPr>
          <w:rFonts w:ascii="Times New Roman" w:eastAsia="Times New Roman" w:hAnsi="Times New Roman" w:cs="Times New Roman"/>
          <w:b/>
          <w:bCs/>
          <w:sz w:val="24"/>
          <w:szCs w:val="24"/>
          <w:lang w:eastAsia="pl-PL"/>
        </w:rPr>
        <w:t>art. 204 ust. 3 pkt 6, art. 208a ust. 2, art. 208zd ust. 1 pkt 3, art. 208ze ust. 1 pkt 1 oraz art. 208zzc pkt 3</w:t>
      </w:r>
      <w:r w:rsidRPr="00D92FC1">
        <w:rPr>
          <w:rFonts w:ascii="Times New Roman" w:eastAsia="Times New Roman" w:hAnsi="Times New Roman" w:cs="Times New Roman"/>
          <w:bCs/>
          <w:sz w:val="24"/>
          <w:szCs w:val="24"/>
          <w:lang w:eastAsia="pl-PL"/>
        </w:rPr>
        <w:t xml:space="preserve"> odnoszą się do przepisów regulujących zasady łączenia funduszy </w:t>
      </w:r>
      <w:r w:rsidRPr="00D92FC1">
        <w:rPr>
          <w:rFonts w:ascii="Times New Roman" w:eastAsia="Times New Roman" w:hAnsi="Times New Roman" w:cs="Times New Roman"/>
          <w:bCs/>
          <w:sz w:val="24"/>
          <w:szCs w:val="24"/>
          <w:lang w:eastAsia="pl-PL"/>
        </w:rPr>
        <w:lastRenderedPageBreak/>
        <w:t xml:space="preserve">inwestycyjnych, przewidujących obowiązek udostępniania, przekazywania lub załączania kluczowych informacji dla inwestorów. </w:t>
      </w:r>
    </w:p>
    <w:p w14:paraId="3B755D0F" w14:textId="77777777" w:rsidR="00682672" w:rsidRPr="00D92FC1" w:rsidRDefault="00682672" w:rsidP="005E5395">
      <w:pPr>
        <w:suppressAutoHyphens/>
        <w:autoSpaceDE w:val="0"/>
        <w:autoSpaceDN w:val="0"/>
        <w:adjustRightInd w:val="0"/>
        <w:spacing w:after="0" w:line="360" w:lineRule="auto"/>
        <w:jc w:val="both"/>
        <w:rPr>
          <w:rFonts w:ascii="Times New Roman" w:eastAsia="Times New Roman" w:hAnsi="Times New Roman" w:cs="Times New Roman"/>
          <w:bCs/>
          <w:sz w:val="24"/>
          <w:szCs w:val="24"/>
          <w:lang w:eastAsia="pl-PL"/>
        </w:rPr>
      </w:pPr>
      <w:r w:rsidRPr="00D92FC1">
        <w:rPr>
          <w:rFonts w:ascii="Times New Roman" w:eastAsia="Times New Roman" w:hAnsi="Times New Roman" w:cs="Times New Roman"/>
          <w:bCs/>
          <w:sz w:val="24"/>
          <w:szCs w:val="24"/>
          <w:lang w:eastAsia="pl-PL"/>
        </w:rPr>
        <w:t xml:space="preserve">Przepisy te </w:t>
      </w:r>
      <w:r>
        <w:rPr>
          <w:rFonts w:ascii="Times New Roman" w:eastAsia="Times New Roman" w:hAnsi="Times New Roman" w:cs="Times New Roman"/>
          <w:bCs/>
          <w:sz w:val="24"/>
          <w:szCs w:val="24"/>
          <w:lang w:eastAsia="pl-PL"/>
        </w:rPr>
        <w:t xml:space="preserve">uzupełniono w związku z wprowadzeniem </w:t>
      </w:r>
      <w:r w:rsidRPr="00D92FC1">
        <w:rPr>
          <w:rFonts w:ascii="Times New Roman" w:eastAsia="Times New Roman" w:hAnsi="Times New Roman" w:cs="Times New Roman"/>
          <w:bCs/>
          <w:sz w:val="24"/>
          <w:szCs w:val="24"/>
          <w:lang w:eastAsia="pl-PL"/>
        </w:rPr>
        <w:t xml:space="preserve">kluczowych informacji sporządzanych zgodnie z rozporządzeniem 1286/2014. </w:t>
      </w:r>
    </w:p>
    <w:p w14:paraId="207FEB0F" w14:textId="77777777" w:rsidR="00682672" w:rsidRPr="00D92FC1" w:rsidRDefault="00682672" w:rsidP="005E5395">
      <w:pPr>
        <w:suppressAutoHyphens/>
        <w:autoSpaceDE w:val="0"/>
        <w:autoSpaceDN w:val="0"/>
        <w:adjustRightInd w:val="0"/>
        <w:spacing w:after="120" w:line="360" w:lineRule="auto"/>
        <w:jc w:val="both"/>
        <w:rPr>
          <w:rFonts w:ascii="Times New Roman" w:eastAsia="Times New Roman" w:hAnsi="Times New Roman" w:cs="Times New Roman"/>
          <w:bCs/>
          <w:sz w:val="24"/>
          <w:szCs w:val="24"/>
          <w:lang w:eastAsia="pl-PL"/>
        </w:rPr>
      </w:pPr>
      <w:r w:rsidRPr="00D92FC1">
        <w:rPr>
          <w:rFonts w:ascii="Times New Roman" w:eastAsia="Times New Roman" w:hAnsi="Times New Roman" w:cs="Times New Roman"/>
          <w:bCs/>
          <w:sz w:val="24"/>
          <w:szCs w:val="24"/>
          <w:lang w:eastAsia="pl-PL"/>
        </w:rPr>
        <w:t xml:space="preserve">Przepisy regulujące zasady połączeń stanowią implementację dyrektywy 2009/65/WE i nie zostały one wprost zmienione dyrektywą 2021/2261, niemniej powinny one ulec zmianie tak jak w przypadku przepisów dotyczących funduszy </w:t>
      </w:r>
      <w:r w:rsidRPr="00D92FC1">
        <w:rPr>
          <w:rFonts w:ascii="Times New Roman" w:eastAsia="Times New Roman" w:hAnsi="Times New Roman" w:cs="Times New Roman"/>
          <w:bCs/>
          <w:i/>
          <w:sz w:val="24"/>
          <w:szCs w:val="24"/>
          <w:lang w:eastAsia="pl-PL"/>
        </w:rPr>
        <w:t>master-feeder</w:t>
      </w:r>
      <w:r w:rsidRPr="00D92FC1">
        <w:rPr>
          <w:rFonts w:ascii="Times New Roman" w:eastAsia="Times New Roman" w:hAnsi="Times New Roman" w:cs="Times New Roman"/>
          <w:bCs/>
          <w:sz w:val="24"/>
          <w:szCs w:val="24"/>
          <w:lang w:eastAsia="pl-PL"/>
        </w:rPr>
        <w:t>.</w:t>
      </w:r>
    </w:p>
    <w:p w14:paraId="6669536C" w14:textId="77777777" w:rsidR="00682672" w:rsidRPr="00D92FC1" w:rsidRDefault="00682672" w:rsidP="005E5395">
      <w:pPr>
        <w:suppressAutoHyphens/>
        <w:autoSpaceDE w:val="0"/>
        <w:autoSpaceDN w:val="0"/>
        <w:adjustRightInd w:val="0"/>
        <w:spacing w:after="0" w:line="360" w:lineRule="auto"/>
        <w:jc w:val="both"/>
        <w:rPr>
          <w:rFonts w:ascii="Times New Roman" w:eastAsia="Times New Roman" w:hAnsi="Times New Roman" w:cs="Times New Roman"/>
          <w:bCs/>
          <w:sz w:val="24"/>
          <w:szCs w:val="24"/>
          <w:lang w:eastAsia="pl-PL"/>
        </w:rPr>
      </w:pPr>
      <w:r w:rsidRPr="00D92FC1">
        <w:rPr>
          <w:rFonts w:ascii="Times New Roman" w:eastAsia="Times New Roman" w:hAnsi="Times New Roman" w:cs="Times New Roman"/>
          <w:bCs/>
          <w:sz w:val="24"/>
          <w:szCs w:val="24"/>
          <w:lang w:eastAsia="pl-PL"/>
        </w:rPr>
        <w:t xml:space="preserve">Dyrektywa 2021/2261 przewiduje obowiązek sporządzenia kluczowych informacji dla inwestorów wyłącznie w przypadku gdy decyzją towarzystwa fundusz inwestycyjny będzie dalej udostępniał ten dokument inwestorom innym niż inwestorzy indywidualni – w </w:t>
      </w:r>
      <w:r w:rsidRPr="00D92FC1">
        <w:rPr>
          <w:rFonts w:ascii="Times New Roman" w:eastAsia="Times New Roman" w:hAnsi="Times New Roman" w:cs="Times New Roman"/>
          <w:b/>
          <w:bCs/>
          <w:sz w:val="24"/>
          <w:szCs w:val="24"/>
          <w:lang w:eastAsia="pl-PL"/>
        </w:rPr>
        <w:t>art. 219 ust. 1</w:t>
      </w:r>
      <w:r w:rsidRPr="00D92FC1">
        <w:rPr>
          <w:rFonts w:ascii="Times New Roman" w:eastAsia="Times New Roman" w:hAnsi="Times New Roman" w:cs="Times New Roman"/>
          <w:bCs/>
          <w:sz w:val="24"/>
          <w:szCs w:val="24"/>
          <w:lang w:eastAsia="pl-PL"/>
        </w:rPr>
        <w:t xml:space="preserve"> odstąpiono </w:t>
      </w:r>
      <w:r>
        <w:rPr>
          <w:rFonts w:ascii="Times New Roman" w:eastAsia="Times New Roman" w:hAnsi="Times New Roman" w:cs="Times New Roman"/>
          <w:bCs/>
          <w:sz w:val="24"/>
          <w:szCs w:val="24"/>
          <w:lang w:eastAsia="pl-PL"/>
        </w:rPr>
        <w:t xml:space="preserve">zatem </w:t>
      </w:r>
      <w:r w:rsidRPr="00D92FC1">
        <w:rPr>
          <w:rFonts w:ascii="Times New Roman" w:eastAsia="Times New Roman" w:hAnsi="Times New Roman" w:cs="Times New Roman"/>
          <w:bCs/>
          <w:sz w:val="24"/>
          <w:szCs w:val="24"/>
          <w:lang w:eastAsia="pl-PL"/>
        </w:rPr>
        <w:t xml:space="preserve">od obligatoryjnego publikowania tego dokumentu na stronach internetowych wskazanych w statucie funduszu inwestycyjnego otwartego oraz specjalistycznego funduszu inwestycyjnego otwartego. </w:t>
      </w:r>
    </w:p>
    <w:p w14:paraId="71B2402E" w14:textId="77777777" w:rsidR="00682672" w:rsidRPr="00D92FC1" w:rsidRDefault="00682672" w:rsidP="005E5395">
      <w:pPr>
        <w:suppressAutoHyphens/>
        <w:autoSpaceDE w:val="0"/>
        <w:autoSpaceDN w:val="0"/>
        <w:adjustRightInd w:val="0"/>
        <w:spacing w:after="0" w:line="360" w:lineRule="auto"/>
        <w:jc w:val="both"/>
        <w:rPr>
          <w:rFonts w:ascii="Times New Roman" w:eastAsia="Times New Roman" w:hAnsi="Times New Roman" w:cs="Times New Roman"/>
          <w:bCs/>
          <w:sz w:val="24"/>
          <w:szCs w:val="24"/>
          <w:lang w:eastAsia="pl-PL"/>
        </w:rPr>
      </w:pPr>
      <w:r w:rsidRPr="00D92FC1">
        <w:rPr>
          <w:rFonts w:ascii="Times New Roman" w:eastAsia="Times New Roman" w:hAnsi="Times New Roman" w:cs="Times New Roman"/>
          <w:bCs/>
          <w:sz w:val="24"/>
          <w:szCs w:val="24"/>
          <w:lang w:eastAsia="pl-PL"/>
        </w:rPr>
        <w:t xml:space="preserve">Obowiązek taki będzie istniał wyłącznie w przypadku gdy fundusze te będą udostępniały inwestorom innym niż inwestorzy indywidualni kluczowe informacje dla inwestorów. </w:t>
      </w:r>
    </w:p>
    <w:p w14:paraId="5E551EC5" w14:textId="77777777" w:rsidR="00682672" w:rsidRPr="00D92FC1" w:rsidRDefault="00682672" w:rsidP="005E5395">
      <w:pPr>
        <w:suppressAutoHyphens/>
        <w:autoSpaceDE w:val="0"/>
        <w:autoSpaceDN w:val="0"/>
        <w:adjustRightInd w:val="0"/>
        <w:spacing w:after="120" w:line="360" w:lineRule="auto"/>
        <w:jc w:val="both"/>
        <w:rPr>
          <w:rFonts w:ascii="Times New Roman" w:eastAsia="Times New Roman" w:hAnsi="Times New Roman" w:cs="Times New Roman"/>
          <w:bCs/>
          <w:sz w:val="24"/>
          <w:szCs w:val="24"/>
          <w:lang w:eastAsia="pl-PL"/>
        </w:rPr>
      </w:pPr>
      <w:r w:rsidRPr="00D92FC1">
        <w:rPr>
          <w:rFonts w:ascii="Times New Roman" w:eastAsia="Times New Roman" w:hAnsi="Times New Roman" w:cs="Times New Roman"/>
          <w:bCs/>
          <w:sz w:val="24"/>
          <w:szCs w:val="24"/>
          <w:lang w:eastAsia="pl-PL"/>
        </w:rPr>
        <w:t xml:space="preserve">Obowiązek publikowania kluczowych informacji wynika wprost z art. 5 ust. 1 rozporządzenia 1286/2014, który zobowiązuje twórcę PRIIP do sporządzenia dokumentu kluczowych informacji oraz zamieszczenia go na swojej stornie internetowej przed udostępnieniem PRIIP. W przypadku krajowych funduszy inwestycyjnych sporządzających PRIIP będzie nim towarzystwo funduszy inwestycyjnych – kluczowe informacje zostaną opublikowane na stronie internetowej towarzystwa funduszy inwestycyjnych. </w:t>
      </w:r>
    </w:p>
    <w:p w14:paraId="028A415D" w14:textId="77777777" w:rsidR="00682672" w:rsidRPr="00D92FC1" w:rsidRDefault="00682672" w:rsidP="005E5395">
      <w:pPr>
        <w:suppressAutoHyphens/>
        <w:autoSpaceDE w:val="0"/>
        <w:autoSpaceDN w:val="0"/>
        <w:adjustRightInd w:val="0"/>
        <w:spacing w:after="0" w:line="360" w:lineRule="auto"/>
        <w:jc w:val="both"/>
        <w:rPr>
          <w:rFonts w:ascii="Times New Roman" w:eastAsia="Times New Roman" w:hAnsi="Times New Roman" w:cs="Times New Roman"/>
          <w:bCs/>
          <w:sz w:val="24"/>
          <w:szCs w:val="24"/>
          <w:lang w:eastAsia="pl-PL"/>
        </w:rPr>
      </w:pPr>
      <w:r w:rsidRPr="00D92FC1">
        <w:rPr>
          <w:rFonts w:ascii="Times New Roman" w:eastAsia="Times New Roman" w:hAnsi="Times New Roman" w:cs="Times New Roman"/>
          <w:bCs/>
          <w:sz w:val="24"/>
          <w:szCs w:val="24"/>
          <w:lang w:eastAsia="pl-PL"/>
        </w:rPr>
        <w:t>Przepis</w:t>
      </w:r>
      <w:r w:rsidRPr="00D92FC1">
        <w:rPr>
          <w:rFonts w:ascii="Times New Roman" w:eastAsia="Times New Roman" w:hAnsi="Times New Roman" w:cs="Times New Roman"/>
          <w:b/>
          <w:bCs/>
          <w:sz w:val="24"/>
          <w:szCs w:val="24"/>
          <w:lang w:eastAsia="pl-PL"/>
        </w:rPr>
        <w:t xml:space="preserve"> </w:t>
      </w:r>
      <w:r w:rsidRPr="00D160CA">
        <w:rPr>
          <w:rFonts w:ascii="Times New Roman" w:eastAsia="Times New Roman" w:hAnsi="Times New Roman" w:cs="Times New Roman"/>
          <w:bCs/>
          <w:sz w:val="24"/>
          <w:szCs w:val="24"/>
          <w:lang w:eastAsia="pl-PL"/>
        </w:rPr>
        <w:t>art. 220a ust. 7</w:t>
      </w:r>
      <w:r w:rsidRPr="00D92FC1">
        <w:rPr>
          <w:rFonts w:ascii="Times New Roman" w:eastAsia="Times New Roman" w:hAnsi="Times New Roman" w:cs="Times New Roman"/>
          <w:bCs/>
          <w:sz w:val="24"/>
          <w:szCs w:val="24"/>
          <w:lang w:eastAsia="pl-PL"/>
        </w:rPr>
        <w:t xml:space="preserve"> </w:t>
      </w:r>
      <w:r>
        <w:rPr>
          <w:rFonts w:ascii="Times New Roman" w:eastAsia="Times New Roman" w:hAnsi="Times New Roman" w:cs="Times New Roman"/>
          <w:bCs/>
          <w:sz w:val="24"/>
          <w:szCs w:val="24"/>
          <w:lang w:eastAsia="pl-PL"/>
        </w:rPr>
        <w:t xml:space="preserve">w obecnym brzmieniu </w:t>
      </w:r>
      <w:r w:rsidRPr="00D92FC1">
        <w:rPr>
          <w:rFonts w:ascii="Times New Roman" w:eastAsia="Times New Roman" w:hAnsi="Times New Roman" w:cs="Times New Roman"/>
          <w:bCs/>
          <w:sz w:val="24"/>
          <w:szCs w:val="24"/>
          <w:lang w:eastAsia="pl-PL"/>
        </w:rPr>
        <w:t xml:space="preserve">stanowi, że specjalistyczny fundusz inwestycyjny otwarty sporządza kluczowe informacje dla inwestorów, co stoi w sprzeczności z definicją </w:t>
      </w:r>
      <w:r>
        <w:rPr>
          <w:rFonts w:ascii="Times New Roman" w:eastAsia="Times New Roman" w:hAnsi="Times New Roman" w:cs="Times New Roman"/>
          <w:bCs/>
          <w:sz w:val="24"/>
          <w:szCs w:val="24"/>
          <w:lang w:eastAsia="pl-PL"/>
        </w:rPr>
        <w:t>„</w:t>
      </w:r>
      <w:r w:rsidRPr="00D160CA">
        <w:rPr>
          <w:rFonts w:ascii="Times New Roman" w:hAnsi="Times New Roman" w:cs="Times New Roman"/>
          <w:color w:val="333333"/>
          <w:sz w:val="24"/>
          <w:szCs w:val="24"/>
          <w:shd w:val="clear" w:color="auto" w:fill="FFFFFF"/>
        </w:rPr>
        <w:t>twórc</w:t>
      </w:r>
      <w:r>
        <w:rPr>
          <w:rFonts w:ascii="Times New Roman" w:hAnsi="Times New Roman" w:cs="Times New Roman"/>
          <w:color w:val="333333"/>
          <w:sz w:val="24"/>
          <w:szCs w:val="24"/>
          <w:shd w:val="clear" w:color="auto" w:fill="FFFFFF"/>
        </w:rPr>
        <w:t xml:space="preserve">y </w:t>
      </w:r>
      <w:r w:rsidRPr="00D160CA">
        <w:rPr>
          <w:rFonts w:ascii="Times New Roman" w:hAnsi="Times New Roman" w:cs="Times New Roman"/>
          <w:color w:val="333333"/>
          <w:sz w:val="24"/>
          <w:szCs w:val="24"/>
          <w:shd w:val="clear" w:color="auto" w:fill="FFFFFF"/>
        </w:rPr>
        <w:t>detalicznego produktu zbiorowego inwestowania i ubezpieczeniowego produktu inwestycyjnego</w:t>
      </w:r>
      <w:r>
        <w:rPr>
          <w:rFonts w:ascii="Times New Roman" w:hAnsi="Times New Roman" w:cs="Times New Roman"/>
          <w:color w:val="333333"/>
          <w:sz w:val="24"/>
          <w:szCs w:val="24"/>
          <w:shd w:val="clear" w:color="auto" w:fill="FFFFFF"/>
        </w:rPr>
        <w:t>” („</w:t>
      </w:r>
      <w:r w:rsidRPr="00D160CA">
        <w:rPr>
          <w:rFonts w:ascii="Times New Roman" w:eastAsia="Times New Roman" w:hAnsi="Times New Roman" w:cs="Times New Roman"/>
          <w:bCs/>
          <w:sz w:val="24"/>
          <w:szCs w:val="24"/>
          <w:lang w:eastAsia="pl-PL"/>
        </w:rPr>
        <w:t>twórcy</w:t>
      </w:r>
      <w:r w:rsidRPr="00D92FC1">
        <w:rPr>
          <w:rFonts w:ascii="Times New Roman" w:eastAsia="Times New Roman" w:hAnsi="Times New Roman" w:cs="Times New Roman"/>
          <w:bCs/>
          <w:sz w:val="24"/>
          <w:szCs w:val="24"/>
          <w:lang w:eastAsia="pl-PL"/>
        </w:rPr>
        <w:t xml:space="preserve"> PRIIP</w:t>
      </w:r>
      <w:r>
        <w:rPr>
          <w:rFonts w:ascii="Times New Roman" w:eastAsia="Times New Roman" w:hAnsi="Times New Roman" w:cs="Times New Roman"/>
          <w:bCs/>
          <w:sz w:val="24"/>
          <w:szCs w:val="24"/>
          <w:lang w:eastAsia="pl-PL"/>
        </w:rPr>
        <w:t>”)</w:t>
      </w:r>
      <w:r w:rsidRPr="00D92FC1">
        <w:rPr>
          <w:rFonts w:ascii="Times New Roman" w:eastAsia="Times New Roman" w:hAnsi="Times New Roman" w:cs="Times New Roman"/>
          <w:bCs/>
          <w:sz w:val="24"/>
          <w:szCs w:val="24"/>
          <w:lang w:eastAsia="pl-PL"/>
        </w:rPr>
        <w:t xml:space="preserve"> zawartą w art. 4 pkt 4 rozporządzenia 1286/2014</w:t>
      </w:r>
      <w:r>
        <w:rPr>
          <w:rFonts w:ascii="Times New Roman" w:eastAsia="Times New Roman" w:hAnsi="Times New Roman" w:cs="Times New Roman"/>
          <w:bCs/>
          <w:sz w:val="24"/>
          <w:szCs w:val="24"/>
          <w:lang w:eastAsia="pl-PL"/>
        </w:rPr>
        <w:t>, zgodnie z którą jest nim każdy podmiot, który tworzy PRIIP albo wprowadza zmiany do istniejącego PRIIP</w:t>
      </w:r>
      <w:r w:rsidRPr="00D92FC1">
        <w:rPr>
          <w:rFonts w:ascii="Times New Roman" w:eastAsia="Times New Roman" w:hAnsi="Times New Roman" w:cs="Times New Roman"/>
          <w:bCs/>
          <w:sz w:val="24"/>
          <w:szCs w:val="24"/>
          <w:lang w:eastAsia="pl-PL"/>
        </w:rPr>
        <w:t xml:space="preserve">. </w:t>
      </w:r>
    </w:p>
    <w:p w14:paraId="0CFA3F71" w14:textId="77777777" w:rsidR="00682672" w:rsidRPr="00D92FC1" w:rsidRDefault="00682672" w:rsidP="005E5395">
      <w:pPr>
        <w:suppressAutoHyphens/>
        <w:autoSpaceDE w:val="0"/>
        <w:autoSpaceDN w:val="0"/>
        <w:adjustRightInd w:val="0"/>
        <w:spacing w:after="0" w:line="360" w:lineRule="auto"/>
        <w:jc w:val="both"/>
        <w:rPr>
          <w:rFonts w:ascii="Times New Roman" w:eastAsia="Times New Roman" w:hAnsi="Times New Roman" w:cs="Times New Roman"/>
          <w:bCs/>
          <w:sz w:val="24"/>
          <w:szCs w:val="24"/>
          <w:lang w:eastAsia="pl-PL"/>
        </w:rPr>
      </w:pPr>
      <w:r w:rsidRPr="00D92FC1">
        <w:rPr>
          <w:rFonts w:ascii="Times New Roman" w:eastAsia="Times New Roman" w:hAnsi="Times New Roman" w:cs="Times New Roman"/>
          <w:bCs/>
          <w:sz w:val="24"/>
          <w:szCs w:val="24"/>
          <w:lang w:eastAsia="pl-PL"/>
        </w:rPr>
        <w:t xml:space="preserve">Przepis art. 32 rozporządzenia 1286/2014 wskazuje, że do sporządzenia kluczowych informacji są obowiązane spółki zarządzające UCITS lub funduszami, które na zasadzie prawa krajowego udostępniają kluczowe informacje dla inwestorów. Ponadto z art. 2 ust. 1 rozporządzenia Komisji 583/2010 z dnia 1 lipca 2010 r. w sprawie wykonania dyrektywy Parlamentu Europejskiego i Rady 2009/65/WE w zakresie kluczowych informacji dla inwestorów i warunków, które należy spełnić w przypadku dostarczania kluczowych informacji dla </w:t>
      </w:r>
      <w:r w:rsidRPr="00D92FC1">
        <w:rPr>
          <w:rFonts w:ascii="Times New Roman" w:eastAsia="Times New Roman" w:hAnsi="Times New Roman" w:cs="Times New Roman"/>
          <w:bCs/>
          <w:sz w:val="24"/>
          <w:szCs w:val="24"/>
          <w:lang w:eastAsia="pl-PL"/>
        </w:rPr>
        <w:lastRenderedPageBreak/>
        <w:t xml:space="preserve">inwestorów lub prospektu emisyjnego na trwałym nośniku innym niż papier lub za pośrednictwem strony internetowej (Dz. Urz. UE L 176 z 10.07.2010, str. 1) wynika, że ma ono zastosowanie do spółki zarządzającej w odniesieniu do każdego zarządzanego przez nią UCITS – oznacza to, że za sporządzenie kluczowych informacji dla inwestorów odpowiedzialne są spółki zarządzające (towarzystwa funduszy inwestycyjnych w krajowym porządku prawnym). </w:t>
      </w:r>
    </w:p>
    <w:p w14:paraId="77607D6F" w14:textId="77777777" w:rsidR="00682672" w:rsidRPr="00D92FC1" w:rsidRDefault="00682672" w:rsidP="005E5395">
      <w:pPr>
        <w:suppressAutoHyphens/>
        <w:autoSpaceDE w:val="0"/>
        <w:autoSpaceDN w:val="0"/>
        <w:adjustRightInd w:val="0"/>
        <w:spacing w:after="120" w:line="360" w:lineRule="auto"/>
        <w:jc w:val="both"/>
        <w:rPr>
          <w:rFonts w:ascii="Times New Roman" w:eastAsia="Times New Roman" w:hAnsi="Times New Roman" w:cs="Times New Roman"/>
          <w:bCs/>
          <w:sz w:val="24"/>
          <w:szCs w:val="24"/>
          <w:lang w:eastAsia="pl-PL"/>
        </w:rPr>
      </w:pPr>
      <w:r w:rsidRPr="00D92FC1">
        <w:rPr>
          <w:rFonts w:ascii="Times New Roman" w:eastAsia="Times New Roman" w:hAnsi="Times New Roman" w:cs="Times New Roman"/>
          <w:bCs/>
          <w:sz w:val="24"/>
          <w:szCs w:val="24"/>
          <w:lang w:eastAsia="pl-PL"/>
        </w:rPr>
        <w:t xml:space="preserve">W związku z tym projekt przewiduje zmianę </w:t>
      </w:r>
      <w:r w:rsidRPr="00B451BA">
        <w:rPr>
          <w:rFonts w:ascii="Times New Roman" w:eastAsia="Times New Roman" w:hAnsi="Times New Roman" w:cs="Times New Roman"/>
          <w:b/>
          <w:bCs/>
          <w:sz w:val="24"/>
          <w:szCs w:val="24"/>
          <w:lang w:eastAsia="pl-PL"/>
        </w:rPr>
        <w:t>art. 220a ust. 7</w:t>
      </w:r>
      <w:r w:rsidRPr="00D92FC1">
        <w:rPr>
          <w:rFonts w:ascii="Times New Roman" w:eastAsia="Times New Roman" w:hAnsi="Times New Roman" w:cs="Times New Roman"/>
          <w:bCs/>
          <w:sz w:val="24"/>
          <w:szCs w:val="24"/>
          <w:lang w:eastAsia="pl-PL"/>
        </w:rPr>
        <w:t xml:space="preserve"> polegającą na wskazaniu towarzystwa funduszy inwestycyjnych jako podmiotu właściwego do sporządzania kluczowych informacji dla inwestorów. </w:t>
      </w:r>
    </w:p>
    <w:p w14:paraId="4BB902AD" w14:textId="77777777" w:rsidR="00682672" w:rsidRPr="00D92FC1" w:rsidRDefault="00682672" w:rsidP="005E5395">
      <w:pPr>
        <w:suppressAutoHyphens/>
        <w:autoSpaceDE w:val="0"/>
        <w:autoSpaceDN w:val="0"/>
        <w:adjustRightInd w:val="0"/>
        <w:spacing w:after="0" w:line="360" w:lineRule="auto"/>
        <w:jc w:val="both"/>
        <w:rPr>
          <w:rFonts w:ascii="Times New Roman" w:eastAsia="Times New Roman" w:hAnsi="Times New Roman" w:cs="Times New Roman"/>
          <w:bCs/>
          <w:sz w:val="24"/>
          <w:szCs w:val="24"/>
          <w:lang w:eastAsia="pl-PL"/>
        </w:rPr>
      </w:pPr>
      <w:r>
        <w:rPr>
          <w:rFonts w:ascii="Times New Roman" w:eastAsia="Times New Roman" w:hAnsi="Times New Roman" w:cs="Times New Roman"/>
          <w:bCs/>
          <w:sz w:val="24"/>
          <w:szCs w:val="24"/>
          <w:lang w:eastAsia="pl-PL"/>
        </w:rPr>
        <w:t>D</w:t>
      </w:r>
      <w:r w:rsidRPr="00D92FC1">
        <w:rPr>
          <w:rFonts w:ascii="Times New Roman" w:eastAsia="Times New Roman" w:hAnsi="Times New Roman" w:cs="Times New Roman"/>
          <w:bCs/>
          <w:sz w:val="24"/>
          <w:szCs w:val="24"/>
          <w:lang w:eastAsia="pl-PL"/>
        </w:rPr>
        <w:t xml:space="preserve">odanie </w:t>
      </w:r>
      <w:r w:rsidRPr="00D92FC1">
        <w:rPr>
          <w:rFonts w:ascii="Times New Roman" w:eastAsia="Times New Roman" w:hAnsi="Times New Roman" w:cs="Times New Roman"/>
          <w:b/>
          <w:bCs/>
          <w:sz w:val="24"/>
          <w:szCs w:val="24"/>
          <w:lang w:eastAsia="pl-PL"/>
        </w:rPr>
        <w:t>art. 220c</w:t>
      </w:r>
      <w:r w:rsidRPr="00D92FC1">
        <w:rPr>
          <w:rFonts w:ascii="Times New Roman" w:eastAsia="Times New Roman" w:hAnsi="Times New Roman" w:cs="Times New Roman"/>
          <w:bCs/>
          <w:sz w:val="24"/>
          <w:szCs w:val="24"/>
          <w:lang w:eastAsia="pl-PL"/>
        </w:rPr>
        <w:t xml:space="preserve"> ma na celu implementację art. 1 dyrektywy 2021/2261, który dodaje art. 82a w dyrektywie 2009/65/WE. </w:t>
      </w:r>
    </w:p>
    <w:p w14:paraId="13A87F0B" w14:textId="77777777" w:rsidR="00682672" w:rsidRPr="00D92FC1" w:rsidRDefault="00682672" w:rsidP="005E5395">
      <w:pPr>
        <w:suppressAutoHyphens/>
        <w:autoSpaceDE w:val="0"/>
        <w:autoSpaceDN w:val="0"/>
        <w:adjustRightInd w:val="0"/>
        <w:spacing w:after="0" w:line="360" w:lineRule="auto"/>
        <w:jc w:val="both"/>
        <w:rPr>
          <w:rFonts w:ascii="Times New Roman" w:eastAsia="Times New Roman" w:hAnsi="Times New Roman" w:cs="Times New Roman"/>
          <w:bCs/>
          <w:sz w:val="24"/>
          <w:szCs w:val="24"/>
          <w:lang w:eastAsia="pl-PL"/>
        </w:rPr>
      </w:pPr>
      <w:r w:rsidRPr="00D92FC1">
        <w:rPr>
          <w:rFonts w:ascii="Times New Roman" w:eastAsia="Times New Roman" w:hAnsi="Times New Roman" w:cs="Times New Roman"/>
          <w:bCs/>
          <w:sz w:val="24"/>
          <w:szCs w:val="24"/>
          <w:lang w:eastAsia="pl-PL"/>
        </w:rPr>
        <w:t xml:space="preserve">Proponuje się bezpośrednie wskazanie w </w:t>
      </w:r>
      <w:r w:rsidRPr="00D92FC1">
        <w:rPr>
          <w:rFonts w:ascii="Times New Roman" w:eastAsia="Times New Roman" w:hAnsi="Times New Roman" w:cs="Times New Roman"/>
          <w:b/>
          <w:bCs/>
          <w:sz w:val="24"/>
          <w:szCs w:val="24"/>
          <w:lang w:eastAsia="pl-PL"/>
        </w:rPr>
        <w:t>ust. 1</w:t>
      </w:r>
      <w:r w:rsidRPr="00D92FC1">
        <w:rPr>
          <w:rFonts w:ascii="Times New Roman" w:eastAsia="Times New Roman" w:hAnsi="Times New Roman" w:cs="Times New Roman"/>
          <w:bCs/>
          <w:sz w:val="24"/>
          <w:szCs w:val="24"/>
          <w:lang w:eastAsia="pl-PL"/>
        </w:rPr>
        <w:t xml:space="preserve">, że towarzystwo funduszy inwestycyjnych sporządza kluczowe informacje dla funduszu inwestycyjnego otwartego, aktualizuje je oraz dokonuje ich tłumaczeń, a także udostępnia je inwestorom indywidualnym na zasadach określonych w rozporządzeniu 1286/2014. W ten sposób kluczowe informacje sporządzane zgodnie z tym rozporządzeniem spełnią wymogi kluczowych informacji dla inwestorów, o których mowa w art. 78–82 i art. 94 dyrektywy 2009/65/WE. Oznacza to również, że na potrzeby udostępniania inwestorom indywidualnym informacji o funduszu inwestycyjnym otwartym nie ma potrzeby sporządzania dodatkowo kluczowych informacji dla inwestorów. </w:t>
      </w:r>
    </w:p>
    <w:p w14:paraId="421E7474" w14:textId="77777777" w:rsidR="00682672" w:rsidRPr="00D92FC1" w:rsidRDefault="00682672" w:rsidP="005E5395">
      <w:pPr>
        <w:suppressAutoHyphens/>
        <w:autoSpaceDE w:val="0"/>
        <w:autoSpaceDN w:val="0"/>
        <w:adjustRightInd w:val="0"/>
        <w:spacing w:after="0" w:line="360" w:lineRule="auto"/>
        <w:jc w:val="both"/>
        <w:rPr>
          <w:rFonts w:ascii="Times New Roman" w:eastAsia="Times New Roman" w:hAnsi="Times New Roman" w:cs="Times New Roman"/>
          <w:bCs/>
          <w:i/>
          <w:sz w:val="24"/>
          <w:szCs w:val="24"/>
          <w:lang w:eastAsia="pl-PL"/>
        </w:rPr>
      </w:pPr>
      <w:r w:rsidRPr="00D92FC1">
        <w:rPr>
          <w:rFonts w:ascii="Times New Roman" w:eastAsia="Times New Roman" w:hAnsi="Times New Roman" w:cs="Times New Roman"/>
          <w:bCs/>
          <w:sz w:val="24"/>
          <w:szCs w:val="24"/>
          <w:lang w:eastAsia="pl-PL"/>
        </w:rPr>
        <w:t xml:space="preserve">Dodawany przepis będzie miał również zastosowanie do specjalistycznych funduszy inwestycyjnych otwartych, które w krajowym porządku prawnym co prawda nie podlegają dyrektywie UCITS, niemniej obowiązujące przepisy ustawy o funduszach inwestycyjnych zobowiązują również te fundusze do sporządzania i udostępniania inwestorom kluczowych informacji dla inwestorów (art. 220a ust. 7). </w:t>
      </w:r>
    </w:p>
    <w:p w14:paraId="25666D78" w14:textId="77777777" w:rsidR="00682672" w:rsidRPr="00D92FC1" w:rsidRDefault="00682672" w:rsidP="005E5395">
      <w:pPr>
        <w:suppressAutoHyphens/>
        <w:autoSpaceDE w:val="0"/>
        <w:autoSpaceDN w:val="0"/>
        <w:adjustRightInd w:val="0"/>
        <w:spacing w:after="0" w:line="360" w:lineRule="auto"/>
        <w:jc w:val="both"/>
        <w:rPr>
          <w:rFonts w:ascii="Times New Roman" w:eastAsia="Times New Roman" w:hAnsi="Times New Roman" w:cs="Times New Roman"/>
          <w:bCs/>
          <w:sz w:val="24"/>
          <w:szCs w:val="24"/>
          <w:lang w:eastAsia="pl-PL"/>
        </w:rPr>
      </w:pPr>
      <w:r w:rsidRPr="00D92FC1">
        <w:rPr>
          <w:rFonts w:ascii="Times New Roman" w:eastAsia="Times New Roman" w:hAnsi="Times New Roman" w:cs="Times New Roman"/>
          <w:bCs/>
          <w:sz w:val="24"/>
          <w:szCs w:val="24"/>
          <w:lang w:eastAsia="pl-PL"/>
        </w:rPr>
        <w:t xml:space="preserve">Dodawany </w:t>
      </w:r>
      <w:r w:rsidRPr="00D92FC1">
        <w:rPr>
          <w:rFonts w:ascii="Times New Roman" w:eastAsia="Times New Roman" w:hAnsi="Times New Roman" w:cs="Times New Roman"/>
          <w:b/>
          <w:bCs/>
          <w:sz w:val="24"/>
          <w:szCs w:val="24"/>
          <w:lang w:eastAsia="pl-PL"/>
        </w:rPr>
        <w:t>ust. 2</w:t>
      </w:r>
      <w:r w:rsidRPr="00D92FC1">
        <w:rPr>
          <w:rFonts w:ascii="Times New Roman" w:eastAsia="Times New Roman" w:hAnsi="Times New Roman" w:cs="Times New Roman"/>
          <w:bCs/>
          <w:sz w:val="24"/>
          <w:szCs w:val="24"/>
          <w:lang w:eastAsia="pl-PL"/>
        </w:rPr>
        <w:t xml:space="preserve"> umożliwi towarzystwu funduszy inwestycyjnych sporządzanie dla funduszy inwestycyjnych otwartych oraz specjalistycznych funduszy inwestycyjnych otwartych kluczowych informacji – jest to konieczne, ponieważ rozporządzenia 2021/2261 nie stosuje się do informacji przekazywanych inwestorom innymi niż indywidualni. Przewiduje on ponadto, że w przypadku gdy towarzystwo funduszy inwestycyjnych sporządza dla danego funduszu inwestycyjnego otwartego lub specjalistycznego funduszu inwestycyjnego otwartego kluczowe informacje w celu ich udostępniania również inwestorom innym niż inwestorzy indywidualni, nie musi sporządzać i udostępniać kluczowych informacji dla inwestorów. Sporządzanie kluczowych informacji, ich aktualizacja oraz dokonywanie ich tłumaczeń, a także udostępnianie ich inwestorom innym niż inwestorzy indywidualni powinno się odbywać na </w:t>
      </w:r>
      <w:r w:rsidRPr="00D92FC1">
        <w:rPr>
          <w:rFonts w:ascii="Times New Roman" w:eastAsia="Times New Roman" w:hAnsi="Times New Roman" w:cs="Times New Roman"/>
          <w:bCs/>
          <w:sz w:val="24"/>
          <w:szCs w:val="24"/>
          <w:lang w:eastAsia="pl-PL"/>
        </w:rPr>
        <w:lastRenderedPageBreak/>
        <w:t>zasadach określonych w rozporządzeniu 1286/2014. Towarzystwo funduszy inwestycyjnych może sporządzać kluczowe informacje dla każdego funduszu inwestycyjnego otwartego oraz specjalistycznego funduszu inwestycyjnego otwartego w celu ich udostępnienia uczestnikom funduszu innym niż inwestorzy indywidualni</w:t>
      </w:r>
      <w:r>
        <w:rPr>
          <w:rFonts w:ascii="Times New Roman" w:eastAsia="Times New Roman" w:hAnsi="Times New Roman" w:cs="Times New Roman"/>
          <w:bCs/>
          <w:sz w:val="24"/>
          <w:szCs w:val="24"/>
          <w:lang w:eastAsia="pl-PL"/>
        </w:rPr>
        <w:t xml:space="preserve">; może je także </w:t>
      </w:r>
      <w:r w:rsidRPr="00D92FC1">
        <w:rPr>
          <w:rFonts w:ascii="Times New Roman" w:eastAsia="Times New Roman" w:hAnsi="Times New Roman" w:cs="Times New Roman"/>
          <w:bCs/>
          <w:sz w:val="24"/>
          <w:szCs w:val="24"/>
          <w:lang w:eastAsia="pl-PL"/>
        </w:rPr>
        <w:t>aktualizować, dokonywać ich tłumaczeń</w:t>
      </w:r>
      <w:r>
        <w:rPr>
          <w:rFonts w:ascii="Times New Roman" w:eastAsia="Times New Roman" w:hAnsi="Times New Roman" w:cs="Times New Roman"/>
          <w:bCs/>
          <w:sz w:val="24"/>
          <w:szCs w:val="24"/>
          <w:lang w:eastAsia="pl-PL"/>
        </w:rPr>
        <w:t xml:space="preserve"> oraz </w:t>
      </w:r>
      <w:r w:rsidRPr="00D92FC1">
        <w:rPr>
          <w:rFonts w:ascii="Times New Roman" w:eastAsia="Times New Roman" w:hAnsi="Times New Roman" w:cs="Times New Roman"/>
          <w:bCs/>
          <w:sz w:val="24"/>
          <w:szCs w:val="24"/>
          <w:lang w:eastAsia="pl-PL"/>
        </w:rPr>
        <w:t xml:space="preserve">udostępniać uczestnikom innym niż inwestorzy indywidualni na zasadach określonych w rozporządzeniu 1286/2014, po uprzednim dostarczeniu KNF oświadczenia w tym zakresie. Pozwoli to na ustalenie, od kiedy towarzystwo funduszy inwestycyjnych zdecydowało się na sporządzenie kluczowych informacji w celu ich udostępniania inwestorom innym niż inwestorzy indywidualni – </w:t>
      </w:r>
      <w:r>
        <w:rPr>
          <w:rFonts w:ascii="Times New Roman" w:eastAsia="Times New Roman" w:hAnsi="Times New Roman" w:cs="Times New Roman"/>
          <w:bCs/>
          <w:sz w:val="24"/>
          <w:szCs w:val="24"/>
          <w:lang w:eastAsia="pl-PL"/>
        </w:rPr>
        <w:t xml:space="preserve">w takim przypadku </w:t>
      </w:r>
      <w:r w:rsidRPr="00D92FC1">
        <w:rPr>
          <w:rFonts w:ascii="Times New Roman" w:eastAsia="Times New Roman" w:hAnsi="Times New Roman" w:cs="Times New Roman"/>
          <w:bCs/>
          <w:sz w:val="24"/>
          <w:szCs w:val="24"/>
          <w:lang w:eastAsia="pl-PL"/>
        </w:rPr>
        <w:t>fundusze nie będą już udostępniać tym inwestorom kluczowych informacji dla inwestorów.</w:t>
      </w:r>
    </w:p>
    <w:p w14:paraId="65825A93" w14:textId="76BF7403" w:rsidR="00682672" w:rsidRPr="00D92FC1" w:rsidRDefault="00682672" w:rsidP="005E5395">
      <w:pPr>
        <w:spacing w:after="120" w:line="360" w:lineRule="auto"/>
        <w:jc w:val="both"/>
        <w:rPr>
          <w:rFonts w:ascii="Times New Roman" w:eastAsia="Times New Roman" w:hAnsi="Times New Roman" w:cs="Times New Roman"/>
          <w:bCs/>
          <w:sz w:val="24"/>
          <w:szCs w:val="24"/>
          <w:lang w:eastAsia="pl-PL"/>
        </w:rPr>
      </w:pPr>
      <w:r w:rsidRPr="00D92FC1">
        <w:rPr>
          <w:rFonts w:ascii="Times New Roman" w:eastAsia="Times New Roman" w:hAnsi="Times New Roman" w:cs="Times New Roman"/>
          <w:bCs/>
          <w:sz w:val="24"/>
          <w:szCs w:val="24"/>
          <w:lang w:eastAsia="pl-PL"/>
        </w:rPr>
        <w:t xml:space="preserve">W </w:t>
      </w:r>
      <w:r w:rsidRPr="00D92FC1">
        <w:rPr>
          <w:rFonts w:ascii="Times New Roman" w:eastAsia="Times New Roman" w:hAnsi="Times New Roman" w:cs="Times New Roman"/>
          <w:b/>
          <w:bCs/>
          <w:sz w:val="24"/>
          <w:szCs w:val="24"/>
          <w:lang w:eastAsia="pl-PL"/>
        </w:rPr>
        <w:t>ust. 3 i 4</w:t>
      </w:r>
      <w:r w:rsidRPr="00D92FC1">
        <w:rPr>
          <w:rFonts w:ascii="Times New Roman" w:eastAsia="Times New Roman" w:hAnsi="Times New Roman" w:cs="Times New Roman"/>
          <w:bCs/>
          <w:sz w:val="24"/>
          <w:szCs w:val="24"/>
          <w:lang w:eastAsia="pl-PL"/>
        </w:rPr>
        <w:t xml:space="preserve"> przewidziano, że na funduszach inwestycyjnych będą ciążyły obowiązki </w:t>
      </w:r>
      <w:r w:rsidRPr="00417AA8">
        <w:rPr>
          <w:rFonts w:ascii="Times New Roman" w:eastAsia="Times New Roman" w:hAnsi="Times New Roman" w:cs="Times New Roman"/>
          <w:bCs/>
          <w:sz w:val="24"/>
          <w:szCs w:val="24"/>
          <w:lang w:eastAsia="pl-PL"/>
        </w:rPr>
        <w:t xml:space="preserve">osoby sprzedającej PRIIP, o której mowa w art. 4 pkt 5 rozporządzenia 1286/2014, tj. </w:t>
      </w:r>
      <w:r w:rsidR="005D6B38" w:rsidRPr="00417AA8">
        <w:rPr>
          <w:rFonts w:ascii="Times New Roman" w:hAnsi="Times New Roman" w:cs="Times New Roman"/>
          <w:sz w:val="24"/>
          <w:szCs w:val="24"/>
        </w:rPr>
        <w:t>osob</w:t>
      </w:r>
      <w:r w:rsidR="005D6B38">
        <w:rPr>
          <w:rFonts w:ascii="Times New Roman" w:hAnsi="Times New Roman" w:cs="Times New Roman"/>
          <w:sz w:val="24"/>
          <w:szCs w:val="24"/>
        </w:rPr>
        <w:t>y</w:t>
      </w:r>
      <w:r w:rsidR="005D6B38" w:rsidRPr="00417AA8">
        <w:rPr>
          <w:rFonts w:ascii="Times New Roman" w:hAnsi="Times New Roman" w:cs="Times New Roman"/>
          <w:sz w:val="24"/>
          <w:szCs w:val="24"/>
        </w:rPr>
        <w:t xml:space="preserve"> </w:t>
      </w:r>
      <w:r w:rsidRPr="00417AA8">
        <w:rPr>
          <w:rFonts w:ascii="Times New Roman" w:hAnsi="Times New Roman" w:cs="Times New Roman"/>
          <w:sz w:val="24"/>
          <w:szCs w:val="24"/>
        </w:rPr>
        <w:t>oferując</w:t>
      </w:r>
      <w:r w:rsidR="005D6B38">
        <w:rPr>
          <w:rFonts w:ascii="Times New Roman" w:hAnsi="Times New Roman" w:cs="Times New Roman"/>
          <w:sz w:val="24"/>
          <w:szCs w:val="24"/>
        </w:rPr>
        <w:t>ej</w:t>
      </w:r>
      <w:r w:rsidRPr="00417AA8">
        <w:rPr>
          <w:rFonts w:ascii="Times New Roman" w:hAnsi="Times New Roman" w:cs="Times New Roman"/>
          <w:sz w:val="24"/>
          <w:szCs w:val="24"/>
        </w:rPr>
        <w:t xml:space="preserve"> lub </w:t>
      </w:r>
      <w:r w:rsidR="005D6B38" w:rsidRPr="00417AA8">
        <w:rPr>
          <w:rFonts w:ascii="Times New Roman" w:hAnsi="Times New Roman" w:cs="Times New Roman"/>
          <w:sz w:val="24"/>
          <w:szCs w:val="24"/>
        </w:rPr>
        <w:t>zawierając</w:t>
      </w:r>
      <w:r w:rsidR="005D6B38">
        <w:rPr>
          <w:rFonts w:ascii="Times New Roman" w:hAnsi="Times New Roman" w:cs="Times New Roman"/>
          <w:sz w:val="24"/>
          <w:szCs w:val="24"/>
        </w:rPr>
        <w:t>ej</w:t>
      </w:r>
      <w:r w:rsidR="005D6B38" w:rsidRPr="00417AA8">
        <w:rPr>
          <w:rFonts w:ascii="Times New Roman" w:hAnsi="Times New Roman" w:cs="Times New Roman"/>
          <w:sz w:val="24"/>
          <w:szCs w:val="24"/>
        </w:rPr>
        <w:t xml:space="preserve"> </w:t>
      </w:r>
      <w:r w:rsidRPr="00417AA8">
        <w:rPr>
          <w:rFonts w:ascii="Times New Roman" w:hAnsi="Times New Roman" w:cs="Times New Roman"/>
          <w:sz w:val="24"/>
          <w:szCs w:val="24"/>
        </w:rPr>
        <w:t>umowę dotyczącą PRIIP z inwestorem indywidualnym</w:t>
      </w:r>
      <w:r w:rsidRPr="00417AA8">
        <w:rPr>
          <w:rFonts w:ascii="Times New Roman" w:eastAsia="Times New Roman" w:hAnsi="Times New Roman" w:cs="Times New Roman"/>
          <w:bCs/>
          <w:sz w:val="24"/>
          <w:szCs w:val="24"/>
          <w:lang w:eastAsia="pl-PL"/>
        </w:rPr>
        <w:t>. Fundusze inwestycyjne</w:t>
      </w:r>
      <w:r w:rsidRPr="00D92FC1">
        <w:rPr>
          <w:rFonts w:ascii="Times New Roman" w:eastAsia="Times New Roman" w:hAnsi="Times New Roman" w:cs="Times New Roman"/>
          <w:bCs/>
          <w:sz w:val="24"/>
          <w:szCs w:val="24"/>
          <w:lang w:eastAsia="pl-PL"/>
        </w:rPr>
        <w:t xml:space="preserve"> należy uznać za osoby sprzedające PRIIP, ponieważ mogą one bezpośrednio zbywać jednostki uczestnictwa lub oferować certyfikaty inwestycyjne. </w:t>
      </w:r>
    </w:p>
    <w:p w14:paraId="54D9AC44" w14:textId="77777777" w:rsidR="00682672" w:rsidRPr="00D92FC1" w:rsidRDefault="00682672" w:rsidP="005E5395">
      <w:pPr>
        <w:suppressAutoHyphens/>
        <w:autoSpaceDE w:val="0"/>
        <w:autoSpaceDN w:val="0"/>
        <w:adjustRightInd w:val="0"/>
        <w:spacing w:after="0" w:line="360" w:lineRule="auto"/>
        <w:jc w:val="both"/>
        <w:rPr>
          <w:rFonts w:ascii="Times New Roman" w:eastAsia="Times New Roman" w:hAnsi="Times New Roman" w:cs="Times New Roman"/>
          <w:bCs/>
          <w:sz w:val="24"/>
          <w:szCs w:val="24"/>
          <w:lang w:eastAsia="pl-PL"/>
        </w:rPr>
      </w:pPr>
      <w:r w:rsidRPr="00D92FC1">
        <w:rPr>
          <w:rFonts w:ascii="Times New Roman" w:eastAsia="Times New Roman" w:hAnsi="Times New Roman" w:cs="Times New Roman"/>
          <w:bCs/>
          <w:sz w:val="24"/>
          <w:szCs w:val="24"/>
          <w:lang w:eastAsia="pl-PL"/>
        </w:rPr>
        <w:t xml:space="preserve">Zmiana </w:t>
      </w:r>
      <w:r w:rsidRPr="00D92FC1">
        <w:rPr>
          <w:rFonts w:ascii="Times New Roman" w:eastAsia="Times New Roman" w:hAnsi="Times New Roman" w:cs="Times New Roman"/>
          <w:b/>
          <w:bCs/>
          <w:sz w:val="24"/>
          <w:szCs w:val="24"/>
          <w:lang w:eastAsia="pl-PL"/>
        </w:rPr>
        <w:t>art. 222 ust. 1</w:t>
      </w:r>
      <w:r w:rsidRPr="00D92FC1">
        <w:rPr>
          <w:rFonts w:ascii="Times New Roman" w:eastAsia="Times New Roman" w:hAnsi="Times New Roman" w:cs="Times New Roman"/>
          <w:bCs/>
          <w:sz w:val="24"/>
          <w:szCs w:val="24"/>
          <w:lang w:eastAsia="pl-PL"/>
        </w:rPr>
        <w:t xml:space="preserve"> ma na celu ograniczenie tego przepisu do przypadku gdy fundusz inwestycyjny otwarty oraz specjalistyczny fundusz inwestycyjny otwarty udostępniają kluczowe informacje dla inwestorów inwestorom innym niż inwestorzy indywidualni. </w:t>
      </w:r>
    </w:p>
    <w:p w14:paraId="3DB29800" w14:textId="77777777" w:rsidR="00682672" w:rsidRPr="00D92FC1" w:rsidRDefault="00682672" w:rsidP="005E5395">
      <w:pPr>
        <w:suppressAutoHyphens/>
        <w:autoSpaceDE w:val="0"/>
        <w:autoSpaceDN w:val="0"/>
        <w:adjustRightInd w:val="0"/>
        <w:spacing w:after="0" w:line="360" w:lineRule="auto"/>
        <w:jc w:val="both"/>
        <w:rPr>
          <w:rFonts w:ascii="Times New Roman" w:eastAsia="Times New Roman" w:hAnsi="Times New Roman" w:cs="Times New Roman"/>
          <w:bCs/>
          <w:sz w:val="24"/>
          <w:szCs w:val="24"/>
          <w:lang w:eastAsia="pl-PL"/>
        </w:rPr>
      </w:pPr>
      <w:r w:rsidRPr="00D92FC1">
        <w:rPr>
          <w:rFonts w:ascii="Times New Roman" w:eastAsia="Times New Roman" w:hAnsi="Times New Roman" w:cs="Times New Roman"/>
          <w:bCs/>
          <w:sz w:val="24"/>
          <w:szCs w:val="24"/>
          <w:lang w:eastAsia="pl-PL"/>
        </w:rPr>
        <w:t xml:space="preserve">Zmiana </w:t>
      </w:r>
      <w:r w:rsidRPr="00D92FC1">
        <w:rPr>
          <w:rFonts w:ascii="Times New Roman" w:eastAsia="Times New Roman" w:hAnsi="Times New Roman" w:cs="Times New Roman"/>
          <w:b/>
          <w:bCs/>
          <w:sz w:val="24"/>
          <w:szCs w:val="24"/>
          <w:lang w:eastAsia="pl-PL"/>
        </w:rPr>
        <w:t>ust. 2</w:t>
      </w:r>
      <w:r w:rsidRPr="00D92FC1">
        <w:rPr>
          <w:rFonts w:ascii="Times New Roman" w:eastAsia="Times New Roman" w:hAnsi="Times New Roman" w:cs="Times New Roman"/>
          <w:bCs/>
          <w:sz w:val="24"/>
          <w:szCs w:val="24"/>
          <w:lang w:eastAsia="pl-PL"/>
        </w:rPr>
        <w:t xml:space="preserve"> i dodanie </w:t>
      </w:r>
      <w:r w:rsidRPr="00D92FC1">
        <w:rPr>
          <w:rFonts w:ascii="Times New Roman" w:eastAsia="Times New Roman" w:hAnsi="Times New Roman" w:cs="Times New Roman"/>
          <w:b/>
          <w:bCs/>
          <w:sz w:val="24"/>
          <w:szCs w:val="24"/>
          <w:lang w:eastAsia="pl-PL"/>
        </w:rPr>
        <w:t>ust. 2a</w:t>
      </w:r>
      <w:r w:rsidRPr="00D92FC1">
        <w:rPr>
          <w:rFonts w:ascii="Times New Roman" w:eastAsia="Times New Roman" w:hAnsi="Times New Roman" w:cs="Times New Roman"/>
          <w:bCs/>
          <w:sz w:val="24"/>
          <w:szCs w:val="24"/>
          <w:lang w:eastAsia="pl-PL"/>
        </w:rPr>
        <w:t xml:space="preserve"> ma na celu sformułowanie obowiązku spoczywającego na towarzystwie funduszy inwestycyjnych w odniesieniu do przekazywania kluczowych informacji, po zmianie związanej z rozróżnieniem zasad ich przekazywania inwestorom indywidualnym oraz inwestorom innym niż inwestorzy indywidualni. </w:t>
      </w:r>
    </w:p>
    <w:p w14:paraId="077E160A" w14:textId="16B17B45" w:rsidR="00682672" w:rsidRPr="00D92FC1" w:rsidRDefault="00682672" w:rsidP="005E5395">
      <w:pPr>
        <w:suppressAutoHyphens/>
        <w:autoSpaceDE w:val="0"/>
        <w:autoSpaceDN w:val="0"/>
        <w:adjustRightInd w:val="0"/>
        <w:spacing w:after="0" w:line="360" w:lineRule="auto"/>
        <w:jc w:val="both"/>
        <w:rPr>
          <w:rFonts w:ascii="Times New Roman" w:eastAsia="Times New Roman" w:hAnsi="Times New Roman" w:cs="Times New Roman"/>
          <w:bCs/>
          <w:sz w:val="24"/>
          <w:szCs w:val="24"/>
          <w:lang w:eastAsia="pl-PL"/>
        </w:rPr>
      </w:pPr>
      <w:r w:rsidRPr="00D92FC1">
        <w:rPr>
          <w:rFonts w:ascii="Times New Roman" w:eastAsia="Times New Roman" w:hAnsi="Times New Roman" w:cs="Times New Roman"/>
          <w:bCs/>
          <w:sz w:val="24"/>
          <w:szCs w:val="24"/>
          <w:lang w:eastAsia="pl-PL"/>
        </w:rPr>
        <w:t xml:space="preserve">Zmiana </w:t>
      </w:r>
      <w:r w:rsidRPr="00D92FC1">
        <w:rPr>
          <w:rFonts w:ascii="Times New Roman" w:eastAsia="Times New Roman" w:hAnsi="Times New Roman" w:cs="Times New Roman"/>
          <w:b/>
          <w:bCs/>
          <w:sz w:val="24"/>
          <w:szCs w:val="24"/>
          <w:lang w:eastAsia="pl-PL"/>
        </w:rPr>
        <w:t>ust. 3</w:t>
      </w:r>
      <w:r w:rsidRPr="00D92FC1">
        <w:rPr>
          <w:rFonts w:ascii="Times New Roman" w:eastAsia="Times New Roman" w:hAnsi="Times New Roman" w:cs="Times New Roman"/>
          <w:bCs/>
          <w:sz w:val="24"/>
          <w:szCs w:val="24"/>
          <w:lang w:eastAsia="pl-PL"/>
        </w:rPr>
        <w:t xml:space="preserve"> ma na celu zobowiązanie osób fizycznych pozostających z towarzystwem lub podmiotem dystrybuującym jednostki uczestnictwa w stosunku zlecenia lub innym stosunku prawnym o podobnym charakterze, za pośrednictwem których są składane między innymi oświadczenia woli przystąpienia do funduszu, do udostępniania </w:t>
      </w:r>
      <w:r>
        <w:rPr>
          <w:rFonts w:ascii="Times New Roman" w:eastAsia="Times New Roman" w:hAnsi="Times New Roman" w:cs="Times New Roman"/>
          <w:bCs/>
          <w:sz w:val="24"/>
          <w:szCs w:val="24"/>
          <w:lang w:eastAsia="pl-PL"/>
        </w:rPr>
        <w:t xml:space="preserve">potencjalnym inwestorom </w:t>
      </w:r>
      <w:r w:rsidRPr="00D92FC1">
        <w:rPr>
          <w:rFonts w:ascii="Times New Roman" w:eastAsia="Times New Roman" w:hAnsi="Times New Roman" w:cs="Times New Roman"/>
          <w:bCs/>
          <w:sz w:val="24"/>
          <w:szCs w:val="24"/>
          <w:lang w:eastAsia="pl-PL"/>
        </w:rPr>
        <w:t xml:space="preserve">kluczowych informacji. </w:t>
      </w:r>
    </w:p>
    <w:p w14:paraId="0B202F8A" w14:textId="30C26DEB" w:rsidR="00682672" w:rsidRPr="00D92FC1" w:rsidRDefault="001641F5" w:rsidP="005E5395">
      <w:pPr>
        <w:suppressAutoHyphens/>
        <w:autoSpaceDE w:val="0"/>
        <w:autoSpaceDN w:val="0"/>
        <w:adjustRightInd w:val="0"/>
        <w:spacing w:after="0" w:line="360" w:lineRule="auto"/>
        <w:jc w:val="both"/>
        <w:rPr>
          <w:rFonts w:ascii="Times New Roman" w:eastAsia="Times New Roman" w:hAnsi="Times New Roman" w:cs="Times New Roman"/>
          <w:bCs/>
          <w:sz w:val="24"/>
          <w:szCs w:val="24"/>
          <w:lang w:eastAsia="pl-PL"/>
        </w:rPr>
      </w:pPr>
      <w:r>
        <w:rPr>
          <w:rFonts w:ascii="Times New Roman" w:eastAsia="Times New Roman" w:hAnsi="Times New Roman" w:cs="Times New Roman"/>
          <w:bCs/>
          <w:sz w:val="24"/>
          <w:szCs w:val="24"/>
          <w:lang w:eastAsia="pl-PL"/>
        </w:rPr>
        <w:t xml:space="preserve">Przepisy </w:t>
      </w:r>
      <w:r w:rsidRPr="0069297C">
        <w:rPr>
          <w:rFonts w:ascii="Times New Roman" w:eastAsia="Times New Roman" w:hAnsi="Times New Roman" w:cs="Times New Roman"/>
          <w:b/>
          <w:bCs/>
          <w:sz w:val="24"/>
          <w:szCs w:val="24"/>
          <w:lang w:eastAsia="pl-PL"/>
        </w:rPr>
        <w:t>u</w:t>
      </w:r>
      <w:r w:rsidR="00682672" w:rsidRPr="00D92FC1">
        <w:rPr>
          <w:rFonts w:ascii="Times New Roman" w:eastAsia="Times New Roman" w:hAnsi="Times New Roman" w:cs="Times New Roman"/>
          <w:b/>
          <w:bCs/>
          <w:sz w:val="24"/>
          <w:szCs w:val="24"/>
          <w:lang w:eastAsia="pl-PL"/>
        </w:rPr>
        <w:t>st. 4 i 5</w:t>
      </w:r>
      <w:r w:rsidR="00682672" w:rsidRPr="00D92FC1">
        <w:rPr>
          <w:rFonts w:ascii="Times New Roman" w:eastAsia="Times New Roman" w:hAnsi="Times New Roman" w:cs="Times New Roman"/>
          <w:bCs/>
          <w:sz w:val="24"/>
          <w:szCs w:val="24"/>
          <w:lang w:eastAsia="pl-PL"/>
        </w:rPr>
        <w:t xml:space="preserve"> uzupełniono o kluczowe informacje – dokument ten stanie się podstawowym dokumentem udostępnianym inwestorom przy zbywaniu jednostek uczestnictwa, dlatego informacje o planowanym zgromadzeniu uczestników oraz planowanym połączeniu funduszu powinny być udostępniane wraz z tym dokumentem. Uwzględniono także w tym przypadku możliwość udostępniania kluczowych informacje dla inwestora przy zbywaniu jednostek uczestnictwa inwestorom innymi niż inwestorzy indywidualni. </w:t>
      </w:r>
    </w:p>
    <w:p w14:paraId="6CCC738F" w14:textId="7C4644CB" w:rsidR="00682672" w:rsidRPr="00D92FC1" w:rsidRDefault="00682672" w:rsidP="005E5395">
      <w:pPr>
        <w:suppressAutoHyphens/>
        <w:autoSpaceDE w:val="0"/>
        <w:autoSpaceDN w:val="0"/>
        <w:adjustRightInd w:val="0"/>
        <w:spacing w:after="0" w:line="360" w:lineRule="auto"/>
        <w:jc w:val="both"/>
        <w:rPr>
          <w:rFonts w:ascii="Times New Roman" w:eastAsia="Times New Roman" w:hAnsi="Times New Roman" w:cs="Times New Roman"/>
          <w:bCs/>
          <w:sz w:val="24"/>
          <w:szCs w:val="24"/>
          <w:lang w:eastAsia="pl-PL"/>
        </w:rPr>
      </w:pPr>
      <w:r w:rsidRPr="00D92FC1">
        <w:rPr>
          <w:rFonts w:ascii="Times New Roman" w:eastAsia="Times New Roman" w:hAnsi="Times New Roman" w:cs="Times New Roman"/>
          <w:bCs/>
          <w:sz w:val="24"/>
          <w:szCs w:val="24"/>
          <w:lang w:eastAsia="pl-PL"/>
        </w:rPr>
        <w:lastRenderedPageBreak/>
        <w:t xml:space="preserve">Zmiana w </w:t>
      </w:r>
      <w:r w:rsidRPr="00D92FC1">
        <w:rPr>
          <w:rFonts w:ascii="Times New Roman" w:eastAsia="Times New Roman" w:hAnsi="Times New Roman" w:cs="Times New Roman"/>
          <w:b/>
          <w:bCs/>
          <w:sz w:val="24"/>
          <w:szCs w:val="24"/>
          <w:lang w:eastAsia="pl-PL"/>
        </w:rPr>
        <w:t>ust. 10 pkt 1, ust. 11 i ust. 12</w:t>
      </w:r>
      <w:r w:rsidRPr="00D92FC1">
        <w:rPr>
          <w:rFonts w:ascii="Times New Roman" w:eastAsia="Times New Roman" w:hAnsi="Times New Roman" w:cs="Times New Roman"/>
          <w:bCs/>
          <w:sz w:val="24"/>
          <w:szCs w:val="24"/>
          <w:lang w:eastAsia="pl-PL"/>
        </w:rPr>
        <w:t xml:space="preserve"> ma na celu zapewnienie KNF, tak jak w przypadku kluczowych informacji dla inwestorów, dostępu do aktualnych kluczowych informacji sporządzanych przez poszczególne fundusze inwestycyjne, zgodnie z art. 5 ust. 2 rozporządzenia 1286/2014</w:t>
      </w:r>
      <w:r>
        <w:rPr>
          <w:rFonts w:ascii="Times New Roman" w:eastAsia="Times New Roman" w:hAnsi="Times New Roman" w:cs="Times New Roman"/>
          <w:bCs/>
          <w:sz w:val="24"/>
          <w:szCs w:val="24"/>
          <w:lang w:eastAsia="pl-PL"/>
        </w:rPr>
        <w:t>.</w:t>
      </w:r>
      <w:r w:rsidRPr="00D92FC1">
        <w:rPr>
          <w:rFonts w:ascii="Times New Roman" w:eastAsia="Times New Roman" w:hAnsi="Times New Roman" w:cs="Times New Roman"/>
          <w:bCs/>
          <w:sz w:val="24"/>
          <w:szCs w:val="24"/>
          <w:lang w:eastAsia="pl-PL"/>
        </w:rPr>
        <w:t xml:space="preserve"> </w:t>
      </w:r>
      <w:r>
        <w:rPr>
          <w:rFonts w:ascii="Times New Roman" w:eastAsia="Times New Roman" w:hAnsi="Times New Roman" w:cs="Times New Roman"/>
          <w:bCs/>
          <w:sz w:val="24"/>
          <w:szCs w:val="24"/>
          <w:lang w:eastAsia="pl-PL"/>
        </w:rPr>
        <w:t>N</w:t>
      </w:r>
      <w:r w:rsidRPr="00D92FC1">
        <w:rPr>
          <w:rFonts w:ascii="Times New Roman" w:eastAsia="Times New Roman" w:hAnsi="Times New Roman" w:cs="Times New Roman"/>
          <w:bCs/>
          <w:sz w:val="24"/>
          <w:szCs w:val="24"/>
          <w:lang w:eastAsia="pl-PL"/>
        </w:rPr>
        <w:t>ależy podkreślić, że o tym, czy fundusz powiązany przekaże do KNF kluczowe informacje czy kluczowe informacje dla inwestorów będzie decydować to, który z tych dokumentów będzie sporządzał fundusz podstawowy.</w:t>
      </w:r>
    </w:p>
    <w:p w14:paraId="7A7A1827" w14:textId="4E6DA897" w:rsidR="00682672" w:rsidRPr="00D92FC1" w:rsidRDefault="00682672" w:rsidP="005E5395">
      <w:pPr>
        <w:suppressAutoHyphens/>
        <w:autoSpaceDE w:val="0"/>
        <w:autoSpaceDN w:val="0"/>
        <w:adjustRightInd w:val="0"/>
        <w:spacing w:after="120" w:line="360" w:lineRule="auto"/>
        <w:jc w:val="both"/>
        <w:rPr>
          <w:rFonts w:ascii="Times New Roman" w:eastAsia="Times New Roman" w:hAnsi="Times New Roman" w:cs="Times New Roman"/>
          <w:bCs/>
          <w:sz w:val="24"/>
          <w:szCs w:val="24"/>
          <w:lang w:eastAsia="pl-PL"/>
        </w:rPr>
      </w:pPr>
      <w:r w:rsidRPr="00D92FC1">
        <w:rPr>
          <w:rFonts w:ascii="Times New Roman" w:eastAsia="Times New Roman" w:hAnsi="Times New Roman" w:cs="Times New Roman"/>
          <w:bCs/>
          <w:sz w:val="24"/>
          <w:szCs w:val="24"/>
          <w:lang w:eastAsia="pl-PL"/>
        </w:rPr>
        <w:t xml:space="preserve">Przepis </w:t>
      </w:r>
      <w:r w:rsidRPr="00D92FC1">
        <w:rPr>
          <w:rFonts w:ascii="Times New Roman" w:eastAsia="Times New Roman" w:hAnsi="Times New Roman" w:cs="Times New Roman"/>
          <w:b/>
          <w:bCs/>
          <w:sz w:val="24"/>
          <w:szCs w:val="24"/>
          <w:lang w:eastAsia="pl-PL"/>
        </w:rPr>
        <w:t>ust. 14</w:t>
      </w:r>
      <w:r w:rsidRPr="00D92FC1">
        <w:rPr>
          <w:rFonts w:ascii="Times New Roman" w:eastAsia="Times New Roman" w:hAnsi="Times New Roman" w:cs="Times New Roman"/>
          <w:bCs/>
          <w:sz w:val="24"/>
          <w:szCs w:val="24"/>
          <w:lang w:eastAsia="pl-PL"/>
        </w:rPr>
        <w:t xml:space="preserve"> uzupełniono o zastrzeżenie, że fundusz inwestycyjny będzie udostępniać kluczowe informacje dla inwestorów wyłącznie w przypadku</w:t>
      </w:r>
      <w:r w:rsidR="005D6B38">
        <w:rPr>
          <w:rFonts w:ascii="Times New Roman" w:eastAsia="Times New Roman" w:hAnsi="Times New Roman" w:cs="Times New Roman"/>
          <w:bCs/>
          <w:sz w:val="24"/>
          <w:szCs w:val="24"/>
          <w:lang w:eastAsia="pl-PL"/>
        </w:rPr>
        <w:t>,</w:t>
      </w:r>
      <w:r w:rsidRPr="00D92FC1">
        <w:rPr>
          <w:rFonts w:ascii="Times New Roman" w:eastAsia="Times New Roman" w:hAnsi="Times New Roman" w:cs="Times New Roman"/>
          <w:bCs/>
          <w:sz w:val="24"/>
          <w:szCs w:val="24"/>
          <w:lang w:eastAsia="pl-PL"/>
        </w:rPr>
        <w:t xml:space="preserve"> gdy towarzystwo funduszy inwestycyjnych podejmie decyzję o udostępnianiu tego dokumentu inwestorom innymi niż inwestorzy indywidualni. </w:t>
      </w:r>
    </w:p>
    <w:p w14:paraId="38FD7CE4" w14:textId="77777777" w:rsidR="00682672" w:rsidRPr="00D92FC1" w:rsidRDefault="00682672" w:rsidP="005E5395">
      <w:pPr>
        <w:shd w:val="clear" w:color="auto" w:fill="FFFFFF"/>
        <w:spacing w:after="0" w:line="360" w:lineRule="auto"/>
        <w:jc w:val="both"/>
        <w:rPr>
          <w:rFonts w:ascii="Times New Roman" w:eastAsia="Times New Roman" w:hAnsi="Times New Roman" w:cs="Times New Roman"/>
          <w:bCs/>
          <w:sz w:val="24"/>
          <w:szCs w:val="24"/>
          <w:lang w:eastAsia="pl-PL"/>
        </w:rPr>
      </w:pPr>
      <w:r w:rsidRPr="00D92FC1">
        <w:rPr>
          <w:rFonts w:ascii="Times New Roman" w:eastAsia="Times New Roman" w:hAnsi="Times New Roman" w:cs="Times New Roman"/>
          <w:bCs/>
          <w:sz w:val="24"/>
          <w:szCs w:val="24"/>
          <w:lang w:eastAsia="pl-PL"/>
        </w:rPr>
        <w:t xml:space="preserve">Zmieniane </w:t>
      </w:r>
      <w:r w:rsidRPr="00D92FC1">
        <w:rPr>
          <w:rFonts w:ascii="Times New Roman" w:eastAsia="Times New Roman" w:hAnsi="Times New Roman" w:cs="Times New Roman"/>
          <w:b/>
          <w:bCs/>
          <w:sz w:val="24"/>
          <w:szCs w:val="24"/>
          <w:lang w:eastAsia="pl-PL"/>
        </w:rPr>
        <w:t>art. 253 ust. 4 pkt 3 i ust. 6, art. 254 ust. 1 pkt 1 i 2, ust. 1b i ust. 2 pkt 1, art. 261 ust. 3 pkt 4 i ust. 5, art. 261a ust. 3 pkt 2, art. 261b ust. 2, art. 272a ust. 2 pkt 8 i ust. 3, art. 272c ust. 1 pkt 6, art. 276c ust. 2 pkt 8 i ust. 4 oraz art. 276e ust. 1 pkt 6</w:t>
      </w:r>
      <w:r w:rsidRPr="00D92FC1">
        <w:rPr>
          <w:rFonts w:ascii="Times New Roman" w:eastAsia="Times New Roman" w:hAnsi="Times New Roman" w:cs="Times New Roman"/>
          <w:bCs/>
          <w:sz w:val="24"/>
          <w:szCs w:val="24"/>
          <w:lang w:eastAsia="pl-PL"/>
        </w:rPr>
        <w:t xml:space="preserve"> dotyczą zasad prowadzenia przez fundusze inwestycyjne działalności transgranicznej. </w:t>
      </w:r>
    </w:p>
    <w:p w14:paraId="217762F0" w14:textId="50D254BC" w:rsidR="00AB1420" w:rsidRDefault="00682672" w:rsidP="005E5395">
      <w:pPr>
        <w:pStyle w:val="Tekstpodstawowy1"/>
        <w:shd w:val="clear" w:color="auto" w:fill="auto"/>
        <w:spacing w:after="0" w:line="360" w:lineRule="auto"/>
        <w:ind w:firstLine="0"/>
        <w:jc w:val="both"/>
        <w:rPr>
          <w:rFonts w:ascii="Times New Roman" w:hAnsi="Times New Roman" w:cs="Times New Roman"/>
          <w:szCs w:val="24"/>
        </w:rPr>
      </w:pPr>
      <w:r w:rsidRPr="00D92FC1">
        <w:rPr>
          <w:rFonts w:ascii="Times New Roman" w:eastAsia="Times New Roman" w:hAnsi="Times New Roman" w:cs="Times New Roman"/>
          <w:bCs/>
          <w:szCs w:val="24"/>
          <w:lang w:eastAsia="pl-PL"/>
        </w:rPr>
        <w:t>Z dniem 1 stycznia 2023 r. fundusze te obowiązane będą do udostępniania w państwie goszczącym kluczowych informacji, a w przypadku gdy fundusz będzie udostępniał inwestorom innym niż inwestorzy indywidualni kluczowe informacje dla inwestorów – również do udostępniania kluczowych informacje dla inwestorów. Dlatego wymienione przepisy zostały uzupełnione o kluczowe informacje oraz kluczowe informacje dla inwestorów</w:t>
      </w:r>
      <w:r w:rsidR="00CF73CD">
        <w:rPr>
          <w:rFonts w:ascii="Times New Roman" w:eastAsia="Times New Roman" w:hAnsi="Times New Roman" w:cs="Times New Roman"/>
          <w:bCs/>
          <w:szCs w:val="24"/>
          <w:lang w:eastAsia="pl-PL"/>
        </w:rPr>
        <w:t>,</w:t>
      </w:r>
      <w:r w:rsidRPr="00D92FC1">
        <w:rPr>
          <w:rFonts w:ascii="Times New Roman" w:eastAsia="Times New Roman" w:hAnsi="Times New Roman" w:cs="Times New Roman"/>
          <w:bCs/>
          <w:szCs w:val="24"/>
          <w:lang w:eastAsia="pl-PL"/>
        </w:rPr>
        <w:t xml:space="preserve"> w przypadku gdy fundusze te będą udostępniać ten dokument inwestorom innym niż inwestorzy indywidualni. </w:t>
      </w:r>
      <w:r w:rsidR="00AB1420" w:rsidRPr="00D92FC1">
        <w:rPr>
          <w:rFonts w:ascii="Times New Roman" w:hAnsi="Times New Roman" w:cs="Times New Roman"/>
          <w:szCs w:val="24"/>
        </w:rPr>
        <w:t xml:space="preserve"> </w:t>
      </w:r>
    </w:p>
    <w:p w14:paraId="58BCD5DA" w14:textId="77777777" w:rsidR="00682672" w:rsidRDefault="00682672" w:rsidP="005E5395">
      <w:pPr>
        <w:pStyle w:val="Tekstpodstawowy1"/>
        <w:shd w:val="clear" w:color="auto" w:fill="auto"/>
        <w:spacing w:after="0" w:line="360" w:lineRule="auto"/>
        <w:ind w:firstLine="0"/>
        <w:jc w:val="both"/>
        <w:rPr>
          <w:rFonts w:ascii="Times New Roman" w:hAnsi="Times New Roman" w:cs="Times New Roman"/>
          <w:szCs w:val="24"/>
        </w:rPr>
      </w:pPr>
    </w:p>
    <w:p w14:paraId="3EBF8316" w14:textId="06AE5D1D" w:rsidR="00682672" w:rsidRPr="00D92FC1" w:rsidRDefault="00682672" w:rsidP="005E5395">
      <w:pPr>
        <w:spacing w:after="120" w:line="360" w:lineRule="auto"/>
        <w:jc w:val="both"/>
        <w:rPr>
          <w:rFonts w:ascii="Times New Roman" w:eastAsia="Calibri" w:hAnsi="Times New Roman" w:cs="Times New Roman"/>
          <w:b/>
          <w:sz w:val="24"/>
          <w:szCs w:val="24"/>
          <w:u w:val="single"/>
        </w:rPr>
      </w:pPr>
      <w:r>
        <w:rPr>
          <w:rFonts w:ascii="Times New Roman" w:eastAsia="Calibri" w:hAnsi="Times New Roman" w:cs="Times New Roman"/>
          <w:b/>
          <w:sz w:val="24"/>
          <w:szCs w:val="24"/>
          <w:u w:val="single"/>
        </w:rPr>
        <w:t>Art. 3</w:t>
      </w:r>
      <w:r w:rsidRPr="00D92FC1">
        <w:rPr>
          <w:rFonts w:ascii="Times New Roman" w:eastAsia="Calibri" w:hAnsi="Times New Roman" w:cs="Times New Roman"/>
          <w:b/>
          <w:sz w:val="24"/>
          <w:szCs w:val="24"/>
          <w:u w:val="single"/>
        </w:rPr>
        <w:t xml:space="preserve"> projektu – zmiany w ustawie o </w:t>
      </w:r>
      <w:r>
        <w:rPr>
          <w:rFonts w:ascii="Times New Roman" w:eastAsia="Calibri" w:hAnsi="Times New Roman" w:cs="Times New Roman"/>
          <w:b/>
          <w:sz w:val="24"/>
          <w:szCs w:val="24"/>
          <w:u w:val="single"/>
        </w:rPr>
        <w:t xml:space="preserve">BFG </w:t>
      </w:r>
    </w:p>
    <w:p w14:paraId="5414B676" w14:textId="1F2C2923" w:rsidR="00682672" w:rsidRPr="00D92FC1" w:rsidRDefault="00682672" w:rsidP="005E5395">
      <w:pPr>
        <w:pStyle w:val="Tekstkomentarza"/>
        <w:spacing w:after="120" w:line="360" w:lineRule="auto"/>
        <w:jc w:val="both"/>
        <w:rPr>
          <w:rFonts w:ascii="Times New Roman" w:hAnsi="Times New Roman" w:cs="Times New Roman"/>
          <w:sz w:val="24"/>
          <w:szCs w:val="24"/>
        </w:rPr>
      </w:pPr>
      <w:r w:rsidRPr="00D92FC1">
        <w:rPr>
          <w:rFonts w:ascii="Times New Roman" w:eastAsia="Calibri" w:hAnsi="Times New Roman" w:cs="Times New Roman"/>
          <w:sz w:val="24"/>
          <w:szCs w:val="24"/>
        </w:rPr>
        <w:t xml:space="preserve">Zmiana w </w:t>
      </w:r>
      <w:r w:rsidRPr="00D92FC1">
        <w:rPr>
          <w:rFonts w:ascii="Times New Roman" w:eastAsia="Calibri" w:hAnsi="Times New Roman" w:cs="Times New Roman"/>
          <w:b/>
          <w:sz w:val="24"/>
          <w:szCs w:val="24"/>
        </w:rPr>
        <w:t>art. 1</w:t>
      </w:r>
      <w:r w:rsidRPr="00D92FC1">
        <w:rPr>
          <w:rFonts w:ascii="Times New Roman" w:eastAsia="Calibri" w:hAnsi="Times New Roman" w:cs="Times New Roman"/>
          <w:sz w:val="24"/>
          <w:szCs w:val="24"/>
        </w:rPr>
        <w:t xml:space="preserve"> </w:t>
      </w:r>
      <w:r w:rsidRPr="006E77FD">
        <w:rPr>
          <w:rFonts w:ascii="Times New Roman" w:eastAsia="Calibri" w:hAnsi="Times New Roman" w:cs="Times New Roman"/>
          <w:b/>
          <w:sz w:val="24"/>
          <w:szCs w:val="24"/>
        </w:rPr>
        <w:t>ust. 1 pkt 4a</w:t>
      </w:r>
      <w:r>
        <w:rPr>
          <w:rFonts w:ascii="Times New Roman" w:eastAsia="Calibri" w:hAnsi="Times New Roman" w:cs="Times New Roman"/>
          <w:sz w:val="24"/>
          <w:szCs w:val="24"/>
        </w:rPr>
        <w:t xml:space="preserve"> </w:t>
      </w:r>
      <w:r w:rsidRPr="00D92FC1">
        <w:rPr>
          <w:rFonts w:ascii="Times New Roman" w:eastAsia="Calibri" w:hAnsi="Times New Roman" w:cs="Times New Roman"/>
          <w:sz w:val="24"/>
          <w:szCs w:val="24"/>
        </w:rPr>
        <w:t>ma na celu rozszerzenie zakresu przedmiotowego ustawy, co wynika z zamieszczenia w niej przepisów służących stosowaniu rozporządzeniu nr 2021/23, tj. procedury restrukturyzacji i uporządkowanej likwidacji CCP</w:t>
      </w:r>
      <w:r>
        <w:rPr>
          <w:rFonts w:ascii="Times New Roman" w:eastAsia="Calibri" w:hAnsi="Times New Roman" w:cs="Times New Roman"/>
          <w:sz w:val="24"/>
          <w:szCs w:val="24"/>
        </w:rPr>
        <w:t xml:space="preserve">, inaczej </w:t>
      </w:r>
      <w:r w:rsidRPr="00D92FC1">
        <w:rPr>
          <w:rFonts w:ascii="Times New Roman" w:eastAsia="Calibri" w:hAnsi="Times New Roman" w:cs="Times New Roman"/>
          <w:sz w:val="24"/>
          <w:szCs w:val="24"/>
        </w:rPr>
        <w:t>kontrahent</w:t>
      </w:r>
      <w:r>
        <w:rPr>
          <w:rFonts w:ascii="Times New Roman" w:eastAsia="Calibri" w:hAnsi="Times New Roman" w:cs="Times New Roman"/>
          <w:sz w:val="24"/>
          <w:szCs w:val="24"/>
        </w:rPr>
        <w:t>a</w:t>
      </w:r>
      <w:r w:rsidRPr="00D92FC1">
        <w:rPr>
          <w:rFonts w:ascii="Times New Roman" w:eastAsia="Calibri" w:hAnsi="Times New Roman" w:cs="Times New Roman"/>
          <w:sz w:val="24"/>
          <w:szCs w:val="24"/>
        </w:rPr>
        <w:t xml:space="preserve"> centraln</w:t>
      </w:r>
      <w:r>
        <w:rPr>
          <w:rFonts w:ascii="Times New Roman" w:eastAsia="Calibri" w:hAnsi="Times New Roman" w:cs="Times New Roman"/>
          <w:sz w:val="24"/>
          <w:szCs w:val="24"/>
        </w:rPr>
        <w:t>ego, tj. instytucji</w:t>
      </w:r>
      <w:r w:rsidRPr="00D92FC1">
        <w:rPr>
          <w:rFonts w:ascii="Times New Roman" w:eastAsia="Calibri" w:hAnsi="Times New Roman" w:cs="Times New Roman"/>
          <w:sz w:val="24"/>
          <w:szCs w:val="24"/>
        </w:rPr>
        <w:t xml:space="preserve"> infrastruktury rynku finansowego, której głównym zadaniem jest rozliczanie instrumentów finansowych, w szczególności instrumentów pochodnych. Rozwiązanie jest spójne z proponowaną w projekcie zmianą w art. 4 określającym cel działalności BFG.</w:t>
      </w:r>
    </w:p>
    <w:p w14:paraId="39A8B40B" w14:textId="77777777" w:rsidR="00682672" w:rsidRDefault="00682672" w:rsidP="005E5395">
      <w:pPr>
        <w:spacing w:after="120" w:line="360" w:lineRule="auto"/>
        <w:jc w:val="both"/>
        <w:rPr>
          <w:rFonts w:ascii="Times New Roman" w:eastAsia="Calibri" w:hAnsi="Times New Roman" w:cs="Times New Roman"/>
          <w:sz w:val="24"/>
          <w:szCs w:val="24"/>
        </w:rPr>
      </w:pPr>
      <w:r w:rsidRPr="00D92FC1">
        <w:rPr>
          <w:rFonts w:ascii="Times New Roman" w:eastAsia="Calibri" w:hAnsi="Times New Roman" w:cs="Times New Roman"/>
          <w:sz w:val="24"/>
          <w:szCs w:val="24"/>
        </w:rPr>
        <w:t xml:space="preserve">Zmiany w </w:t>
      </w:r>
      <w:r w:rsidRPr="00D92FC1">
        <w:rPr>
          <w:rFonts w:ascii="Times New Roman" w:eastAsia="Calibri" w:hAnsi="Times New Roman" w:cs="Times New Roman"/>
          <w:b/>
          <w:sz w:val="24"/>
          <w:szCs w:val="24"/>
        </w:rPr>
        <w:t xml:space="preserve">art. 2 </w:t>
      </w:r>
      <w:r>
        <w:rPr>
          <w:rFonts w:ascii="Times New Roman" w:eastAsia="Calibri" w:hAnsi="Times New Roman" w:cs="Times New Roman"/>
          <w:b/>
          <w:sz w:val="24"/>
          <w:szCs w:val="24"/>
        </w:rPr>
        <w:t xml:space="preserve">pkt 2c i 55c </w:t>
      </w:r>
      <w:r w:rsidRPr="00D92FC1">
        <w:rPr>
          <w:rFonts w:ascii="Times New Roman" w:eastAsia="Calibri" w:hAnsi="Times New Roman" w:cs="Times New Roman"/>
          <w:sz w:val="24"/>
          <w:szCs w:val="24"/>
        </w:rPr>
        <w:t xml:space="preserve">wprowadzają skrót </w:t>
      </w:r>
      <w:r>
        <w:rPr>
          <w:rFonts w:ascii="Times New Roman" w:eastAsia="Calibri" w:hAnsi="Times New Roman" w:cs="Times New Roman"/>
          <w:sz w:val="24"/>
          <w:szCs w:val="24"/>
        </w:rPr>
        <w:t xml:space="preserve"> na oznaczenie </w:t>
      </w:r>
      <w:r w:rsidRPr="00D92FC1">
        <w:rPr>
          <w:rFonts w:ascii="Times New Roman" w:eastAsia="Calibri" w:hAnsi="Times New Roman" w:cs="Times New Roman"/>
          <w:sz w:val="24"/>
          <w:szCs w:val="24"/>
        </w:rPr>
        <w:t>rozporządzeni</w:t>
      </w:r>
      <w:r>
        <w:rPr>
          <w:rFonts w:ascii="Times New Roman" w:eastAsia="Calibri" w:hAnsi="Times New Roman" w:cs="Times New Roman"/>
          <w:sz w:val="24"/>
          <w:szCs w:val="24"/>
        </w:rPr>
        <w:t>a</w:t>
      </w:r>
      <w:r w:rsidRPr="00D92FC1">
        <w:rPr>
          <w:rFonts w:ascii="Times New Roman" w:eastAsia="Calibri" w:hAnsi="Times New Roman" w:cs="Times New Roman"/>
          <w:sz w:val="24"/>
          <w:szCs w:val="24"/>
        </w:rPr>
        <w:t xml:space="preserve"> nr 2021/23 oraz definicję „CCP w restrukturyzacji”, tj. CCP, wobec którego BFG wydał decyzję o objęciu restrukturyzacją i uporządkowaną likwidacją. Rozporządzenie nr 2021/23 posługuje się tożsamą terminologią, tj. pojęciem „objęcia” procedurą</w:t>
      </w:r>
      <w:r>
        <w:rPr>
          <w:rFonts w:ascii="Times New Roman" w:eastAsia="Calibri" w:hAnsi="Times New Roman" w:cs="Times New Roman"/>
          <w:sz w:val="24"/>
          <w:szCs w:val="24"/>
        </w:rPr>
        <w:t xml:space="preserve">, </w:t>
      </w:r>
      <w:r w:rsidRPr="00D92FC1">
        <w:rPr>
          <w:rFonts w:ascii="Times New Roman" w:eastAsia="Calibri" w:hAnsi="Times New Roman" w:cs="Times New Roman"/>
          <w:sz w:val="24"/>
          <w:szCs w:val="24"/>
        </w:rPr>
        <w:t xml:space="preserve">m.in. w motywie 6, zgodnie z którym </w:t>
      </w:r>
      <w:r w:rsidRPr="006E77FD">
        <w:rPr>
          <w:rFonts w:ascii="Times New Roman" w:eastAsia="Calibri" w:hAnsi="Times New Roman" w:cs="Times New Roman"/>
          <w:sz w:val="24"/>
          <w:szCs w:val="24"/>
        </w:rPr>
        <w:lastRenderedPageBreak/>
        <w:t xml:space="preserve">„(…) Takie ramy powinny również uwzględniać możliwość </w:t>
      </w:r>
      <w:r w:rsidRPr="006E77FD">
        <w:rPr>
          <w:rFonts w:ascii="Times New Roman" w:eastAsia="Calibri" w:hAnsi="Times New Roman" w:cs="Times New Roman"/>
          <w:i/>
          <w:sz w:val="24"/>
          <w:szCs w:val="24"/>
        </w:rPr>
        <w:t>objęcia CCP restrukturyzacją i uporządkowaną likwidacją</w:t>
      </w:r>
      <w:r w:rsidRPr="006E77FD">
        <w:rPr>
          <w:rFonts w:ascii="Times New Roman" w:eastAsia="Calibri" w:hAnsi="Times New Roman" w:cs="Times New Roman"/>
          <w:sz w:val="24"/>
          <w:szCs w:val="24"/>
        </w:rPr>
        <w:t xml:space="preserve"> z przyczyn innych niż niewykonanie zobowiązania przez co najmniej jednego z ich członków rozliczających.”).</w:t>
      </w:r>
    </w:p>
    <w:p w14:paraId="180FE869" w14:textId="77777777" w:rsidR="00682672" w:rsidRPr="00C22D43" w:rsidRDefault="00682672" w:rsidP="005E5395">
      <w:pPr>
        <w:spacing w:after="12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Zmiana w </w:t>
      </w:r>
      <w:r w:rsidRPr="00C22D43">
        <w:rPr>
          <w:rFonts w:ascii="Times New Roman" w:eastAsia="Calibri" w:hAnsi="Times New Roman" w:cs="Times New Roman"/>
          <w:b/>
          <w:sz w:val="24"/>
          <w:szCs w:val="24"/>
        </w:rPr>
        <w:t>art. 2 pkt 69</w:t>
      </w:r>
      <w:r>
        <w:rPr>
          <w:rFonts w:ascii="Times New Roman" w:eastAsia="Calibri" w:hAnsi="Times New Roman" w:cs="Times New Roman"/>
          <w:b/>
          <w:sz w:val="24"/>
          <w:szCs w:val="24"/>
        </w:rPr>
        <w:t xml:space="preserve"> </w:t>
      </w:r>
      <w:r w:rsidRPr="00C56D2D">
        <w:rPr>
          <w:rFonts w:ascii="Times New Roman" w:eastAsia="Calibri" w:hAnsi="Times New Roman" w:cs="Times New Roman"/>
          <w:sz w:val="24"/>
          <w:szCs w:val="24"/>
        </w:rPr>
        <w:t>wynika z</w:t>
      </w:r>
      <w:r w:rsidRPr="00C22D43">
        <w:rPr>
          <w:rFonts w:ascii="Times New Roman" w:eastAsia="Calibri" w:hAnsi="Times New Roman" w:cs="Times New Roman"/>
          <w:sz w:val="24"/>
          <w:szCs w:val="24"/>
        </w:rPr>
        <w:t xml:space="preserve"> dodania nowej kategorii wydatków, która ma być finansowana z funduszu własnego BFG, </w:t>
      </w:r>
      <w:r>
        <w:rPr>
          <w:rFonts w:ascii="Times New Roman" w:eastAsia="Calibri" w:hAnsi="Times New Roman" w:cs="Times New Roman"/>
          <w:sz w:val="24"/>
          <w:szCs w:val="24"/>
        </w:rPr>
        <w:t xml:space="preserve">w związku z czym </w:t>
      </w:r>
      <w:r w:rsidRPr="00C22D43">
        <w:rPr>
          <w:rFonts w:ascii="Times New Roman" w:eastAsia="Calibri" w:hAnsi="Times New Roman" w:cs="Times New Roman"/>
          <w:sz w:val="24"/>
          <w:szCs w:val="24"/>
        </w:rPr>
        <w:t>zmiany wymaga przepis, który określa definicję „środków systemu gwarantowania depozytów w bankach”. Środki systemu gwarantowania depozytów będą pomniejszane o wartość środków przeznaczonych na pokrycie różnicy, o której mowa w</w:t>
      </w:r>
      <w:r>
        <w:rPr>
          <w:rFonts w:ascii="Times New Roman" w:eastAsia="Calibri" w:hAnsi="Times New Roman" w:cs="Times New Roman"/>
          <w:sz w:val="24"/>
          <w:szCs w:val="24"/>
        </w:rPr>
        <w:t xml:space="preserve"> projektowanym </w:t>
      </w:r>
      <w:r w:rsidRPr="00C22D43">
        <w:rPr>
          <w:rFonts w:ascii="Times New Roman" w:eastAsia="Calibri" w:hAnsi="Times New Roman" w:cs="Times New Roman"/>
          <w:sz w:val="24"/>
          <w:szCs w:val="24"/>
        </w:rPr>
        <w:t xml:space="preserve">art. 242a ust. 1. Proponuje się także, aby </w:t>
      </w:r>
      <w:r>
        <w:rPr>
          <w:rFonts w:ascii="Times New Roman" w:eastAsia="Calibri" w:hAnsi="Times New Roman" w:cs="Times New Roman"/>
          <w:sz w:val="24"/>
          <w:szCs w:val="24"/>
        </w:rPr>
        <w:t xml:space="preserve">decyzja o </w:t>
      </w:r>
      <w:r w:rsidRPr="00C22D43">
        <w:rPr>
          <w:rFonts w:ascii="Times New Roman" w:eastAsia="Calibri" w:hAnsi="Times New Roman" w:cs="Times New Roman"/>
          <w:sz w:val="24"/>
          <w:szCs w:val="24"/>
        </w:rPr>
        <w:t>przeznaczeni</w:t>
      </w:r>
      <w:r>
        <w:rPr>
          <w:rFonts w:ascii="Times New Roman" w:eastAsia="Calibri" w:hAnsi="Times New Roman" w:cs="Times New Roman"/>
          <w:sz w:val="24"/>
          <w:szCs w:val="24"/>
        </w:rPr>
        <w:t>u</w:t>
      </w:r>
      <w:r w:rsidRPr="00C22D43">
        <w:rPr>
          <w:rFonts w:ascii="Times New Roman" w:eastAsia="Calibri" w:hAnsi="Times New Roman" w:cs="Times New Roman"/>
          <w:sz w:val="24"/>
          <w:szCs w:val="24"/>
        </w:rPr>
        <w:t xml:space="preserve"> środków na </w:t>
      </w:r>
      <w:r>
        <w:rPr>
          <w:rFonts w:ascii="Times New Roman" w:eastAsia="Calibri" w:hAnsi="Times New Roman" w:cs="Times New Roman"/>
          <w:sz w:val="24"/>
          <w:szCs w:val="24"/>
        </w:rPr>
        <w:t>jej pokrycie należała</w:t>
      </w:r>
      <w:r w:rsidRPr="00C22D43">
        <w:rPr>
          <w:rFonts w:ascii="Times New Roman" w:eastAsia="Calibri" w:hAnsi="Times New Roman" w:cs="Times New Roman"/>
          <w:sz w:val="24"/>
          <w:szCs w:val="24"/>
        </w:rPr>
        <w:t xml:space="preserve"> do </w:t>
      </w:r>
      <w:r>
        <w:rPr>
          <w:rFonts w:ascii="Times New Roman" w:eastAsia="Calibri" w:hAnsi="Times New Roman" w:cs="Times New Roman"/>
          <w:sz w:val="24"/>
          <w:szCs w:val="24"/>
        </w:rPr>
        <w:t xml:space="preserve">kompetencji </w:t>
      </w:r>
      <w:r w:rsidRPr="00C22D43">
        <w:rPr>
          <w:rFonts w:ascii="Times New Roman" w:eastAsia="Calibri" w:hAnsi="Times New Roman" w:cs="Times New Roman"/>
          <w:sz w:val="24"/>
          <w:szCs w:val="24"/>
        </w:rPr>
        <w:t xml:space="preserve">Rady </w:t>
      </w:r>
      <w:r>
        <w:rPr>
          <w:rFonts w:ascii="Times New Roman" w:eastAsia="Calibri" w:hAnsi="Times New Roman" w:cs="Times New Roman"/>
          <w:sz w:val="24"/>
          <w:szCs w:val="24"/>
        </w:rPr>
        <w:t>BFG</w:t>
      </w:r>
      <w:r w:rsidRPr="00C22D43">
        <w:rPr>
          <w:rFonts w:ascii="Times New Roman" w:eastAsia="Calibri" w:hAnsi="Times New Roman" w:cs="Times New Roman"/>
          <w:sz w:val="24"/>
          <w:szCs w:val="24"/>
        </w:rPr>
        <w:t xml:space="preserve">, co pozwoli określić moment tego pomniejszenia i konsekwentnie precyzyjnie określić wartość środków systemu gwarantowania depozytów w bankach. Jest to szczególnie istotne z punktu widzenia określania przez </w:t>
      </w:r>
      <w:r>
        <w:rPr>
          <w:rFonts w:ascii="Times New Roman" w:eastAsia="Calibri" w:hAnsi="Times New Roman" w:cs="Times New Roman"/>
          <w:sz w:val="24"/>
          <w:szCs w:val="24"/>
        </w:rPr>
        <w:t>BFG</w:t>
      </w:r>
      <w:r w:rsidRPr="00C22D43">
        <w:rPr>
          <w:rFonts w:ascii="Times New Roman" w:eastAsia="Calibri" w:hAnsi="Times New Roman" w:cs="Times New Roman"/>
          <w:sz w:val="24"/>
          <w:szCs w:val="24"/>
        </w:rPr>
        <w:t xml:space="preserve"> wartości składek</w:t>
      </w:r>
      <w:r w:rsidRPr="00C56D2D">
        <w:rPr>
          <w:rFonts w:ascii="Times New Roman" w:eastAsia="Calibri" w:hAnsi="Times New Roman" w:cs="Times New Roman"/>
          <w:sz w:val="24"/>
          <w:szCs w:val="24"/>
        </w:rPr>
        <w:t xml:space="preserve"> na fundusz gwarancyjny banków.</w:t>
      </w:r>
    </w:p>
    <w:p w14:paraId="3553B287" w14:textId="2DFF8C9D" w:rsidR="00682672" w:rsidRPr="00D92FC1" w:rsidRDefault="00682672" w:rsidP="005E5395">
      <w:pPr>
        <w:spacing w:after="120" w:line="360" w:lineRule="auto"/>
        <w:jc w:val="both"/>
        <w:rPr>
          <w:rFonts w:ascii="Times New Roman" w:eastAsia="Calibri" w:hAnsi="Times New Roman" w:cs="Times New Roman"/>
          <w:sz w:val="24"/>
          <w:szCs w:val="24"/>
        </w:rPr>
      </w:pPr>
      <w:r w:rsidRPr="00D92FC1">
        <w:rPr>
          <w:rFonts w:ascii="Times New Roman" w:eastAsia="Calibri" w:hAnsi="Times New Roman" w:cs="Times New Roman"/>
          <w:sz w:val="24"/>
          <w:szCs w:val="24"/>
        </w:rPr>
        <w:t>Zmiana w</w:t>
      </w:r>
      <w:r w:rsidRPr="00D92FC1">
        <w:rPr>
          <w:rFonts w:ascii="Times New Roman" w:eastAsia="Calibri" w:hAnsi="Times New Roman" w:cs="Times New Roman"/>
          <w:b/>
          <w:sz w:val="24"/>
          <w:szCs w:val="24"/>
        </w:rPr>
        <w:t xml:space="preserve"> art. 4</w:t>
      </w:r>
      <w:r w:rsidRPr="00D92FC1">
        <w:rPr>
          <w:rFonts w:ascii="Times New Roman" w:eastAsia="Calibri" w:hAnsi="Times New Roman" w:cs="Times New Roman"/>
          <w:sz w:val="24"/>
          <w:szCs w:val="24"/>
        </w:rPr>
        <w:t xml:space="preserve"> przewiduje, że po wyznaczeniu BFG jako organu właściwego do prowadzenia restrukturyzacji i uporządkowanej likwidacji CCP (projektowany art. 258b) katalog celów działalności BFG ulega odpowiedniemu rozszerzeniu o prowadzenie działań w tym zakresie. Należy także zwrócić uwagę na rozróżnienie terminologiczne – pojęcie „przymusowa restrukturyzacja” będzie odnosić się do banków, firm inwestycyjnych i </w:t>
      </w:r>
      <w:r w:rsidRPr="006A6FFA">
        <w:rPr>
          <w:rFonts w:ascii="Times New Roman" w:eastAsia="Calibri" w:hAnsi="Times New Roman" w:cs="Times New Roman"/>
          <w:sz w:val="24"/>
          <w:szCs w:val="24"/>
        </w:rPr>
        <w:t>spółdzielczych kas oszczędnościowo-kredytowych</w:t>
      </w:r>
      <w:r w:rsidRPr="00D92FC1">
        <w:rPr>
          <w:rFonts w:ascii="Times New Roman" w:eastAsia="Calibri" w:hAnsi="Times New Roman" w:cs="Times New Roman"/>
          <w:sz w:val="24"/>
          <w:szCs w:val="24"/>
        </w:rPr>
        <w:t xml:space="preserve">, natomiast restrukturyzacja i uporządkowana likwidacja </w:t>
      </w:r>
      <w:r>
        <w:rPr>
          <w:rFonts w:ascii="Times New Roman" w:eastAsia="Calibri" w:hAnsi="Times New Roman" w:cs="Times New Roman"/>
          <w:sz w:val="24"/>
          <w:szCs w:val="24"/>
        </w:rPr>
        <w:t xml:space="preserve">– </w:t>
      </w:r>
      <w:r w:rsidRPr="00D92FC1">
        <w:rPr>
          <w:rFonts w:ascii="Times New Roman" w:eastAsia="Calibri" w:hAnsi="Times New Roman" w:cs="Times New Roman"/>
          <w:sz w:val="24"/>
          <w:szCs w:val="24"/>
        </w:rPr>
        <w:t>do</w:t>
      </w:r>
      <w:r>
        <w:rPr>
          <w:rFonts w:ascii="Times New Roman" w:eastAsia="Calibri" w:hAnsi="Times New Roman" w:cs="Times New Roman"/>
          <w:sz w:val="24"/>
          <w:szCs w:val="24"/>
        </w:rPr>
        <w:t xml:space="preserve"> </w:t>
      </w:r>
      <w:r w:rsidRPr="00D92FC1">
        <w:rPr>
          <w:rFonts w:ascii="Times New Roman" w:eastAsia="Calibri" w:hAnsi="Times New Roman" w:cs="Times New Roman"/>
          <w:sz w:val="24"/>
          <w:szCs w:val="24"/>
        </w:rPr>
        <w:t xml:space="preserve"> CCP. </w:t>
      </w:r>
    </w:p>
    <w:p w14:paraId="66F4A93A" w14:textId="77777777" w:rsidR="00682672" w:rsidRPr="00D92FC1" w:rsidRDefault="00682672" w:rsidP="005E5395">
      <w:pPr>
        <w:spacing w:after="120" w:line="360" w:lineRule="auto"/>
        <w:jc w:val="both"/>
        <w:rPr>
          <w:rFonts w:ascii="Times New Roman" w:eastAsia="Calibri" w:hAnsi="Times New Roman" w:cs="Times New Roman"/>
          <w:sz w:val="24"/>
          <w:szCs w:val="24"/>
        </w:rPr>
      </w:pPr>
      <w:r w:rsidRPr="00D92FC1">
        <w:rPr>
          <w:rFonts w:ascii="Times New Roman" w:eastAsia="Calibri" w:hAnsi="Times New Roman" w:cs="Times New Roman"/>
          <w:sz w:val="24"/>
          <w:szCs w:val="24"/>
        </w:rPr>
        <w:t xml:space="preserve">Dodanie w </w:t>
      </w:r>
      <w:r w:rsidRPr="00D92FC1">
        <w:rPr>
          <w:rFonts w:ascii="Times New Roman" w:eastAsia="Calibri" w:hAnsi="Times New Roman" w:cs="Times New Roman"/>
          <w:b/>
          <w:sz w:val="24"/>
          <w:szCs w:val="24"/>
        </w:rPr>
        <w:t>art. 5 ust. 1 pkt 4</w:t>
      </w:r>
      <w:r>
        <w:rPr>
          <w:rFonts w:ascii="Times New Roman" w:eastAsia="Calibri" w:hAnsi="Times New Roman" w:cs="Times New Roman"/>
          <w:b/>
          <w:sz w:val="24"/>
          <w:szCs w:val="24"/>
        </w:rPr>
        <w:t>a</w:t>
      </w:r>
      <w:r w:rsidRPr="00D92FC1">
        <w:rPr>
          <w:rFonts w:ascii="Times New Roman" w:eastAsia="Calibri" w:hAnsi="Times New Roman" w:cs="Times New Roman"/>
          <w:sz w:val="24"/>
          <w:szCs w:val="24"/>
        </w:rPr>
        <w:t xml:space="preserve"> ma charakter wynikowy. Rozszerza katalog zadań realizowanych przez BFG o wykonywanie zadań organu d</w:t>
      </w:r>
      <w:r>
        <w:rPr>
          <w:rFonts w:ascii="Times New Roman" w:eastAsia="Calibri" w:hAnsi="Times New Roman" w:cs="Times New Roman"/>
          <w:sz w:val="24"/>
          <w:szCs w:val="24"/>
        </w:rPr>
        <w:t xml:space="preserve">o </w:t>
      </w:r>
      <w:r w:rsidRPr="00D92FC1">
        <w:rPr>
          <w:rFonts w:ascii="Times New Roman" w:eastAsia="Calibri" w:hAnsi="Times New Roman" w:cs="Times New Roman"/>
          <w:sz w:val="24"/>
          <w:szCs w:val="24"/>
        </w:rPr>
        <w:t>s</w:t>
      </w:r>
      <w:r>
        <w:rPr>
          <w:rFonts w:ascii="Times New Roman" w:eastAsia="Calibri" w:hAnsi="Times New Roman" w:cs="Times New Roman"/>
          <w:sz w:val="24"/>
          <w:szCs w:val="24"/>
        </w:rPr>
        <w:t xml:space="preserve">praw </w:t>
      </w:r>
      <w:r w:rsidRPr="00D92FC1">
        <w:rPr>
          <w:rFonts w:ascii="Times New Roman" w:eastAsia="Calibri" w:hAnsi="Times New Roman" w:cs="Times New Roman"/>
          <w:sz w:val="24"/>
          <w:szCs w:val="24"/>
        </w:rPr>
        <w:t>restrukturyzacji i uporządkowanej likwidacji CCP, które wynikają z rozporządzenia nr 2021/23.</w:t>
      </w:r>
    </w:p>
    <w:p w14:paraId="530CFB26" w14:textId="77777777" w:rsidR="00682672" w:rsidRPr="00D92FC1" w:rsidRDefault="00682672" w:rsidP="005E5395">
      <w:pPr>
        <w:spacing w:after="12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Dodanie w </w:t>
      </w:r>
      <w:r w:rsidRPr="00C22D43">
        <w:rPr>
          <w:rFonts w:ascii="Times New Roman" w:eastAsia="Calibri" w:hAnsi="Times New Roman" w:cs="Times New Roman"/>
          <w:b/>
          <w:sz w:val="24"/>
          <w:szCs w:val="24"/>
        </w:rPr>
        <w:t>art. 8 ust. 1 pkt 9 lit. l</w:t>
      </w:r>
      <w:r>
        <w:rPr>
          <w:rFonts w:ascii="Times New Roman" w:eastAsia="Calibri" w:hAnsi="Times New Roman" w:cs="Times New Roman"/>
          <w:sz w:val="24"/>
          <w:szCs w:val="24"/>
        </w:rPr>
        <w:t xml:space="preserve"> </w:t>
      </w:r>
      <w:r w:rsidRPr="00983BCD">
        <w:rPr>
          <w:rFonts w:ascii="Times New Roman" w:eastAsia="Calibri" w:hAnsi="Times New Roman" w:cs="Times New Roman"/>
          <w:sz w:val="24"/>
          <w:szCs w:val="24"/>
        </w:rPr>
        <w:t>wynika z</w:t>
      </w:r>
      <w:r w:rsidRPr="00983BCD">
        <w:rPr>
          <w:rFonts w:ascii="Times New Roman" w:hAnsi="Times New Roman" w:cs="Times New Roman"/>
          <w:sz w:val="24"/>
          <w:szCs w:val="24"/>
        </w:rPr>
        <w:t xml:space="preserve"> konieczności </w:t>
      </w:r>
      <w:r>
        <w:rPr>
          <w:rFonts w:ascii="Times New Roman" w:hAnsi="Times New Roman" w:cs="Times New Roman"/>
          <w:sz w:val="24"/>
          <w:szCs w:val="24"/>
        </w:rPr>
        <w:t xml:space="preserve">uwzględnienia </w:t>
      </w:r>
      <w:r>
        <w:rPr>
          <w:rFonts w:ascii="Times New Roman" w:eastAsia="Calibri" w:hAnsi="Times New Roman" w:cs="Times New Roman"/>
          <w:sz w:val="24"/>
          <w:szCs w:val="24"/>
        </w:rPr>
        <w:t xml:space="preserve">zadań Rady BFG w obszarze </w:t>
      </w:r>
      <w:r w:rsidRPr="00620626">
        <w:rPr>
          <w:rFonts w:ascii="Times New Roman" w:eastAsia="Calibri" w:hAnsi="Times New Roman" w:cs="Times New Roman"/>
          <w:sz w:val="24"/>
          <w:szCs w:val="24"/>
        </w:rPr>
        <w:t>restrukturyzacji i u</w:t>
      </w:r>
      <w:r>
        <w:rPr>
          <w:rFonts w:ascii="Times New Roman" w:eastAsia="Calibri" w:hAnsi="Times New Roman" w:cs="Times New Roman"/>
          <w:sz w:val="24"/>
          <w:szCs w:val="24"/>
        </w:rPr>
        <w:t xml:space="preserve">porządkowanej likwidacji CCP. </w:t>
      </w:r>
    </w:p>
    <w:p w14:paraId="340BBBEB" w14:textId="7B79FF49" w:rsidR="00682672" w:rsidRPr="00D92FC1" w:rsidRDefault="00682672" w:rsidP="005E5395">
      <w:pPr>
        <w:spacing w:after="0" w:line="360" w:lineRule="auto"/>
        <w:jc w:val="both"/>
        <w:rPr>
          <w:rFonts w:ascii="Times New Roman" w:eastAsia="Calibri" w:hAnsi="Times New Roman" w:cs="Times New Roman"/>
          <w:sz w:val="24"/>
          <w:szCs w:val="24"/>
        </w:rPr>
      </w:pPr>
      <w:r w:rsidRPr="00D92FC1">
        <w:rPr>
          <w:rFonts w:ascii="Times New Roman" w:eastAsia="Calibri" w:hAnsi="Times New Roman" w:cs="Times New Roman"/>
          <w:sz w:val="24"/>
          <w:szCs w:val="24"/>
        </w:rPr>
        <w:t xml:space="preserve">Zmiany w </w:t>
      </w:r>
      <w:r w:rsidRPr="00D92FC1">
        <w:rPr>
          <w:rFonts w:ascii="Times New Roman" w:eastAsia="Calibri" w:hAnsi="Times New Roman" w:cs="Times New Roman"/>
          <w:b/>
          <w:sz w:val="24"/>
          <w:szCs w:val="24"/>
        </w:rPr>
        <w:t>art. 11 w ust. 4</w:t>
      </w:r>
      <w:r w:rsidRPr="00D92FC1">
        <w:rPr>
          <w:rFonts w:ascii="Times New Roman" w:eastAsia="Calibri" w:hAnsi="Times New Roman" w:cs="Times New Roman"/>
          <w:sz w:val="24"/>
          <w:szCs w:val="24"/>
        </w:rPr>
        <w:t xml:space="preserve"> </w:t>
      </w:r>
      <w:r w:rsidRPr="00861AE2">
        <w:rPr>
          <w:rFonts w:ascii="Times New Roman" w:eastAsia="Calibri" w:hAnsi="Times New Roman" w:cs="Times New Roman"/>
          <w:b/>
          <w:sz w:val="24"/>
          <w:szCs w:val="24"/>
        </w:rPr>
        <w:t xml:space="preserve">pkt 16 </w:t>
      </w:r>
      <w:r w:rsidRPr="006E5560">
        <w:rPr>
          <w:rFonts w:ascii="Times New Roman" w:eastAsia="Calibri" w:hAnsi="Times New Roman" w:cs="Times New Roman"/>
          <w:sz w:val="24"/>
          <w:szCs w:val="24"/>
        </w:rPr>
        <w:t>i</w:t>
      </w:r>
      <w:r w:rsidRPr="00861AE2">
        <w:rPr>
          <w:rFonts w:ascii="Times New Roman" w:eastAsia="Calibri" w:hAnsi="Times New Roman" w:cs="Times New Roman"/>
          <w:b/>
          <w:sz w:val="24"/>
          <w:szCs w:val="24"/>
        </w:rPr>
        <w:t xml:space="preserve"> 30</w:t>
      </w:r>
      <w:r>
        <w:rPr>
          <w:rFonts w:ascii="Times New Roman" w:eastAsia="Calibri" w:hAnsi="Times New Roman" w:cs="Times New Roman"/>
          <w:sz w:val="24"/>
          <w:szCs w:val="24"/>
        </w:rPr>
        <w:t xml:space="preserve"> </w:t>
      </w:r>
      <w:r w:rsidRPr="00D92FC1">
        <w:rPr>
          <w:rFonts w:ascii="Times New Roman" w:eastAsia="Calibri" w:hAnsi="Times New Roman" w:cs="Times New Roman"/>
          <w:sz w:val="24"/>
          <w:szCs w:val="24"/>
        </w:rPr>
        <w:t>mają na celu uwzględnienie w katalogu zadań Zarządu BFG także zadań wynikających ze stosowania rozporządzenia nr 2021/23. Przede wszystkim dotyczy to możliwości stosowania sankcji wymienionych w art. 340</w:t>
      </w:r>
      <w:r w:rsidR="003722DE">
        <w:rPr>
          <w:rFonts w:ascii="Times New Roman" w:eastAsia="Calibri" w:hAnsi="Times New Roman" w:cs="Times New Roman"/>
          <w:sz w:val="24"/>
          <w:szCs w:val="24"/>
        </w:rPr>
        <w:t>a</w:t>
      </w:r>
      <w:r w:rsidRPr="00D92FC1">
        <w:rPr>
          <w:rFonts w:ascii="Times New Roman" w:eastAsia="Calibri" w:hAnsi="Times New Roman" w:cs="Times New Roman"/>
          <w:sz w:val="24"/>
          <w:szCs w:val="24"/>
        </w:rPr>
        <w:t xml:space="preserve"> ust. 1 oraz wydawania decyzji w sprawie środków służących usunięciu przeszkód w możliwości przeprowadzenia skutecznej restrukturyzacji i uporządkowanej likwidacji CCP, o której mowa w art. 16 rozporządzenia</w:t>
      </w:r>
      <w:r>
        <w:rPr>
          <w:rFonts w:ascii="Times New Roman" w:eastAsia="Calibri" w:hAnsi="Times New Roman" w:cs="Times New Roman"/>
          <w:sz w:val="24"/>
          <w:szCs w:val="24"/>
        </w:rPr>
        <w:t xml:space="preserve"> </w:t>
      </w:r>
      <w:r w:rsidRPr="00D92FC1">
        <w:rPr>
          <w:rFonts w:ascii="Times New Roman" w:eastAsia="Calibri" w:hAnsi="Times New Roman" w:cs="Times New Roman"/>
          <w:sz w:val="24"/>
          <w:szCs w:val="24"/>
        </w:rPr>
        <w:t xml:space="preserve">nr 2021/23. Do decyzji BFG wynikających ze stosowania przepisów rozporządzenia nr 2021/23 zostanie zastosowana analogiczna procedura jak w przypadku </w:t>
      </w:r>
      <w:r w:rsidRPr="00D92FC1">
        <w:rPr>
          <w:rFonts w:ascii="Times New Roman" w:eastAsia="Calibri" w:hAnsi="Times New Roman" w:cs="Times New Roman"/>
          <w:sz w:val="24"/>
          <w:szCs w:val="24"/>
        </w:rPr>
        <w:lastRenderedPageBreak/>
        <w:t xml:space="preserve">decyzji podejmowanych w ramach przymusowej restrukturyzacji banków i firm inwestycyjnych i kas – będą one podejmowane w formie uchwały Zarządu BFG. </w:t>
      </w:r>
    </w:p>
    <w:p w14:paraId="4134FB6A" w14:textId="77777777" w:rsidR="00682672" w:rsidRPr="00D92FC1" w:rsidRDefault="00682672" w:rsidP="005E5395">
      <w:pPr>
        <w:spacing w:after="0" w:line="360" w:lineRule="auto"/>
        <w:jc w:val="both"/>
        <w:rPr>
          <w:rFonts w:ascii="Times New Roman" w:eastAsia="Calibri" w:hAnsi="Times New Roman" w:cs="Times New Roman"/>
          <w:sz w:val="24"/>
          <w:szCs w:val="24"/>
        </w:rPr>
      </w:pPr>
      <w:r w:rsidRPr="00D92FC1">
        <w:rPr>
          <w:rFonts w:ascii="Times New Roman" w:eastAsia="Calibri" w:hAnsi="Times New Roman" w:cs="Times New Roman"/>
          <w:sz w:val="24"/>
          <w:szCs w:val="24"/>
        </w:rPr>
        <w:t xml:space="preserve">Zmiana </w:t>
      </w:r>
      <w:r w:rsidRPr="00D92FC1">
        <w:rPr>
          <w:rFonts w:ascii="Times New Roman" w:eastAsia="Calibri" w:hAnsi="Times New Roman" w:cs="Times New Roman"/>
          <w:b/>
          <w:sz w:val="24"/>
          <w:szCs w:val="24"/>
        </w:rPr>
        <w:t>ust. 5</w:t>
      </w:r>
      <w:r w:rsidRPr="00D92FC1">
        <w:rPr>
          <w:rFonts w:ascii="Times New Roman" w:eastAsia="Calibri" w:hAnsi="Times New Roman" w:cs="Times New Roman"/>
          <w:sz w:val="24"/>
          <w:szCs w:val="24"/>
        </w:rPr>
        <w:t xml:space="preserve"> wynika z doświadczeń BFG w obszarze prowadzenia przymusowej restrukturyzacji banków – zasadne jest, aby tryb prowadzenia restrukturyzacji i uporządkowanej likwidacji CCP był tożsamy, m.in. z uwagi na zbieżność stosowanych instrumentów, celów oraz konieczności szybkości i efektywności działania. W związku z tym ust. 5 uzupełniono o rozstrzygnięcia wydawane na postawie rozporządzenia nr 2021/23. </w:t>
      </w:r>
    </w:p>
    <w:p w14:paraId="289DF191" w14:textId="77777777" w:rsidR="00682672" w:rsidRPr="00D92FC1" w:rsidRDefault="00682672" w:rsidP="005E5395">
      <w:pPr>
        <w:spacing w:after="0" w:line="360" w:lineRule="auto"/>
        <w:jc w:val="both"/>
        <w:rPr>
          <w:rFonts w:ascii="Times New Roman" w:eastAsia="Calibri" w:hAnsi="Times New Roman" w:cs="Times New Roman"/>
          <w:sz w:val="24"/>
          <w:szCs w:val="24"/>
        </w:rPr>
      </w:pPr>
      <w:r w:rsidRPr="00D92FC1">
        <w:rPr>
          <w:rFonts w:ascii="Times New Roman" w:eastAsia="Calibri" w:hAnsi="Times New Roman" w:cs="Times New Roman"/>
          <w:sz w:val="24"/>
          <w:szCs w:val="24"/>
        </w:rPr>
        <w:t xml:space="preserve">W tym kontekście należy podkreślić, że art. 7 rozporządzenia nr 2021/23 przewiduje m.in., że przy podejmowaniu decyzji i działań zgodnie z tym rozporządzeniem właściwe organy, tj. organ nadzoru (np. </w:t>
      </w:r>
      <w:r w:rsidRPr="006E5560">
        <w:rPr>
          <w:rFonts w:ascii="Times New Roman" w:eastAsia="Calibri" w:hAnsi="Times New Roman" w:cs="Times New Roman"/>
          <w:sz w:val="24"/>
          <w:szCs w:val="24"/>
        </w:rPr>
        <w:t xml:space="preserve">KNF), organy ds. restrukturyzacji i uporządkowanej likwidacji (np. BFG) oraz </w:t>
      </w:r>
      <w:r w:rsidRPr="006E5560">
        <w:rPr>
          <w:rFonts w:ascii="Times New Roman" w:hAnsi="Times New Roman" w:cs="Times New Roman"/>
          <w:sz w:val="24"/>
          <w:szCs w:val="24"/>
          <w:shd w:val="clear" w:color="auto" w:fill="FFFFFF"/>
        </w:rPr>
        <w:t>Europejski Urząd Nadzoru Giełd i Papierów Wartościowych</w:t>
      </w:r>
      <w:r>
        <w:rPr>
          <w:rFonts w:ascii="Times New Roman" w:hAnsi="Times New Roman" w:cs="Times New Roman"/>
          <w:sz w:val="24"/>
          <w:szCs w:val="24"/>
          <w:shd w:val="clear" w:color="auto" w:fill="FFFFFF"/>
        </w:rPr>
        <w:t xml:space="preserve">, dalej: </w:t>
      </w:r>
      <w:r>
        <w:rPr>
          <w:rFonts w:ascii="Times New Roman" w:eastAsia="Calibri" w:hAnsi="Times New Roman" w:cs="Times New Roman"/>
          <w:sz w:val="24"/>
          <w:szCs w:val="24"/>
        </w:rPr>
        <w:t>„</w:t>
      </w:r>
      <w:r w:rsidRPr="006E5560">
        <w:rPr>
          <w:rFonts w:ascii="Times New Roman" w:eastAsia="Calibri" w:hAnsi="Times New Roman" w:cs="Times New Roman"/>
          <w:sz w:val="24"/>
          <w:szCs w:val="24"/>
        </w:rPr>
        <w:t>ESMA</w:t>
      </w:r>
      <w:r>
        <w:rPr>
          <w:rFonts w:ascii="Times New Roman" w:eastAsia="Calibri" w:hAnsi="Times New Roman" w:cs="Times New Roman"/>
          <w:sz w:val="24"/>
          <w:szCs w:val="24"/>
        </w:rPr>
        <w:t xml:space="preserve">”, </w:t>
      </w:r>
      <w:r w:rsidRPr="006E5560">
        <w:rPr>
          <w:rFonts w:ascii="Times New Roman" w:eastAsia="Calibri" w:hAnsi="Times New Roman" w:cs="Times New Roman"/>
          <w:sz w:val="24"/>
          <w:szCs w:val="24"/>
        </w:rPr>
        <w:t xml:space="preserve"> uwzględniają </w:t>
      </w:r>
      <w:r w:rsidRPr="00D92FC1">
        <w:rPr>
          <w:rFonts w:ascii="Times New Roman" w:eastAsia="Calibri" w:hAnsi="Times New Roman" w:cs="Times New Roman"/>
          <w:sz w:val="24"/>
          <w:szCs w:val="24"/>
        </w:rPr>
        <w:t>wszystkie wskazane w przepisach zasady i aspekty, w tym konieczność zapewnienia efektywności, terminowości i należytej pilności podejmowania decyzji, kiedy jest to niezbędne, oraz utrzymania kosztów na najniższym możliwym poziomie w chwili podejmowania decyzji i działania, przy jednoczesnym zapewnieniu złagodzenia w jak największym stopniu zakłócenia rynku.</w:t>
      </w:r>
    </w:p>
    <w:p w14:paraId="4E491C45" w14:textId="77777777" w:rsidR="00682672" w:rsidRPr="00D92FC1" w:rsidRDefault="00682672" w:rsidP="005E5395">
      <w:pPr>
        <w:spacing w:after="0" w:line="360" w:lineRule="auto"/>
        <w:jc w:val="both"/>
        <w:rPr>
          <w:rFonts w:ascii="Times New Roman" w:eastAsia="Calibri" w:hAnsi="Times New Roman" w:cs="Times New Roman"/>
          <w:sz w:val="24"/>
          <w:szCs w:val="24"/>
        </w:rPr>
      </w:pPr>
      <w:r w:rsidRPr="00D92FC1">
        <w:rPr>
          <w:rFonts w:ascii="Times New Roman" w:eastAsia="Calibri" w:hAnsi="Times New Roman" w:cs="Times New Roman"/>
          <w:sz w:val="24"/>
          <w:szCs w:val="24"/>
        </w:rPr>
        <w:t xml:space="preserve">Zgodnie z </w:t>
      </w:r>
      <w:r w:rsidRPr="00D92FC1">
        <w:rPr>
          <w:rFonts w:ascii="Times New Roman" w:eastAsia="Calibri" w:hAnsi="Times New Roman" w:cs="Times New Roman"/>
          <w:b/>
          <w:sz w:val="24"/>
          <w:szCs w:val="24"/>
        </w:rPr>
        <w:t>ust. 5a</w:t>
      </w:r>
      <w:r w:rsidRPr="00D92FC1">
        <w:rPr>
          <w:rFonts w:ascii="Times New Roman" w:eastAsia="Calibri" w:hAnsi="Times New Roman" w:cs="Times New Roman"/>
          <w:sz w:val="24"/>
          <w:szCs w:val="24"/>
        </w:rPr>
        <w:t xml:space="preserve"> w przypadku gdy w danej sprawie rozporządzenie nr 2021/23 nie określa terminu BFG będzie załatwiać sprawę bez zbędnej zwłoki, jednak nie później niż w terminie 6 miesięcy od dnia wszczęcia postępowania, a w sprawach szczególnie skomplikowanych – nie później niż w terminie roku od dnia wszczęcia postępowania. Tożsame terminy zostały przewidziane i są stosowane w przypadku przymusowej restrukturyzacji banków. </w:t>
      </w:r>
    </w:p>
    <w:p w14:paraId="65CE5FAD" w14:textId="77777777" w:rsidR="00682672" w:rsidRPr="00D92FC1" w:rsidRDefault="00682672" w:rsidP="005E5395">
      <w:pPr>
        <w:spacing w:after="120" w:line="360" w:lineRule="auto"/>
        <w:jc w:val="both"/>
        <w:rPr>
          <w:rFonts w:ascii="Times New Roman" w:eastAsia="Calibri" w:hAnsi="Times New Roman" w:cs="Times New Roman"/>
          <w:sz w:val="24"/>
          <w:szCs w:val="24"/>
        </w:rPr>
      </w:pPr>
      <w:r w:rsidRPr="00D92FC1">
        <w:rPr>
          <w:rFonts w:ascii="Times New Roman" w:eastAsia="Calibri" w:hAnsi="Times New Roman" w:cs="Times New Roman"/>
          <w:sz w:val="24"/>
          <w:szCs w:val="24"/>
        </w:rPr>
        <w:t xml:space="preserve">Na podstawie </w:t>
      </w:r>
      <w:r w:rsidRPr="00D92FC1">
        <w:rPr>
          <w:rFonts w:ascii="Times New Roman" w:eastAsia="Calibri" w:hAnsi="Times New Roman" w:cs="Times New Roman"/>
          <w:b/>
          <w:sz w:val="24"/>
          <w:szCs w:val="24"/>
        </w:rPr>
        <w:t>ust. 6</w:t>
      </w:r>
      <w:r w:rsidRPr="00D92FC1">
        <w:rPr>
          <w:rFonts w:ascii="Times New Roman" w:eastAsia="Calibri" w:hAnsi="Times New Roman" w:cs="Times New Roman"/>
          <w:sz w:val="24"/>
          <w:szCs w:val="24"/>
        </w:rPr>
        <w:t xml:space="preserve"> do postępowania w sprawie skarg na decyzje BFG w zakresie nieuregulowanym w ustawie lub rozporządzeniu nr 2021/23 będą miały odpowiednie zastosowanie przepisy ustawy z dnia 30 sierpnia 2002 r. – Prawo o postępowaniu przed sądami administracyjnymi (Dz. U. z 2022 r. poz. 329</w:t>
      </w:r>
      <w:r>
        <w:rPr>
          <w:rFonts w:ascii="Times New Roman" w:eastAsia="Calibri" w:hAnsi="Times New Roman" w:cs="Times New Roman"/>
          <w:sz w:val="24"/>
          <w:szCs w:val="24"/>
        </w:rPr>
        <w:t>, z późn. zm.</w:t>
      </w:r>
      <w:r w:rsidRPr="00D92FC1">
        <w:rPr>
          <w:rFonts w:ascii="Times New Roman" w:eastAsia="Calibri" w:hAnsi="Times New Roman" w:cs="Times New Roman"/>
          <w:sz w:val="24"/>
          <w:szCs w:val="24"/>
        </w:rPr>
        <w:t>), z wyłączeniem art. 61 § 2 i 3 tej ustawy</w:t>
      </w:r>
      <w:r>
        <w:rPr>
          <w:rFonts w:ascii="Times New Roman" w:eastAsia="Calibri" w:hAnsi="Times New Roman" w:cs="Times New Roman"/>
          <w:sz w:val="24"/>
          <w:szCs w:val="24"/>
        </w:rPr>
        <w:t>, tj. przepisów dotyczących możliwości wstrzymania wykonania decyzji</w:t>
      </w:r>
      <w:r w:rsidRPr="00D92FC1">
        <w:rPr>
          <w:rFonts w:ascii="Times New Roman" w:eastAsia="Calibri" w:hAnsi="Times New Roman" w:cs="Times New Roman"/>
          <w:sz w:val="24"/>
          <w:szCs w:val="24"/>
        </w:rPr>
        <w:t xml:space="preserve">. </w:t>
      </w:r>
    </w:p>
    <w:p w14:paraId="39395D2B" w14:textId="77777777" w:rsidR="00682672" w:rsidRPr="00D92FC1" w:rsidRDefault="00682672" w:rsidP="005E5395">
      <w:pPr>
        <w:spacing w:after="12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Zmiana brzmienia </w:t>
      </w:r>
      <w:r w:rsidRPr="00C22D43">
        <w:rPr>
          <w:rFonts w:ascii="Times New Roman" w:eastAsia="Calibri" w:hAnsi="Times New Roman" w:cs="Times New Roman"/>
          <w:b/>
          <w:sz w:val="24"/>
          <w:szCs w:val="24"/>
        </w:rPr>
        <w:t>art. 15 ust. 5</w:t>
      </w:r>
      <w:r>
        <w:rPr>
          <w:rFonts w:ascii="Times New Roman" w:eastAsia="Calibri" w:hAnsi="Times New Roman" w:cs="Times New Roman"/>
          <w:sz w:val="24"/>
          <w:szCs w:val="24"/>
        </w:rPr>
        <w:t xml:space="preserve"> polega na  rozszerzeniu wyłączenia odpowiedzialności BFG i osób działających w jego imieniu za szkodę wynikłą ze zgodnych z przepisami działań lub zaniechań, które pozostają w związku z uprawnieniami i zadaniami BFG jako organu </w:t>
      </w:r>
      <w:r w:rsidRPr="00620626">
        <w:rPr>
          <w:rFonts w:ascii="Times New Roman" w:eastAsia="Calibri" w:hAnsi="Times New Roman" w:cs="Times New Roman"/>
          <w:sz w:val="24"/>
          <w:szCs w:val="24"/>
        </w:rPr>
        <w:t>restrukturyzacji i u</w:t>
      </w:r>
      <w:r>
        <w:rPr>
          <w:rFonts w:ascii="Times New Roman" w:eastAsia="Calibri" w:hAnsi="Times New Roman" w:cs="Times New Roman"/>
          <w:sz w:val="24"/>
          <w:szCs w:val="24"/>
        </w:rPr>
        <w:t>porządkowanej likwidacji CCP – jest to rozwiązanie a</w:t>
      </w:r>
      <w:r w:rsidRPr="00F72F56">
        <w:rPr>
          <w:rFonts w:ascii="Times New Roman" w:eastAsia="Calibri" w:hAnsi="Times New Roman" w:cs="Times New Roman"/>
          <w:sz w:val="24"/>
          <w:szCs w:val="24"/>
        </w:rPr>
        <w:t xml:space="preserve">nalogiczne </w:t>
      </w:r>
      <w:r>
        <w:rPr>
          <w:rFonts w:ascii="Times New Roman" w:eastAsia="Calibri" w:hAnsi="Times New Roman" w:cs="Times New Roman"/>
          <w:sz w:val="24"/>
          <w:szCs w:val="24"/>
        </w:rPr>
        <w:t xml:space="preserve">jak w przypadku </w:t>
      </w:r>
      <w:r w:rsidRPr="00D92FC1">
        <w:rPr>
          <w:rFonts w:ascii="Times New Roman" w:eastAsia="Calibri" w:hAnsi="Times New Roman" w:cs="Times New Roman"/>
          <w:sz w:val="24"/>
          <w:szCs w:val="24"/>
        </w:rPr>
        <w:t>przymusow</w:t>
      </w:r>
      <w:r>
        <w:rPr>
          <w:rFonts w:ascii="Times New Roman" w:eastAsia="Calibri" w:hAnsi="Times New Roman" w:cs="Times New Roman"/>
          <w:sz w:val="24"/>
          <w:szCs w:val="24"/>
        </w:rPr>
        <w:t xml:space="preserve">ej </w:t>
      </w:r>
      <w:r w:rsidRPr="00D92FC1">
        <w:rPr>
          <w:rFonts w:ascii="Times New Roman" w:eastAsia="Calibri" w:hAnsi="Times New Roman" w:cs="Times New Roman"/>
          <w:sz w:val="24"/>
          <w:szCs w:val="24"/>
        </w:rPr>
        <w:t>restruktury</w:t>
      </w:r>
      <w:r>
        <w:rPr>
          <w:rFonts w:ascii="Times New Roman" w:eastAsia="Calibri" w:hAnsi="Times New Roman" w:cs="Times New Roman"/>
          <w:sz w:val="24"/>
          <w:szCs w:val="24"/>
        </w:rPr>
        <w:t xml:space="preserve">zacji </w:t>
      </w:r>
      <w:r w:rsidRPr="00F72F56">
        <w:rPr>
          <w:rFonts w:ascii="Times New Roman" w:eastAsia="Calibri" w:hAnsi="Times New Roman" w:cs="Times New Roman"/>
          <w:sz w:val="24"/>
          <w:szCs w:val="24"/>
        </w:rPr>
        <w:t>banków</w:t>
      </w:r>
      <w:r>
        <w:rPr>
          <w:rFonts w:ascii="Times New Roman" w:eastAsia="Calibri" w:hAnsi="Times New Roman" w:cs="Times New Roman"/>
          <w:sz w:val="24"/>
          <w:szCs w:val="24"/>
        </w:rPr>
        <w:t xml:space="preserve">, </w:t>
      </w:r>
      <w:r w:rsidRPr="00F72F56">
        <w:rPr>
          <w:rFonts w:ascii="Times New Roman" w:eastAsia="Calibri" w:hAnsi="Times New Roman" w:cs="Times New Roman"/>
          <w:sz w:val="24"/>
          <w:szCs w:val="24"/>
        </w:rPr>
        <w:t>firm inwestycyjnych</w:t>
      </w:r>
      <w:r>
        <w:rPr>
          <w:rFonts w:ascii="Times New Roman" w:eastAsia="Calibri" w:hAnsi="Times New Roman" w:cs="Times New Roman"/>
          <w:sz w:val="24"/>
          <w:szCs w:val="24"/>
        </w:rPr>
        <w:t xml:space="preserve"> i </w:t>
      </w:r>
      <w:r w:rsidRPr="006A6FFA">
        <w:rPr>
          <w:rFonts w:ascii="Times New Roman" w:eastAsia="Calibri" w:hAnsi="Times New Roman" w:cs="Times New Roman"/>
          <w:sz w:val="24"/>
          <w:szCs w:val="24"/>
        </w:rPr>
        <w:t>spółdzielczych kas oszczędnościowo-kredytowych</w:t>
      </w:r>
      <w:r w:rsidRPr="00F72F56">
        <w:rPr>
          <w:rFonts w:ascii="Times New Roman" w:eastAsia="Calibri" w:hAnsi="Times New Roman" w:cs="Times New Roman"/>
          <w:sz w:val="24"/>
          <w:szCs w:val="24"/>
        </w:rPr>
        <w:t xml:space="preserve">. </w:t>
      </w:r>
      <w:r>
        <w:rPr>
          <w:rFonts w:ascii="Times New Roman" w:eastAsia="Calibri" w:hAnsi="Times New Roman" w:cs="Times New Roman"/>
          <w:sz w:val="24"/>
          <w:szCs w:val="24"/>
        </w:rPr>
        <w:t>Praktyczne doświadczenia BFG pokazują, że tego typu wyłączenie jest niezbędne by zapewnić efektywną realizację zadań wynikających z prawa UE.</w:t>
      </w:r>
    </w:p>
    <w:p w14:paraId="7909E3A1" w14:textId="77777777" w:rsidR="00682672" w:rsidRPr="00D92FC1" w:rsidRDefault="00682672" w:rsidP="005E5395">
      <w:pPr>
        <w:spacing w:after="0" w:line="360" w:lineRule="auto"/>
        <w:jc w:val="both"/>
        <w:rPr>
          <w:rFonts w:ascii="Times New Roman" w:eastAsia="Calibri" w:hAnsi="Times New Roman" w:cs="Times New Roman"/>
          <w:sz w:val="24"/>
          <w:szCs w:val="24"/>
        </w:rPr>
      </w:pPr>
      <w:r w:rsidRPr="00D92FC1">
        <w:rPr>
          <w:rFonts w:ascii="Times New Roman" w:eastAsia="Calibri" w:hAnsi="Times New Roman" w:cs="Times New Roman"/>
          <w:sz w:val="24"/>
          <w:szCs w:val="24"/>
        </w:rPr>
        <w:lastRenderedPageBreak/>
        <w:t xml:space="preserve">Dodany </w:t>
      </w:r>
      <w:r w:rsidRPr="00D92FC1">
        <w:rPr>
          <w:rFonts w:ascii="Times New Roman" w:eastAsia="Calibri" w:hAnsi="Times New Roman" w:cs="Times New Roman"/>
          <w:b/>
          <w:sz w:val="24"/>
          <w:szCs w:val="24"/>
        </w:rPr>
        <w:t>art. 258b</w:t>
      </w:r>
      <w:r w:rsidRPr="00D92FC1">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wskazuje </w:t>
      </w:r>
      <w:r w:rsidRPr="00D92FC1">
        <w:rPr>
          <w:rFonts w:ascii="Times New Roman" w:eastAsia="Calibri" w:hAnsi="Times New Roman" w:cs="Times New Roman"/>
          <w:sz w:val="24"/>
          <w:szCs w:val="24"/>
        </w:rPr>
        <w:t>BFG jako organ właściw</w:t>
      </w:r>
      <w:r>
        <w:rPr>
          <w:rFonts w:ascii="Times New Roman" w:eastAsia="Calibri" w:hAnsi="Times New Roman" w:cs="Times New Roman"/>
          <w:sz w:val="24"/>
          <w:szCs w:val="24"/>
        </w:rPr>
        <w:t>y</w:t>
      </w:r>
      <w:r w:rsidRPr="00D92FC1">
        <w:rPr>
          <w:rFonts w:ascii="Times New Roman" w:eastAsia="Calibri" w:hAnsi="Times New Roman" w:cs="Times New Roman"/>
          <w:sz w:val="24"/>
          <w:szCs w:val="24"/>
        </w:rPr>
        <w:t xml:space="preserve"> do realizowania zadań wskazanych w rozporządzeniu nr 2021/23, tj. planowania i prowadzenia restrukturyzacji i uporządkowanej likwidacji CCP </w:t>
      </w:r>
      <w:r>
        <w:rPr>
          <w:rFonts w:ascii="Times New Roman" w:eastAsia="Calibri" w:hAnsi="Times New Roman" w:cs="Times New Roman"/>
          <w:sz w:val="24"/>
          <w:szCs w:val="24"/>
        </w:rPr>
        <w:t>z siedzibą</w:t>
      </w:r>
      <w:r w:rsidRPr="00D92FC1">
        <w:rPr>
          <w:rFonts w:ascii="Times New Roman" w:eastAsia="Calibri" w:hAnsi="Times New Roman" w:cs="Times New Roman"/>
          <w:sz w:val="24"/>
          <w:szCs w:val="24"/>
        </w:rPr>
        <w:t xml:space="preserve"> na terytorium Rzeczypospolitej Polskiej.</w:t>
      </w:r>
    </w:p>
    <w:p w14:paraId="0B6EA0C3" w14:textId="77777777" w:rsidR="00682672" w:rsidRPr="00DB5B28" w:rsidRDefault="00682672" w:rsidP="005E5395">
      <w:pPr>
        <w:spacing w:after="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Rozwiązanie to </w:t>
      </w:r>
      <w:r w:rsidRPr="00D92FC1">
        <w:rPr>
          <w:rFonts w:ascii="Times New Roman" w:eastAsia="Calibri" w:hAnsi="Times New Roman" w:cs="Times New Roman"/>
          <w:sz w:val="24"/>
          <w:szCs w:val="24"/>
        </w:rPr>
        <w:t xml:space="preserve">jest </w:t>
      </w:r>
      <w:r>
        <w:rPr>
          <w:rFonts w:ascii="Times New Roman" w:eastAsia="Calibri" w:hAnsi="Times New Roman" w:cs="Times New Roman"/>
          <w:sz w:val="24"/>
          <w:szCs w:val="24"/>
        </w:rPr>
        <w:t xml:space="preserve">zbieżne w szczególności  </w:t>
      </w:r>
      <w:r w:rsidRPr="00D92FC1">
        <w:rPr>
          <w:rFonts w:ascii="Times New Roman" w:eastAsia="Calibri" w:hAnsi="Times New Roman" w:cs="Times New Roman"/>
          <w:sz w:val="24"/>
          <w:szCs w:val="24"/>
        </w:rPr>
        <w:t xml:space="preserve">z motywem nr 13 rozporządzenia nr 2021/23: </w:t>
      </w:r>
      <w:r w:rsidRPr="00DB5B28">
        <w:rPr>
          <w:rFonts w:ascii="Times New Roman" w:eastAsia="Calibri" w:hAnsi="Times New Roman" w:cs="Times New Roman"/>
          <w:sz w:val="24"/>
          <w:szCs w:val="24"/>
        </w:rPr>
        <w:t xml:space="preserve">„Aby zapewnić skuteczne i efektywne podjęcie działań w ramach restrukturyzacji i uporządkowanej likwidacji oraz zgodność tych działań z celami w zakresie restrukturyzacji i uporządkowanej likwidacji, państwa członkowskie powinny wyznaczyć jako organy ds. restrukturyzacji i uporządkowanej likwidacji na potrzeby niniejszego rozporządzenia krajowe banki centralne, właściwe ministerstwa, organy administracji publicznej </w:t>
      </w:r>
      <w:r w:rsidRPr="00DB5B28">
        <w:rPr>
          <w:rFonts w:ascii="Times New Roman" w:eastAsia="Calibri" w:hAnsi="Times New Roman" w:cs="Times New Roman"/>
          <w:i/>
          <w:sz w:val="24"/>
          <w:szCs w:val="24"/>
        </w:rPr>
        <w:t>lub organy, którym powierzono uprawnienia w zakresie administracji publicznej, do wykonywania funkcji i zadań związanych z restrukturyzacją i uporządkowaną likwidacją, w tym wszelkie istniejące organy ds. restrukturyzacji i uporządkowanej likwidacji</w:t>
      </w:r>
      <w:r w:rsidRPr="006E5560">
        <w:rPr>
          <w:rFonts w:ascii="Times New Roman" w:eastAsia="Calibri" w:hAnsi="Times New Roman" w:cs="Times New Roman"/>
          <w:sz w:val="24"/>
          <w:szCs w:val="24"/>
        </w:rPr>
        <w:t>.</w:t>
      </w:r>
      <w:r w:rsidRPr="00DB5B28">
        <w:rPr>
          <w:rFonts w:ascii="Times New Roman" w:eastAsia="Calibri" w:hAnsi="Times New Roman" w:cs="Times New Roman"/>
          <w:sz w:val="24"/>
          <w:szCs w:val="24"/>
        </w:rPr>
        <w:t xml:space="preserve">”. </w:t>
      </w:r>
    </w:p>
    <w:p w14:paraId="2E1A0353" w14:textId="5A2346C9" w:rsidR="00682672" w:rsidRPr="00D92FC1" w:rsidRDefault="00682672" w:rsidP="005E5395">
      <w:pPr>
        <w:spacing w:after="120" w:line="360" w:lineRule="auto"/>
        <w:jc w:val="both"/>
        <w:rPr>
          <w:rFonts w:ascii="Times New Roman" w:eastAsia="Calibri" w:hAnsi="Times New Roman" w:cs="Times New Roman"/>
          <w:sz w:val="24"/>
          <w:szCs w:val="24"/>
        </w:rPr>
      </w:pPr>
      <w:r w:rsidRPr="00D92FC1">
        <w:rPr>
          <w:rFonts w:ascii="Times New Roman" w:eastAsia="Calibri" w:hAnsi="Times New Roman" w:cs="Times New Roman"/>
          <w:sz w:val="24"/>
          <w:szCs w:val="24"/>
        </w:rPr>
        <w:t>Podobny zabieg został zastosowany w celu wyznaczenia właściwego ministerstwa, o którym mowa w art. 3 ust. 8 rozporządzenia nr 2021/23.</w:t>
      </w:r>
      <w:r>
        <w:rPr>
          <w:rFonts w:ascii="Times New Roman" w:eastAsia="Calibri" w:hAnsi="Times New Roman" w:cs="Times New Roman"/>
          <w:sz w:val="24"/>
          <w:szCs w:val="24"/>
        </w:rPr>
        <w:t xml:space="preserve"> </w:t>
      </w:r>
      <w:r w:rsidRPr="00C56D2D">
        <w:rPr>
          <w:rFonts w:ascii="Times New Roman" w:eastAsia="Calibri" w:hAnsi="Times New Roman" w:cs="Times New Roman"/>
          <w:sz w:val="24"/>
          <w:szCs w:val="24"/>
        </w:rPr>
        <w:t xml:space="preserve">Wskazać </w:t>
      </w:r>
      <w:r>
        <w:rPr>
          <w:rFonts w:ascii="Times New Roman" w:eastAsia="Calibri" w:hAnsi="Times New Roman" w:cs="Times New Roman"/>
          <w:sz w:val="24"/>
          <w:szCs w:val="24"/>
        </w:rPr>
        <w:t xml:space="preserve">jednak </w:t>
      </w:r>
      <w:r w:rsidRPr="00C56D2D">
        <w:rPr>
          <w:rFonts w:ascii="Times New Roman" w:eastAsia="Calibri" w:hAnsi="Times New Roman" w:cs="Times New Roman"/>
          <w:sz w:val="24"/>
          <w:szCs w:val="24"/>
        </w:rPr>
        <w:t>należy, że zgodnie z art. 14 ust. 1</w:t>
      </w:r>
      <w:r>
        <w:rPr>
          <w:rFonts w:ascii="Times New Roman" w:eastAsia="Calibri" w:hAnsi="Times New Roman" w:cs="Times New Roman"/>
          <w:sz w:val="24"/>
          <w:szCs w:val="24"/>
        </w:rPr>
        <w:t xml:space="preserve"> </w:t>
      </w:r>
      <w:r w:rsidR="008125B1">
        <w:rPr>
          <w:rFonts w:ascii="Times New Roman" w:eastAsia="Calibri" w:hAnsi="Times New Roman" w:cs="Times New Roman"/>
          <w:sz w:val="24"/>
          <w:szCs w:val="24"/>
        </w:rPr>
        <w:t xml:space="preserve">ustawy o BFG </w:t>
      </w:r>
      <w:r w:rsidRPr="00C56D2D">
        <w:rPr>
          <w:rFonts w:ascii="Times New Roman" w:eastAsia="Calibri" w:hAnsi="Times New Roman" w:cs="Times New Roman"/>
          <w:sz w:val="24"/>
          <w:szCs w:val="24"/>
        </w:rPr>
        <w:t xml:space="preserve">nadzór nad działalnością </w:t>
      </w:r>
      <w:r>
        <w:rPr>
          <w:rFonts w:ascii="Times New Roman" w:eastAsia="Calibri" w:hAnsi="Times New Roman" w:cs="Times New Roman"/>
          <w:sz w:val="24"/>
          <w:szCs w:val="24"/>
        </w:rPr>
        <w:t>BFG</w:t>
      </w:r>
      <w:r w:rsidRPr="00C56D2D">
        <w:rPr>
          <w:rFonts w:ascii="Times New Roman" w:eastAsia="Calibri" w:hAnsi="Times New Roman" w:cs="Times New Roman"/>
          <w:sz w:val="24"/>
          <w:szCs w:val="24"/>
        </w:rPr>
        <w:t xml:space="preserve"> sprawuje minister właściwy do spraw instytucji finansowych, </w:t>
      </w:r>
      <w:r>
        <w:rPr>
          <w:rFonts w:ascii="Times New Roman" w:eastAsia="Calibri" w:hAnsi="Times New Roman" w:cs="Times New Roman"/>
          <w:sz w:val="24"/>
          <w:szCs w:val="24"/>
        </w:rPr>
        <w:t xml:space="preserve">w związku z tym  BFG będzie realizował obowiązki wynikające z rozporządzenia </w:t>
      </w:r>
      <w:r w:rsidRPr="00D92FC1">
        <w:rPr>
          <w:rFonts w:ascii="Times New Roman" w:eastAsia="Calibri" w:hAnsi="Times New Roman" w:cs="Times New Roman"/>
          <w:sz w:val="24"/>
          <w:szCs w:val="24"/>
        </w:rPr>
        <w:t>nr 2021/23</w:t>
      </w:r>
      <w:r>
        <w:rPr>
          <w:rFonts w:ascii="Times New Roman" w:eastAsia="Calibri" w:hAnsi="Times New Roman" w:cs="Times New Roman"/>
          <w:sz w:val="24"/>
          <w:szCs w:val="24"/>
        </w:rPr>
        <w:t xml:space="preserve"> wobec </w:t>
      </w:r>
      <w:r w:rsidRPr="00C56D2D">
        <w:rPr>
          <w:rFonts w:ascii="Times New Roman" w:eastAsia="Calibri" w:hAnsi="Times New Roman" w:cs="Times New Roman"/>
          <w:sz w:val="24"/>
          <w:szCs w:val="24"/>
        </w:rPr>
        <w:t>ministra właściw</w:t>
      </w:r>
      <w:r>
        <w:rPr>
          <w:rFonts w:ascii="Times New Roman" w:eastAsia="Calibri" w:hAnsi="Times New Roman" w:cs="Times New Roman"/>
          <w:sz w:val="24"/>
          <w:szCs w:val="24"/>
        </w:rPr>
        <w:t xml:space="preserve">ego </w:t>
      </w:r>
      <w:r w:rsidRPr="00C56D2D">
        <w:rPr>
          <w:rFonts w:ascii="Times New Roman" w:eastAsia="Calibri" w:hAnsi="Times New Roman" w:cs="Times New Roman"/>
          <w:sz w:val="24"/>
          <w:szCs w:val="24"/>
        </w:rPr>
        <w:t xml:space="preserve">do spraw instytucji finansowych </w:t>
      </w:r>
      <w:r w:rsidR="008125B1">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a </w:t>
      </w:r>
      <w:r w:rsidRPr="00C56D2D">
        <w:rPr>
          <w:rFonts w:ascii="Times New Roman" w:eastAsia="Calibri" w:hAnsi="Times New Roman" w:cs="Times New Roman"/>
          <w:sz w:val="24"/>
          <w:szCs w:val="24"/>
        </w:rPr>
        <w:t xml:space="preserve">nie urzędu obsługującego </w:t>
      </w:r>
      <w:r>
        <w:rPr>
          <w:rFonts w:ascii="Times New Roman" w:eastAsia="Calibri" w:hAnsi="Times New Roman" w:cs="Times New Roman"/>
          <w:sz w:val="24"/>
          <w:szCs w:val="24"/>
        </w:rPr>
        <w:t xml:space="preserve">tego </w:t>
      </w:r>
      <w:r w:rsidRPr="00C56D2D">
        <w:rPr>
          <w:rFonts w:ascii="Times New Roman" w:eastAsia="Calibri" w:hAnsi="Times New Roman" w:cs="Times New Roman"/>
          <w:sz w:val="24"/>
          <w:szCs w:val="24"/>
        </w:rPr>
        <w:t xml:space="preserve">ministra. </w:t>
      </w:r>
    </w:p>
    <w:p w14:paraId="18F34202" w14:textId="48445461" w:rsidR="008125B1" w:rsidRDefault="00682672" w:rsidP="005E5395">
      <w:pPr>
        <w:spacing w:after="0" w:line="360" w:lineRule="auto"/>
        <w:jc w:val="both"/>
        <w:rPr>
          <w:rFonts w:ascii="Times New Roman" w:eastAsia="Calibri" w:hAnsi="Times New Roman" w:cs="Times New Roman"/>
          <w:sz w:val="24"/>
          <w:szCs w:val="24"/>
        </w:rPr>
      </w:pPr>
      <w:r w:rsidRPr="00D92FC1">
        <w:rPr>
          <w:rFonts w:ascii="Times New Roman" w:eastAsia="Calibri" w:hAnsi="Times New Roman" w:cs="Times New Roman"/>
          <w:sz w:val="24"/>
          <w:szCs w:val="24"/>
        </w:rPr>
        <w:t xml:space="preserve">Zgodnie z </w:t>
      </w:r>
      <w:r w:rsidRPr="00D92FC1">
        <w:rPr>
          <w:rFonts w:ascii="Times New Roman" w:eastAsia="Calibri" w:hAnsi="Times New Roman" w:cs="Times New Roman"/>
          <w:b/>
          <w:sz w:val="24"/>
          <w:szCs w:val="24"/>
        </w:rPr>
        <w:t>art. 258c</w:t>
      </w:r>
      <w:r w:rsidRPr="00D92FC1">
        <w:rPr>
          <w:rFonts w:ascii="Times New Roman" w:eastAsia="Calibri" w:hAnsi="Times New Roman" w:cs="Times New Roman"/>
          <w:sz w:val="24"/>
          <w:szCs w:val="24"/>
        </w:rPr>
        <w:t xml:space="preserve"> Zarząd BFG podejmuje uchwały w sprawach związanych z planowaniem restrukturyzacji i uporządkowanej likwidacji</w:t>
      </w:r>
      <w:r w:rsidR="00CF73CD">
        <w:rPr>
          <w:rFonts w:ascii="Times New Roman" w:eastAsia="Calibri" w:hAnsi="Times New Roman" w:cs="Times New Roman"/>
          <w:sz w:val="24"/>
          <w:szCs w:val="24"/>
        </w:rPr>
        <w:t>,</w:t>
      </w:r>
      <w:r w:rsidRPr="00D92FC1">
        <w:rPr>
          <w:rFonts w:ascii="Times New Roman" w:eastAsia="Calibri" w:hAnsi="Times New Roman" w:cs="Times New Roman"/>
          <w:sz w:val="24"/>
          <w:szCs w:val="24"/>
        </w:rPr>
        <w:t xml:space="preserve"> stosując wprost art. 14 (planowanie restrukturyzacji i uporządkowanej likwidacji), art. 16 (ograniczanie lub usuwanie przeszkód w możliwości przeprowadzenia skutecznej restrukturyzacji i uporządkowanej likwidacji) oraz art. 17 (procedura koordynacji mająca na celu ograniczenie lub usunięcie przeszkód w możliwości przeprowadzenia skutecznej restrukturyzacji i uporządkowanej likwidacji) rozporządzenia nr 2021/23. </w:t>
      </w:r>
    </w:p>
    <w:p w14:paraId="0AB65A93" w14:textId="77777777" w:rsidR="00174897" w:rsidRDefault="00682672" w:rsidP="005E5395">
      <w:pPr>
        <w:spacing w:after="120" w:line="360" w:lineRule="auto"/>
        <w:jc w:val="both"/>
        <w:rPr>
          <w:rFonts w:ascii="Times New Roman" w:eastAsia="Calibri" w:hAnsi="Times New Roman" w:cs="Times New Roman"/>
          <w:sz w:val="24"/>
          <w:szCs w:val="24"/>
        </w:rPr>
      </w:pPr>
      <w:r w:rsidRPr="00D92FC1">
        <w:rPr>
          <w:rFonts w:ascii="Times New Roman" w:eastAsia="Calibri" w:hAnsi="Times New Roman" w:cs="Times New Roman"/>
          <w:sz w:val="24"/>
          <w:szCs w:val="24"/>
        </w:rPr>
        <w:t>Projektowany przepis stanowi podstawę podejmowania przez Zarząd Funduszu uchwał w sprawach związanych z planowaniem restrukturyzacji i uporządkowanej likwidacji CCP. Uchwały dotyczące planowania restrukturyzacji i uporządkowanej likwidacji CCP zostały wyłączone z ogólnego uregulowania zawartego w art. 11 ust. 4 pkt 30 ustawy o BFG.</w:t>
      </w:r>
    </w:p>
    <w:p w14:paraId="57CD6297" w14:textId="10BD7B1E" w:rsidR="00682672" w:rsidRDefault="00682672" w:rsidP="005E5395">
      <w:pPr>
        <w:spacing w:after="0" w:line="360" w:lineRule="auto"/>
        <w:jc w:val="both"/>
        <w:rPr>
          <w:rFonts w:ascii="Times New Roman" w:eastAsia="Calibri" w:hAnsi="Times New Roman" w:cs="Times New Roman"/>
          <w:sz w:val="24"/>
          <w:szCs w:val="24"/>
        </w:rPr>
      </w:pPr>
      <w:r w:rsidRPr="00D92FC1">
        <w:rPr>
          <w:rFonts w:ascii="Times New Roman" w:eastAsia="Calibri" w:hAnsi="Times New Roman" w:cs="Times New Roman"/>
          <w:sz w:val="24"/>
          <w:szCs w:val="24"/>
        </w:rPr>
        <w:t xml:space="preserve">Dodany </w:t>
      </w:r>
      <w:r w:rsidRPr="00D92FC1">
        <w:rPr>
          <w:rFonts w:ascii="Times New Roman" w:eastAsia="Calibri" w:hAnsi="Times New Roman" w:cs="Times New Roman"/>
          <w:b/>
          <w:sz w:val="24"/>
          <w:szCs w:val="24"/>
        </w:rPr>
        <w:t>art. 258d</w:t>
      </w:r>
      <w:r w:rsidRPr="00D92FC1">
        <w:rPr>
          <w:rFonts w:ascii="Times New Roman" w:eastAsia="Calibri" w:hAnsi="Times New Roman" w:cs="Times New Roman"/>
          <w:sz w:val="24"/>
          <w:szCs w:val="24"/>
        </w:rPr>
        <w:t xml:space="preserve"> </w:t>
      </w:r>
      <w:r w:rsidRPr="00421D44">
        <w:rPr>
          <w:rFonts w:ascii="Times New Roman" w:eastAsia="Calibri" w:hAnsi="Times New Roman" w:cs="Times New Roman"/>
          <w:b/>
          <w:sz w:val="24"/>
          <w:szCs w:val="24"/>
        </w:rPr>
        <w:t>ust. 1</w:t>
      </w:r>
      <w:r>
        <w:rPr>
          <w:rFonts w:ascii="Times New Roman" w:eastAsia="Calibri" w:hAnsi="Times New Roman" w:cs="Times New Roman"/>
          <w:sz w:val="24"/>
          <w:szCs w:val="24"/>
        </w:rPr>
        <w:t xml:space="preserve"> </w:t>
      </w:r>
      <w:r w:rsidRPr="00D92FC1">
        <w:rPr>
          <w:rFonts w:ascii="Times New Roman" w:eastAsia="Calibri" w:hAnsi="Times New Roman" w:cs="Times New Roman"/>
          <w:sz w:val="24"/>
          <w:szCs w:val="24"/>
        </w:rPr>
        <w:t>przewiduje, że od decyzji BFG o objęciu CCP restrukturyzacją i uporządkowaną likwidacją, o któr</w:t>
      </w:r>
      <w:r>
        <w:rPr>
          <w:rFonts w:ascii="Times New Roman" w:eastAsia="Calibri" w:hAnsi="Times New Roman" w:cs="Times New Roman"/>
          <w:sz w:val="24"/>
          <w:szCs w:val="24"/>
        </w:rPr>
        <w:t>ej</w:t>
      </w:r>
      <w:r w:rsidRPr="00D92FC1">
        <w:rPr>
          <w:rFonts w:ascii="Times New Roman" w:eastAsia="Calibri" w:hAnsi="Times New Roman" w:cs="Times New Roman"/>
          <w:sz w:val="24"/>
          <w:szCs w:val="24"/>
        </w:rPr>
        <w:t xml:space="preserve"> mowa w art. 2 pkt 11 rozporządzenia nr 2021/23, zarząd lub członek zarządu CCP w restrukturyzacji albo</w:t>
      </w:r>
      <w:r w:rsidRPr="00D92FC1">
        <w:rPr>
          <w:rFonts w:ascii="Times New Roman" w:hAnsi="Times New Roman" w:cs="Times New Roman"/>
          <w:sz w:val="24"/>
          <w:szCs w:val="24"/>
        </w:rPr>
        <w:t xml:space="preserve"> </w:t>
      </w:r>
      <w:r w:rsidRPr="00D92FC1">
        <w:rPr>
          <w:rFonts w:ascii="Times New Roman" w:eastAsia="Calibri" w:hAnsi="Times New Roman" w:cs="Times New Roman"/>
          <w:sz w:val="24"/>
          <w:szCs w:val="24"/>
        </w:rPr>
        <w:t xml:space="preserve">rada nadzorcza lub członek rady nadzorczej CCP w restrukturyzacji mogą wnieść skargę do sądu administracyjnego. Przepis art. 23 ust. 1 </w:t>
      </w:r>
      <w:r w:rsidRPr="00D92FC1">
        <w:rPr>
          <w:rFonts w:ascii="Times New Roman" w:eastAsia="Calibri" w:hAnsi="Times New Roman" w:cs="Times New Roman"/>
          <w:sz w:val="24"/>
          <w:szCs w:val="24"/>
        </w:rPr>
        <w:lastRenderedPageBreak/>
        <w:t xml:space="preserve">lit. f rozporządzenia nr 2021/23 stanowi, że: </w:t>
      </w:r>
      <w:r w:rsidRPr="008025A0">
        <w:rPr>
          <w:rFonts w:ascii="Times New Roman" w:eastAsia="Calibri" w:hAnsi="Times New Roman" w:cs="Times New Roman"/>
          <w:sz w:val="24"/>
          <w:szCs w:val="24"/>
        </w:rPr>
        <w:t>„</w:t>
      </w:r>
      <w:r w:rsidRPr="00F46449">
        <w:rPr>
          <w:rFonts w:ascii="Times New Roman" w:eastAsia="Calibri" w:hAnsi="Times New Roman" w:cs="Times New Roman"/>
          <w:i/>
          <w:sz w:val="24"/>
          <w:szCs w:val="24"/>
        </w:rPr>
        <w:t>następuje wymiana zarządu i kierownictwa wyższego szczebla CCP objętego restrukturyzacją i uporządkowaną likwidacją</w:t>
      </w:r>
      <w:r w:rsidRPr="008025A0">
        <w:rPr>
          <w:rFonts w:ascii="Times New Roman" w:eastAsia="Calibri" w:hAnsi="Times New Roman" w:cs="Times New Roman"/>
          <w:sz w:val="24"/>
          <w:szCs w:val="24"/>
        </w:rPr>
        <w:t>, poza tymi przypadkami, gdy organ ds. restrukturyzacji i uporządkowanej likwidacji uzna utrzymanie zarządu i kierownictwa wyższego szczebla – w całości lub w części – za konieczne do osiągnięcia celów restrukturyzacji i uporządkowanej likwidacji”.</w:t>
      </w:r>
      <w:r w:rsidRPr="00D92FC1">
        <w:rPr>
          <w:rFonts w:ascii="Times New Roman" w:eastAsia="Calibri" w:hAnsi="Times New Roman" w:cs="Times New Roman"/>
          <w:sz w:val="24"/>
          <w:szCs w:val="24"/>
        </w:rPr>
        <w:t xml:space="preserve"> Wszczęcie przymusowej restrukturyzacji wobec CCP, odmiennie niż w przypadku przymusowej restrukturyzacji banków (art. 113 ustawy o BFG), nie prowadzi </w:t>
      </w:r>
      <w:r>
        <w:rPr>
          <w:rFonts w:ascii="Times New Roman" w:eastAsia="Calibri" w:hAnsi="Times New Roman" w:cs="Times New Roman"/>
          <w:sz w:val="24"/>
          <w:szCs w:val="24"/>
        </w:rPr>
        <w:t xml:space="preserve">zatem </w:t>
      </w:r>
      <w:r w:rsidRPr="00D92FC1">
        <w:rPr>
          <w:rFonts w:ascii="Times New Roman" w:eastAsia="Calibri" w:hAnsi="Times New Roman" w:cs="Times New Roman"/>
          <w:sz w:val="24"/>
          <w:szCs w:val="24"/>
        </w:rPr>
        <w:t xml:space="preserve">do automatycznego wygaśnięcia mandatów członków zarządu CCP – decyduje o tym organ do spraw restrukturyzacji i uporządkowanej likwidacji CCP. </w:t>
      </w:r>
    </w:p>
    <w:p w14:paraId="7D4C28D9" w14:textId="77777777" w:rsidR="00682672" w:rsidRPr="00D92FC1" w:rsidRDefault="00682672" w:rsidP="005E5395">
      <w:pPr>
        <w:spacing w:after="0" w:line="360" w:lineRule="auto"/>
        <w:jc w:val="both"/>
        <w:rPr>
          <w:rFonts w:ascii="Times New Roman" w:eastAsia="Calibri" w:hAnsi="Times New Roman" w:cs="Times New Roman"/>
          <w:sz w:val="24"/>
          <w:szCs w:val="24"/>
        </w:rPr>
      </w:pPr>
      <w:r>
        <w:rPr>
          <w:rFonts w:ascii="Times New Roman" w:hAnsi="Times New Roman" w:cs="Times New Roman"/>
          <w:sz w:val="24"/>
          <w:szCs w:val="24"/>
        </w:rPr>
        <w:t xml:space="preserve">Zasadne jest także podkreślenie, że uprawnienie to przysługuje wyłącznie członkom władz CCP, którzy pełnili funkcję w momencie wydania decyzji </w:t>
      </w:r>
      <w:r w:rsidRPr="00D92FC1">
        <w:rPr>
          <w:rFonts w:ascii="Times New Roman" w:eastAsia="Calibri" w:hAnsi="Times New Roman" w:cs="Times New Roman"/>
          <w:sz w:val="24"/>
          <w:szCs w:val="24"/>
        </w:rPr>
        <w:t xml:space="preserve">o objęciu CCP restrukturyzacją i uporządkowaną likwidacją </w:t>
      </w:r>
      <w:r>
        <w:rPr>
          <w:rFonts w:ascii="Times New Roman" w:eastAsia="Calibri" w:hAnsi="Times New Roman" w:cs="Times New Roman"/>
          <w:sz w:val="24"/>
          <w:szCs w:val="24"/>
        </w:rPr>
        <w:t>(</w:t>
      </w:r>
      <w:r w:rsidRPr="00754969">
        <w:rPr>
          <w:rFonts w:ascii="Times New Roman" w:eastAsia="Calibri" w:hAnsi="Times New Roman" w:cs="Times New Roman"/>
          <w:b/>
          <w:sz w:val="24"/>
          <w:szCs w:val="24"/>
        </w:rPr>
        <w:t>ust. 2</w:t>
      </w:r>
      <w:r>
        <w:rPr>
          <w:rFonts w:ascii="Times New Roman" w:eastAsia="Calibri" w:hAnsi="Times New Roman" w:cs="Times New Roman"/>
          <w:sz w:val="24"/>
          <w:szCs w:val="24"/>
        </w:rPr>
        <w:t xml:space="preserve">). </w:t>
      </w:r>
    </w:p>
    <w:p w14:paraId="6DC7FF8B" w14:textId="77777777" w:rsidR="00682672" w:rsidRDefault="00682672" w:rsidP="005E5395">
      <w:pPr>
        <w:spacing w:after="0" w:line="360" w:lineRule="auto"/>
        <w:jc w:val="both"/>
        <w:rPr>
          <w:rFonts w:ascii="Times New Roman" w:hAnsi="Times New Roman" w:cs="Times New Roman"/>
          <w:sz w:val="24"/>
          <w:szCs w:val="24"/>
        </w:rPr>
      </w:pPr>
      <w:r w:rsidRPr="00D92FC1">
        <w:rPr>
          <w:rFonts w:ascii="Times New Roman" w:eastAsia="Calibri" w:hAnsi="Times New Roman" w:cs="Times New Roman"/>
          <w:sz w:val="24"/>
          <w:szCs w:val="24"/>
        </w:rPr>
        <w:t xml:space="preserve">Ponadto zauważyć należy, że </w:t>
      </w:r>
      <w:r w:rsidRPr="00D92FC1">
        <w:rPr>
          <w:rFonts w:ascii="Times New Roman" w:hAnsi="Times New Roman" w:cs="Times New Roman"/>
          <w:sz w:val="24"/>
          <w:szCs w:val="24"/>
        </w:rPr>
        <w:t>w spółkach kapitałowych członkowie rady nadzorczej są powoływani i odwoływani, co do zasady, przez akcjonariuszy tej spółki. W przypadku CCP istnieje jednak możliwość innego ukształtowania zasad powoływania i odwoływania członków organów statutowych –</w:t>
      </w:r>
      <w:r>
        <w:rPr>
          <w:rFonts w:ascii="Times New Roman" w:hAnsi="Times New Roman" w:cs="Times New Roman"/>
          <w:sz w:val="24"/>
          <w:szCs w:val="24"/>
        </w:rPr>
        <w:t xml:space="preserve"> </w:t>
      </w:r>
      <w:r w:rsidRPr="00D92FC1">
        <w:rPr>
          <w:rFonts w:ascii="Times New Roman" w:hAnsi="Times New Roman" w:cs="Times New Roman"/>
          <w:sz w:val="24"/>
          <w:szCs w:val="24"/>
        </w:rPr>
        <w:t xml:space="preserve">tak jest w przypadku </w:t>
      </w:r>
      <w:r>
        <w:rPr>
          <w:rFonts w:ascii="Times New Roman" w:hAnsi="Times New Roman" w:cs="Times New Roman"/>
          <w:sz w:val="24"/>
          <w:szCs w:val="24"/>
        </w:rPr>
        <w:t xml:space="preserve">spółki </w:t>
      </w:r>
      <w:r w:rsidRPr="00D92FC1">
        <w:rPr>
          <w:rFonts w:ascii="Times New Roman" w:hAnsi="Times New Roman" w:cs="Times New Roman"/>
          <w:sz w:val="24"/>
          <w:szCs w:val="24"/>
        </w:rPr>
        <w:t xml:space="preserve">KDPW_CCP, jedynego CCP z siedzibą w Polsce. Ze względu na potrzebę utrzymania odpowiedniego poziomu niezależności w grupie kapitałowej, stosownie do przepisów rozporządzenia EMIR, a także </w:t>
      </w:r>
      <w:r>
        <w:rPr>
          <w:rFonts w:ascii="Times New Roman" w:hAnsi="Times New Roman" w:cs="Times New Roman"/>
          <w:sz w:val="24"/>
          <w:szCs w:val="24"/>
        </w:rPr>
        <w:t xml:space="preserve">z uwagi na konieczność zabezpieczenia </w:t>
      </w:r>
      <w:r w:rsidRPr="00D92FC1">
        <w:rPr>
          <w:rFonts w:ascii="Times New Roman" w:hAnsi="Times New Roman" w:cs="Times New Roman"/>
          <w:sz w:val="24"/>
          <w:szCs w:val="24"/>
        </w:rPr>
        <w:t>interes</w:t>
      </w:r>
      <w:r>
        <w:rPr>
          <w:rFonts w:ascii="Times New Roman" w:hAnsi="Times New Roman" w:cs="Times New Roman"/>
          <w:sz w:val="24"/>
          <w:szCs w:val="24"/>
        </w:rPr>
        <w:t xml:space="preserve">ów </w:t>
      </w:r>
      <w:r w:rsidRPr="00D92FC1">
        <w:rPr>
          <w:rFonts w:ascii="Times New Roman" w:hAnsi="Times New Roman" w:cs="Times New Roman"/>
          <w:sz w:val="24"/>
          <w:szCs w:val="24"/>
        </w:rPr>
        <w:t>wszystkich interesariuszy</w:t>
      </w:r>
      <w:r>
        <w:rPr>
          <w:rFonts w:ascii="Times New Roman" w:hAnsi="Times New Roman" w:cs="Times New Roman"/>
          <w:sz w:val="24"/>
          <w:szCs w:val="24"/>
        </w:rPr>
        <w:t>,</w:t>
      </w:r>
      <w:r w:rsidRPr="00D92FC1">
        <w:rPr>
          <w:rFonts w:ascii="Times New Roman" w:hAnsi="Times New Roman" w:cs="Times New Roman"/>
          <w:sz w:val="24"/>
          <w:szCs w:val="24"/>
        </w:rPr>
        <w:t xml:space="preserve"> członków rady nadzorczej KDPW_CCP powołuje Skarb Państwa, NBP oraz Giełda Papierów Wartościowych </w:t>
      </w:r>
      <w:r>
        <w:rPr>
          <w:rFonts w:ascii="Times New Roman" w:hAnsi="Times New Roman" w:cs="Times New Roman"/>
          <w:sz w:val="24"/>
          <w:szCs w:val="24"/>
        </w:rPr>
        <w:t>SA. C</w:t>
      </w:r>
      <w:r w:rsidRPr="00D92FC1">
        <w:rPr>
          <w:rFonts w:ascii="Times New Roman" w:hAnsi="Times New Roman" w:cs="Times New Roman"/>
          <w:sz w:val="24"/>
          <w:szCs w:val="24"/>
        </w:rPr>
        <w:t>złonkowie zarządu KDPW_CCP są</w:t>
      </w:r>
      <w:r>
        <w:rPr>
          <w:rFonts w:ascii="Times New Roman" w:hAnsi="Times New Roman" w:cs="Times New Roman"/>
          <w:sz w:val="24"/>
          <w:szCs w:val="24"/>
        </w:rPr>
        <w:t>, co do zasady,</w:t>
      </w:r>
      <w:r w:rsidRPr="00D92FC1">
        <w:rPr>
          <w:rFonts w:ascii="Times New Roman" w:hAnsi="Times New Roman" w:cs="Times New Roman"/>
          <w:sz w:val="24"/>
          <w:szCs w:val="24"/>
        </w:rPr>
        <w:t xml:space="preserve"> powoływani spośród członków zarządu akcjonariusza – </w:t>
      </w:r>
      <w:r>
        <w:rPr>
          <w:rFonts w:ascii="Times New Roman" w:hAnsi="Times New Roman" w:cs="Times New Roman"/>
          <w:sz w:val="24"/>
          <w:szCs w:val="24"/>
        </w:rPr>
        <w:t>Krajowy Depozyt Papierów Wartościowych SA (istnieje także możliwość powołania członka zarządu, który nie pełni jednocześnie funkcji członka zarządu Krajowego Depozytu Papierów Wartościowych SA)</w:t>
      </w:r>
      <w:r w:rsidRPr="00D92FC1">
        <w:rPr>
          <w:rFonts w:ascii="Times New Roman" w:hAnsi="Times New Roman" w:cs="Times New Roman"/>
          <w:sz w:val="24"/>
          <w:szCs w:val="24"/>
        </w:rPr>
        <w:t xml:space="preserve">. </w:t>
      </w:r>
    </w:p>
    <w:p w14:paraId="2CA37B4C" w14:textId="77777777" w:rsidR="00682672" w:rsidRPr="00D92FC1" w:rsidRDefault="00682672" w:rsidP="005E5395">
      <w:pPr>
        <w:spacing w:after="0" w:line="360" w:lineRule="auto"/>
        <w:jc w:val="both"/>
        <w:rPr>
          <w:rFonts w:ascii="Times New Roman" w:eastAsia="Calibri" w:hAnsi="Times New Roman" w:cs="Times New Roman"/>
          <w:sz w:val="24"/>
          <w:szCs w:val="24"/>
        </w:rPr>
      </w:pPr>
      <w:r w:rsidRPr="00D92FC1">
        <w:rPr>
          <w:rFonts w:ascii="Times New Roman" w:hAnsi="Times New Roman" w:cs="Times New Roman"/>
          <w:sz w:val="24"/>
          <w:szCs w:val="24"/>
        </w:rPr>
        <w:t>Zgodnie z art. 74 rozporządzenia nr 2021/23 uprawnionymi do wniesienia skargi do sądu administracyjnego są również wszystkie osoby, na które ma wpływ decyzja o objęciu danego CCP restrukturyzacją i uporządkowaną likwidacją</w:t>
      </w:r>
      <w:r>
        <w:rPr>
          <w:rFonts w:ascii="Times New Roman" w:hAnsi="Times New Roman" w:cs="Times New Roman"/>
          <w:sz w:val="24"/>
          <w:szCs w:val="24"/>
        </w:rPr>
        <w:t>.</w:t>
      </w:r>
      <w:r w:rsidRPr="00D92FC1">
        <w:rPr>
          <w:rFonts w:ascii="Times New Roman" w:hAnsi="Times New Roman" w:cs="Times New Roman"/>
          <w:sz w:val="24"/>
          <w:szCs w:val="24"/>
        </w:rPr>
        <w:t xml:space="preserve"> </w:t>
      </w:r>
    </w:p>
    <w:p w14:paraId="16BDD992" w14:textId="77777777" w:rsidR="00682672" w:rsidRDefault="00682672" w:rsidP="005E5395">
      <w:pPr>
        <w:spacing w:after="0" w:line="360" w:lineRule="auto"/>
        <w:jc w:val="both"/>
        <w:rPr>
          <w:rFonts w:ascii="Times New Roman" w:eastAsia="Calibri" w:hAnsi="Times New Roman" w:cs="Times New Roman"/>
          <w:sz w:val="24"/>
          <w:szCs w:val="24"/>
        </w:rPr>
      </w:pPr>
      <w:r w:rsidRPr="00D92FC1">
        <w:rPr>
          <w:rFonts w:ascii="Times New Roman" w:eastAsia="Calibri" w:hAnsi="Times New Roman" w:cs="Times New Roman"/>
          <w:sz w:val="24"/>
          <w:szCs w:val="24"/>
        </w:rPr>
        <w:t xml:space="preserve">Termin na wniesienie skargi wynosi 14 dni od dnia doręczenia decyzji </w:t>
      </w:r>
      <w:r>
        <w:rPr>
          <w:rFonts w:ascii="Times New Roman" w:eastAsia="Calibri" w:hAnsi="Times New Roman" w:cs="Times New Roman"/>
          <w:sz w:val="24"/>
          <w:szCs w:val="24"/>
        </w:rPr>
        <w:t xml:space="preserve">uprawnionemu </w:t>
      </w:r>
      <w:r w:rsidRPr="00D92FC1">
        <w:rPr>
          <w:rFonts w:ascii="Times New Roman" w:eastAsia="Calibri" w:hAnsi="Times New Roman" w:cs="Times New Roman"/>
          <w:sz w:val="24"/>
          <w:szCs w:val="24"/>
        </w:rPr>
        <w:t xml:space="preserve">podmiotowi. </w:t>
      </w:r>
    </w:p>
    <w:p w14:paraId="0C506A0B" w14:textId="77777777" w:rsidR="00682672" w:rsidRDefault="00682672" w:rsidP="005E5395">
      <w:pPr>
        <w:spacing w:after="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Zgodnie z </w:t>
      </w:r>
      <w:r w:rsidRPr="00754969">
        <w:rPr>
          <w:rFonts w:ascii="Times New Roman" w:eastAsia="Calibri" w:hAnsi="Times New Roman" w:cs="Times New Roman"/>
          <w:b/>
          <w:sz w:val="24"/>
          <w:szCs w:val="24"/>
        </w:rPr>
        <w:t>ust. 3</w:t>
      </w:r>
      <w:r>
        <w:rPr>
          <w:rFonts w:ascii="Times New Roman" w:eastAsia="Calibri" w:hAnsi="Times New Roman" w:cs="Times New Roman"/>
          <w:sz w:val="24"/>
          <w:szCs w:val="24"/>
        </w:rPr>
        <w:t xml:space="preserve"> do decyzji BFG będą miały odpowiednie zastosowanie przepisy dotyczące decyzji wydawanych w toku przymusowej restrukturyzacji banków (art. 104, art. 105 ust. 1 i 2 i art. 106), w zakresie wnoszenia i rozpatrywania skargi do sądu administracyjnego oraz prowadzenia dokumentacji sprawy z wykorzystaniem technik informatycznych. </w:t>
      </w:r>
    </w:p>
    <w:p w14:paraId="0400DDB9" w14:textId="77777777" w:rsidR="00682672" w:rsidRPr="00D92FC1" w:rsidRDefault="00682672" w:rsidP="005E5395">
      <w:pPr>
        <w:spacing w:after="12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Dodawany </w:t>
      </w:r>
      <w:r w:rsidRPr="00C460A3">
        <w:rPr>
          <w:rFonts w:ascii="Times New Roman" w:eastAsia="Calibri" w:hAnsi="Times New Roman" w:cs="Times New Roman"/>
          <w:b/>
          <w:sz w:val="24"/>
          <w:szCs w:val="24"/>
        </w:rPr>
        <w:t>ust. 4</w:t>
      </w:r>
      <w:r>
        <w:rPr>
          <w:rFonts w:ascii="Times New Roman" w:eastAsia="Calibri" w:hAnsi="Times New Roman" w:cs="Times New Roman"/>
          <w:sz w:val="24"/>
          <w:szCs w:val="24"/>
        </w:rPr>
        <w:t xml:space="preserve"> ma na celu </w:t>
      </w:r>
      <w:r w:rsidRPr="00D92FC1">
        <w:rPr>
          <w:rFonts w:ascii="Times New Roman" w:eastAsia="Calibri" w:hAnsi="Times New Roman" w:cs="Times New Roman"/>
          <w:sz w:val="24"/>
          <w:szCs w:val="24"/>
        </w:rPr>
        <w:t xml:space="preserve">objęcie odpowiednimi tajemnicami (art. 320 ust. 2 </w:t>
      </w:r>
      <w:r>
        <w:rPr>
          <w:rFonts w:ascii="Times New Roman" w:eastAsia="Calibri" w:hAnsi="Times New Roman" w:cs="Times New Roman"/>
          <w:sz w:val="24"/>
          <w:szCs w:val="24"/>
        </w:rPr>
        <w:t xml:space="preserve">ustawy o BFG, </w:t>
      </w:r>
      <w:r w:rsidRPr="006A6FFA">
        <w:rPr>
          <w:rFonts w:ascii="Times New Roman" w:eastAsia="Calibri" w:hAnsi="Times New Roman" w:cs="Times New Roman"/>
          <w:sz w:val="24"/>
          <w:szCs w:val="24"/>
        </w:rPr>
        <w:t>art. 104 ustawy – Prawo bankowe, art. 9e ustawy o spółdzielczych kasach oszczędnościowo-kredytowych i art. 147 ustawy o ob</w:t>
      </w:r>
      <w:r>
        <w:rPr>
          <w:rFonts w:ascii="Times New Roman" w:eastAsia="Calibri" w:hAnsi="Times New Roman" w:cs="Times New Roman"/>
          <w:sz w:val="24"/>
          <w:szCs w:val="24"/>
        </w:rPr>
        <w:t>rocie instrumentami finansowymi</w:t>
      </w:r>
      <w:r w:rsidRPr="00D92FC1">
        <w:rPr>
          <w:rFonts w:ascii="Times New Roman" w:eastAsia="Calibri" w:hAnsi="Times New Roman" w:cs="Times New Roman"/>
          <w:sz w:val="24"/>
          <w:szCs w:val="24"/>
        </w:rPr>
        <w:t>) publikacji, o której mowa w art. 72 ust. 3 rozporządzenia nr 2021/23</w:t>
      </w:r>
      <w:r>
        <w:rPr>
          <w:rFonts w:ascii="Times New Roman" w:eastAsia="Calibri" w:hAnsi="Times New Roman" w:cs="Times New Roman"/>
          <w:sz w:val="24"/>
          <w:szCs w:val="24"/>
        </w:rPr>
        <w:t xml:space="preserve">, który przewiduje, że </w:t>
      </w:r>
      <w:r w:rsidRPr="0069297C">
        <w:rPr>
          <w:rFonts w:ascii="Times New Roman" w:eastAsia="Calibri" w:hAnsi="Times New Roman" w:cs="Times New Roman"/>
          <w:i/>
          <w:sz w:val="24"/>
          <w:szCs w:val="24"/>
        </w:rPr>
        <w:t xml:space="preserve">„kopia zarządzenia lub instrumentu, na mocy którego podejmowane jest działanie w ramach restrukturyzacji i uporządkowanej likwidacji, lub obwieszczenie zawierające streszczenie skutków działania w ramach restrukturyzacji i uporządkowanej likwidacji” </w:t>
      </w:r>
      <w:r w:rsidRPr="00D92FC1">
        <w:rPr>
          <w:rFonts w:ascii="Times New Roman" w:eastAsia="Calibri" w:hAnsi="Times New Roman" w:cs="Times New Roman"/>
          <w:sz w:val="24"/>
          <w:szCs w:val="24"/>
        </w:rPr>
        <w:t>mają być opublikowane w określony sposób, w szczególności na stronach internetowych organu do spraw restrukturyzacji i uporządkowanej likwidacji oraz CCP objętego restrukturyzacją i uporządkowaną likwidacją.</w:t>
      </w:r>
    </w:p>
    <w:p w14:paraId="3046BEC0" w14:textId="49EE5100" w:rsidR="00682672" w:rsidRPr="00D92FC1" w:rsidRDefault="00682672" w:rsidP="005E5395">
      <w:pPr>
        <w:spacing w:after="0" w:line="360" w:lineRule="auto"/>
        <w:jc w:val="both"/>
        <w:rPr>
          <w:rFonts w:ascii="Times New Roman" w:eastAsia="Calibri" w:hAnsi="Times New Roman" w:cs="Times New Roman"/>
          <w:sz w:val="24"/>
          <w:szCs w:val="24"/>
        </w:rPr>
      </w:pPr>
      <w:r w:rsidRPr="00D92FC1">
        <w:rPr>
          <w:rFonts w:ascii="Times New Roman" w:eastAsia="Calibri" w:hAnsi="Times New Roman" w:cs="Times New Roman"/>
          <w:sz w:val="24"/>
          <w:szCs w:val="24"/>
        </w:rPr>
        <w:t xml:space="preserve">Przepis </w:t>
      </w:r>
      <w:r w:rsidRPr="00D92FC1">
        <w:rPr>
          <w:rFonts w:ascii="Times New Roman" w:eastAsia="Calibri" w:hAnsi="Times New Roman" w:cs="Times New Roman"/>
          <w:b/>
          <w:sz w:val="24"/>
          <w:szCs w:val="24"/>
        </w:rPr>
        <w:t>art. 258e</w:t>
      </w:r>
      <w:r w:rsidRPr="00D92FC1">
        <w:rPr>
          <w:rFonts w:ascii="Times New Roman" w:eastAsia="Calibri" w:hAnsi="Times New Roman" w:cs="Times New Roman"/>
          <w:sz w:val="24"/>
          <w:szCs w:val="24"/>
        </w:rPr>
        <w:t xml:space="preserve"> przewiduje (tak jak dodawany art. 257f), że BFG jest zobowiązany do niezwłocznego powiadomienia sądu rejestrowego o objęciu CCP</w:t>
      </w:r>
      <w:r>
        <w:rPr>
          <w:rFonts w:ascii="Times New Roman" w:eastAsia="Calibri" w:hAnsi="Times New Roman" w:cs="Times New Roman"/>
          <w:sz w:val="24"/>
          <w:szCs w:val="24"/>
        </w:rPr>
        <w:t xml:space="preserve"> </w:t>
      </w:r>
      <w:r w:rsidRPr="006A6FFA">
        <w:rPr>
          <w:rFonts w:ascii="Times New Roman" w:eastAsia="Calibri" w:hAnsi="Times New Roman" w:cs="Times New Roman"/>
          <w:sz w:val="24"/>
          <w:szCs w:val="24"/>
        </w:rPr>
        <w:t>z siedzibą na terytorium Rzeczypospolitej Polskie</w:t>
      </w:r>
      <w:r>
        <w:rPr>
          <w:rFonts w:ascii="Times New Roman" w:eastAsia="Calibri" w:hAnsi="Times New Roman" w:cs="Times New Roman"/>
          <w:sz w:val="24"/>
          <w:szCs w:val="24"/>
        </w:rPr>
        <w:t>j</w:t>
      </w:r>
      <w:r w:rsidRPr="00D92FC1">
        <w:rPr>
          <w:rFonts w:ascii="Times New Roman" w:eastAsia="Calibri" w:hAnsi="Times New Roman" w:cs="Times New Roman"/>
          <w:sz w:val="24"/>
          <w:szCs w:val="24"/>
        </w:rPr>
        <w:t xml:space="preserve"> restrukturyzacją i uporządkowaną likwidacją w przypadku, gdy zostaną spełnione przesłanki takiego działania, tj. zgodnie z art. 22 rozporządzenia nr 2021/23</w:t>
      </w:r>
      <w:r>
        <w:rPr>
          <w:rFonts w:ascii="Times New Roman" w:eastAsia="Calibri" w:hAnsi="Times New Roman" w:cs="Times New Roman"/>
          <w:sz w:val="24"/>
          <w:szCs w:val="24"/>
        </w:rPr>
        <w:t xml:space="preserve">. W </w:t>
      </w:r>
      <w:r w:rsidRPr="00D92FC1">
        <w:rPr>
          <w:rFonts w:ascii="Times New Roman" w:eastAsia="Calibri" w:hAnsi="Times New Roman" w:cs="Times New Roman"/>
          <w:sz w:val="24"/>
          <w:szCs w:val="24"/>
        </w:rPr>
        <w:t xml:space="preserve">szczególności </w:t>
      </w:r>
      <w:r>
        <w:rPr>
          <w:rFonts w:ascii="Times New Roman" w:eastAsia="Calibri" w:hAnsi="Times New Roman" w:cs="Times New Roman"/>
          <w:sz w:val="24"/>
          <w:szCs w:val="24"/>
        </w:rPr>
        <w:t>chodzi o przypadki</w:t>
      </w:r>
      <w:r w:rsidR="007A4128">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r w:rsidRPr="00D92FC1">
        <w:rPr>
          <w:rFonts w:ascii="Times New Roman" w:eastAsia="Calibri" w:hAnsi="Times New Roman" w:cs="Times New Roman"/>
          <w:sz w:val="24"/>
          <w:szCs w:val="24"/>
        </w:rPr>
        <w:t xml:space="preserve">gdy CCP znajduje się na progu upadłości lub jest zagrożony upadłością, nie istnieje rozsądne prawdopodobieństwo, aby jakiekolwiek alternatywne środki sektora prywatnego lub działanie o charakterze nadzorczym mogły w rozsądnym czasie zapobiec upadłości CCP lub podjęcie działania w ramach restrukturyzacji i uporządkowanej likwidacji jest konieczne w interesie publicznym a likwidacja CCP w ramach standardowego postępowania upadłościowego nie umożliwiłaby osiągnięcia celów restrukturyzacji i uporządkowanej likwidacji w takim samym zakresie. </w:t>
      </w:r>
    </w:p>
    <w:p w14:paraId="25109C99" w14:textId="77777777" w:rsidR="00682672" w:rsidRPr="00D92FC1" w:rsidRDefault="00682672" w:rsidP="005E5395">
      <w:pPr>
        <w:spacing w:after="120" w:line="360" w:lineRule="auto"/>
        <w:jc w:val="both"/>
        <w:rPr>
          <w:rFonts w:ascii="Times New Roman" w:eastAsia="Calibri" w:hAnsi="Times New Roman" w:cs="Times New Roman"/>
          <w:i/>
          <w:sz w:val="24"/>
          <w:szCs w:val="24"/>
        </w:rPr>
      </w:pPr>
      <w:r w:rsidRPr="00D92FC1">
        <w:rPr>
          <w:rFonts w:ascii="Times New Roman" w:eastAsia="Calibri" w:hAnsi="Times New Roman" w:cs="Times New Roman"/>
          <w:sz w:val="24"/>
          <w:szCs w:val="24"/>
        </w:rPr>
        <w:t>BFG będzie także zobowiązany do powiadomienia sądu rejestrowego o zakończeniu restrukturyzacji i uporządkowanej likwidacji CCP.</w:t>
      </w:r>
    </w:p>
    <w:p w14:paraId="0954730D" w14:textId="77777777" w:rsidR="00682672" w:rsidRPr="00D92FC1" w:rsidRDefault="00682672" w:rsidP="005E5395">
      <w:pPr>
        <w:spacing w:after="120" w:line="360" w:lineRule="auto"/>
        <w:jc w:val="both"/>
        <w:rPr>
          <w:rFonts w:ascii="Times New Roman" w:eastAsia="Calibri" w:hAnsi="Times New Roman" w:cs="Times New Roman"/>
          <w:sz w:val="24"/>
          <w:szCs w:val="24"/>
        </w:rPr>
      </w:pPr>
      <w:r w:rsidRPr="00D92FC1">
        <w:rPr>
          <w:rFonts w:ascii="Times New Roman" w:eastAsia="Calibri" w:hAnsi="Times New Roman" w:cs="Times New Roman"/>
          <w:sz w:val="24"/>
          <w:szCs w:val="24"/>
        </w:rPr>
        <w:t xml:space="preserve">Dodany </w:t>
      </w:r>
      <w:r w:rsidRPr="00D92FC1">
        <w:rPr>
          <w:rFonts w:ascii="Times New Roman" w:eastAsia="Calibri" w:hAnsi="Times New Roman" w:cs="Times New Roman"/>
          <w:b/>
          <w:sz w:val="24"/>
          <w:szCs w:val="24"/>
        </w:rPr>
        <w:t>art. 258f</w:t>
      </w:r>
      <w:r w:rsidRPr="00D92FC1">
        <w:rPr>
          <w:rFonts w:ascii="Times New Roman" w:eastAsia="Calibri" w:hAnsi="Times New Roman" w:cs="Times New Roman"/>
          <w:sz w:val="24"/>
          <w:szCs w:val="24"/>
        </w:rPr>
        <w:t xml:space="preserve"> nakłada na BFG obowiązek zgłoszenia powołania</w:t>
      </w:r>
      <w:r>
        <w:rPr>
          <w:rFonts w:ascii="Times New Roman" w:eastAsia="Calibri" w:hAnsi="Times New Roman" w:cs="Times New Roman"/>
          <w:sz w:val="24"/>
          <w:szCs w:val="24"/>
        </w:rPr>
        <w:t>, odwołania i zmiany</w:t>
      </w:r>
      <w:r w:rsidRPr="00D92FC1">
        <w:rPr>
          <w:rFonts w:ascii="Times New Roman" w:eastAsia="Calibri" w:hAnsi="Times New Roman" w:cs="Times New Roman"/>
          <w:sz w:val="24"/>
          <w:szCs w:val="24"/>
        </w:rPr>
        <w:t xml:space="preserve"> zarządcy nadzwyczajnego (art. 50 rozporządzenia nr 2021/23) do Krajowego Rejestru Sądowego, dalej „KRS”. Jest to kolejny przepis (poza np. art. 258e), który realizuje zasadę pewności obrotu gospodarczego.</w:t>
      </w:r>
    </w:p>
    <w:p w14:paraId="07CE688E" w14:textId="56A64FD4" w:rsidR="00682672" w:rsidRPr="00D92FC1" w:rsidRDefault="00682672" w:rsidP="005E5395">
      <w:pPr>
        <w:spacing w:after="0" w:line="360" w:lineRule="auto"/>
        <w:jc w:val="both"/>
        <w:rPr>
          <w:rFonts w:ascii="Times New Roman" w:eastAsia="Calibri" w:hAnsi="Times New Roman" w:cs="Times New Roman"/>
          <w:sz w:val="24"/>
          <w:szCs w:val="24"/>
        </w:rPr>
      </w:pPr>
      <w:r w:rsidRPr="00D92FC1">
        <w:rPr>
          <w:rFonts w:ascii="Times New Roman" w:eastAsia="Calibri" w:hAnsi="Times New Roman" w:cs="Times New Roman"/>
          <w:sz w:val="24"/>
          <w:szCs w:val="24"/>
        </w:rPr>
        <w:t xml:space="preserve">Dodawany </w:t>
      </w:r>
      <w:r w:rsidRPr="00D92FC1">
        <w:rPr>
          <w:rFonts w:ascii="Times New Roman" w:eastAsia="Calibri" w:hAnsi="Times New Roman" w:cs="Times New Roman"/>
          <w:b/>
          <w:sz w:val="24"/>
          <w:szCs w:val="24"/>
        </w:rPr>
        <w:t>art. 258g</w:t>
      </w:r>
      <w:r w:rsidRPr="00D92FC1">
        <w:rPr>
          <w:rFonts w:ascii="Times New Roman" w:eastAsia="Calibri" w:hAnsi="Times New Roman" w:cs="Times New Roman"/>
          <w:sz w:val="24"/>
          <w:szCs w:val="24"/>
        </w:rPr>
        <w:t xml:space="preserve"> wynika z doświadczeń BFG w zakresie przymusowej restrukturyzacji banków i jest wzorowany na art. 124. Dotyczy stosowania wobec CCP w restrukturyzacji instrumentu zbycia działalności oraz instrumentu CCP pomostowego, w kontekście realizacji obowiązków wynikających w szczególności z art. 23¹ § 3 Kodeksu pracy i art. 26¹ ust. 1 ustawy z dnia 23 maja 1991 r. o związkach zawodowych (Dz. U. z 20</w:t>
      </w:r>
      <w:r>
        <w:rPr>
          <w:rFonts w:ascii="Times New Roman" w:eastAsia="Calibri" w:hAnsi="Times New Roman" w:cs="Times New Roman"/>
          <w:sz w:val="24"/>
          <w:szCs w:val="24"/>
        </w:rPr>
        <w:t>22</w:t>
      </w:r>
      <w:r w:rsidRPr="00D92FC1">
        <w:rPr>
          <w:rFonts w:ascii="Times New Roman" w:eastAsia="Calibri" w:hAnsi="Times New Roman" w:cs="Times New Roman"/>
          <w:sz w:val="24"/>
          <w:szCs w:val="24"/>
        </w:rPr>
        <w:t xml:space="preserve"> r. poz. </w:t>
      </w:r>
      <w:r>
        <w:rPr>
          <w:rFonts w:ascii="Times New Roman" w:eastAsia="Calibri" w:hAnsi="Times New Roman" w:cs="Times New Roman"/>
          <w:sz w:val="24"/>
          <w:szCs w:val="24"/>
        </w:rPr>
        <w:t>854</w:t>
      </w:r>
      <w:r w:rsidRPr="00D92FC1">
        <w:rPr>
          <w:rFonts w:ascii="Times New Roman" w:eastAsia="Calibri" w:hAnsi="Times New Roman" w:cs="Times New Roman"/>
          <w:sz w:val="24"/>
          <w:szCs w:val="24"/>
        </w:rPr>
        <w:t xml:space="preserve">) dotyczących przejścia zakładu pracy na innego pracodawcę w konsekwencji zastosowania jednego z takich instrumentów </w:t>
      </w:r>
    </w:p>
    <w:p w14:paraId="148DD738" w14:textId="77777777" w:rsidR="00682672" w:rsidRPr="00D92FC1" w:rsidRDefault="00682672" w:rsidP="005E5395">
      <w:pPr>
        <w:spacing w:after="0" w:line="360" w:lineRule="auto"/>
        <w:jc w:val="both"/>
        <w:rPr>
          <w:rFonts w:ascii="Times New Roman" w:eastAsia="Calibri" w:hAnsi="Times New Roman" w:cs="Times New Roman"/>
          <w:sz w:val="24"/>
          <w:szCs w:val="24"/>
        </w:rPr>
      </w:pPr>
      <w:r w:rsidRPr="00D92FC1">
        <w:rPr>
          <w:rFonts w:ascii="Times New Roman" w:eastAsia="Calibri" w:hAnsi="Times New Roman" w:cs="Times New Roman"/>
          <w:sz w:val="24"/>
          <w:szCs w:val="24"/>
        </w:rPr>
        <w:lastRenderedPageBreak/>
        <w:t>Celem proponowanych rozwiązań jest możliwość ochrony miejsc pracy w przedsiębiorstwie CCP objętym</w:t>
      </w:r>
      <w:r>
        <w:rPr>
          <w:rFonts w:ascii="Times New Roman" w:eastAsia="Calibri" w:hAnsi="Times New Roman" w:cs="Times New Roman"/>
          <w:sz w:val="24"/>
          <w:szCs w:val="24"/>
        </w:rPr>
        <w:t xml:space="preserve"> </w:t>
      </w:r>
      <w:r w:rsidRPr="00D92FC1">
        <w:rPr>
          <w:rFonts w:ascii="Times New Roman" w:eastAsia="Calibri" w:hAnsi="Times New Roman" w:cs="Times New Roman"/>
          <w:sz w:val="24"/>
          <w:szCs w:val="24"/>
        </w:rPr>
        <w:t xml:space="preserve">przymusową restrukturyzacją na podstawie decyzji administracyjnej BFG. </w:t>
      </w:r>
    </w:p>
    <w:p w14:paraId="20864BB3" w14:textId="77777777" w:rsidR="00682672" w:rsidRPr="00D92FC1" w:rsidRDefault="00682672" w:rsidP="005E5395">
      <w:pPr>
        <w:spacing w:after="0" w:line="360" w:lineRule="auto"/>
        <w:jc w:val="both"/>
        <w:rPr>
          <w:rFonts w:ascii="Times New Roman" w:eastAsia="Calibri" w:hAnsi="Times New Roman" w:cs="Times New Roman"/>
          <w:sz w:val="24"/>
          <w:szCs w:val="24"/>
        </w:rPr>
      </w:pPr>
      <w:r w:rsidRPr="00D92FC1">
        <w:rPr>
          <w:rFonts w:ascii="Times New Roman" w:eastAsia="Calibri" w:hAnsi="Times New Roman" w:cs="Times New Roman"/>
          <w:sz w:val="24"/>
          <w:szCs w:val="24"/>
        </w:rPr>
        <w:t>Zgodnie z art. 41</w:t>
      </w:r>
      <w:r w:rsidRPr="00D92FC1">
        <w:rPr>
          <w:rFonts w:ascii="Times New Roman" w:eastAsia="Calibri" w:hAnsi="Times New Roman" w:cs="Times New Roman"/>
          <w:sz w:val="24"/>
          <w:szCs w:val="24"/>
          <w:vertAlign w:val="superscript"/>
        </w:rPr>
        <w:t>1</w:t>
      </w:r>
      <w:r w:rsidRPr="00D92FC1">
        <w:rPr>
          <w:rFonts w:ascii="Times New Roman" w:eastAsia="Calibri" w:hAnsi="Times New Roman" w:cs="Times New Roman"/>
          <w:sz w:val="24"/>
          <w:szCs w:val="24"/>
        </w:rPr>
        <w:t xml:space="preserve"> Kodeksu pracy w przypadku ogłoszenia upadłości pracodawcy zastosowania nie znajduje szereg przepisów prawa pracy mających na celu ochronę praw pracowniczych.</w:t>
      </w:r>
    </w:p>
    <w:p w14:paraId="5B12C906" w14:textId="77777777" w:rsidR="00682672" w:rsidRPr="00D92FC1" w:rsidRDefault="00682672" w:rsidP="005E5395">
      <w:pPr>
        <w:spacing w:after="120" w:line="360" w:lineRule="auto"/>
        <w:jc w:val="both"/>
        <w:rPr>
          <w:rFonts w:ascii="Times New Roman" w:eastAsia="Calibri" w:hAnsi="Times New Roman" w:cs="Times New Roman"/>
          <w:sz w:val="24"/>
          <w:szCs w:val="24"/>
        </w:rPr>
      </w:pPr>
      <w:r w:rsidRPr="00D92FC1">
        <w:rPr>
          <w:rFonts w:ascii="Times New Roman" w:eastAsia="Calibri" w:hAnsi="Times New Roman" w:cs="Times New Roman"/>
          <w:sz w:val="24"/>
          <w:szCs w:val="24"/>
        </w:rPr>
        <w:t xml:space="preserve">Objęcie CCP restrukturyzacją i uporządkowaną likwidacją oraz zastosowanie jednego z instrumentów restrukturyzacji i uporządkowanej likwidacji CCP jest niewątpliwie lepszym rozwiązaniem z punktu widzenia ochrony praw pracowniczych niż ogłoszenie upadłości dotychczasowego pracodawcy. </w:t>
      </w:r>
    </w:p>
    <w:p w14:paraId="7AB6D174" w14:textId="77777777" w:rsidR="00682672" w:rsidRPr="00D92FC1" w:rsidRDefault="00682672" w:rsidP="005E5395">
      <w:pPr>
        <w:spacing w:after="0" w:line="360" w:lineRule="auto"/>
        <w:jc w:val="both"/>
        <w:rPr>
          <w:rFonts w:ascii="Times New Roman" w:eastAsia="Calibri" w:hAnsi="Times New Roman" w:cs="Times New Roman"/>
          <w:sz w:val="24"/>
          <w:szCs w:val="24"/>
        </w:rPr>
      </w:pPr>
      <w:r w:rsidRPr="00D92FC1">
        <w:rPr>
          <w:rFonts w:ascii="Times New Roman" w:eastAsia="Calibri" w:hAnsi="Times New Roman" w:cs="Times New Roman"/>
          <w:sz w:val="24"/>
          <w:szCs w:val="24"/>
        </w:rPr>
        <w:t xml:space="preserve">Dodany </w:t>
      </w:r>
      <w:r w:rsidRPr="00D92FC1">
        <w:rPr>
          <w:rFonts w:ascii="Times New Roman" w:eastAsia="Calibri" w:hAnsi="Times New Roman" w:cs="Times New Roman"/>
          <w:b/>
          <w:sz w:val="24"/>
          <w:szCs w:val="24"/>
        </w:rPr>
        <w:t>art. 258h</w:t>
      </w:r>
      <w:r w:rsidRPr="00D92FC1">
        <w:rPr>
          <w:rFonts w:ascii="Times New Roman" w:eastAsia="Calibri" w:hAnsi="Times New Roman" w:cs="Times New Roman"/>
          <w:sz w:val="24"/>
          <w:szCs w:val="24"/>
        </w:rPr>
        <w:t xml:space="preserve"> jest wzorowany na analogicznym rozwiązaniu dotyczącym przymusowej restrukturyzacji banków i kompleksowo reguluje kwestie umarzania, konwersji i emisji instrumentów właścicielskich i instrumentów dłużnych lub innych niezabezpieczonych zobowiązań.</w:t>
      </w:r>
    </w:p>
    <w:p w14:paraId="528E4D05" w14:textId="34A69BA2" w:rsidR="00682672" w:rsidRPr="00D92FC1" w:rsidRDefault="00682672" w:rsidP="005E5395">
      <w:pPr>
        <w:pStyle w:val="ZARTzmartartykuempunktem"/>
        <w:ind w:left="0" w:firstLine="0"/>
        <w:rPr>
          <w:rFonts w:ascii="Times New Roman" w:hAnsi="Times New Roman" w:cs="Times New Roman"/>
          <w:szCs w:val="24"/>
        </w:rPr>
      </w:pPr>
      <w:r w:rsidRPr="00D92FC1">
        <w:rPr>
          <w:rFonts w:ascii="Times New Roman" w:eastAsia="Calibri" w:hAnsi="Times New Roman" w:cs="Times New Roman"/>
          <w:szCs w:val="24"/>
          <w:lang w:eastAsia="en-US"/>
        </w:rPr>
        <w:t xml:space="preserve">Zgodnie z </w:t>
      </w:r>
      <w:r w:rsidRPr="00D92FC1">
        <w:rPr>
          <w:rFonts w:ascii="Times New Roman" w:eastAsia="Calibri" w:hAnsi="Times New Roman" w:cs="Times New Roman"/>
          <w:b/>
          <w:szCs w:val="24"/>
          <w:lang w:eastAsia="en-US"/>
        </w:rPr>
        <w:t>ust. 1</w:t>
      </w:r>
      <w:r w:rsidRPr="00D92FC1">
        <w:rPr>
          <w:rFonts w:ascii="Times New Roman" w:eastAsia="Calibri" w:hAnsi="Times New Roman" w:cs="Times New Roman"/>
          <w:szCs w:val="24"/>
          <w:lang w:eastAsia="en-US"/>
        </w:rPr>
        <w:t xml:space="preserve"> w przypadku gdy ww. instrumenty stanowią instrumenty finansowe rejestrowane w depozycie papierów wartościowych, BFG – jako organ restrukturyzacji i uporządkowanej likwidacji dla CCP – </w:t>
      </w:r>
      <w:r>
        <w:rPr>
          <w:rFonts w:ascii="Times New Roman" w:eastAsia="Calibri" w:hAnsi="Times New Roman" w:cs="Times New Roman"/>
          <w:szCs w:val="24"/>
          <w:lang w:eastAsia="en-US"/>
        </w:rPr>
        <w:t xml:space="preserve">będzie miał </w:t>
      </w:r>
      <w:r w:rsidRPr="00D92FC1">
        <w:rPr>
          <w:rFonts w:ascii="Times New Roman" w:eastAsia="Calibri" w:hAnsi="Times New Roman" w:cs="Times New Roman"/>
          <w:szCs w:val="24"/>
          <w:lang w:eastAsia="en-US"/>
        </w:rPr>
        <w:t>uprawnienie do ich umorzenia lub konwersji. Proces ten nast</w:t>
      </w:r>
      <w:r>
        <w:rPr>
          <w:rFonts w:ascii="Times New Roman" w:eastAsia="Calibri" w:hAnsi="Times New Roman" w:cs="Times New Roman"/>
          <w:szCs w:val="24"/>
          <w:lang w:eastAsia="en-US"/>
        </w:rPr>
        <w:t xml:space="preserve">ąpi </w:t>
      </w:r>
      <w:r w:rsidRPr="00D92FC1">
        <w:rPr>
          <w:rFonts w:ascii="Times New Roman" w:eastAsia="Calibri" w:hAnsi="Times New Roman" w:cs="Times New Roman"/>
          <w:szCs w:val="24"/>
          <w:lang w:eastAsia="en-US"/>
        </w:rPr>
        <w:t xml:space="preserve">według stanu na koniec dnia, w którym decyzja BFG w sprawie zastosowania tego instrumentu została zamieszczona na </w:t>
      </w:r>
      <w:r w:rsidR="002B39F6" w:rsidRPr="00D92FC1">
        <w:rPr>
          <w:rFonts w:ascii="Times New Roman" w:eastAsia="Calibri" w:hAnsi="Times New Roman" w:cs="Times New Roman"/>
          <w:szCs w:val="24"/>
          <w:lang w:eastAsia="en-US"/>
        </w:rPr>
        <w:t xml:space="preserve">jego </w:t>
      </w:r>
      <w:r w:rsidRPr="00D92FC1">
        <w:rPr>
          <w:rFonts w:ascii="Times New Roman" w:eastAsia="Calibri" w:hAnsi="Times New Roman" w:cs="Times New Roman"/>
          <w:szCs w:val="24"/>
          <w:lang w:eastAsia="en-US"/>
        </w:rPr>
        <w:t xml:space="preserve">stronie internetowej; dzień ten będzie także dniem ustalenia osób uprawnionych z umarzanych lub konwertowanych instrumentów finansowych. </w:t>
      </w:r>
      <w:r>
        <w:rPr>
          <w:rFonts w:ascii="Times New Roman" w:eastAsia="Calibri" w:hAnsi="Times New Roman" w:cs="Times New Roman"/>
          <w:szCs w:val="24"/>
          <w:lang w:eastAsia="en-US"/>
        </w:rPr>
        <w:t>P</w:t>
      </w:r>
      <w:r w:rsidRPr="00D92FC1">
        <w:rPr>
          <w:rFonts w:ascii="Times New Roman" w:eastAsia="Calibri" w:hAnsi="Times New Roman" w:cs="Times New Roman"/>
          <w:szCs w:val="24"/>
          <w:lang w:eastAsia="en-US"/>
        </w:rPr>
        <w:t xml:space="preserve">rzez odpowiednie stosowanie art. 212a ust. 1 i 2 </w:t>
      </w:r>
      <w:r>
        <w:rPr>
          <w:rFonts w:ascii="Times New Roman" w:eastAsia="Calibri" w:hAnsi="Times New Roman" w:cs="Times New Roman"/>
          <w:szCs w:val="24"/>
          <w:lang w:eastAsia="en-US"/>
        </w:rPr>
        <w:t xml:space="preserve"> </w:t>
      </w:r>
      <w:r w:rsidRPr="00D92FC1">
        <w:rPr>
          <w:rFonts w:ascii="Times New Roman" w:eastAsia="Calibri" w:hAnsi="Times New Roman" w:cs="Times New Roman"/>
          <w:szCs w:val="24"/>
          <w:lang w:eastAsia="en-US"/>
        </w:rPr>
        <w:t>określ</w:t>
      </w:r>
      <w:r>
        <w:rPr>
          <w:rFonts w:ascii="Times New Roman" w:eastAsia="Calibri" w:hAnsi="Times New Roman" w:cs="Times New Roman"/>
          <w:szCs w:val="24"/>
          <w:lang w:eastAsia="en-US"/>
        </w:rPr>
        <w:t>ono</w:t>
      </w:r>
      <w:r w:rsidRPr="00D92FC1">
        <w:rPr>
          <w:rFonts w:ascii="Times New Roman" w:eastAsia="Calibri" w:hAnsi="Times New Roman" w:cs="Times New Roman"/>
          <w:szCs w:val="24"/>
          <w:lang w:eastAsia="en-US"/>
        </w:rPr>
        <w:t xml:space="preserve"> </w:t>
      </w:r>
      <w:r w:rsidRPr="00D92FC1">
        <w:rPr>
          <w:rFonts w:ascii="Times New Roman" w:eastAsia="Calibri" w:hAnsi="Times New Roman" w:cs="Times New Roman"/>
          <w:szCs w:val="24"/>
        </w:rPr>
        <w:t>elementy decyzj</w:t>
      </w:r>
      <w:r>
        <w:rPr>
          <w:rFonts w:ascii="Times New Roman" w:eastAsia="Calibri" w:hAnsi="Times New Roman" w:cs="Times New Roman"/>
          <w:szCs w:val="24"/>
        </w:rPr>
        <w:t>i</w:t>
      </w:r>
      <w:r w:rsidRPr="00D92FC1">
        <w:rPr>
          <w:rFonts w:ascii="Times New Roman" w:eastAsia="Calibri" w:hAnsi="Times New Roman" w:cs="Times New Roman"/>
          <w:szCs w:val="24"/>
        </w:rPr>
        <w:t xml:space="preserve"> BFG w sprawie umorzenia lub konwersji instrumentów kapitałowych oraz zobowiązań kwalifikowalnych</w:t>
      </w:r>
      <w:r>
        <w:rPr>
          <w:rFonts w:ascii="Times New Roman" w:eastAsia="Calibri" w:hAnsi="Times New Roman" w:cs="Times New Roman"/>
          <w:szCs w:val="24"/>
        </w:rPr>
        <w:t xml:space="preserve">. </w:t>
      </w:r>
      <w:r w:rsidRPr="00D92FC1">
        <w:rPr>
          <w:rFonts w:ascii="Times New Roman" w:hAnsi="Times New Roman" w:cs="Times New Roman"/>
          <w:szCs w:val="24"/>
        </w:rPr>
        <w:t>Decyzja zastąpi określone w Kodeksie spółek handlowych czynności związane z obniżeniem lub podwyższeniem kapitału zakładowego, przystąpieniem do spółki, objęciem udziałów lub akcji oraz wniesieniem wkładu, jak również pokryciem straty</w:t>
      </w:r>
      <w:r>
        <w:rPr>
          <w:rFonts w:ascii="Times New Roman" w:hAnsi="Times New Roman" w:cs="Times New Roman"/>
          <w:szCs w:val="24"/>
        </w:rPr>
        <w:t>, tj. –</w:t>
      </w:r>
      <w:r w:rsidRPr="00D92FC1">
        <w:rPr>
          <w:rFonts w:ascii="Times New Roman" w:hAnsi="Times New Roman" w:cs="Times New Roman"/>
          <w:szCs w:val="24"/>
        </w:rPr>
        <w:t>czynności korporacyjn</w:t>
      </w:r>
      <w:r>
        <w:rPr>
          <w:rFonts w:ascii="Times New Roman" w:hAnsi="Times New Roman" w:cs="Times New Roman"/>
          <w:szCs w:val="24"/>
        </w:rPr>
        <w:t>e</w:t>
      </w:r>
      <w:r w:rsidRPr="00D92FC1">
        <w:rPr>
          <w:rFonts w:ascii="Times New Roman" w:hAnsi="Times New Roman" w:cs="Times New Roman"/>
          <w:szCs w:val="24"/>
        </w:rPr>
        <w:t xml:space="preserve"> i rejestrow</w:t>
      </w:r>
      <w:r>
        <w:rPr>
          <w:rFonts w:ascii="Times New Roman" w:hAnsi="Times New Roman" w:cs="Times New Roman"/>
          <w:szCs w:val="24"/>
        </w:rPr>
        <w:t>e</w:t>
      </w:r>
      <w:r w:rsidRPr="00D92FC1">
        <w:rPr>
          <w:rFonts w:ascii="Times New Roman" w:hAnsi="Times New Roman" w:cs="Times New Roman"/>
          <w:szCs w:val="24"/>
        </w:rPr>
        <w:t>, których podstawą mogą być regulacje wewnętrzne – statut lub umowa spółki. Decyzja</w:t>
      </w:r>
      <w:r>
        <w:rPr>
          <w:rFonts w:ascii="Times New Roman" w:hAnsi="Times New Roman" w:cs="Times New Roman"/>
          <w:szCs w:val="24"/>
        </w:rPr>
        <w:t xml:space="preserve"> </w:t>
      </w:r>
      <w:r w:rsidRPr="00D92FC1">
        <w:rPr>
          <w:rFonts w:ascii="Times New Roman" w:hAnsi="Times New Roman" w:cs="Times New Roman"/>
          <w:szCs w:val="24"/>
        </w:rPr>
        <w:t xml:space="preserve">będzie miała charakter konstytutywny – umorzenie instrumentów kapitałowych nastąpi z chwilą </w:t>
      </w:r>
      <w:r>
        <w:rPr>
          <w:rFonts w:ascii="Times New Roman" w:hAnsi="Times New Roman" w:cs="Times New Roman"/>
          <w:szCs w:val="24"/>
        </w:rPr>
        <w:t xml:space="preserve">jej </w:t>
      </w:r>
      <w:r w:rsidRPr="00D92FC1">
        <w:rPr>
          <w:rFonts w:ascii="Times New Roman" w:hAnsi="Times New Roman" w:cs="Times New Roman"/>
          <w:szCs w:val="24"/>
        </w:rPr>
        <w:t xml:space="preserve">wejścia do obrotu prawnego, tj. z momentem jej doręczenia. </w:t>
      </w:r>
      <w:r>
        <w:rPr>
          <w:rFonts w:ascii="Times New Roman" w:eastAsia="Calibri" w:hAnsi="Times New Roman" w:cs="Times New Roman"/>
          <w:szCs w:val="24"/>
          <w:lang w:eastAsia="en-US"/>
        </w:rPr>
        <w:t xml:space="preserve">  </w:t>
      </w:r>
    </w:p>
    <w:p w14:paraId="382D98A7" w14:textId="77777777" w:rsidR="00682672" w:rsidRPr="00D92FC1" w:rsidRDefault="00682672" w:rsidP="005E5395">
      <w:pPr>
        <w:pStyle w:val="ZARTzmartartykuempunktem"/>
        <w:ind w:left="0" w:firstLine="0"/>
        <w:rPr>
          <w:rFonts w:ascii="Times New Roman" w:eastAsia="Calibri" w:hAnsi="Times New Roman" w:cs="Times New Roman"/>
          <w:szCs w:val="24"/>
        </w:rPr>
      </w:pPr>
      <w:r w:rsidRPr="00D92FC1">
        <w:rPr>
          <w:rFonts w:ascii="Times New Roman" w:hAnsi="Times New Roman" w:cs="Times New Roman"/>
          <w:szCs w:val="24"/>
        </w:rPr>
        <w:t xml:space="preserve">Przepis </w:t>
      </w:r>
      <w:r w:rsidRPr="00D92FC1">
        <w:rPr>
          <w:rFonts w:ascii="Times New Roman" w:hAnsi="Times New Roman" w:cs="Times New Roman"/>
          <w:b/>
          <w:szCs w:val="24"/>
        </w:rPr>
        <w:t>ust. 2</w:t>
      </w:r>
      <w:r w:rsidRPr="00D92FC1">
        <w:rPr>
          <w:rFonts w:ascii="Times New Roman" w:hAnsi="Times New Roman" w:cs="Times New Roman"/>
          <w:szCs w:val="24"/>
        </w:rPr>
        <w:t xml:space="preserve"> stanowi, że decyzja BFG w przedmiocie zastosowania instrumentu </w:t>
      </w:r>
      <w:r w:rsidRPr="00D92FC1">
        <w:rPr>
          <w:rFonts w:ascii="Times New Roman" w:eastAsia="Calibri" w:hAnsi="Times New Roman" w:cs="Times New Roman"/>
          <w:szCs w:val="24"/>
          <w:lang w:eastAsia="en-US"/>
        </w:rPr>
        <w:t>umorzenia lub konwersji</w:t>
      </w:r>
      <w:r w:rsidRPr="00D92FC1">
        <w:rPr>
          <w:rFonts w:ascii="Times New Roman" w:hAnsi="Times New Roman" w:cs="Times New Roman"/>
          <w:szCs w:val="24"/>
        </w:rPr>
        <w:t xml:space="preserve"> zamieszczona na stronie internetowej BFG zastępuje przekazanie odpisu decyzji</w:t>
      </w:r>
      <w:r w:rsidRPr="00D92FC1">
        <w:rPr>
          <w:rFonts w:ascii="Times New Roman" w:eastAsia="Calibri" w:hAnsi="Times New Roman" w:cs="Times New Roman"/>
          <w:szCs w:val="24"/>
        </w:rPr>
        <w:t xml:space="preserve"> akcjonariuszom lub wspólnikom, którzy na podstawie tej decyzji objęli akcje lub udziały w podwyższonym kapitale zakładowym, akcjonariuszom lub wspólnikom, których akcje lub udziały zostały umorzone na podstawie tej decyzji oraz obligatariuszom lub posiadaczom innych instrumentów kapitałowych lub finansowych, które podlegają umorzeniu albo </w:t>
      </w:r>
      <w:r w:rsidRPr="00D92FC1">
        <w:rPr>
          <w:rFonts w:ascii="Times New Roman" w:eastAsia="Calibri" w:hAnsi="Times New Roman" w:cs="Times New Roman"/>
          <w:szCs w:val="24"/>
        </w:rPr>
        <w:lastRenderedPageBreak/>
        <w:t xml:space="preserve">konwersji na podstawie tej decyzji. </w:t>
      </w:r>
      <w:r>
        <w:rPr>
          <w:rFonts w:ascii="Times New Roman" w:eastAsia="Calibri" w:hAnsi="Times New Roman" w:cs="Times New Roman"/>
          <w:szCs w:val="24"/>
        </w:rPr>
        <w:t xml:space="preserve">Rozwiązanie </w:t>
      </w:r>
      <w:r w:rsidRPr="00D92FC1">
        <w:rPr>
          <w:rFonts w:ascii="Times New Roman" w:eastAsia="Calibri" w:hAnsi="Times New Roman" w:cs="Times New Roman"/>
          <w:szCs w:val="24"/>
        </w:rPr>
        <w:t xml:space="preserve">to </w:t>
      </w:r>
      <w:r>
        <w:rPr>
          <w:rFonts w:ascii="Times New Roman" w:eastAsia="Calibri" w:hAnsi="Times New Roman" w:cs="Times New Roman"/>
          <w:szCs w:val="24"/>
        </w:rPr>
        <w:t xml:space="preserve">będzie </w:t>
      </w:r>
      <w:r w:rsidRPr="00D92FC1">
        <w:rPr>
          <w:rFonts w:ascii="Times New Roman" w:eastAsia="Calibri" w:hAnsi="Times New Roman" w:cs="Times New Roman"/>
          <w:szCs w:val="24"/>
        </w:rPr>
        <w:t>sprzyjać sprawnej realizacji krótkoterminowego celu, jakim jest pokrycie strat i dokapitalizowanie podmiotu.</w:t>
      </w:r>
    </w:p>
    <w:p w14:paraId="4845FE5B" w14:textId="77777777" w:rsidR="00682672" w:rsidRPr="00D92FC1" w:rsidRDefault="00682672" w:rsidP="005E5395">
      <w:pPr>
        <w:spacing w:after="0" w:line="360" w:lineRule="auto"/>
        <w:jc w:val="both"/>
        <w:rPr>
          <w:rFonts w:ascii="Times New Roman" w:eastAsia="Calibri" w:hAnsi="Times New Roman" w:cs="Times New Roman"/>
          <w:sz w:val="24"/>
          <w:szCs w:val="24"/>
        </w:rPr>
      </w:pPr>
      <w:r w:rsidRPr="00D92FC1">
        <w:rPr>
          <w:rFonts w:ascii="Times New Roman" w:eastAsia="Calibri" w:hAnsi="Times New Roman" w:cs="Times New Roman"/>
          <w:sz w:val="24"/>
          <w:szCs w:val="24"/>
        </w:rPr>
        <w:t xml:space="preserve">Przepis </w:t>
      </w:r>
      <w:r w:rsidRPr="00D92FC1">
        <w:rPr>
          <w:rFonts w:ascii="Times New Roman" w:eastAsia="Calibri" w:hAnsi="Times New Roman" w:cs="Times New Roman"/>
          <w:b/>
          <w:sz w:val="24"/>
          <w:szCs w:val="24"/>
        </w:rPr>
        <w:t>ust. 3</w:t>
      </w:r>
      <w:r w:rsidRPr="00D92FC1">
        <w:rPr>
          <w:rFonts w:ascii="Times New Roman" w:eastAsia="Calibri" w:hAnsi="Times New Roman" w:cs="Times New Roman"/>
          <w:sz w:val="24"/>
          <w:szCs w:val="24"/>
        </w:rPr>
        <w:t xml:space="preserve"> </w:t>
      </w:r>
      <w:r>
        <w:rPr>
          <w:rFonts w:ascii="Times New Roman" w:eastAsia="Calibri" w:hAnsi="Times New Roman" w:cs="Times New Roman"/>
          <w:sz w:val="24"/>
          <w:szCs w:val="24"/>
        </w:rPr>
        <w:t>wskazuje, że z</w:t>
      </w:r>
      <w:r w:rsidRPr="00577F5D">
        <w:rPr>
          <w:rFonts w:ascii="Times New Roman" w:eastAsia="Calibri" w:hAnsi="Times New Roman" w:cs="Times New Roman"/>
          <w:sz w:val="24"/>
          <w:szCs w:val="24"/>
        </w:rPr>
        <w:t xml:space="preserve">amieszczenie decyzji, o której mowa w </w:t>
      </w:r>
      <w:r>
        <w:rPr>
          <w:rFonts w:ascii="Times New Roman" w:eastAsia="Calibri" w:hAnsi="Times New Roman" w:cs="Times New Roman"/>
          <w:sz w:val="24"/>
          <w:szCs w:val="24"/>
        </w:rPr>
        <w:t xml:space="preserve">art. 258 </w:t>
      </w:r>
      <w:r w:rsidRPr="00577F5D">
        <w:rPr>
          <w:rFonts w:ascii="Times New Roman" w:eastAsia="Calibri" w:hAnsi="Times New Roman" w:cs="Times New Roman"/>
          <w:sz w:val="24"/>
          <w:szCs w:val="24"/>
        </w:rPr>
        <w:t>ust. 1</w:t>
      </w:r>
      <w:r>
        <w:rPr>
          <w:rFonts w:ascii="Times New Roman" w:eastAsia="Calibri" w:hAnsi="Times New Roman" w:cs="Times New Roman"/>
          <w:sz w:val="24"/>
          <w:szCs w:val="24"/>
        </w:rPr>
        <w:t xml:space="preserve"> (decyzji dot. </w:t>
      </w:r>
      <w:r w:rsidRPr="00577F5D">
        <w:rPr>
          <w:rFonts w:ascii="Times New Roman" w:eastAsia="Calibri" w:hAnsi="Times New Roman" w:cs="Times New Roman"/>
          <w:sz w:val="24"/>
          <w:szCs w:val="24"/>
        </w:rPr>
        <w:t>umarzania, konwersji i emisji instrumentów właścicielskich i instrumentów dłużnych lub innych niezabezpieczonych zobowiązań</w:t>
      </w:r>
      <w:r>
        <w:rPr>
          <w:rFonts w:ascii="Times New Roman" w:eastAsia="Calibri" w:hAnsi="Times New Roman" w:cs="Times New Roman"/>
          <w:sz w:val="24"/>
          <w:szCs w:val="24"/>
        </w:rPr>
        <w:t>)</w:t>
      </w:r>
      <w:r w:rsidRPr="00577F5D">
        <w:rPr>
          <w:rFonts w:ascii="Times New Roman" w:eastAsia="Calibri" w:hAnsi="Times New Roman" w:cs="Times New Roman"/>
          <w:sz w:val="24"/>
          <w:szCs w:val="24"/>
        </w:rPr>
        <w:t>, lub informacji o tej decyzji na stronie internetowej Funduszu</w:t>
      </w:r>
      <w:r>
        <w:rPr>
          <w:rFonts w:ascii="Times New Roman" w:eastAsia="Calibri" w:hAnsi="Times New Roman" w:cs="Times New Roman"/>
          <w:sz w:val="24"/>
          <w:szCs w:val="24"/>
        </w:rPr>
        <w:t>,</w:t>
      </w:r>
      <w:r w:rsidRPr="00577F5D">
        <w:rPr>
          <w:rFonts w:ascii="Times New Roman" w:eastAsia="Calibri" w:hAnsi="Times New Roman" w:cs="Times New Roman"/>
          <w:sz w:val="24"/>
          <w:szCs w:val="24"/>
        </w:rPr>
        <w:t xml:space="preserve"> zgodnie z art. 72 ust. 3 rozporządzenia nr 2021/23</w:t>
      </w:r>
      <w:r>
        <w:rPr>
          <w:rFonts w:ascii="Times New Roman" w:eastAsia="Calibri" w:hAnsi="Times New Roman" w:cs="Times New Roman"/>
          <w:sz w:val="24"/>
          <w:szCs w:val="24"/>
        </w:rPr>
        <w:t xml:space="preserve"> </w:t>
      </w:r>
      <w:r w:rsidRPr="00577F5D">
        <w:rPr>
          <w:rFonts w:ascii="Times New Roman" w:eastAsia="Calibri" w:hAnsi="Times New Roman" w:cs="Times New Roman"/>
          <w:sz w:val="24"/>
          <w:szCs w:val="24"/>
        </w:rPr>
        <w:t>zastępuje, z zastrzeżeniem art. 72 ust. 4 rozporządzenia nr 2021</w:t>
      </w:r>
      <w:r>
        <w:rPr>
          <w:rFonts w:ascii="Times New Roman" w:eastAsia="Calibri" w:hAnsi="Times New Roman" w:cs="Times New Roman"/>
          <w:sz w:val="24"/>
          <w:szCs w:val="24"/>
        </w:rPr>
        <w:t xml:space="preserve">/23, przekazanie odpisu tej decyzji zainteresowanym grupom interesariuszy. Rozwiązanie jest wzorowane na analogicznym przewidzianym dla banków w procedurze przymusowej restrukturyzacji i ma na celu zapewnienie odpowiedniej szybkości i efektywności działań podejmowanych przez BFG. </w:t>
      </w:r>
    </w:p>
    <w:p w14:paraId="403BD209" w14:textId="77777777" w:rsidR="00682672" w:rsidRPr="00D92FC1" w:rsidRDefault="00682672" w:rsidP="005E5395">
      <w:pPr>
        <w:pStyle w:val="ZARTzmartartykuempunktem"/>
        <w:ind w:left="0" w:firstLine="0"/>
        <w:rPr>
          <w:rFonts w:ascii="Times New Roman" w:hAnsi="Times New Roman" w:cs="Times New Roman"/>
          <w:szCs w:val="24"/>
        </w:rPr>
      </w:pPr>
      <w:r w:rsidRPr="00D92FC1">
        <w:rPr>
          <w:rFonts w:ascii="Times New Roman" w:hAnsi="Times New Roman" w:cs="Times New Roman"/>
          <w:szCs w:val="24"/>
        </w:rPr>
        <w:t xml:space="preserve">Przepis </w:t>
      </w:r>
      <w:r w:rsidRPr="00D92FC1">
        <w:rPr>
          <w:rFonts w:ascii="Times New Roman" w:hAnsi="Times New Roman" w:cs="Times New Roman"/>
          <w:b/>
          <w:szCs w:val="24"/>
        </w:rPr>
        <w:t>ust. 4</w:t>
      </w:r>
      <w:r w:rsidRPr="00D92FC1">
        <w:rPr>
          <w:rFonts w:ascii="Times New Roman" w:hAnsi="Times New Roman" w:cs="Times New Roman"/>
          <w:szCs w:val="24"/>
        </w:rPr>
        <w:t xml:space="preserve"> przewiduje, że BFG niezwłocznie przekazuje odpis decyzji do właściwego sądu rejestrowego bez oszacowania i uzasadnienia, uwzględniając tajemnice zawodowe, w celu ujawnienia obniżenia lub podwyższenia kapitału zakładowego. </w:t>
      </w:r>
    </w:p>
    <w:p w14:paraId="51F5691A" w14:textId="77777777" w:rsidR="00682672" w:rsidRPr="00D92FC1" w:rsidRDefault="00682672" w:rsidP="005E5395">
      <w:pPr>
        <w:pStyle w:val="ZARTzmartartykuempunktem"/>
        <w:ind w:left="0" w:firstLine="0"/>
        <w:rPr>
          <w:rFonts w:ascii="Times New Roman" w:hAnsi="Times New Roman" w:cs="Times New Roman"/>
          <w:szCs w:val="24"/>
        </w:rPr>
      </w:pPr>
      <w:r w:rsidRPr="00D92FC1">
        <w:rPr>
          <w:rFonts w:ascii="Times New Roman" w:hAnsi="Times New Roman" w:cs="Times New Roman"/>
          <w:szCs w:val="24"/>
        </w:rPr>
        <w:t xml:space="preserve">Przepis </w:t>
      </w:r>
      <w:r w:rsidRPr="00D92FC1">
        <w:rPr>
          <w:rFonts w:ascii="Times New Roman" w:hAnsi="Times New Roman" w:cs="Times New Roman"/>
          <w:b/>
          <w:szCs w:val="24"/>
        </w:rPr>
        <w:t>ust. 5</w:t>
      </w:r>
      <w:r w:rsidRPr="00D92FC1">
        <w:rPr>
          <w:rFonts w:ascii="Times New Roman" w:hAnsi="Times New Roman" w:cs="Times New Roman"/>
          <w:szCs w:val="24"/>
        </w:rPr>
        <w:t xml:space="preserve"> wskazuje, że</w:t>
      </w:r>
      <w:r w:rsidRPr="00D92FC1">
        <w:rPr>
          <w:rFonts w:ascii="Times New Roman" w:hAnsi="Times New Roman" w:cs="Times New Roman"/>
          <w:b/>
          <w:szCs w:val="24"/>
        </w:rPr>
        <w:t xml:space="preserve"> </w:t>
      </w:r>
      <w:r w:rsidRPr="00D92FC1">
        <w:rPr>
          <w:rFonts w:ascii="Times New Roman" w:hAnsi="Times New Roman" w:cs="Times New Roman"/>
          <w:szCs w:val="24"/>
        </w:rPr>
        <w:t>informacja o wydaniu przez BFG decyzji</w:t>
      </w:r>
      <w:r w:rsidRPr="00D92FC1">
        <w:rPr>
          <w:rFonts w:ascii="Times New Roman" w:hAnsi="Times New Roman" w:cs="Times New Roman"/>
          <w:b/>
          <w:szCs w:val="24"/>
        </w:rPr>
        <w:t xml:space="preserve"> </w:t>
      </w:r>
      <w:r w:rsidRPr="00D92FC1">
        <w:rPr>
          <w:rFonts w:ascii="Times New Roman" w:hAnsi="Times New Roman" w:cs="Times New Roman"/>
          <w:szCs w:val="24"/>
        </w:rPr>
        <w:t xml:space="preserve">stanowi podstawę wpisu obniżenia lub podwyższenia kapitału zakładowego spółki (CCP) do KRS, co przesądza o deklaratoryjnym charakterze wpisu do KRS i konstytutywnym charakterze decyzji BFG. </w:t>
      </w:r>
    </w:p>
    <w:p w14:paraId="4ECDEF60" w14:textId="77777777" w:rsidR="00682672" w:rsidRDefault="00682672" w:rsidP="005E5395">
      <w:pPr>
        <w:pStyle w:val="ZARTzmartartykuempunktem"/>
        <w:ind w:left="0" w:firstLine="0"/>
        <w:rPr>
          <w:rFonts w:ascii="Times New Roman" w:hAnsi="Times New Roman" w:cs="Times New Roman"/>
          <w:szCs w:val="24"/>
        </w:rPr>
      </w:pPr>
      <w:r w:rsidRPr="00D92FC1">
        <w:rPr>
          <w:rFonts w:ascii="Times New Roman" w:hAnsi="Times New Roman" w:cs="Times New Roman"/>
          <w:szCs w:val="24"/>
        </w:rPr>
        <w:t xml:space="preserve">Zgodnie z </w:t>
      </w:r>
      <w:r w:rsidRPr="00D92FC1">
        <w:rPr>
          <w:rFonts w:ascii="Times New Roman" w:hAnsi="Times New Roman" w:cs="Times New Roman"/>
          <w:b/>
          <w:szCs w:val="24"/>
        </w:rPr>
        <w:t>ust. 6</w:t>
      </w:r>
      <w:r w:rsidRPr="00D92FC1">
        <w:rPr>
          <w:rFonts w:ascii="Times New Roman" w:hAnsi="Times New Roman" w:cs="Times New Roman"/>
          <w:szCs w:val="24"/>
        </w:rPr>
        <w:t xml:space="preserve"> w przypadku instrumentów zarejestrowanych w rejestrze akcjonariuszy, które stają się przedmiotem umorzenia, BFG będzie przekazywać podmiotowi prowadzącemu rejestr akcjonariuszy, którym może być także Krajowy Depozyt Papierów Wartościowych S.A., odpis wydanej decyzji w celu ujawnienia w nim obniżenia lub podwyższenia kapitału zakładowego spółki.</w:t>
      </w:r>
    </w:p>
    <w:p w14:paraId="4D65030D" w14:textId="77777777" w:rsidR="00682672" w:rsidRPr="00D92FC1" w:rsidRDefault="00682672" w:rsidP="005E5395">
      <w:pPr>
        <w:pStyle w:val="ZARTzmartartykuempunktem"/>
        <w:spacing w:after="120"/>
        <w:ind w:left="0" w:firstLine="0"/>
        <w:rPr>
          <w:rFonts w:ascii="Times New Roman" w:hAnsi="Times New Roman" w:cs="Times New Roman"/>
          <w:szCs w:val="24"/>
        </w:rPr>
      </w:pPr>
      <w:r>
        <w:rPr>
          <w:rFonts w:ascii="Times New Roman" w:hAnsi="Times New Roman" w:cs="Times New Roman"/>
          <w:szCs w:val="24"/>
        </w:rPr>
        <w:t xml:space="preserve">Rozwiązania proponowane w powyższych ustępach mają sprzyjać transparentności  i szybkości postępowań oraz ograniczeniu okresu niepewności prawnej, który powstaje (może powstać) w wyniku podejmowanych przez BFG działań naprawczych i dotyczy nie tylko CCP, ale także jego właścicieli i kontrahentów. </w:t>
      </w:r>
    </w:p>
    <w:p w14:paraId="3732E702" w14:textId="1A2CF519" w:rsidR="00682672" w:rsidRPr="00D92FC1" w:rsidRDefault="00682672" w:rsidP="005E5395">
      <w:pPr>
        <w:spacing w:after="120" w:line="360" w:lineRule="auto"/>
        <w:jc w:val="both"/>
        <w:rPr>
          <w:rFonts w:ascii="Times New Roman" w:eastAsia="Calibri" w:hAnsi="Times New Roman" w:cs="Times New Roman"/>
          <w:sz w:val="24"/>
          <w:szCs w:val="24"/>
        </w:rPr>
      </w:pPr>
      <w:r w:rsidRPr="00D92FC1">
        <w:rPr>
          <w:rFonts w:ascii="Times New Roman" w:eastAsia="Calibri" w:hAnsi="Times New Roman" w:cs="Times New Roman"/>
          <w:sz w:val="24"/>
          <w:szCs w:val="24"/>
        </w:rPr>
        <w:t xml:space="preserve">Dodawany </w:t>
      </w:r>
      <w:r w:rsidRPr="00D92FC1">
        <w:rPr>
          <w:rFonts w:ascii="Times New Roman" w:eastAsia="Calibri" w:hAnsi="Times New Roman" w:cs="Times New Roman"/>
          <w:b/>
          <w:sz w:val="24"/>
          <w:szCs w:val="24"/>
        </w:rPr>
        <w:t>art. 258i</w:t>
      </w:r>
      <w:r w:rsidRPr="00D92FC1">
        <w:rPr>
          <w:rFonts w:ascii="Times New Roman" w:eastAsia="Calibri" w:hAnsi="Times New Roman" w:cs="Times New Roman"/>
          <w:sz w:val="24"/>
          <w:szCs w:val="24"/>
        </w:rPr>
        <w:t xml:space="preserve"> </w:t>
      </w:r>
      <w:r w:rsidRPr="00F46449">
        <w:rPr>
          <w:rFonts w:ascii="Times New Roman" w:eastAsia="Calibri" w:hAnsi="Times New Roman" w:cs="Times New Roman"/>
          <w:b/>
          <w:sz w:val="24"/>
          <w:szCs w:val="24"/>
        </w:rPr>
        <w:t>ust. 1</w:t>
      </w:r>
      <w:r>
        <w:rPr>
          <w:rFonts w:ascii="Times New Roman" w:eastAsia="Calibri" w:hAnsi="Times New Roman" w:cs="Times New Roman"/>
          <w:sz w:val="24"/>
          <w:szCs w:val="24"/>
        </w:rPr>
        <w:t xml:space="preserve"> </w:t>
      </w:r>
      <w:r w:rsidRPr="00D92FC1">
        <w:rPr>
          <w:rFonts w:ascii="Times New Roman" w:eastAsia="Calibri" w:hAnsi="Times New Roman" w:cs="Times New Roman"/>
          <w:sz w:val="24"/>
          <w:szCs w:val="24"/>
        </w:rPr>
        <w:t>przewiduje, że w przypadku gdy BFG przeniesie na nabywcę, który nie jest CCP pomostowym, instrumenty właścicielskie wyemitowane przez CCP objęte restrukturyzacją i uporządkowaną likwidacją</w:t>
      </w:r>
      <w:r w:rsidR="002B39F6">
        <w:rPr>
          <w:rFonts w:ascii="Times New Roman" w:eastAsia="Calibri" w:hAnsi="Times New Roman" w:cs="Times New Roman"/>
          <w:sz w:val="24"/>
          <w:szCs w:val="24"/>
        </w:rPr>
        <w:t>,</w:t>
      </w:r>
      <w:r w:rsidRPr="00D92FC1">
        <w:rPr>
          <w:rFonts w:ascii="Times New Roman" w:eastAsia="Calibri" w:hAnsi="Times New Roman" w:cs="Times New Roman"/>
          <w:sz w:val="24"/>
          <w:szCs w:val="24"/>
        </w:rPr>
        <w:t xml:space="preserve"> o wydaniu takiej decyzji zawiadamia Krajowy Depozyt Papierów Wartościowych S.A. albo podmiot prowadzący rejestr akcjonariuszy. </w:t>
      </w:r>
      <w:r>
        <w:rPr>
          <w:rFonts w:ascii="Times New Roman" w:eastAsia="Calibri" w:hAnsi="Times New Roman" w:cs="Times New Roman"/>
          <w:sz w:val="24"/>
          <w:szCs w:val="24"/>
        </w:rPr>
        <w:t xml:space="preserve">Doręczenie decyzji albo zawiadomienie o jej wydaniu będzie jednocześnie stanowić zawiadomienie o  </w:t>
      </w:r>
      <w:r w:rsidR="002B39F6">
        <w:rPr>
          <w:rFonts w:ascii="Times New Roman" w:hAnsi="Times New Roman" w:cs="Times New Roman"/>
          <w:sz w:val="24"/>
          <w:szCs w:val="24"/>
        </w:rPr>
        <w:t xml:space="preserve">przekroczeniu </w:t>
      </w:r>
      <w:r>
        <w:rPr>
          <w:rFonts w:ascii="Times New Roman" w:hAnsi="Times New Roman" w:cs="Times New Roman"/>
          <w:sz w:val="24"/>
          <w:szCs w:val="24"/>
        </w:rPr>
        <w:t xml:space="preserve">określonego procentu </w:t>
      </w:r>
      <w:r w:rsidRPr="00803C7C">
        <w:rPr>
          <w:rFonts w:ascii="Times New Roman" w:hAnsi="Times New Roman" w:cs="Times New Roman"/>
          <w:color w:val="333333"/>
          <w:sz w:val="24"/>
          <w:szCs w:val="24"/>
          <w:shd w:val="clear" w:color="auto" w:fill="FFFFFF"/>
        </w:rPr>
        <w:t>ogólnej liczby głosów na walnym zgromadzeniu lub udziału w kapitale zakładowym</w:t>
      </w:r>
      <w:r>
        <w:rPr>
          <w:rFonts w:ascii="Times New Roman" w:hAnsi="Times New Roman" w:cs="Times New Roman"/>
          <w:color w:val="333333"/>
          <w:sz w:val="24"/>
          <w:szCs w:val="24"/>
          <w:shd w:val="clear" w:color="auto" w:fill="FFFFFF"/>
        </w:rPr>
        <w:t xml:space="preserve"> spółki publicznej (</w:t>
      </w:r>
      <w:r w:rsidRPr="005C2925">
        <w:rPr>
          <w:rFonts w:ascii="Times New Roman" w:hAnsi="Times New Roman" w:cs="Times New Roman"/>
          <w:b/>
          <w:color w:val="333333"/>
          <w:sz w:val="24"/>
          <w:szCs w:val="24"/>
          <w:shd w:val="clear" w:color="auto" w:fill="FFFFFF"/>
        </w:rPr>
        <w:t>ust. 2</w:t>
      </w:r>
      <w:r>
        <w:rPr>
          <w:rFonts w:ascii="Times New Roman" w:hAnsi="Times New Roman" w:cs="Times New Roman"/>
          <w:color w:val="333333"/>
          <w:sz w:val="24"/>
          <w:szCs w:val="24"/>
          <w:shd w:val="clear" w:color="auto" w:fill="FFFFFF"/>
        </w:rPr>
        <w:t>).</w:t>
      </w:r>
    </w:p>
    <w:p w14:paraId="36D51709" w14:textId="77777777" w:rsidR="00682672" w:rsidRPr="00D92FC1" w:rsidRDefault="00682672" w:rsidP="005E5395">
      <w:pPr>
        <w:pStyle w:val="ZARTzmartartykuempunktem"/>
        <w:spacing w:after="120"/>
        <w:ind w:left="0" w:firstLine="0"/>
        <w:rPr>
          <w:rFonts w:ascii="Times New Roman" w:hAnsi="Times New Roman" w:cs="Times New Roman"/>
          <w:szCs w:val="24"/>
        </w:rPr>
      </w:pPr>
      <w:r w:rsidRPr="00D92FC1">
        <w:rPr>
          <w:rFonts w:ascii="Times New Roman" w:eastAsia="Calibri" w:hAnsi="Times New Roman" w:cs="Times New Roman"/>
          <w:szCs w:val="24"/>
          <w:lang w:eastAsia="en-US"/>
        </w:rPr>
        <w:lastRenderedPageBreak/>
        <w:t xml:space="preserve">Dodawany </w:t>
      </w:r>
      <w:r w:rsidRPr="00D92FC1">
        <w:rPr>
          <w:rStyle w:val="Ppogrubienie"/>
          <w:rFonts w:ascii="Times New Roman" w:hAnsi="Times New Roman" w:cs="Times New Roman"/>
          <w:szCs w:val="24"/>
        </w:rPr>
        <w:t xml:space="preserve">art. 258j </w:t>
      </w:r>
      <w:r w:rsidRPr="00D92FC1">
        <w:rPr>
          <w:rStyle w:val="Ppogrubienie"/>
          <w:rFonts w:ascii="Times New Roman" w:hAnsi="Times New Roman" w:cs="Times New Roman"/>
          <w:b w:val="0"/>
          <w:szCs w:val="24"/>
        </w:rPr>
        <w:t>stanowi, że</w:t>
      </w:r>
      <w:r w:rsidRPr="00D92FC1">
        <w:rPr>
          <w:rFonts w:ascii="Times New Roman" w:hAnsi="Times New Roman" w:cs="Times New Roman"/>
          <w:szCs w:val="24"/>
        </w:rPr>
        <w:t xml:space="preserve"> do przeniesienia instrumentów właścicielskich wyemitowanych przez CCP objętego restrukturyzacją i uporządkowaną likwidacją oraz przeniesienia wszelkich aktywów, praw, obowiązków lub zobowiązań CCP objętego restrukturyzacją i uporządkowaną likwidacją stosuje się odpowiednio przepisy art. 176 ust. 5.</w:t>
      </w:r>
      <w:r>
        <w:rPr>
          <w:rFonts w:ascii="Times New Roman" w:hAnsi="Times New Roman" w:cs="Times New Roman"/>
          <w:szCs w:val="24"/>
        </w:rPr>
        <w:t xml:space="preserve"> </w:t>
      </w:r>
      <w:r w:rsidRPr="00D92FC1">
        <w:rPr>
          <w:rFonts w:ascii="Times New Roman" w:hAnsi="Times New Roman" w:cs="Times New Roman"/>
          <w:szCs w:val="24"/>
        </w:rPr>
        <w:t>Są to przepisy dotyczące ujawniania w księgach wieczystych lub innych rejestrach przejęcia przez podmiot przejmujący przedsiębiorstwa podmiotu w restrukturyzacji lub jego praw majątkowych ujawnionych w tych księgach lub rejestrach. Następuje to na wniosek podmiotu przejmującego, bez konieczności uzyskania zgody właścicieli, dłużników lub wierzycieli podmiotu w restrukturyzacji.</w:t>
      </w:r>
    </w:p>
    <w:p w14:paraId="27E18FE9" w14:textId="77777777" w:rsidR="00682672" w:rsidRPr="00D92FC1" w:rsidRDefault="00682672" w:rsidP="005E5395">
      <w:pPr>
        <w:pStyle w:val="ZARTzmartartykuempunktem"/>
        <w:spacing w:after="120"/>
        <w:ind w:left="0" w:firstLine="0"/>
        <w:rPr>
          <w:rStyle w:val="Ppogrubienie"/>
          <w:rFonts w:ascii="Times New Roman" w:hAnsi="Times New Roman" w:cs="Times New Roman"/>
          <w:b w:val="0"/>
          <w:szCs w:val="24"/>
        </w:rPr>
      </w:pPr>
      <w:r w:rsidRPr="00D92FC1">
        <w:rPr>
          <w:rFonts w:ascii="Times New Roman" w:hAnsi="Times New Roman" w:cs="Times New Roman"/>
          <w:szCs w:val="24"/>
        </w:rPr>
        <w:t xml:space="preserve">Dodawany </w:t>
      </w:r>
      <w:r w:rsidRPr="00D92FC1">
        <w:rPr>
          <w:rStyle w:val="Ppogrubienie"/>
          <w:rFonts w:ascii="Times New Roman" w:hAnsi="Times New Roman" w:cs="Times New Roman"/>
          <w:szCs w:val="24"/>
        </w:rPr>
        <w:t xml:space="preserve">art. 258k </w:t>
      </w:r>
      <w:r w:rsidRPr="00D92FC1">
        <w:rPr>
          <w:rStyle w:val="Ppogrubienie"/>
          <w:rFonts w:ascii="Times New Roman" w:hAnsi="Times New Roman" w:cs="Times New Roman"/>
          <w:b w:val="0"/>
          <w:szCs w:val="24"/>
        </w:rPr>
        <w:t xml:space="preserve">jest związany </w:t>
      </w:r>
      <w:r w:rsidRPr="00D92FC1">
        <w:rPr>
          <w:rFonts w:ascii="Times New Roman" w:hAnsi="Times New Roman" w:cs="Times New Roman"/>
          <w:szCs w:val="24"/>
        </w:rPr>
        <w:t>stosowaniem art. 49 ust. 1 lit. a rozporządzenia nr 2021/23 – BFG</w:t>
      </w:r>
      <w:r>
        <w:rPr>
          <w:rFonts w:ascii="Times New Roman" w:hAnsi="Times New Roman" w:cs="Times New Roman"/>
          <w:szCs w:val="24"/>
        </w:rPr>
        <w:t xml:space="preserve"> i przewiduje, że </w:t>
      </w:r>
      <w:r w:rsidRPr="00D92FC1">
        <w:rPr>
          <w:rStyle w:val="Ppogrubienie"/>
          <w:rFonts w:ascii="Times New Roman" w:hAnsi="Times New Roman" w:cs="Times New Roman"/>
          <w:b w:val="0"/>
          <w:szCs w:val="24"/>
        </w:rPr>
        <w:t>zastosowani</w:t>
      </w:r>
      <w:r>
        <w:rPr>
          <w:rStyle w:val="Ppogrubienie"/>
          <w:rFonts w:ascii="Times New Roman" w:hAnsi="Times New Roman" w:cs="Times New Roman"/>
          <w:b w:val="0"/>
          <w:szCs w:val="24"/>
        </w:rPr>
        <w:t>e</w:t>
      </w:r>
      <w:r w:rsidRPr="00D92FC1">
        <w:rPr>
          <w:rStyle w:val="Ppogrubienie"/>
          <w:rFonts w:ascii="Times New Roman" w:hAnsi="Times New Roman" w:cs="Times New Roman"/>
          <w:b w:val="0"/>
          <w:szCs w:val="24"/>
        </w:rPr>
        <w:t xml:space="preserve"> przez BFG instrumentu  zbycia działalności albo instrumentu CCP pomostowego nastąpi w sposób wolny od zobowiązań lub obciążeń dotyczących przenoszonych instrumentów finansowych, praw majątkowych lub zobowiązań.</w:t>
      </w:r>
    </w:p>
    <w:p w14:paraId="135A96BE" w14:textId="77777777" w:rsidR="00682672" w:rsidRPr="00174897" w:rsidRDefault="00682672" w:rsidP="005E5395">
      <w:pPr>
        <w:pStyle w:val="oj-normal"/>
        <w:shd w:val="clear" w:color="auto" w:fill="FFFFFF"/>
        <w:spacing w:before="0" w:beforeAutospacing="0" w:after="120" w:afterAutospacing="0" w:line="360" w:lineRule="auto"/>
        <w:jc w:val="both"/>
      </w:pPr>
      <w:r w:rsidRPr="00D92FC1">
        <w:rPr>
          <w:rStyle w:val="Ppogrubienie"/>
          <w:b w:val="0"/>
        </w:rPr>
        <w:t>Dodawany</w:t>
      </w:r>
      <w:r w:rsidRPr="00D92FC1">
        <w:rPr>
          <w:rStyle w:val="Ppogrubienie"/>
        </w:rPr>
        <w:t xml:space="preserve"> art. 258l </w:t>
      </w:r>
      <w:r w:rsidRPr="00D92FC1">
        <w:t>ma na celu</w:t>
      </w:r>
      <w:r w:rsidRPr="00D92FC1">
        <w:rPr>
          <w:b/>
        </w:rPr>
        <w:t xml:space="preserve"> </w:t>
      </w:r>
      <w:r w:rsidRPr="00D92FC1">
        <w:t>zapewnienie, że w przypadku objęcia CCP restrukturyzacją i uporządkowaną likwidacją BFG, na podstawie uchwały Zarządu, będzie mógł stosować uprawnienia o których mowa w art. 48 ust. 1 lit. a, m, art. 49 lit. c, e, f lub art. 58 rozporządzenia nr 2021/23. Przepis stanowi podstawę do wykonywania uprawnień, które nie powinny być wykonywane w formie decyzji administracyjnej z uwagi na konieczność zapewnienia ich skuteczności i efektywności</w:t>
      </w:r>
      <w:r w:rsidRPr="003032AB">
        <w:t xml:space="preserve">; </w:t>
      </w:r>
      <w:r w:rsidRPr="00174897">
        <w:t xml:space="preserve">chodzi np. o uprawnienia do zobowiązania do udzielania informacji czy też </w:t>
      </w:r>
      <w:r w:rsidRPr="00174897">
        <w:rPr>
          <w:shd w:val="clear" w:color="auto" w:fill="FFFFFF"/>
        </w:rPr>
        <w:t>przerwania lub zawieszenia dopuszczenia do obrotu na rynku regulowanym lub publicznego obrotu instrumentów finansowych emitowanych przez CCP.  </w:t>
      </w:r>
    </w:p>
    <w:p w14:paraId="1555BA3D" w14:textId="77777777" w:rsidR="00682672" w:rsidRDefault="00682672" w:rsidP="005E5395">
      <w:pPr>
        <w:spacing w:after="120" w:line="360" w:lineRule="auto"/>
        <w:jc w:val="both"/>
        <w:rPr>
          <w:rFonts w:ascii="Times New Roman" w:hAnsi="Times New Roman" w:cs="Times New Roman"/>
          <w:sz w:val="24"/>
          <w:szCs w:val="24"/>
        </w:rPr>
      </w:pPr>
      <w:r w:rsidRPr="00D92FC1">
        <w:rPr>
          <w:rStyle w:val="Ppogrubienie"/>
          <w:rFonts w:ascii="Times New Roman" w:hAnsi="Times New Roman" w:cs="Times New Roman"/>
          <w:sz w:val="24"/>
          <w:szCs w:val="24"/>
        </w:rPr>
        <w:t>P</w:t>
      </w:r>
      <w:r w:rsidRPr="00D92FC1">
        <w:rPr>
          <w:rStyle w:val="Ppogrubienie"/>
          <w:rFonts w:ascii="Times New Roman" w:hAnsi="Times New Roman" w:cs="Times New Roman"/>
          <w:b w:val="0"/>
          <w:sz w:val="24"/>
          <w:szCs w:val="24"/>
        </w:rPr>
        <w:t xml:space="preserve">roponowany </w:t>
      </w:r>
      <w:r w:rsidRPr="00D92FC1">
        <w:rPr>
          <w:rStyle w:val="Ppogrubienie"/>
          <w:rFonts w:ascii="Times New Roman" w:hAnsi="Times New Roman" w:cs="Times New Roman"/>
          <w:sz w:val="24"/>
          <w:szCs w:val="24"/>
        </w:rPr>
        <w:t xml:space="preserve">art. 258m </w:t>
      </w:r>
      <w:r w:rsidRPr="00D92FC1">
        <w:rPr>
          <w:rStyle w:val="Ppogrubienie"/>
          <w:rFonts w:ascii="Times New Roman" w:hAnsi="Times New Roman" w:cs="Times New Roman"/>
          <w:b w:val="0"/>
          <w:sz w:val="24"/>
          <w:szCs w:val="24"/>
        </w:rPr>
        <w:t xml:space="preserve">określa </w:t>
      </w:r>
      <w:r w:rsidRPr="00D92FC1">
        <w:rPr>
          <w:rFonts w:ascii="Times New Roman" w:hAnsi="Times New Roman" w:cs="Times New Roman"/>
          <w:sz w:val="24"/>
          <w:szCs w:val="24"/>
        </w:rPr>
        <w:t>zakres stosowania w restrukturyzacji i uporządkowanej likwidacji CCP przepisów Kodeksu spółek handlowych, w sposób analogiczny jak art. 121 ust. 1 pkt 1 dotyczący przymusowej restrukturyzacji banków.</w:t>
      </w:r>
    </w:p>
    <w:p w14:paraId="14D66704" w14:textId="77777777" w:rsidR="00682672" w:rsidRDefault="00682672" w:rsidP="005E5395">
      <w:pPr>
        <w:spacing w:after="0" w:line="360" w:lineRule="auto"/>
        <w:jc w:val="both"/>
        <w:rPr>
          <w:rFonts w:ascii="Times New Roman" w:eastAsia="Calibri" w:hAnsi="Times New Roman" w:cs="Times New Roman"/>
          <w:sz w:val="24"/>
          <w:szCs w:val="24"/>
        </w:rPr>
      </w:pPr>
      <w:r w:rsidRPr="00D92FC1">
        <w:rPr>
          <w:rFonts w:ascii="Times New Roman" w:eastAsia="Calibri" w:hAnsi="Times New Roman" w:cs="Times New Roman"/>
          <w:sz w:val="24"/>
          <w:szCs w:val="24"/>
        </w:rPr>
        <w:t xml:space="preserve">Dodanie </w:t>
      </w:r>
      <w:r w:rsidRPr="00D92FC1">
        <w:rPr>
          <w:rFonts w:ascii="Times New Roman" w:eastAsia="Calibri" w:hAnsi="Times New Roman" w:cs="Times New Roman"/>
          <w:b/>
          <w:sz w:val="24"/>
          <w:szCs w:val="24"/>
        </w:rPr>
        <w:t>art. 2</w:t>
      </w:r>
      <w:r>
        <w:rPr>
          <w:rFonts w:ascii="Times New Roman" w:eastAsia="Calibri" w:hAnsi="Times New Roman" w:cs="Times New Roman"/>
          <w:b/>
          <w:sz w:val="24"/>
          <w:szCs w:val="24"/>
        </w:rPr>
        <w:t>58n</w:t>
      </w:r>
      <w:r w:rsidRPr="00D92FC1">
        <w:rPr>
          <w:rFonts w:ascii="Times New Roman" w:eastAsia="Calibri" w:hAnsi="Times New Roman" w:cs="Times New Roman"/>
          <w:sz w:val="24"/>
          <w:szCs w:val="24"/>
        </w:rPr>
        <w:t xml:space="preserve"> ma na celu wskazanie funduszu BFG właściwego do pokrycia różnicy, o której mowa w art. 62 rozporządzenia nr 2021/23, tj. różnicy pomiędzy stratą, jaką akcjonariusz, członek rozliczający lub inny wierzyciel poni</w:t>
      </w:r>
      <w:r>
        <w:rPr>
          <w:rFonts w:ascii="Times New Roman" w:eastAsia="Calibri" w:hAnsi="Times New Roman" w:cs="Times New Roman"/>
          <w:sz w:val="24"/>
          <w:szCs w:val="24"/>
        </w:rPr>
        <w:t>eśli</w:t>
      </w:r>
      <w:r w:rsidRPr="00D92FC1">
        <w:rPr>
          <w:rFonts w:ascii="Times New Roman" w:eastAsia="Calibri" w:hAnsi="Times New Roman" w:cs="Times New Roman"/>
          <w:sz w:val="24"/>
          <w:szCs w:val="24"/>
        </w:rPr>
        <w:t xml:space="preserve"> w wyniku restrukturyzacji i uporządkowanej likwidacji CCP, a którą </w:t>
      </w:r>
      <w:r>
        <w:rPr>
          <w:rFonts w:ascii="Times New Roman" w:eastAsia="Calibri" w:hAnsi="Times New Roman" w:cs="Times New Roman"/>
          <w:sz w:val="24"/>
          <w:szCs w:val="24"/>
        </w:rPr>
        <w:t xml:space="preserve">mogliby </w:t>
      </w:r>
      <w:r w:rsidRPr="00D92FC1">
        <w:rPr>
          <w:rFonts w:ascii="Times New Roman" w:eastAsia="Calibri" w:hAnsi="Times New Roman" w:cs="Times New Roman"/>
          <w:sz w:val="24"/>
          <w:szCs w:val="24"/>
        </w:rPr>
        <w:t>ponieś</w:t>
      </w:r>
      <w:r>
        <w:rPr>
          <w:rFonts w:ascii="Times New Roman" w:eastAsia="Calibri" w:hAnsi="Times New Roman" w:cs="Times New Roman"/>
          <w:sz w:val="24"/>
          <w:szCs w:val="24"/>
        </w:rPr>
        <w:t>ć</w:t>
      </w:r>
      <w:r w:rsidRPr="00D92FC1">
        <w:rPr>
          <w:rFonts w:ascii="Times New Roman" w:eastAsia="Calibri" w:hAnsi="Times New Roman" w:cs="Times New Roman"/>
          <w:sz w:val="24"/>
          <w:szCs w:val="24"/>
        </w:rPr>
        <w:t xml:space="preserve"> (hipotetycznie) gdyby organ do spraw restrukturyzacji i uporządkowanej likwidacji nie podjął działania w ramach restrukturyzacji i uporządkowanej likwidacji w odniesieniu do danego CCP (tj. w przypadku gdyby CCP został zlikwidowany w ramach postępowania upadłościowego). </w:t>
      </w:r>
    </w:p>
    <w:p w14:paraId="003AC86B" w14:textId="77777777" w:rsidR="00682672" w:rsidRPr="00D92FC1" w:rsidRDefault="00682672" w:rsidP="005E5395">
      <w:pPr>
        <w:spacing w:line="360" w:lineRule="auto"/>
        <w:jc w:val="both"/>
        <w:rPr>
          <w:rFonts w:ascii="Times New Roman" w:hAnsi="Times New Roman" w:cs="Times New Roman"/>
          <w:sz w:val="24"/>
          <w:szCs w:val="24"/>
        </w:rPr>
      </w:pPr>
      <w:r w:rsidRPr="00D92FC1">
        <w:rPr>
          <w:rFonts w:ascii="Times New Roman" w:eastAsia="Calibri" w:hAnsi="Times New Roman" w:cs="Times New Roman"/>
          <w:sz w:val="24"/>
          <w:szCs w:val="24"/>
        </w:rPr>
        <w:lastRenderedPageBreak/>
        <w:t>Należy zauważyć, że rozporządzenie nr 2021/23 przewiduje rozwiązania mające na celu zapewnienie środków niezbędnych do sfinansowania restrukturyzacji CCP, w tym przepisy dotyczące instrumentu alokacji pozycji i instrumentu alokacji strat (np. art. 31 przewidujący możliwość wezwania przez organ restrukturyzacji i uporządkowanej likwidacji dla CCP członków rozliczających do wniesienia środków na potrzeby restrukturyzacji) oraz przepisy dotyczące alternatywnych sposobów finansowania (</w:t>
      </w:r>
      <w:r>
        <w:rPr>
          <w:rFonts w:ascii="Times New Roman" w:eastAsia="Calibri" w:hAnsi="Times New Roman" w:cs="Times New Roman"/>
          <w:sz w:val="24"/>
          <w:szCs w:val="24"/>
        </w:rPr>
        <w:t xml:space="preserve">np. </w:t>
      </w:r>
      <w:r w:rsidRPr="00D92FC1">
        <w:rPr>
          <w:rFonts w:ascii="Times New Roman" w:eastAsia="Calibri" w:hAnsi="Times New Roman" w:cs="Times New Roman"/>
          <w:sz w:val="24"/>
          <w:szCs w:val="24"/>
        </w:rPr>
        <w:t xml:space="preserve">art. 44 przewidujący m.in. możliwość zaciągania pożyczek). </w:t>
      </w:r>
    </w:p>
    <w:p w14:paraId="6A275AAE" w14:textId="545F1140" w:rsidR="00682672" w:rsidRPr="00174897" w:rsidRDefault="00682672" w:rsidP="005E5395">
      <w:pPr>
        <w:pStyle w:val="ZARTzmartartykuempunktem"/>
        <w:spacing w:after="120"/>
        <w:ind w:left="0" w:firstLine="0"/>
        <w:rPr>
          <w:rStyle w:val="Ppogrubienie"/>
          <w:rFonts w:ascii="Times New Roman" w:hAnsi="Times New Roman" w:cs="Times New Roman"/>
          <w:b w:val="0"/>
          <w:szCs w:val="24"/>
        </w:rPr>
      </w:pPr>
      <w:r w:rsidRPr="00174897">
        <w:rPr>
          <w:rStyle w:val="Ppogrubienie"/>
          <w:rFonts w:ascii="Times New Roman" w:hAnsi="Times New Roman" w:cs="Times New Roman"/>
          <w:b w:val="0"/>
          <w:szCs w:val="24"/>
        </w:rPr>
        <w:t xml:space="preserve">Zmiana </w:t>
      </w:r>
      <w:r w:rsidRPr="00174897">
        <w:rPr>
          <w:rStyle w:val="Ppogrubienie"/>
          <w:rFonts w:ascii="Times New Roman" w:hAnsi="Times New Roman" w:cs="Times New Roman"/>
          <w:szCs w:val="24"/>
        </w:rPr>
        <w:t xml:space="preserve">art. 271 </w:t>
      </w:r>
      <w:r w:rsidRPr="00174897">
        <w:rPr>
          <w:rStyle w:val="Ppogrubienie"/>
          <w:rFonts w:ascii="Times New Roman" w:hAnsi="Times New Roman" w:cs="Times New Roman"/>
          <w:b w:val="0"/>
          <w:szCs w:val="24"/>
        </w:rPr>
        <w:t>jest</w:t>
      </w:r>
      <w:r w:rsidR="00C5596E" w:rsidRPr="00174897">
        <w:rPr>
          <w:rStyle w:val="Ppogrubienie"/>
          <w:rFonts w:ascii="Times New Roman" w:hAnsi="Times New Roman" w:cs="Times New Roman"/>
          <w:b w:val="0"/>
          <w:szCs w:val="24"/>
        </w:rPr>
        <w:t xml:space="preserve"> </w:t>
      </w:r>
      <w:r w:rsidR="00174897" w:rsidRPr="00174897">
        <w:rPr>
          <w:rStyle w:val="Ppogrubienie"/>
          <w:rFonts w:ascii="Times New Roman" w:hAnsi="Times New Roman" w:cs="Times New Roman"/>
          <w:b w:val="0"/>
          <w:szCs w:val="24"/>
        </w:rPr>
        <w:t xml:space="preserve">konsekwencją dodania </w:t>
      </w:r>
      <w:r w:rsidR="00C5596E" w:rsidRPr="00174897">
        <w:rPr>
          <w:rStyle w:val="Ppogrubienie"/>
          <w:rFonts w:ascii="Times New Roman" w:hAnsi="Times New Roman" w:cs="Times New Roman"/>
          <w:b w:val="0"/>
          <w:szCs w:val="24"/>
        </w:rPr>
        <w:t xml:space="preserve">art. 258n </w:t>
      </w:r>
      <w:r w:rsidR="00174897" w:rsidRPr="00174897">
        <w:rPr>
          <w:rStyle w:val="Ppogrubienie"/>
          <w:rFonts w:ascii="Times New Roman" w:hAnsi="Times New Roman" w:cs="Times New Roman"/>
          <w:b w:val="0"/>
          <w:szCs w:val="24"/>
        </w:rPr>
        <w:t xml:space="preserve">– </w:t>
      </w:r>
      <w:r w:rsidR="00C5596E" w:rsidRPr="00174897">
        <w:rPr>
          <w:rStyle w:val="Ppogrubienie"/>
          <w:rFonts w:ascii="Times New Roman" w:hAnsi="Times New Roman" w:cs="Times New Roman"/>
          <w:b w:val="0"/>
          <w:szCs w:val="24"/>
        </w:rPr>
        <w:t>w przeciwieństwie do dyrektywy BRRD rozporządzenie nr 2021/23 nie zawiera przepisów w zakresie finansowania restrukturyzacji i uporządkowanej likwidacji CCP z funduszy tworzonych ze składek podmiotów podlegających restrukturyzacji</w:t>
      </w:r>
      <w:r w:rsidR="00174897" w:rsidRPr="00174897">
        <w:rPr>
          <w:rStyle w:val="Ppogrubienie"/>
          <w:rFonts w:ascii="Times New Roman" w:hAnsi="Times New Roman" w:cs="Times New Roman"/>
          <w:b w:val="0"/>
          <w:szCs w:val="24"/>
        </w:rPr>
        <w:t xml:space="preserve">. W </w:t>
      </w:r>
      <w:r w:rsidR="00C5596E" w:rsidRPr="00174897">
        <w:rPr>
          <w:rStyle w:val="Ppogrubienie"/>
          <w:rFonts w:ascii="Times New Roman" w:hAnsi="Times New Roman" w:cs="Times New Roman"/>
          <w:b w:val="0"/>
          <w:szCs w:val="24"/>
        </w:rPr>
        <w:t>związku z czym proponuje się, aby koszty te mogły być finansowane z funduszu statutowego BFG (art. 258n)</w:t>
      </w:r>
      <w:r w:rsidR="00174897" w:rsidRPr="00174897">
        <w:rPr>
          <w:rStyle w:val="Ppogrubienie"/>
          <w:rFonts w:ascii="Times New Roman" w:hAnsi="Times New Roman" w:cs="Times New Roman"/>
          <w:b w:val="0"/>
          <w:szCs w:val="24"/>
        </w:rPr>
        <w:t>.</w:t>
      </w:r>
      <w:r w:rsidR="00C5596E" w:rsidRPr="00174897">
        <w:rPr>
          <w:rStyle w:val="Ppogrubienie"/>
          <w:rFonts w:ascii="Times New Roman" w:hAnsi="Times New Roman" w:cs="Times New Roman"/>
          <w:b w:val="0"/>
          <w:szCs w:val="24"/>
        </w:rPr>
        <w:t xml:space="preserve">  Wskazanie funduszu statutowego jest uzasadnione tym, że pozostałe fundusze tworzone w BFG pełnią już określone funkcje wynikające m.in. z dyrektywy BRRD </w:t>
      </w:r>
      <w:r w:rsidR="00174897" w:rsidRPr="00174897">
        <w:rPr>
          <w:rStyle w:val="Ppogrubienie"/>
          <w:rFonts w:ascii="Times New Roman" w:hAnsi="Times New Roman" w:cs="Times New Roman"/>
          <w:b w:val="0"/>
          <w:szCs w:val="24"/>
        </w:rPr>
        <w:t xml:space="preserve">– </w:t>
      </w:r>
      <w:r w:rsidR="00C5596E" w:rsidRPr="00174897">
        <w:rPr>
          <w:rStyle w:val="Ppogrubienie"/>
          <w:rFonts w:ascii="Times New Roman" w:hAnsi="Times New Roman" w:cs="Times New Roman"/>
          <w:b w:val="0"/>
          <w:szCs w:val="24"/>
        </w:rPr>
        <w:t xml:space="preserve">nie mogą zatem być przeznaczone do realizacji celów związanych z restrukturyzacją i uporządkowaną likwidacją CCP. </w:t>
      </w:r>
    </w:p>
    <w:p w14:paraId="02CEACB1" w14:textId="77777777" w:rsidR="00682672" w:rsidRDefault="00682672" w:rsidP="005E5395">
      <w:pPr>
        <w:pStyle w:val="ZARTzmartartykuempunktem"/>
        <w:spacing w:after="120"/>
        <w:ind w:left="0" w:firstLine="0"/>
        <w:rPr>
          <w:rStyle w:val="Ppogrubienie"/>
          <w:rFonts w:ascii="Times New Roman" w:hAnsi="Times New Roman" w:cs="Times New Roman"/>
          <w:b w:val="0"/>
          <w:szCs w:val="24"/>
        </w:rPr>
      </w:pPr>
      <w:r>
        <w:rPr>
          <w:rStyle w:val="Ppogrubienie"/>
          <w:rFonts w:ascii="Times New Roman" w:hAnsi="Times New Roman" w:cs="Times New Roman"/>
          <w:b w:val="0"/>
          <w:szCs w:val="24"/>
        </w:rPr>
        <w:t xml:space="preserve">Zmiana </w:t>
      </w:r>
      <w:r w:rsidRPr="006A6FFA">
        <w:rPr>
          <w:rStyle w:val="Ppogrubienie"/>
          <w:rFonts w:ascii="Times New Roman" w:hAnsi="Times New Roman" w:cs="Times New Roman"/>
          <w:szCs w:val="24"/>
        </w:rPr>
        <w:t>art. 283</w:t>
      </w:r>
      <w:r>
        <w:rPr>
          <w:rStyle w:val="Ppogrubienie"/>
          <w:rFonts w:ascii="Times New Roman" w:hAnsi="Times New Roman" w:cs="Times New Roman"/>
          <w:b w:val="0"/>
          <w:szCs w:val="24"/>
        </w:rPr>
        <w:t xml:space="preserve"> ma na celu</w:t>
      </w:r>
      <w:r w:rsidRPr="006A6FFA">
        <w:rPr>
          <w:rStyle w:val="Ppogrubienie"/>
          <w:rFonts w:ascii="Times New Roman" w:hAnsi="Times New Roman" w:cs="Times New Roman"/>
          <w:b w:val="0"/>
          <w:szCs w:val="24"/>
        </w:rPr>
        <w:t xml:space="preserve"> uzupełnienie katalogu zadań, na finansowanie których przeznacza się środki </w:t>
      </w:r>
      <w:r>
        <w:rPr>
          <w:rStyle w:val="Ppogrubienie"/>
          <w:rFonts w:ascii="Times New Roman" w:hAnsi="Times New Roman" w:cs="Times New Roman"/>
          <w:b w:val="0"/>
          <w:szCs w:val="24"/>
        </w:rPr>
        <w:t>BFG</w:t>
      </w:r>
      <w:r w:rsidRPr="006A6FFA">
        <w:rPr>
          <w:rStyle w:val="Ppogrubienie"/>
          <w:rFonts w:ascii="Times New Roman" w:hAnsi="Times New Roman" w:cs="Times New Roman"/>
          <w:b w:val="0"/>
          <w:szCs w:val="24"/>
        </w:rPr>
        <w:t xml:space="preserve">. Zadanie określone w </w:t>
      </w:r>
      <w:r>
        <w:rPr>
          <w:rStyle w:val="Ppogrubienie"/>
          <w:rFonts w:ascii="Times New Roman" w:hAnsi="Times New Roman" w:cs="Times New Roman"/>
          <w:b w:val="0"/>
          <w:szCs w:val="24"/>
        </w:rPr>
        <w:t xml:space="preserve"> </w:t>
      </w:r>
      <w:r w:rsidRPr="00DE57C7">
        <w:rPr>
          <w:rStyle w:val="Ppogrubienie"/>
          <w:rFonts w:ascii="Times New Roman" w:hAnsi="Times New Roman" w:cs="Times New Roman"/>
          <w:szCs w:val="24"/>
        </w:rPr>
        <w:t>pkt 2a</w:t>
      </w:r>
      <w:r w:rsidRPr="006A6FFA">
        <w:rPr>
          <w:rStyle w:val="Ppogrubienie"/>
          <w:rFonts w:ascii="Times New Roman" w:hAnsi="Times New Roman" w:cs="Times New Roman"/>
          <w:b w:val="0"/>
          <w:szCs w:val="24"/>
        </w:rPr>
        <w:t xml:space="preserve"> jest nowym zadaniem </w:t>
      </w:r>
      <w:r>
        <w:rPr>
          <w:rStyle w:val="Ppogrubienie"/>
          <w:rFonts w:ascii="Times New Roman" w:hAnsi="Times New Roman" w:cs="Times New Roman"/>
          <w:b w:val="0"/>
          <w:szCs w:val="24"/>
        </w:rPr>
        <w:t>BFG</w:t>
      </w:r>
      <w:r w:rsidRPr="006A6FFA">
        <w:rPr>
          <w:rStyle w:val="Ppogrubienie"/>
          <w:rFonts w:ascii="Times New Roman" w:hAnsi="Times New Roman" w:cs="Times New Roman"/>
          <w:b w:val="0"/>
          <w:szCs w:val="24"/>
        </w:rPr>
        <w:t xml:space="preserve">, związanym ze wskazaniem </w:t>
      </w:r>
      <w:r>
        <w:rPr>
          <w:rStyle w:val="Ppogrubienie"/>
          <w:rFonts w:ascii="Times New Roman" w:hAnsi="Times New Roman" w:cs="Times New Roman"/>
          <w:b w:val="0"/>
          <w:szCs w:val="24"/>
        </w:rPr>
        <w:t>BFG</w:t>
      </w:r>
      <w:r w:rsidRPr="006A6FFA">
        <w:rPr>
          <w:rStyle w:val="Ppogrubienie"/>
          <w:rFonts w:ascii="Times New Roman" w:hAnsi="Times New Roman" w:cs="Times New Roman"/>
          <w:b w:val="0"/>
          <w:szCs w:val="24"/>
        </w:rPr>
        <w:t xml:space="preserve"> jako organu restrukturyzacji i uporządkowanej likwidacji CCP. Natomiast zadania określone w </w:t>
      </w:r>
      <w:r>
        <w:rPr>
          <w:rStyle w:val="Ppogrubienie"/>
          <w:rFonts w:ascii="Times New Roman" w:hAnsi="Times New Roman" w:cs="Times New Roman"/>
          <w:b w:val="0"/>
          <w:szCs w:val="24"/>
        </w:rPr>
        <w:t xml:space="preserve"> </w:t>
      </w:r>
      <w:r w:rsidRPr="00DE57C7">
        <w:rPr>
          <w:rStyle w:val="Ppogrubienie"/>
          <w:rFonts w:ascii="Times New Roman" w:hAnsi="Times New Roman" w:cs="Times New Roman"/>
          <w:szCs w:val="24"/>
        </w:rPr>
        <w:t>pkt 4a</w:t>
      </w:r>
      <w:r w:rsidRPr="006A6FFA">
        <w:rPr>
          <w:rStyle w:val="Ppogrubienie"/>
          <w:rFonts w:ascii="Times New Roman" w:hAnsi="Times New Roman" w:cs="Times New Roman"/>
          <w:b w:val="0"/>
          <w:szCs w:val="24"/>
        </w:rPr>
        <w:t xml:space="preserve"> już obecnie są zadaniami </w:t>
      </w:r>
      <w:r>
        <w:rPr>
          <w:rStyle w:val="Ppogrubienie"/>
          <w:rFonts w:ascii="Times New Roman" w:hAnsi="Times New Roman" w:cs="Times New Roman"/>
          <w:b w:val="0"/>
          <w:szCs w:val="24"/>
        </w:rPr>
        <w:t>BFG</w:t>
      </w:r>
      <w:r w:rsidRPr="006A6FFA">
        <w:rPr>
          <w:rStyle w:val="Ppogrubienie"/>
          <w:rFonts w:ascii="Times New Roman" w:hAnsi="Times New Roman" w:cs="Times New Roman"/>
          <w:b w:val="0"/>
          <w:szCs w:val="24"/>
        </w:rPr>
        <w:t xml:space="preserve"> (art. 5 ust. 2 i 2a), jednak </w:t>
      </w:r>
      <w:r>
        <w:rPr>
          <w:rStyle w:val="Ppogrubienie"/>
          <w:rFonts w:ascii="Times New Roman" w:hAnsi="Times New Roman" w:cs="Times New Roman"/>
          <w:b w:val="0"/>
          <w:szCs w:val="24"/>
        </w:rPr>
        <w:t xml:space="preserve">nie były </w:t>
      </w:r>
      <w:r w:rsidRPr="006A6FFA">
        <w:rPr>
          <w:rStyle w:val="Ppogrubienie"/>
          <w:rFonts w:ascii="Times New Roman" w:hAnsi="Times New Roman" w:cs="Times New Roman"/>
          <w:b w:val="0"/>
          <w:szCs w:val="24"/>
        </w:rPr>
        <w:t>wskazan</w:t>
      </w:r>
      <w:r>
        <w:rPr>
          <w:rStyle w:val="Ppogrubienie"/>
          <w:rFonts w:ascii="Times New Roman" w:hAnsi="Times New Roman" w:cs="Times New Roman"/>
          <w:b w:val="0"/>
          <w:szCs w:val="24"/>
        </w:rPr>
        <w:t>e</w:t>
      </w:r>
      <w:r w:rsidRPr="006A6FFA">
        <w:rPr>
          <w:rStyle w:val="Ppogrubienie"/>
          <w:rFonts w:ascii="Times New Roman" w:hAnsi="Times New Roman" w:cs="Times New Roman"/>
          <w:b w:val="0"/>
          <w:szCs w:val="24"/>
        </w:rPr>
        <w:t xml:space="preserve"> </w:t>
      </w:r>
      <w:r>
        <w:rPr>
          <w:rStyle w:val="Ppogrubienie"/>
          <w:rFonts w:ascii="Times New Roman" w:hAnsi="Times New Roman" w:cs="Times New Roman"/>
          <w:b w:val="0"/>
          <w:szCs w:val="24"/>
        </w:rPr>
        <w:t>w art. 283</w:t>
      </w:r>
      <w:r w:rsidRPr="006A6FFA">
        <w:rPr>
          <w:rStyle w:val="Ppogrubienie"/>
          <w:rFonts w:ascii="Times New Roman" w:hAnsi="Times New Roman" w:cs="Times New Roman"/>
          <w:b w:val="0"/>
          <w:szCs w:val="24"/>
        </w:rPr>
        <w:t>.</w:t>
      </w:r>
    </w:p>
    <w:p w14:paraId="7BAC53DF" w14:textId="3CB718E6" w:rsidR="003A2318" w:rsidRDefault="0003006E" w:rsidP="005E5395">
      <w:pPr>
        <w:pStyle w:val="ARTartustawynprozporzdzenia"/>
        <w:spacing w:before="0"/>
        <w:ind w:firstLine="0"/>
        <w:rPr>
          <w:rFonts w:ascii="Times New Roman" w:hAnsi="Times New Roman" w:cs="Times New Roman"/>
        </w:rPr>
      </w:pPr>
      <w:r w:rsidRPr="003A2318">
        <w:rPr>
          <w:rFonts w:ascii="Times New Roman" w:hAnsi="Times New Roman" w:cs="Times New Roman"/>
        </w:rPr>
        <w:t xml:space="preserve">Zmiana w </w:t>
      </w:r>
      <w:r w:rsidRPr="003A2318">
        <w:rPr>
          <w:rFonts w:ascii="Times New Roman" w:hAnsi="Times New Roman" w:cs="Times New Roman"/>
          <w:b/>
        </w:rPr>
        <w:t>art. 285 ust. 1 i 3</w:t>
      </w:r>
      <w:r w:rsidRPr="003A2318">
        <w:rPr>
          <w:rFonts w:ascii="Times New Roman" w:hAnsi="Times New Roman" w:cs="Times New Roman"/>
        </w:rPr>
        <w:t xml:space="preserve"> oraz dodanie </w:t>
      </w:r>
      <w:r w:rsidRPr="003A2318">
        <w:rPr>
          <w:rFonts w:ascii="Times New Roman" w:hAnsi="Times New Roman" w:cs="Times New Roman"/>
          <w:b/>
        </w:rPr>
        <w:t>ust. 1a</w:t>
      </w:r>
      <w:r w:rsidRPr="003A2318">
        <w:rPr>
          <w:rFonts w:ascii="Times New Roman" w:hAnsi="Times New Roman" w:cs="Times New Roman"/>
        </w:rPr>
        <w:t xml:space="preserve"> ma na celu </w:t>
      </w:r>
      <w:r w:rsidR="003A2318">
        <w:rPr>
          <w:rFonts w:ascii="Times New Roman" w:hAnsi="Times New Roman" w:cs="Times New Roman"/>
        </w:rPr>
        <w:t xml:space="preserve">wprowadzenie  zmian w zakresie </w:t>
      </w:r>
      <w:r w:rsidRPr="003A2318">
        <w:rPr>
          <w:rFonts w:ascii="Times New Roman" w:hAnsi="Times New Roman" w:cs="Times New Roman"/>
        </w:rPr>
        <w:t xml:space="preserve">sposobu podziału zysku netto BFG pomiędzy poszczególne fundusze będące </w:t>
      </w:r>
      <w:r w:rsidR="003A2318">
        <w:rPr>
          <w:rFonts w:ascii="Times New Roman" w:hAnsi="Times New Roman" w:cs="Times New Roman"/>
        </w:rPr>
        <w:t xml:space="preserve">w </w:t>
      </w:r>
      <w:r w:rsidRPr="003A2318">
        <w:rPr>
          <w:rFonts w:ascii="Times New Roman" w:hAnsi="Times New Roman" w:cs="Times New Roman"/>
        </w:rPr>
        <w:t xml:space="preserve">dyspozycji BFG. </w:t>
      </w:r>
    </w:p>
    <w:p w14:paraId="21FBC28B" w14:textId="3A07B39B" w:rsidR="006D1F1F" w:rsidRDefault="003A2318" w:rsidP="005E5395">
      <w:pPr>
        <w:pStyle w:val="ARTartustawynprozporzdzenia"/>
        <w:spacing w:before="0"/>
        <w:ind w:firstLine="0"/>
        <w:rPr>
          <w:rFonts w:ascii="Times New Roman" w:hAnsi="Times New Roman" w:cs="Times New Roman"/>
        </w:rPr>
      </w:pPr>
      <w:r>
        <w:rPr>
          <w:rFonts w:ascii="Times New Roman" w:hAnsi="Times New Roman" w:cs="Times New Roman"/>
        </w:rPr>
        <w:t>W o</w:t>
      </w:r>
      <w:r w:rsidR="0003006E" w:rsidRPr="003A2318">
        <w:rPr>
          <w:rFonts w:ascii="Times New Roman" w:hAnsi="Times New Roman" w:cs="Times New Roman"/>
        </w:rPr>
        <w:t>becn</w:t>
      </w:r>
      <w:r w:rsidR="001D5CBA">
        <w:rPr>
          <w:rFonts w:ascii="Times New Roman" w:hAnsi="Times New Roman" w:cs="Times New Roman"/>
        </w:rPr>
        <w:t xml:space="preserve">ym stanie prawnym </w:t>
      </w:r>
      <w:r w:rsidR="0003006E" w:rsidRPr="001D5CBA">
        <w:rPr>
          <w:rFonts w:ascii="Times New Roman" w:hAnsi="Times New Roman" w:cs="Times New Roman"/>
        </w:rPr>
        <w:t>Rada Funduszu przeznacza zysk netto na zwiększenie funduszu gwarancyjnego banków, funduszu gwarancyjnego kas, funduszu przymusowej restrukturyzacji banków oraz funduszu przymusowej restrukturyzacji kas, w proporcji określonej jako stosunek środków zgromadzonych w poszczególnych funduszach do sumy środków zgromadzonych we wszystkich tych funduszach na dzień bilansowy ostatniego zatwierdzonego sprawozdania finansowego.</w:t>
      </w:r>
      <w:r w:rsidR="0003006E" w:rsidRPr="003A2318">
        <w:rPr>
          <w:rFonts w:ascii="Times New Roman" w:hAnsi="Times New Roman" w:cs="Times New Roman"/>
        </w:rPr>
        <w:t xml:space="preserve"> Oznacza to, że wartość środków przeznaczona na zwiększenie każdego z funduszy własnych</w:t>
      </w:r>
      <w:r w:rsidR="006639B4">
        <w:rPr>
          <w:rFonts w:ascii="Times New Roman" w:hAnsi="Times New Roman" w:cs="Times New Roman"/>
        </w:rPr>
        <w:t xml:space="preserve"> BFG</w:t>
      </w:r>
      <w:r w:rsidR="0003006E" w:rsidRPr="003A2318">
        <w:rPr>
          <w:rFonts w:ascii="Times New Roman" w:hAnsi="Times New Roman" w:cs="Times New Roman"/>
        </w:rPr>
        <w:t xml:space="preserve"> oparta jest na stanie tych funduszy na koniec poprzedniego roku. W</w:t>
      </w:r>
      <w:r w:rsidR="001D5CBA">
        <w:rPr>
          <w:rFonts w:ascii="Times New Roman" w:hAnsi="Times New Roman" w:cs="Times New Roman"/>
        </w:rPr>
        <w:t> </w:t>
      </w:r>
      <w:r w:rsidR="0003006E" w:rsidRPr="003A2318">
        <w:rPr>
          <w:rFonts w:ascii="Times New Roman" w:hAnsi="Times New Roman" w:cs="Times New Roman"/>
        </w:rPr>
        <w:t xml:space="preserve">przypadku </w:t>
      </w:r>
      <w:r w:rsidR="001D5CBA">
        <w:rPr>
          <w:rFonts w:ascii="Times New Roman" w:hAnsi="Times New Roman" w:cs="Times New Roman"/>
        </w:rPr>
        <w:t xml:space="preserve">konieczności </w:t>
      </w:r>
      <w:r w:rsidR="0003006E" w:rsidRPr="003A2318">
        <w:rPr>
          <w:rFonts w:ascii="Times New Roman" w:hAnsi="Times New Roman" w:cs="Times New Roman"/>
        </w:rPr>
        <w:t xml:space="preserve">wypłaty środków gwarantowanych lub sfinansowania </w:t>
      </w:r>
      <w:r w:rsidR="006639B4">
        <w:rPr>
          <w:rFonts w:ascii="Times New Roman" w:hAnsi="Times New Roman" w:cs="Times New Roman"/>
        </w:rPr>
        <w:t xml:space="preserve">mechanizmu </w:t>
      </w:r>
      <w:r w:rsidR="0003006E" w:rsidRPr="003A2318">
        <w:rPr>
          <w:rFonts w:ascii="Times New Roman" w:hAnsi="Times New Roman" w:cs="Times New Roman"/>
        </w:rPr>
        <w:t xml:space="preserve">przymusowej restrukturyzacji i istotnego zmniejszenia danego funduszu przed końcem roku, </w:t>
      </w:r>
      <w:r w:rsidR="0003006E" w:rsidRPr="003A2318">
        <w:rPr>
          <w:rFonts w:ascii="Times New Roman" w:hAnsi="Times New Roman" w:cs="Times New Roman"/>
        </w:rPr>
        <w:lastRenderedPageBreak/>
        <w:t xml:space="preserve">nie będzie możliwości zasilenia tego funduszu środkami </w:t>
      </w:r>
      <w:r w:rsidR="001D5CBA">
        <w:rPr>
          <w:rFonts w:ascii="Times New Roman" w:hAnsi="Times New Roman" w:cs="Times New Roman"/>
        </w:rPr>
        <w:t xml:space="preserve">pochodzącymi z </w:t>
      </w:r>
      <w:r w:rsidR="0003006E" w:rsidRPr="003A2318">
        <w:rPr>
          <w:rFonts w:ascii="Times New Roman" w:hAnsi="Times New Roman" w:cs="Times New Roman"/>
        </w:rPr>
        <w:t xml:space="preserve">podziału zysku netto. Mając na uwadze sposób dochodzenia do poziomów docelowych środków systemu gwarantowania depozytów </w:t>
      </w:r>
      <w:r w:rsidR="001D5CBA">
        <w:rPr>
          <w:rStyle w:val="Ppogrubienie"/>
          <w:rFonts w:ascii="Times New Roman" w:hAnsi="Times New Roman" w:cs="Times New Roman"/>
          <w:b w:val="0"/>
          <w:szCs w:val="24"/>
        </w:rPr>
        <w:t xml:space="preserve">(art. 287 i art. 288) </w:t>
      </w:r>
      <w:r w:rsidR="0003006E" w:rsidRPr="003A2318">
        <w:rPr>
          <w:rFonts w:ascii="Times New Roman" w:hAnsi="Times New Roman" w:cs="Times New Roman"/>
        </w:rPr>
        <w:t>oraz środków na finansowanie przymusowej restrukturyzacji</w:t>
      </w:r>
      <w:r w:rsidR="001D5CBA">
        <w:rPr>
          <w:rFonts w:ascii="Times New Roman" w:hAnsi="Times New Roman" w:cs="Times New Roman"/>
        </w:rPr>
        <w:t xml:space="preserve"> </w:t>
      </w:r>
      <w:r w:rsidR="001D5CBA">
        <w:rPr>
          <w:rStyle w:val="Ppogrubienie"/>
          <w:rFonts w:ascii="Times New Roman" w:hAnsi="Times New Roman" w:cs="Times New Roman"/>
          <w:b w:val="0"/>
          <w:szCs w:val="24"/>
        </w:rPr>
        <w:t>(art. 296 i art. 297)</w:t>
      </w:r>
      <w:r w:rsidR="0003006E" w:rsidRPr="003A2318">
        <w:rPr>
          <w:rFonts w:ascii="Times New Roman" w:hAnsi="Times New Roman" w:cs="Times New Roman"/>
        </w:rPr>
        <w:t>, jednorazowe istotne wykorzystani</w:t>
      </w:r>
      <w:r w:rsidR="001D5CBA">
        <w:rPr>
          <w:rFonts w:ascii="Times New Roman" w:hAnsi="Times New Roman" w:cs="Times New Roman"/>
        </w:rPr>
        <w:t>e</w:t>
      </w:r>
      <w:r w:rsidR="0003006E" w:rsidRPr="003A2318">
        <w:rPr>
          <w:rFonts w:ascii="Times New Roman" w:hAnsi="Times New Roman" w:cs="Times New Roman"/>
        </w:rPr>
        <w:t xml:space="preserve"> funduszy będ</w:t>
      </w:r>
      <w:r w:rsidR="001D5CBA">
        <w:rPr>
          <w:rFonts w:ascii="Times New Roman" w:hAnsi="Times New Roman" w:cs="Times New Roman"/>
        </w:rPr>
        <w:t xml:space="preserve">zie </w:t>
      </w:r>
      <w:r w:rsidR="0003006E" w:rsidRPr="003A2318">
        <w:rPr>
          <w:rFonts w:ascii="Times New Roman" w:hAnsi="Times New Roman" w:cs="Times New Roman"/>
        </w:rPr>
        <w:t>miał</w:t>
      </w:r>
      <w:r w:rsidR="001D5CBA">
        <w:rPr>
          <w:rFonts w:ascii="Times New Roman" w:hAnsi="Times New Roman" w:cs="Times New Roman"/>
        </w:rPr>
        <w:t>o</w:t>
      </w:r>
      <w:r w:rsidR="0003006E" w:rsidRPr="003A2318">
        <w:rPr>
          <w:rFonts w:ascii="Times New Roman" w:hAnsi="Times New Roman" w:cs="Times New Roman"/>
        </w:rPr>
        <w:t xml:space="preserve"> wpływ na wartość </w:t>
      </w:r>
      <w:r w:rsidR="001D5CBA" w:rsidRPr="007C49C1">
        <w:rPr>
          <w:rStyle w:val="Ppogrubienie"/>
          <w:rFonts w:ascii="Times New Roman" w:hAnsi="Times New Roman" w:cs="Times New Roman"/>
          <w:b w:val="0"/>
          <w:szCs w:val="24"/>
        </w:rPr>
        <w:t>składek pobieranych od podmiotów na poszczególne rodzaje funduszy własnych</w:t>
      </w:r>
      <w:r w:rsidR="001D5CBA" w:rsidRPr="003A2318">
        <w:rPr>
          <w:rFonts w:ascii="Times New Roman" w:hAnsi="Times New Roman" w:cs="Times New Roman"/>
        </w:rPr>
        <w:t xml:space="preserve"> </w:t>
      </w:r>
      <w:r w:rsidR="001D5CBA">
        <w:rPr>
          <w:rFonts w:ascii="Times New Roman" w:hAnsi="Times New Roman" w:cs="Times New Roman"/>
        </w:rPr>
        <w:t xml:space="preserve">pobieranych w kolejnych latach </w:t>
      </w:r>
      <w:r w:rsidR="001D5CBA">
        <w:rPr>
          <w:rStyle w:val="Ppogrubienie"/>
          <w:rFonts w:ascii="Times New Roman" w:hAnsi="Times New Roman" w:cs="Times New Roman"/>
          <w:b w:val="0"/>
          <w:szCs w:val="24"/>
        </w:rPr>
        <w:t>(art. 293 i art. 301)</w:t>
      </w:r>
      <w:r w:rsidR="0003006E" w:rsidRPr="003A2318">
        <w:rPr>
          <w:rFonts w:ascii="Times New Roman" w:hAnsi="Times New Roman" w:cs="Times New Roman"/>
        </w:rPr>
        <w:t xml:space="preserve">. </w:t>
      </w:r>
    </w:p>
    <w:p w14:paraId="7CD406CB" w14:textId="12C070A5" w:rsidR="0003006E" w:rsidRPr="003A2318" w:rsidRDefault="0003006E" w:rsidP="005E5395">
      <w:pPr>
        <w:pStyle w:val="ARTartustawynprozporzdzenia"/>
        <w:spacing w:before="0"/>
        <w:ind w:firstLine="0"/>
        <w:rPr>
          <w:rFonts w:ascii="Times New Roman" w:hAnsi="Times New Roman" w:cs="Times New Roman"/>
        </w:rPr>
      </w:pPr>
      <w:r w:rsidRPr="003A2318">
        <w:rPr>
          <w:rFonts w:ascii="Times New Roman" w:hAnsi="Times New Roman" w:cs="Times New Roman"/>
        </w:rPr>
        <w:t xml:space="preserve">Zmiana w </w:t>
      </w:r>
      <w:r w:rsidRPr="003A2318">
        <w:rPr>
          <w:rFonts w:ascii="Times New Roman" w:hAnsi="Times New Roman" w:cs="Times New Roman"/>
          <w:b/>
        </w:rPr>
        <w:t>ust. 1</w:t>
      </w:r>
      <w:r w:rsidRPr="003A2318">
        <w:rPr>
          <w:rFonts w:ascii="Times New Roman" w:hAnsi="Times New Roman" w:cs="Times New Roman"/>
        </w:rPr>
        <w:t xml:space="preserve"> </w:t>
      </w:r>
      <w:r w:rsidR="006D1F1F">
        <w:rPr>
          <w:rFonts w:ascii="Times New Roman" w:hAnsi="Times New Roman" w:cs="Times New Roman"/>
        </w:rPr>
        <w:t xml:space="preserve">przewiduje, </w:t>
      </w:r>
      <w:r w:rsidRPr="003A2318">
        <w:rPr>
          <w:rFonts w:ascii="Times New Roman" w:hAnsi="Times New Roman" w:cs="Times New Roman"/>
        </w:rPr>
        <w:t xml:space="preserve">że BFG </w:t>
      </w:r>
      <w:r w:rsidR="006D1F1F">
        <w:rPr>
          <w:rFonts w:ascii="Times New Roman" w:hAnsi="Times New Roman" w:cs="Times New Roman"/>
        </w:rPr>
        <w:t xml:space="preserve">będzie </w:t>
      </w:r>
      <w:r w:rsidRPr="003A2318">
        <w:rPr>
          <w:rFonts w:ascii="Times New Roman" w:hAnsi="Times New Roman" w:cs="Times New Roman"/>
        </w:rPr>
        <w:t>dokon</w:t>
      </w:r>
      <w:r w:rsidR="006D1F1F">
        <w:rPr>
          <w:rFonts w:ascii="Times New Roman" w:hAnsi="Times New Roman" w:cs="Times New Roman"/>
        </w:rPr>
        <w:t>ywał</w:t>
      </w:r>
      <w:r w:rsidRPr="003A2318">
        <w:rPr>
          <w:rFonts w:ascii="Times New Roman" w:hAnsi="Times New Roman" w:cs="Times New Roman"/>
        </w:rPr>
        <w:t xml:space="preserve"> podziału </w:t>
      </w:r>
      <w:r w:rsidR="006D1F1F">
        <w:rPr>
          <w:rFonts w:ascii="Times New Roman" w:hAnsi="Times New Roman" w:cs="Times New Roman"/>
        </w:rPr>
        <w:t xml:space="preserve">zysku netto </w:t>
      </w:r>
      <w:r w:rsidRPr="003A2318">
        <w:rPr>
          <w:rFonts w:ascii="Times New Roman" w:hAnsi="Times New Roman" w:cs="Times New Roman"/>
        </w:rPr>
        <w:t>pomiędzy funduszami sektor</w:t>
      </w:r>
      <w:r w:rsidR="006D1F1F">
        <w:rPr>
          <w:rFonts w:ascii="Times New Roman" w:hAnsi="Times New Roman" w:cs="Times New Roman"/>
        </w:rPr>
        <w:t>a</w:t>
      </w:r>
      <w:r w:rsidRPr="003A2318">
        <w:rPr>
          <w:rFonts w:ascii="Times New Roman" w:hAnsi="Times New Roman" w:cs="Times New Roman"/>
        </w:rPr>
        <w:t xml:space="preserve"> banków (fundusz gwarancyjny banków lub fundusz przymusowej restrukturyzacji banków) a </w:t>
      </w:r>
      <w:r w:rsidR="006D1F1F">
        <w:rPr>
          <w:rFonts w:ascii="Times New Roman" w:hAnsi="Times New Roman" w:cs="Times New Roman"/>
        </w:rPr>
        <w:t xml:space="preserve">funduszami </w:t>
      </w:r>
      <w:r w:rsidRPr="003A2318">
        <w:rPr>
          <w:rFonts w:ascii="Times New Roman" w:hAnsi="Times New Roman" w:cs="Times New Roman"/>
        </w:rPr>
        <w:t>sektor</w:t>
      </w:r>
      <w:r w:rsidR="006D1F1F">
        <w:rPr>
          <w:rFonts w:ascii="Times New Roman" w:hAnsi="Times New Roman" w:cs="Times New Roman"/>
        </w:rPr>
        <w:t>a</w:t>
      </w:r>
      <w:r w:rsidRPr="003A2318">
        <w:rPr>
          <w:rFonts w:ascii="Times New Roman" w:hAnsi="Times New Roman" w:cs="Times New Roman"/>
        </w:rPr>
        <w:t xml:space="preserve"> kas (fundusz gwarancyjny kas lub fundusz przymusowej restrukturyzacji kas)</w:t>
      </w:r>
      <w:r w:rsidR="006D1F1F">
        <w:rPr>
          <w:rFonts w:ascii="Times New Roman" w:hAnsi="Times New Roman" w:cs="Times New Roman"/>
        </w:rPr>
        <w:t xml:space="preserve">. Podział ten </w:t>
      </w:r>
      <w:r w:rsidR="001F0077">
        <w:rPr>
          <w:rFonts w:ascii="Times New Roman" w:hAnsi="Times New Roman" w:cs="Times New Roman"/>
        </w:rPr>
        <w:t xml:space="preserve">nastąpi </w:t>
      </w:r>
      <w:r w:rsidRPr="003A2318">
        <w:rPr>
          <w:rFonts w:ascii="Times New Roman" w:hAnsi="Times New Roman" w:cs="Times New Roman"/>
        </w:rPr>
        <w:t>w proporcji określonej jako stosunek udziału sumy środków zgromadzonych odpowiednio</w:t>
      </w:r>
      <w:r w:rsidR="006D1F1F">
        <w:rPr>
          <w:rFonts w:ascii="Times New Roman" w:hAnsi="Times New Roman" w:cs="Times New Roman"/>
        </w:rPr>
        <w:t xml:space="preserve"> </w:t>
      </w:r>
      <w:r w:rsidR="006D1F1F" w:rsidRPr="003A2318">
        <w:rPr>
          <w:rFonts w:ascii="Times New Roman" w:hAnsi="Times New Roman" w:cs="Times New Roman"/>
        </w:rPr>
        <w:t>w fundusz</w:t>
      </w:r>
      <w:r w:rsidR="006D1F1F">
        <w:rPr>
          <w:rFonts w:ascii="Times New Roman" w:hAnsi="Times New Roman" w:cs="Times New Roman"/>
        </w:rPr>
        <w:t xml:space="preserve">ach sektora </w:t>
      </w:r>
      <w:r w:rsidR="006D1F1F" w:rsidRPr="003A2318">
        <w:rPr>
          <w:rFonts w:ascii="Times New Roman" w:hAnsi="Times New Roman" w:cs="Times New Roman"/>
        </w:rPr>
        <w:t xml:space="preserve">banków </w:t>
      </w:r>
      <w:r w:rsidR="006D1F1F">
        <w:rPr>
          <w:rFonts w:ascii="Times New Roman" w:hAnsi="Times New Roman" w:cs="Times New Roman"/>
        </w:rPr>
        <w:t xml:space="preserve">oraz </w:t>
      </w:r>
      <w:r w:rsidR="006D1F1F" w:rsidRPr="003A2318">
        <w:rPr>
          <w:rFonts w:ascii="Times New Roman" w:hAnsi="Times New Roman" w:cs="Times New Roman"/>
        </w:rPr>
        <w:t>w fundusz</w:t>
      </w:r>
      <w:r w:rsidR="006D1F1F">
        <w:rPr>
          <w:rFonts w:ascii="Times New Roman" w:hAnsi="Times New Roman" w:cs="Times New Roman"/>
        </w:rPr>
        <w:t xml:space="preserve">ach sektora kas </w:t>
      </w:r>
      <w:r w:rsidR="006D1F1F" w:rsidRPr="003A2318">
        <w:rPr>
          <w:rFonts w:ascii="Times New Roman" w:hAnsi="Times New Roman" w:cs="Times New Roman"/>
        </w:rPr>
        <w:t>do sumy środków zgromadzonych we wszystkich tych funduszach na dzień bilansowy ostatniego zatwierdzonego sprawozdania finansowego</w:t>
      </w:r>
      <w:r w:rsidR="006D1F1F">
        <w:rPr>
          <w:rFonts w:ascii="Times New Roman" w:hAnsi="Times New Roman" w:cs="Times New Roman"/>
        </w:rPr>
        <w:t xml:space="preserve">. </w:t>
      </w:r>
    </w:p>
    <w:p w14:paraId="6D158CC2" w14:textId="420B21EF" w:rsidR="0003006E" w:rsidRPr="003A2318" w:rsidRDefault="006D1F1F" w:rsidP="005E5395">
      <w:pPr>
        <w:pStyle w:val="ARTartustawynprozporzdzenia"/>
        <w:spacing w:before="0"/>
        <w:ind w:firstLine="0"/>
        <w:rPr>
          <w:rFonts w:ascii="Times New Roman" w:hAnsi="Times New Roman" w:cs="Times New Roman"/>
        </w:rPr>
      </w:pPr>
      <w:r>
        <w:rPr>
          <w:rFonts w:ascii="Times New Roman" w:hAnsi="Times New Roman" w:cs="Times New Roman"/>
        </w:rPr>
        <w:t xml:space="preserve">Zgodnie z </w:t>
      </w:r>
      <w:r w:rsidR="0003006E" w:rsidRPr="003A2318">
        <w:rPr>
          <w:rFonts w:ascii="Times New Roman" w:hAnsi="Times New Roman" w:cs="Times New Roman"/>
          <w:b/>
        </w:rPr>
        <w:t xml:space="preserve"> ust. 1a</w:t>
      </w:r>
      <w:r>
        <w:rPr>
          <w:rFonts w:ascii="Times New Roman" w:hAnsi="Times New Roman" w:cs="Times New Roman"/>
          <w:b/>
        </w:rPr>
        <w:t>,</w:t>
      </w:r>
      <w:r w:rsidR="0003006E" w:rsidRPr="003A2318">
        <w:rPr>
          <w:rFonts w:ascii="Times New Roman" w:hAnsi="Times New Roman" w:cs="Times New Roman"/>
          <w:b/>
        </w:rPr>
        <w:t xml:space="preserve"> </w:t>
      </w:r>
      <w:r w:rsidR="0003006E" w:rsidRPr="003A2318">
        <w:rPr>
          <w:rFonts w:ascii="Times New Roman" w:hAnsi="Times New Roman" w:cs="Times New Roman"/>
        </w:rPr>
        <w:t xml:space="preserve">po ustaleniu proporcji </w:t>
      </w:r>
      <w:r>
        <w:rPr>
          <w:rFonts w:ascii="Times New Roman" w:hAnsi="Times New Roman" w:cs="Times New Roman"/>
        </w:rPr>
        <w:t>po</w:t>
      </w:r>
      <w:r w:rsidR="0003006E" w:rsidRPr="003A2318">
        <w:rPr>
          <w:rFonts w:ascii="Times New Roman" w:hAnsi="Times New Roman" w:cs="Times New Roman"/>
        </w:rPr>
        <w:t>między sektorem banków a sektorem kas</w:t>
      </w:r>
      <w:r>
        <w:rPr>
          <w:rFonts w:ascii="Times New Roman" w:hAnsi="Times New Roman" w:cs="Times New Roman"/>
        </w:rPr>
        <w:t xml:space="preserve"> </w:t>
      </w:r>
      <w:r w:rsidR="0003006E" w:rsidRPr="003A2318">
        <w:rPr>
          <w:rFonts w:ascii="Times New Roman" w:hAnsi="Times New Roman" w:cs="Times New Roman"/>
        </w:rPr>
        <w:t xml:space="preserve">Rada </w:t>
      </w:r>
      <w:r>
        <w:rPr>
          <w:rFonts w:ascii="Times New Roman" w:hAnsi="Times New Roman" w:cs="Times New Roman"/>
        </w:rPr>
        <w:t xml:space="preserve">Funduszu będzie określać </w:t>
      </w:r>
      <w:r w:rsidR="0003006E" w:rsidRPr="003A2318">
        <w:rPr>
          <w:rFonts w:ascii="Times New Roman" w:hAnsi="Times New Roman" w:cs="Times New Roman"/>
        </w:rPr>
        <w:t>kwotow</w:t>
      </w:r>
      <w:r>
        <w:rPr>
          <w:rFonts w:ascii="Times New Roman" w:hAnsi="Times New Roman" w:cs="Times New Roman"/>
        </w:rPr>
        <w:t>o</w:t>
      </w:r>
      <w:r w:rsidR="0003006E" w:rsidRPr="003A2318">
        <w:rPr>
          <w:rFonts w:ascii="Times New Roman" w:hAnsi="Times New Roman" w:cs="Times New Roman"/>
        </w:rPr>
        <w:t xml:space="preserve"> podział środków </w:t>
      </w:r>
      <w:r>
        <w:rPr>
          <w:rFonts w:ascii="Times New Roman" w:hAnsi="Times New Roman" w:cs="Times New Roman"/>
        </w:rPr>
        <w:t>po</w:t>
      </w:r>
      <w:r w:rsidR="0003006E" w:rsidRPr="003A2318">
        <w:rPr>
          <w:rFonts w:ascii="Times New Roman" w:hAnsi="Times New Roman" w:cs="Times New Roman"/>
        </w:rPr>
        <w:t xml:space="preserve">między funduszami </w:t>
      </w:r>
      <w:r>
        <w:rPr>
          <w:rFonts w:ascii="Times New Roman" w:hAnsi="Times New Roman" w:cs="Times New Roman"/>
        </w:rPr>
        <w:t xml:space="preserve">danego sektora. </w:t>
      </w:r>
    </w:p>
    <w:p w14:paraId="7A7A9132" w14:textId="4432D310" w:rsidR="0003006E" w:rsidRPr="0003006E" w:rsidRDefault="0003006E" w:rsidP="005E5395">
      <w:pPr>
        <w:pStyle w:val="ARTartustawynprozporzdzenia"/>
        <w:spacing w:before="0" w:after="120"/>
        <w:ind w:firstLine="0"/>
        <w:rPr>
          <w:rStyle w:val="Ppogrubienie"/>
          <w:rFonts w:ascii="Times New Roman" w:hAnsi="Times New Roman" w:cs="Times New Roman"/>
          <w:b w:val="0"/>
        </w:rPr>
      </w:pPr>
      <w:r w:rsidRPr="003A2318">
        <w:rPr>
          <w:rFonts w:ascii="Times New Roman" w:hAnsi="Times New Roman" w:cs="Times New Roman"/>
        </w:rPr>
        <w:t xml:space="preserve">Zmiana w </w:t>
      </w:r>
      <w:r w:rsidRPr="003A2318">
        <w:rPr>
          <w:rFonts w:ascii="Times New Roman" w:hAnsi="Times New Roman" w:cs="Times New Roman"/>
          <w:b/>
        </w:rPr>
        <w:t>ust. 3</w:t>
      </w:r>
      <w:r w:rsidRPr="003A2318">
        <w:rPr>
          <w:rFonts w:ascii="Times New Roman" w:hAnsi="Times New Roman" w:cs="Times New Roman"/>
        </w:rPr>
        <w:t xml:space="preserve"> ma charakter </w:t>
      </w:r>
      <w:r w:rsidR="006D1F1F">
        <w:rPr>
          <w:rFonts w:ascii="Times New Roman" w:hAnsi="Times New Roman" w:cs="Times New Roman"/>
        </w:rPr>
        <w:t xml:space="preserve">wynikowy w związku z dodaniem  ust. </w:t>
      </w:r>
      <w:r w:rsidRPr="003A2318">
        <w:rPr>
          <w:rFonts w:ascii="Times New Roman" w:hAnsi="Times New Roman" w:cs="Times New Roman"/>
        </w:rPr>
        <w:t xml:space="preserve"> 1a. </w:t>
      </w:r>
      <w:r w:rsidR="006D1F1F">
        <w:rPr>
          <w:rFonts w:ascii="Times New Roman" w:hAnsi="Times New Roman" w:cs="Times New Roman"/>
        </w:rPr>
        <w:t xml:space="preserve">Zapewni w ten sposób pełne stosowanie </w:t>
      </w:r>
      <w:r w:rsidRPr="003A2318">
        <w:rPr>
          <w:rFonts w:ascii="Times New Roman" w:hAnsi="Times New Roman" w:cs="Times New Roman"/>
        </w:rPr>
        <w:t>zasad podziału zysku netto do pokrycia straty BFG.</w:t>
      </w:r>
    </w:p>
    <w:p w14:paraId="4DC3BE3E" w14:textId="77777777" w:rsidR="00682672" w:rsidRPr="00D92FC1" w:rsidRDefault="00682672" w:rsidP="005E5395">
      <w:pPr>
        <w:pStyle w:val="ZARTzmartartykuempunktem"/>
        <w:spacing w:after="120"/>
        <w:ind w:left="0" w:firstLine="0"/>
        <w:rPr>
          <w:rFonts w:ascii="Times New Roman" w:eastAsia="Calibri" w:hAnsi="Times New Roman" w:cs="Times New Roman"/>
          <w:szCs w:val="24"/>
        </w:rPr>
      </w:pPr>
      <w:r w:rsidRPr="00D92FC1">
        <w:rPr>
          <w:rStyle w:val="Ppogrubienie"/>
          <w:rFonts w:ascii="Times New Roman" w:hAnsi="Times New Roman" w:cs="Times New Roman"/>
          <w:b w:val="0"/>
          <w:szCs w:val="24"/>
        </w:rPr>
        <w:t>Zmiana w</w:t>
      </w:r>
      <w:r w:rsidRPr="00D92FC1">
        <w:rPr>
          <w:rStyle w:val="Ppogrubienie"/>
          <w:rFonts w:ascii="Times New Roman" w:hAnsi="Times New Roman" w:cs="Times New Roman"/>
          <w:szCs w:val="24"/>
        </w:rPr>
        <w:t xml:space="preserve"> art. 320 ust. 4 pkt 2 </w:t>
      </w:r>
      <w:r w:rsidRPr="00D92FC1">
        <w:rPr>
          <w:rFonts w:ascii="Times New Roman" w:eastAsia="Calibri" w:hAnsi="Times New Roman" w:cs="Times New Roman"/>
          <w:szCs w:val="24"/>
        </w:rPr>
        <w:t>rozszerza katalog podmiotów, którym można udostępnić dane objęte tajemnicą zawodową o osoby i podmioty, o których mowa w art. 73 ust. 5 rozporządzenia 2021/23</w:t>
      </w:r>
      <w:r>
        <w:rPr>
          <w:rFonts w:ascii="Times New Roman" w:eastAsia="Calibri" w:hAnsi="Times New Roman" w:cs="Times New Roman"/>
          <w:szCs w:val="24"/>
        </w:rPr>
        <w:t xml:space="preserve">. Chodzi </w:t>
      </w:r>
      <w:r w:rsidRPr="00D92FC1">
        <w:rPr>
          <w:rFonts w:ascii="Times New Roman" w:eastAsia="Calibri" w:hAnsi="Times New Roman" w:cs="Times New Roman"/>
          <w:szCs w:val="24"/>
        </w:rPr>
        <w:t xml:space="preserve">m.in. </w:t>
      </w:r>
      <w:r>
        <w:rPr>
          <w:rFonts w:ascii="Times New Roman" w:eastAsia="Calibri" w:hAnsi="Times New Roman" w:cs="Times New Roman"/>
          <w:szCs w:val="24"/>
        </w:rPr>
        <w:t xml:space="preserve">o </w:t>
      </w:r>
      <w:r w:rsidRPr="00D92FC1">
        <w:rPr>
          <w:rFonts w:ascii="Times New Roman" w:eastAsia="Calibri" w:hAnsi="Times New Roman" w:cs="Times New Roman"/>
          <w:szCs w:val="24"/>
        </w:rPr>
        <w:t>właściwe organy do spraw restrukturyzacji i uporządkowanej likwidacji, banki centralne, ministerstwa</w:t>
      </w:r>
      <w:r>
        <w:rPr>
          <w:rFonts w:ascii="Times New Roman" w:eastAsia="Calibri" w:hAnsi="Times New Roman" w:cs="Times New Roman"/>
          <w:szCs w:val="24"/>
        </w:rPr>
        <w:t xml:space="preserve"> oraz </w:t>
      </w:r>
      <w:r w:rsidRPr="00D92FC1">
        <w:rPr>
          <w:rFonts w:ascii="Times New Roman" w:eastAsia="Calibri" w:hAnsi="Times New Roman" w:cs="Times New Roman"/>
          <w:szCs w:val="24"/>
        </w:rPr>
        <w:t>organy nadzoru członków kolegium do spraw restrukturyzacji i uporządkowanej likwidacji CCP. Przepis umożliwi BFG prowadzenie efektywnej współpracy z tymi organami wchodzącymi w skład kolegiów restrukturyzacji i uporządkowanej likwidacji. Stworzy to możliwość wymiany informacji stanowiących tajemnicę zawodową z członkami kolegiów oraz członkami grup zarządzania w sytuacji kryzysowego (powoływanymi dla CCP o globalnym znaczeniu).</w:t>
      </w:r>
    </w:p>
    <w:p w14:paraId="6966365A" w14:textId="77777777" w:rsidR="00682672" w:rsidRPr="00D92FC1" w:rsidRDefault="00682672" w:rsidP="005E5395">
      <w:pPr>
        <w:pStyle w:val="ZARTzmartartykuempunktem"/>
        <w:spacing w:after="120"/>
        <w:ind w:left="0" w:firstLine="0"/>
        <w:rPr>
          <w:rFonts w:ascii="Times New Roman" w:eastAsia="Calibri" w:hAnsi="Times New Roman" w:cs="Times New Roman"/>
          <w:szCs w:val="24"/>
        </w:rPr>
      </w:pPr>
      <w:r w:rsidRPr="00D92FC1">
        <w:rPr>
          <w:rFonts w:ascii="Times New Roman" w:eastAsia="Calibri" w:hAnsi="Times New Roman" w:cs="Times New Roman"/>
          <w:szCs w:val="24"/>
        </w:rPr>
        <w:t xml:space="preserve">Dodanie w </w:t>
      </w:r>
      <w:r w:rsidRPr="00D92FC1">
        <w:rPr>
          <w:rFonts w:ascii="Times New Roman" w:eastAsia="Calibri" w:hAnsi="Times New Roman" w:cs="Times New Roman"/>
          <w:b/>
          <w:szCs w:val="24"/>
        </w:rPr>
        <w:t>art. 320a pkt 1</w:t>
      </w:r>
      <w:r>
        <w:rPr>
          <w:rFonts w:ascii="Times New Roman" w:eastAsia="Calibri" w:hAnsi="Times New Roman" w:cs="Times New Roman"/>
          <w:b/>
          <w:szCs w:val="24"/>
        </w:rPr>
        <w:t>1</w:t>
      </w:r>
      <w:r w:rsidRPr="00D92FC1">
        <w:rPr>
          <w:rFonts w:ascii="Times New Roman" w:eastAsia="Calibri" w:hAnsi="Times New Roman" w:cs="Times New Roman"/>
          <w:b/>
          <w:szCs w:val="24"/>
        </w:rPr>
        <w:t xml:space="preserve"> </w:t>
      </w:r>
      <w:r w:rsidRPr="00D92FC1">
        <w:rPr>
          <w:rFonts w:ascii="Times New Roman" w:eastAsia="Calibri" w:hAnsi="Times New Roman" w:cs="Times New Roman"/>
          <w:szCs w:val="24"/>
        </w:rPr>
        <w:t>rozszerza możliwość udostępniania przez BFG informacji stanowiących tajemnicę prawnie chronioną także osobom i podmiotom, o których mowa w art. 73 ust. 5 rozporządzenia nr 2021/23, tj.</w:t>
      </w:r>
      <w:r w:rsidRPr="00D92FC1">
        <w:rPr>
          <w:rFonts w:ascii="Times New Roman" w:hAnsi="Times New Roman" w:cs="Times New Roman"/>
          <w:szCs w:val="24"/>
        </w:rPr>
        <w:t xml:space="preserve"> </w:t>
      </w:r>
      <w:r w:rsidRPr="00D92FC1">
        <w:rPr>
          <w:rFonts w:ascii="Times New Roman" w:eastAsia="Calibri" w:hAnsi="Times New Roman" w:cs="Times New Roman"/>
          <w:szCs w:val="24"/>
        </w:rPr>
        <w:t>pracowni</w:t>
      </w:r>
      <w:r>
        <w:rPr>
          <w:rFonts w:ascii="Times New Roman" w:eastAsia="Calibri" w:hAnsi="Times New Roman" w:cs="Times New Roman"/>
          <w:szCs w:val="24"/>
        </w:rPr>
        <w:t xml:space="preserve">kom </w:t>
      </w:r>
      <w:r w:rsidRPr="00D92FC1">
        <w:rPr>
          <w:rFonts w:ascii="Times New Roman" w:eastAsia="Calibri" w:hAnsi="Times New Roman" w:cs="Times New Roman"/>
          <w:szCs w:val="24"/>
        </w:rPr>
        <w:t xml:space="preserve"> i eksper</w:t>
      </w:r>
      <w:r>
        <w:rPr>
          <w:rFonts w:ascii="Times New Roman" w:eastAsia="Calibri" w:hAnsi="Times New Roman" w:cs="Times New Roman"/>
          <w:szCs w:val="24"/>
        </w:rPr>
        <w:t>tom</w:t>
      </w:r>
      <w:r w:rsidRPr="00D92FC1">
        <w:rPr>
          <w:rFonts w:ascii="Times New Roman" w:eastAsia="Calibri" w:hAnsi="Times New Roman" w:cs="Times New Roman"/>
          <w:szCs w:val="24"/>
        </w:rPr>
        <w:t xml:space="preserve"> właściwych organów publicznych zaangażowanych w proces restrukturyzacji i uporządkowanej likwidacji CCP (</w:t>
      </w:r>
      <w:r>
        <w:rPr>
          <w:rFonts w:ascii="Times New Roman" w:eastAsia="Calibri" w:hAnsi="Times New Roman" w:cs="Times New Roman"/>
          <w:szCs w:val="24"/>
        </w:rPr>
        <w:t xml:space="preserve">np. </w:t>
      </w:r>
      <w:r w:rsidRPr="00D92FC1">
        <w:rPr>
          <w:rFonts w:ascii="Times New Roman" w:eastAsia="Calibri" w:hAnsi="Times New Roman" w:cs="Times New Roman"/>
          <w:szCs w:val="24"/>
        </w:rPr>
        <w:t>NBP, ESMA, Europejski Urząd Nadzoru Bankowego, członkowie kolegium ds. restrukturyzacji i uporządkowanej likwidacji, czy potencjalni nabywcy CCP w restrukturyzacji)</w:t>
      </w:r>
      <w:r>
        <w:rPr>
          <w:rFonts w:ascii="Times New Roman" w:eastAsia="Calibri" w:hAnsi="Times New Roman" w:cs="Times New Roman"/>
          <w:szCs w:val="24"/>
        </w:rPr>
        <w:t xml:space="preserve">. Będzie to </w:t>
      </w:r>
      <w:r w:rsidRPr="00D92FC1">
        <w:rPr>
          <w:rFonts w:ascii="Times New Roman" w:eastAsia="Calibri" w:hAnsi="Times New Roman" w:cs="Times New Roman"/>
          <w:szCs w:val="24"/>
        </w:rPr>
        <w:t xml:space="preserve">jednak </w:t>
      </w:r>
      <w:r>
        <w:rPr>
          <w:rFonts w:ascii="Times New Roman" w:eastAsia="Calibri" w:hAnsi="Times New Roman" w:cs="Times New Roman"/>
          <w:szCs w:val="24"/>
        </w:rPr>
        <w:t xml:space="preserve">możliwe </w:t>
      </w:r>
      <w:r w:rsidRPr="00D92FC1">
        <w:rPr>
          <w:rFonts w:ascii="Times New Roman" w:eastAsia="Calibri" w:hAnsi="Times New Roman" w:cs="Times New Roman"/>
          <w:szCs w:val="24"/>
        </w:rPr>
        <w:t xml:space="preserve">tylko w zakresie niezbędnym do  przygotowania i </w:t>
      </w:r>
      <w:r w:rsidRPr="00D92FC1">
        <w:rPr>
          <w:rFonts w:ascii="Times New Roman" w:eastAsia="Calibri" w:hAnsi="Times New Roman" w:cs="Times New Roman"/>
          <w:szCs w:val="24"/>
        </w:rPr>
        <w:lastRenderedPageBreak/>
        <w:t>prowadzenia restrukturyzacji i uporządkowanej likwidacji CCP, stosowania instrumentów restrukturyzacji i uporządkowanej likwidacji</w:t>
      </w:r>
      <w:r>
        <w:rPr>
          <w:rFonts w:ascii="Times New Roman" w:eastAsia="Calibri" w:hAnsi="Times New Roman" w:cs="Times New Roman"/>
          <w:szCs w:val="24"/>
        </w:rPr>
        <w:t xml:space="preserve"> lub </w:t>
      </w:r>
      <w:r w:rsidRPr="00D92FC1">
        <w:rPr>
          <w:rFonts w:ascii="Times New Roman" w:eastAsia="Calibri" w:hAnsi="Times New Roman" w:cs="Times New Roman"/>
          <w:szCs w:val="24"/>
        </w:rPr>
        <w:t xml:space="preserve">wykonywania uprawnień organu ds. restrukturyzacji i uporządkowanej likwidacji CCP (np. </w:t>
      </w:r>
      <w:r>
        <w:rPr>
          <w:rFonts w:ascii="Times New Roman" w:eastAsia="Calibri" w:hAnsi="Times New Roman" w:cs="Times New Roman"/>
          <w:szCs w:val="24"/>
        </w:rPr>
        <w:t xml:space="preserve">w odniesieniu do </w:t>
      </w:r>
      <w:r w:rsidRPr="00D92FC1">
        <w:rPr>
          <w:rFonts w:ascii="Times New Roman" w:eastAsia="Calibri" w:hAnsi="Times New Roman" w:cs="Times New Roman"/>
          <w:szCs w:val="24"/>
        </w:rPr>
        <w:t>sporządzania planów restrukturyzacji i uporządkowanej likwidacji CCP</w:t>
      </w:r>
      <w:r>
        <w:rPr>
          <w:rFonts w:ascii="Times New Roman" w:eastAsia="Calibri" w:hAnsi="Times New Roman" w:cs="Times New Roman"/>
          <w:szCs w:val="24"/>
        </w:rPr>
        <w:t xml:space="preserve"> lub </w:t>
      </w:r>
      <w:r w:rsidRPr="00D92FC1">
        <w:rPr>
          <w:rFonts w:ascii="Times New Roman" w:eastAsia="Calibri" w:hAnsi="Times New Roman" w:cs="Times New Roman"/>
          <w:szCs w:val="24"/>
        </w:rPr>
        <w:t xml:space="preserve">stosowania sankcji za nieprzestrzeganie obowiązków informacyjnych lub zaleceń). </w:t>
      </w:r>
    </w:p>
    <w:p w14:paraId="114005C5" w14:textId="77777777" w:rsidR="00682672" w:rsidRPr="00D92FC1" w:rsidRDefault="00682672" w:rsidP="005E5395">
      <w:pPr>
        <w:pStyle w:val="ZARTzmartartykuempunktem"/>
        <w:spacing w:after="120"/>
        <w:ind w:left="0" w:firstLine="0"/>
        <w:rPr>
          <w:rFonts w:ascii="Times New Roman" w:eastAsia="Calibri" w:hAnsi="Times New Roman" w:cs="Times New Roman"/>
          <w:szCs w:val="24"/>
        </w:rPr>
      </w:pPr>
      <w:r w:rsidRPr="00D92FC1">
        <w:rPr>
          <w:rFonts w:ascii="Times New Roman" w:eastAsia="Calibri" w:hAnsi="Times New Roman" w:cs="Times New Roman"/>
          <w:szCs w:val="24"/>
        </w:rPr>
        <w:t xml:space="preserve">Zmiany w </w:t>
      </w:r>
      <w:r w:rsidRPr="00D92FC1">
        <w:rPr>
          <w:rFonts w:ascii="Times New Roman" w:eastAsia="Calibri" w:hAnsi="Times New Roman" w:cs="Times New Roman"/>
          <w:b/>
          <w:szCs w:val="24"/>
        </w:rPr>
        <w:t>art. 325</w:t>
      </w:r>
      <w:r w:rsidRPr="00D92FC1">
        <w:rPr>
          <w:rFonts w:ascii="Times New Roman" w:eastAsia="Calibri" w:hAnsi="Times New Roman" w:cs="Times New Roman"/>
          <w:szCs w:val="24"/>
        </w:rPr>
        <w:t xml:space="preserve"> </w:t>
      </w:r>
      <w:r w:rsidRPr="00870DA6">
        <w:rPr>
          <w:rFonts w:ascii="Times New Roman" w:eastAsia="Calibri" w:hAnsi="Times New Roman" w:cs="Times New Roman"/>
          <w:b/>
          <w:szCs w:val="24"/>
        </w:rPr>
        <w:t>ust. 1 i 2</w:t>
      </w:r>
      <w:r>
        <w:rPr>
          <w:rFonts w:ascii="Times New Roman" w:eastAsia="Calibri" w:hAnsi="Times New Roman" w:cs="Times New Roman"/>
          <w:szCs w:val="24"/>
        </w:rPr>
        <w:t xml:space="preserve"> </w:t>
      </w:r>
      <w:r w:rsidRPr="00D92FC1">
        <w:rPr>
          <w:rFonts w:ascii="Times New Roman" w:eastAsia="Calibri" w:hAnsi="Times New Roman" w:cs="Times New Roman"/>
          <w:szCs w:val="24"/>
        </w:rPr>
        <w:t xml:space="preserve">polegają na rozszerzeniu uprawnienia BFG do pozyskiwania informacji posiadanych przez NBP, ministra właściwego do spraw instytucji finansowych, KNF i Najwyższą Izbę Kontroli także o informacje CCP oraz dają BFG prawo do wykorzystywania tych informacji do opracowywania analiz i prognoz. </w:t>
      </w:r>
    </w:p>
    <w:p w14:paraId="602A1FB2" w14:textId="77777777" w:rsidR="00682672" w:rsidRPr="00D92FC1" w:rsidRDefault="00682672" w:rsidP="005E5395">
      <w:pPr>
        <w:pStyle w:val="ZARTzmartartykuempunktem"/>
        <w:ind w:left="0" w:firstLine="0"/>
        <w:rPr>
          <w:rFonts w:ascii="Times New Roman" w:eastAsia="Calibri" w:hAnsi="Times New Roman" w:cs="Times New Roman"/>
          <w:szCs w:val="24"/>
        </w:rPr>
      </w:pPr>
      <w:r w:rsidRPr="00D92FC1">
        <w:rPr>
          <w:rFonts w:ascii="Times New Roman" w:eastAsia="Calibri" w:hAnsi="Times New Roman" w:cs="Times New Roman"/>
          <w:szCs w:val="24"/>
        </w:rPr>
        <w:t xml:space="preserve">Zmiany w </w:t>
      </w:r>
      <w:r w:rsidRPr="00D92FC1">
        <w:rPr>
          <w:rFonts w:ascii="Times New Roman" w:eastAsia="Calibri" w:hAnsi="Times New Roman" w:cs="Times New Roman"/>
          <w:b/>
          <w:szCs w:val="24"/>
        </w:rPr>
        <w:t xml:space="preserve">art. 326 </w:t>
      </w:r>
      <w:r>
        <w:rPr>
          <w:rFonts w:ascii="Times New Roman" w:eastAsia="Calibri" w:hAnsi="Times New Roman" w:cs="Times New Roman"/>
          <w:b/>
          <w:szCs w:val="24"/>
        </w:rPr>
        <w:t xml:space="preserve">ust. 1 i 6 </w:t>
      </w:r>
      <w:r w:rsidRPr="00D92FC1">
        <w:rPr>
          <w:rFonts w:ascii="Times New Roman" w:eastAsia="Calibri" w:hAnsi="Times New Roman" w:cs="Times New Roman"/>
          <w:szCs w:val="24"/>
        </w:rPr>
        <w:t xml:space="preserve">są konsekwencją zmian zaproponowanych w art. 325 – zobowiązują </w:t>
      </w:r>
      <w:r w:rsidRPr="00D92FC1">
        <w:rPr>
          <w:rFonts w:ascii="Times New Roman" w:hAnsi="Times New Roman" w:cs="Times New Roman"/>
          <w:szCs w:val="24"/>
        </w:rPr>
        <w:t>KNF do przekazywania BFG informacji, w tym informacji sprawozdawczych, w zakresie niezbędnym do realizacji przez BFG zadań organu restrukturyzacji i uporządkowanej likwidacji CCP.</w:t>
      </w:r>
    </w:p>
    <w:p w14:paraId="4B0ED44B" w14:textId="77777777" w:rsidR="00682672" w:rsidRPr="00D92FC1" w:rsidRDefault="00682672" w:rsidP="005E5395">
      <w:pPr>
        <w:spacing w:after="120" w:line="360" w:lineRule="auto"/>
        <w:jc w:val="both"/>
        <w:rPr>
          <w:rFonts w:ascii="Times New Roman" w:hAnsi="Times New Roman" w:cs="Times New Roman"/>
          <w:sz w:val="24"/>
          <w:szCs w:val="24"/>
        </w:rPr>
      </w:pPr>
      <w:r w:rsidRPr="00D92FC1">
        <w:rPr>
          <w:rFonts w:ascii="Times New Roman" w:hAnsi="Times New Roman" w:cs="Times New Roman"/>
          <w:sz w:val="24"/>
          <w:szCs w:val="24"/>
        </w:rPr>
        <w:t>Zgodnie z art. 13 ust. 1 rozporządzenia nr 2021/23 KNF jest zobowiązany do przekazywania informacji do BFG, jednak dla wykonywania przez BFG zadań jako organu restrukturyzacji i uporządkowanej likwidacji dla CCP istotne jest posiadanie bieżących danych dotyczących funkcjonowania CCP, nie tylko związanych z tworzeniem planów restrukturyzacji i uporządkowanej likwidacji, ale również takich, które mają istotne znaczenie dla analiz prowadzonych przez BFG w szczególności w zakresie systemu zarządzania ryzykiem w CCP. W związku z tym KNF będzie przekazywać do BFG także informacje dotyczące zmian właścicielskich, organizacyjnych lub prawnych, które mają wpływ na zarządzanie ryzykiem CCP, a także wyników przeglądu i oceny CCP przeprowadzanych zgodnie z art. 21 rozporządzenia nr 648/2012.</w:t>
      </w:r>
    </w:p>
    <w:p w14:paraId="12F318EA" w14:textId="77777777" w:rsidR="00682672" w:rsidRPr="00D92FC1" w:rsidRDefault="00682672" w:rsidP="005E5395">
      <w:pPr>
        <w:pStyle w:val="ZARTzmartartykuempunktem"/>
        <w:spacing w:after="120"/>
        <w:ind w:left="0" w:firstLine="0"/>
        <w:rPr>
          <w:rFonts w:ascii="Times New Roman" w:hAnsi="Times New Roman" w:cs="Times New Roman"/>
          <w:szCs w:val="24"/>
        </w:rPr>
      </w:pPr>
      <w:r w:rsidRPr="00D92FC1">
        <w:rPr>
          <w:rFonts w:ascii="Times New Roman" w:hAnsi="Times New Roman" w:cs="Times New Roman"/>
          <w:szCs w:val="24"/>
        </w:rPr>
        <w:t xml:space="preserve">Zmiany w </w:t>
      </w:r>
      <w:r w:rsidRPr="00D92FC1">
        <w:rPr>
          <w:rFonts w:ascii="Times New Roman" w:hAnsi="Times New Roman" w:cs="Times New Roman"/>
          <w:b/>
          <w:szCs w:val="24"/>
        </w:rPr>
        <w:t xml:space="preserve">art. 330 </w:t>
      </w:r>
      <w:r>
        <w:rPr>
          <w:rFonts w:ascii="Times New Roman" w:hAnsi="Times New Roman" w:cs="Times New Roman"/>
          <w:b/>
          <w:szCs w:val="24"/>
        </w:rPr>
        <w:t xml:space="preserve">ust. 1 </w:t>
      </w:r>
      <w:r w:rsidRPr="00D92FC1">
        <w:rPr>
          <w:rFonts w:ascii="Times New Roman" w:hAnsi="Times New Roman" w:cs="Times New Roman"/>
          <w:szCs w:val="24"/>
        </w:rPr>
        <w:t>umożliwią BFG pozyskiwania informacji i wyjaśnień od CCP, niezbędnych do wykonywania zadań wynikających z rozporządzenia nr 2021/23) i przygotowania ewentualnej restrukturyzacji i uporządkowanej likwidacji.</w:t>
      </w:r>
    </w:p>
    <w:p w14:paraId="130F906B" w14:textId="7BAE36AA" w:rsidR="00682672" w:rsidRPr="00D92FC1" w:rsidRDefault="00682672" w:rsidP="005E5395">
      <w:pPr>
        <w:pStyle w:val="ZARTzmartartykuempunktem"/>
        <w:ind w:left="0" w:firstLine="0"/>
        <w:rPr>
          <w:rFonts w:ascii="Times New Roman" w:hAnsi="Times New Roman" w:cs="Times New Roman"/>
          <w:szCs w:val="24"/>
        </w:rPr>
      </w:pPr>
      <w:r w:rsidRPr="00D92FC1">
        <w:rPr>
          <w:rFonts w:ascii="Times New Roman" w:hAnsi="Times New Roman" w:cs="Times New Roman"/>
          <w:szCs w:val="24"/>
        </w:rPr>
        <w:t xml:space="preserve">Zmiana w </w:t>
      </w:r>
      <w:r w:rsidRPr="00D92FC1">
        <w:rPr>
          <w:rFonts w:ascii="Times New Roman" w:hAnsi="Times New Roman" w:cs="Times New Roman"/>
          <w:b/>
          <w:szCs w:val="24"/>
        </w:rPr>
        <w:t xml:space="preserve">art. 338a </w:t>
      </w:r>
      <w:r w:rsidRPr="00D92FC1">
        <w:rPr>
          <w:rFonts w:ascii="Times New Roman" w:hAnsi="Times New Roman" w:cs="Times New Roman"/>
          <w:szCs w:val="24"/>
        </w:rPr>
        <w:t>przewiduje,</w:t>
      </w:r>
      <w:r w:rsidRPr="00D92FC1">
        <w:rPr>
          <w:rFonts w:ascii="Times New Roman" w:hAnsi="Times New Roman" w:cs="Times New Roman"/>
          <w:b/>
          <w:szCs w:val="24"/>
        </w:rPr>
        <w:t xml:space="preserve"> </w:t>
      </w:r>
      <w:r w:rsidRPr="00D92FC1">
        <w:rPr>
          <w:rFonts w:ascii="Times New Roman" w:hAnsi="Times New Roman" w:cs="Times New Roman"/>
          <w:szCs w:val="24"/>
        </w:rPr>
        <w:t xml:space="preserve">że kary nakładane przez BFG na podstawie art. </w:t>
      </w:r>
      <w:r w:rsidR="003722DE" w:rsidRPr="00D92FC1">
        <w:rPr>
          <w:rFonts w:ascii="Times New Roman" w:hAnsi="Times New Roman" w:cs="Times New Roman"/>
          <w:szCs w:val="24"/>
        </w:rPr>
        <w:t>340</w:t>
      </w:r>
      <w:r w:rsidR="003722DE">
        <w:rPr>
          <w:rFonts w:ascii="Times New Roman" w:hAnsi="Times New Roman" w:cs="Times New Roman"/>
          <w:szCs w:val="24"/>
        </w:rPr>
        <w:t>a</w:t>
      </w:r>
      <w:r w:rsidR="003722DE" w:rsidRPr="00D92FC1">
        <w:rPr>
          <w:rFonts w:ascii="Times New Roman" w:hAnsi="Times New Roman" w:cs="Times New Roman"/>
          <w:szCs w:val="24"/>
        </w:rPr>
        <w:t xml:space="preserve"> </w:t>
      </w:r>
      <w:r w:rsidRPr="00D92FC1">
        <w:rPr>
          <w:rFonts w:ascii="Times New Roman" w:hAnsi="Times New Roman" w:cs="Times New Roman"/>
          <w:szCs w:val="24"/>
        </w:rPr>
        <w:t xml:space="preserve">ust. 1 pkt 4 i 5 stanowią dochód budżetu państwa. </w:t>
      </w:r>
    </w:p>
    <w:p w14:paraId="57241051" w14:textId="77777777" w:rsidR="00682672" w:rsidRPr="00D92FC1" w:rsidRDefault="00682672" w:rsidP="005E5395">
      <w:pPr>
        <w:pStyle w:val="ZARTzmartartykuempunktem"/>
        <w:ind w:left="0" w:firstLine="0"/>
        <w:rPr>
          <w:rFonts w:ascii="Times New Roman" w:hAnsi="Times New Roman" w:cs="Times New Roman"/>
          <w:szCs w:val="24"/>
        </w:rPr>
      </w:pPr>
      <w:r w:rsidRPr="00D92FC1">
        <w:rPr>
          <w:rFonts w:ascii="Times New Roman" w:hAnsi="Times New Roman" w:cs="Times New Roman"/>
          <w:szCs w:val="24"/>
        </w:rPr>
        <w:t xml:space="preserve">BFG od 2014 r. jest uznany przez Komisję Europejską (Eurostat) za jednostkę sektora </w:t>
      </w:r>
      <w:r w:rsidRPr="00D92FC1">
        <w:rPr>
          <w:rFonts w:ascii="Times New Roman" w:hAnsi="Times New Roman" w:cs="Times New Roman"/>
          <w:i/>
          <w:szCs w:val="24"/>
        </w:rPr>
        <w:t>general government</w:t>
      </w:r>
      <w:r w:rsidRPr="00D92FC1">
        <w:rPr>
          <w:rFonts w:ascii="Times New Roman" w:hAnsi="Times New Roman" w:cs="Times New Roman"/>
          <w:szCs w:val="24"/>
        </w:rPr>
        <w:t xml:space="preserve">, </w:t>
      </w:r>
      <w:r>
        <w:rPr>
          <w:rFonts w:ascii="Times New Roman" w:hAnsi="Times New Roman" w:cs="Times New Roman"/>
          <w:szCs w:val="24"/>
        </w:rPr>
        <w:t xml:space="preserve">tj. </w:t>
      </w:r>
      <w:r w:rsidRPr="00D92FC1">
        <w:rPr>
          <w:rFonts w:ascii="Times New Roman" w:hAnsi="Times New Roman" w:cs="Times New Roman"/>
          <w:szCs w:val="24"/>
        </w:rPr>
        <w:t>odpowiednik polskiego sektora finansów publicznych</w:t>
      </w:r>
      <w:r>
        <w:rPr>
          <w:rFonts w:ascii="Times New Roman" w:hAnsi="Times New Roman" w:cs="Times New Roman"/>
          <w:szCs w:val="24"/>
        </w:rPr>
        <w:t>. O</w:t>
      </w:r>
      <w:r w:rsidRPr="00D92FC1">
        <w:rPr>
          <w:rFonts w:ascii="Times New Roman" w:hAnsi="Times New Roman" w:cs="Times New Roman"/>
          <w:szCs w:val="24"/>
        </w:rPr>
        <w:t>d 2015 r. wydatki BFG są uwzględniane w stabilizującej regule wydatkowej, o której mowa w art. 112aa ustawy o fina</w:t>
      </w:r>
      <w:r>
        <w:rPr>
          <w:rFonts w:ascii="Times New Roman" w:hAnsi="Times New Roman" w:cs="Times New Roman"/>
          <w:szCs w:val="24"/>
        </w:rPr>
        <w:t>nsach publicznych (Dz. U. z 2022</w:t>
      </w:r>
      <w:r w:rsidRPr="00D92FC1">
        <w:rPr>
          <w:rFonts w:ascii="Times New Roman" w:hAnsi="Times New Roman" w:cs="Times New Roman"/>
          <w:szCs w:val="24"/>
        </w:rPr>
        <w:t xml:space="preserve"> r. poz. </w:t>
      </w:r>
      <w:r>
        <w:rPr>
          <w:rFonts w:ascii="Times New Roman" w:hAnsi="Times New Roman" w:cs="Times New Roman"/>
          <w:szCs w:val="24"/>
        </w:rPr>
        <w:t>1634</w:t>
      </w:r>
      <w:r w:rsidRPr="00D92FC1">
        <w:rPr>
          <w:rFonts w:ascii="Times New Roman" w:hAnsi="Times New Roman" w:cs="Times New Roman"/>
          <w:szCs w:val="24"/>
        </w:rPr>
        <w:t xml:space="preserve">, z późn. zm.). </w:t>
      </w:r>
    </w:p>
    <w:p w14:paraId="1D92DD27" w14:textId="77777777" w:rsidR="00682672" w:rsidRPr="00D92FC1" w:rsidRDefault="00682672" w:rsidP="005E5395">
      <w:pPr>
        <w:pStyle w:val="ZARTzmartartykuempunktem"/>
        <w:spacing w:after="120"/>
        <w:ind w:left="0" w:firstLine="0"/>
        <w:rPr>
          <w:rFonts w:ascii="Times New Roman" w:hAnsi="Times New Roman" w:cs="Times New Roman"/>
          <w:szCs w:val="24"/>
        </w:rPr>
      </w:pPr>
      <w:r w:rsidRPr="00D92FC1">
        <w:rPr>
          <w:rFonts w:ascii="Times New Roman" w:hAnsi="Times New Roman" w:cs="Times New Roman"/>
          <w:szCs w:val="24"/>
        </w:rPr>
        <w:lastRenderedPageBreak/>
        <w:t xml:space="preserve">Na podstawie ustawy z dnia 11 sierpnia 2021 r. o zmianie ustawy o finansach publicznych oraz niektórych innych ustaw (Dz. U. poz. 1535) BFG został zaliczony do sektora finansów publicznych. </w:t>
      </w:r>
    </w:p>
    <w:p w14:paraId="263ADFF6" w14:textId="3440F9D7" w:rsidR="00682672" w:rsidRPr="00D92FC1" w:rsidRDefault="00682672" w:rsidP="005E5395">
      <w:pPr>
        <w:pStyle w:val="ZARTzmartartykuempunktem"/>
        <w:ind w:left="0" w:firstLine="0"/>
        <w:rPr>
          <w:rFonts w:ascii="Times New Roman" w:hAnsi="Times New Roman" w:cs="Times New Roman"/>
          <w:szCs w:val="24"/>
        </w:rPr>
      </w:pPr>
      <w:r w:rsidRPr="00D92FC1">
        <w:rPr>
          <w:rFonts w:ascii="Times New Roman" w:hAnsi="Times New Roman" w:cs="Times New Roman"/>
          <w:szCs w:val="24"/>
        </w:rPr>
        <w:t xml:space="preserve">Dodawane </w:t>
      </w:r>
      <w:r w:rsidRPr="00DE4C80">
        <w:rPr>
          <w:rFonts w:ascii="Times New Roman" w:hAnsi="Times New Roman" w:cs="Times New Roman"/>
          <w:szCs w:val="24"/>
        </w:rPr>
        <w:t>art. 340a</w:t>
      </w:r>
      <w:r>
        <w:rPr>
          <w:rFonts w:ascii="Times New Roman" w:hAnsi="Times New Roman" w:cs="Times New Roman"/>
          <w:szCs w:val="24"/>
        </w:rPr>
        <w:t xml:space="preserve"> i </w:t>
      </w:r>
      <w:r w:rsidR="00AB479C">
        <w:rPr>
          <w:rFonts w:ascii="Times New Roman" w:hAnsi="Times New Roman" w:cs="Times New Roman"/>
          <w:szCs w:val="24"/>
        </w:rPr>
        <w:t xml:space="preserve">art. </w:t>
      </w:r>
      <w:r w:rsidRPr="00DE4C80">
        <w:rPr>
          <w:rFonts w:ascii="Times New Roman" w:hAnsi="Times New Roman" w:cs="Times New Roman"/>
          <w:szCs w:val="24"/>
        </w:rPr>
        <w:t>340</w:t>
      </w:r>
      <w:r>
        <w:rPr>
          <w:rFonts w:ascii="Times New Roman" w:hAnsi="Times New Roman" w:cs="Times New Roman"/>
          <w:szCs w:val="24"/>
        </w:rPr>
        <w:t>b</w:t>
      </w:r>
      <w:r w:rsidRPr="00D92FC1">
        <w:rPr>
          <w:rFonts w:ascii="Times New Roman" w:hAnsi="Times New Roman" w:cs="Times New Roman"/>
          <w:szCs w:val="24"/>
        </w:rPr>
        <w:t xml:space="preserve"> zapewnią stosowanie art. 81 rozporządzenia nr 2021/23, tj. rozwiązań dotyczących kar administracyjnych i innych środków administracyjnych</w:t>
      </w:r>
      <w:r>
        <w:rPr>
          <w:rFonts w:ascii="Times New Roman" w:hAnsi="Times New Roman" w:cs="Times New Roman"/>
          <w:szCs w:val="24"/>
        </w:rPr>
        <w:t xml:space="preserve">, które </w:t>
      </w:r>
      <w:r w:rsidRPr="00D92FC1">
        <w:rPr>
          <w:rFonts w:ascii="Times New Roman" w:hAnsi="Times New Roman" w:cs="Times New Roman"/>
          <w:szCs w:val="24"/>
        </w:rPr>
        <w:t xml:space="preserve"> mają zastosowanie w przypadku naruszeń tego rozporządzenia</w:t>
      </w:r>
      <w:r>
        <w:rPr>
          <w:rFonts w:ascii="Times New Roman" w:hAnsi="Times New Roman" w:cs="Times New Roman"/>
          <w:szCs w:val="24"/>
        </w:rPr>
        <w:t xml:space="preserve">. Chodzi o naruszenia </w:t>
      </w:r>
      <w:r w:rsidRPr="00D92FC1">
        <w:rPr>
          <w:rFonts w:ascii="Times New Roman" w:hAnsi="Times New Roman" w:cs="Times New Roman"/>
          <w:szCs w:val="24"/>
        </w:rPr>
        <w:t>taki</w:t>
      </w:r>
      <w:r>
        <w:rPr>
          <w:rFonts w:ascii="Times New Roman" w:hAnsi="Times New Roman" w:cs="Times New Roman"/>
          <w:szCs w:val="24"/>
        </w:rPr>
        <w:t>e</w:t>
      </w:r>
      <w:r w:rsidRPr="00D92FC1">
        <w:rPr>
          <w:rFonts w:ascii="Times New Roman" w:hAnsi="Times New Roman" w:cs="Times New Roman"/>
          <w:szCs w:val="24"/>
        </w:rPr>
        <w:t xml:space="preserve"> jak niedopełnienie obowiązku sporządzenia, utrzymywania i aktualizacji planów naprawy, przedstawienia informacji niezbędnych do opracowania planów restrukturyzacji i uporządkowanej likwidacji  oraz powiadomienia właściwego organu, </w:t>
      </w:r>
      <w:r>
        <w:rPr>
          <w:rFonts w:ascii="Times New Roman" w:hAnsi="Times New Roman" w:cs="Times New Roman"/>
          <w:szCs w:val="24"/>
        </w:rPr>
        <w:t xml:space="preserve">w przypadku </w:t>
      </w:r>
      <w:r w:rsidRPr="00D92FC1">
        <w:rPr>
          <w:rFonts w:ascii="Times New Roman" w:hAnsi="Times New Roman" w:cs="Times New Roman"/>
          <w:szCs w:val="24"/>
        </w:rPr>
        <w:t xml:space="preserve">gdy CCP znajduje się na progu upadłości lub jest zagrożony upadłością. </w:t>
      </w:r>
    </w:p>
    <w:p w14:paraId="3BAE9C16" w14:textId="77777777" w:rsidR="00682672" w:rsidRPr="00D92FC1" w:rsidRDefault="00682672" w:rsidP="005E5395">
      <w:pPr>
        <w:pStyle w:val="ZARTzmartartykuempunktem"/>
        <w:ind w:left="0" w:firstLine="0"/>
        <w:rPr>
          <w:rFonts w:ascii="Times New Roman" w:eastAsiaTheme="minorEastAsia" w:hAnsi="Times New Roman" w:cs="Times New Roman"/>
          <w:szCs w:val="24"/>
        </w:rPr>
      </w:pPr>
      <w:r>
        <w:rPr>
          <w:rFonts w:ascii="Times New Roman" w:hAnsi="Times New Roman" w:cs="Times New Roman"/>
          <w:szCs w:val="24"/>
        </w:rPr>
        <w:t>Z</w:t>
      </w:r>
      <w:r w:rsidRPr="00D92FC1">
        <w:rPr>
          <w:rFonts w:ascii="Times New Roman" w:hAnsi="Times New Roman" w:cs="Times New Roman"/>
          <w:szCs w:val="24"/>
        </w:rPr>
        <w:t xml:space="preserve">aproponowany w </w:t>
      </w:r>
      <w:r w:rsidRPr="00D92FC1">
        <w:rPr>
          <w:rFonts w:ascii="Times New Roman" w:hAnsi="Times New Roman" w:cs="Times New Roman"/>
          <w:b/>
          <w:szCs w:val="24"/>
        </w:rPr>
        <w:t>art. 340a ust. 1</w:t>
      </w:r>
      <w:r>
        <w:rPr>
          <w:rFonts w:ascii="Times New Roman" w:hAnsi="Times New Roman" w:cs="Times New Roman"/>
          <w:b/>
          <w:szCs w:val="24"/>
        </w:rPr>
        <w:t xml:space="preserve"> </w:t>
      </w:r>
      <w:r>
        <w:rPr>
          <w:rFonts w:ascii="Times New Roman" w:hAnsi="Times New Roman" w:cs="Times New Roman"/>
          <w:szCs w:val="24"/>
        </w:rPr>
        <w:t>k</w:t>
      </w:r>
      <w:r w:rsidRPr="00D92FC1">
        <w:rPr>
          <w:rFonts w:ascii="Times New Roman" w:hAnsi="Times New Roman" w:cs="Times New Roman"/>
          <w:szCs w:val="24"/>
        </w:rPr>
        <w:t xml:space="preserve">atalog kar oraz podmiotów, na które mogą zostać </w:t>
      </w:r>
      <w:r>
        <w:rPr>
          <w:rFonts w:ascii="Times New Roman" w:hAnsi="Times New Roman" w:cs="Times New Roman"/>
          <w:szCs w:val="24"/>
        </w:rPr>
        <w:t xml:space="preserve">one </w:t>
      </w:r>
      <w:r w:rsidRPr="00D92FC1">
        <w:rPr>
          <w:rFonts w:ascii="Times New Roman" w:hAnsi="Times New Roman" w:cs="Times New Roman"/>
          <w:szCs w:val="24"/>
        </w:rPr>
        <w:t>nałożone, odpowiada art. 82 ust. 2 lit. a i art. 82 ust. 2 lit. a</w:t>
      </w:r>
      <w:r w:rsidRPr="00D92FC1">
        <w:rPr>
          <w:rFonts w:ascii="Times New Roman" w:hAnsi="Times New Roman" w:cs="Times New Roman"/>
          <w:i/>
          <w:szCs w:val="24"/>
        </w:rPr>
        <w:t>–</w:t>
      </w:r>
      <w:r w:rsidRPr="00D92FC1">
        <w:rPr>
          <w:rFonts w:ascii="Times New Roman" w:hAnsi="Times New Roman" w:cs="Times New Roman"/>
          <w:szCs w:val="24"/>
        </w:rPr>
        <w:t xml:space="preserve">g rozporządzania nr 2021/23. Ponadto uwzględniono treść art. 82 ust. 2 lit. e tego rozporządzenia, który przewiduje, że w przypadku osoby fizycznej administracyjne kary pieniężne ustala się do maksymalnej wysokości 5 000 000 </w:t>
      </w:r>
      <w:r>
        <w:rPr>
          <w:rFonts w:ascii="Times New Roman" w:hAnsi="Times New Roman" w:cs="Times New Roman"/>
          <w:szCs w:val="24"/>
        </w:rPr>
        <w:t xml:space="preserve">euro </w:t>
      </w:r>
      <w:r w:rsidRPr="00D92FC1">
        <w:rPr>
          <w:rFonts w:ascii="Times New Roman" w:hAnsi="Times New Roman" w:cs="Times New Roman"/>
          <w:szCs w:val="24"/>
        </w:rPr>
        <w:t>lub, w państwach członkowskich, w których euro nie jest oficjalną walutą, równowartość tej kwoty w walucie krajowej na dzień 11 lutego 2021 r.</w:t>
      </w:r>
      <w:r>
        <w:rPr>
          <w:rFonts w:ascii="Times New Roman" w:hAnsi="Times New Roman" w:cs="Times New Roman"/>
          <w:szCs w:val="24"/>
        </w:rPr>
        <w:t xml:space="preserve"> </w:t>
      </w:r>
      <w:r w:rsidRPr="00D92FC1">
        <w:rPr>
          <w:rFonts w:ascii="Times New Roman" w:eastAsiaTheme="minorEastAsia" w:hAnsi="Times New Roman" w:cs="Times New Roman"/>
          <w:szCs w:val="24"/>
        </w:rPr>
        <w:t>W związku z tym przejęto maksymalną wysokość kary pieniężnej, którą BFG będ</w:t>
      </w:r>
      <w:r>
        <w:rPr>
          <w:rFonts w:ascii="Times New Roman" w:eastAsiaTheme="minorEastAsia" w:hAnsi="Times New Roman" w:cs="Times New Roman"/>
          <w:szCs w:val="24"/>
        </w:rPr>
        <w:t>zie</w:t>
      </w:r>
      <w:r w:rsidRPr="00D92FC1">
        <w:rPr>
          <w:rFonts w:ascii="Times New Roman" w:eastAsiaTheme="minorEastAsia" w:hAnsi="Times New Roman" w:cs="Times New Roman"/>
          <w:szCs w:val="24"/>
        </w:rPr>
        <w:t xml:space="preserve"> m</w:t>
      </w:r>
      <w:r>
        <w:rPr>
          <w:rFonts w:ascii="Times New Roman" w:eastAsiaTheme="minorEastAsia" w:hAnsi="Times New Roman" w:cs="Times New Roman"/>
          <w:szCs w:val="24"/>
        </w:rPr>
        <w:t>ó</w:t>
      </w:r>
      <w:r w:rsidRPr="00D92FC1">
        <w:rPr>
          <w:rFonts w:ascii="Times New Roman" w:eastAsiaTheme="minorEastAsia" w:hAnsi="Times New Roman" w:cs="Times New Roman"/>
          <w:szCs w:val="24"/>
        </w:rPr>
        <w:t>gł nałożyć na podmioty odpowiedzialne za naruszenia przepisów, na tym właśnie poziomie, jako równowartość kwoty w euro, zgodnie z informacją o kursie wymiany euro opracowaną przez Europejski Bank Centralny (</w:t>
      </w:r>
      <w:r w:rsidRPr="00D92FC1">
        <w:rPr>
          <w:rFonts w:ascii="Times New Roman" w:eastAsiaTheme="minorEastAsia" w:hAnsi="Times New Roman" w:cs="Times New Roman"/>
          <w:i/>
          <w:szCs w:val="24"/>
        </w:rPr>
        <w:t>Euro Foreign Exchange Reference Rates</w:t>
      </w:r>
      <w:r w:rsidRPr="00D92FC1">
        <w:rPr>
          <w:rFonts w:ascii="Times New Roman" w:eastAsiaTheme="minorEastAsia" w:hAnsi="Times New Roman" w:cs="Times New Roman"/>
          <w:szCs w:val="24"/>
        </w:rPr>
        <w:t xml:space="preserve">, </w:t>
      </w:r>
      <w:r w:rsidRPr="000851BB">
        <w:rPr>
          <w:rFonts w:ascii="Times New Roman" w:eastAsiaTheme="minorEastAsia" w:hAnsi="Times New Roman" w:cs="Times New Roman"/>
          <w:i/>
          <w:szCs w:val="24"/>
        </w:rPr>
        <w:t xml:space="preserve">11 February 2021, </w:t>
      </w:r>
      <w:r w:rsidRPr="00C460A3">
        <w:rPr>
          <w:rStyle w:val="Hipercze"/>
          <w:rFonts w:ascii="Times New Roman" w:eastAsiaTheme="minorEastAsia" w:hAnsi="Times New Roman" w:cs="Times New Roman"/>
          <w:color w:val="000000" w:themeColor="text1"/>
          <w:szCs w:val="24"/>
          <w:u w:val="none"/>
        </w:rPr>
        <w:t>http://www.ecb.europa.eu/stats/eurofxref</w:t>
      </w:r>
      <w:r w:rsidRPr="000851BB">
        <w:rPr>
          <w:rStyle w:val="Hipercze"/>
          <w:rFonts w:ascii="Times New Roman" w:eastAsiaTheme="minorEastAsia" w:hAnsi="Times New Roman" w:cs="Times New Roman"/>
          <w:i/>
          <w:color w:val="000000" w:themeColor="text1"/>
          <w:szCs w:val="24"/>
          <w:u w:val="none"/>
        </w:rPr>
        <w:t>).</w:t>
      </w:r>
    </w:p>
    <w:p w14:paraId="34A6C8EA" w14:textId="52073668" w:rsidR="00682672" w:rsidRDefault="00682672" w:rsidP="005E5395">
      <w:pPr>
        <w:spacing w:after="0" w:line="360" w:lineRule="auto"/>
        <w:jc w:val="both"/>
        <w:rPr>
          <w:rFonts w:ascii="Times New Roman" w:eastAsiaTheme="minorEastAsia" w:hAnsi="Times New Roman" w:cs="Times New Roman"/>
          <w:sz w:val="24"/>
          <w:szCs w:val="24"/>
          <w:lang w:eastAsia="pl-PL"/>
        </w:rPr>
      </w:pPr>
      <w:r w:rsidRPr="00D92FC1">
        <w:rPr>
          <w:rFonts w:ascii="Times New Roman" w:eastAsiaTheme="minorEastAsia" w:hAnsi="Times New Roman" w:cs="Times New Roman"/>
          <w:sz w:val="24"/>
          <w:szCs w:val="24"/>
          <w:lang w:eastAsia="pl-PL"/>
        </w:rPr>
        <w:t xml:space="preserve">Przepisy </w:t>
      </w:r>
      <w:r w:rsidRPr="00D92FC1">
        <w:rPr>
          <w:rFonts w:ascii="Times New Roman" w:eastAsiaTheme="minorEastAsia" w:hAnsi="Times New Roman" w:cs="Times New Roman"/>
          <w:b/>
          <w:sz w:val="24"/>
          <w:szCs w:val="24"/>
          <w:lang w:eastAsia="pl-PL"/>
        </w:rPr>
        <w:t>ust. 2</w:t>
      </w:r>
      <w:r>
        <w:rPr>
          <w:rFonts w:ascii="Times New Roman" w:eastAsiaTheme="minorEastAsia" w:hAnsi="Times New Roman" w:cs="Times New Roman"/>
          <w:b/>
          <w:sz w:val="24"/>
          <w:szCs w:val="24"/>
          <w:lang w:eastAsia="pl-PL"/>
        </w:rPr>
        <w:t xml:space="preserve"> i 3 </w:t>
      </w:r>
      <w:r w:rsidRPr="00D92FC1">
        <w:rPr>
          <w:rFonts w:ascii="Times New Roman" w:eastAsiaTheme="minorEastAsia" w:hAnsi="Times New Roman" w:cs="Times New Roman"/>
          <w:sz w:val="24"/>
          <w:szCs w:val="24"/>
          <w:lang w:eastAsia="pl-PL"/>
        </w:rPr>
        <w:t xml:space="preserve">służą </w:t>
      </w:r>
      <w:r>
        <w:rPr>
          <w:rFonts w:ascii="Times New Roman" w:eastAsiaTheme="minorEastAsia" w:hAnsi="Times New Roman" w:cs="Times New Roman"/>
          <w:sz w:val="24"/>
          <w:szCs w:val="24"/>
          <w:lang w:eastAsia="pl-PL"/>
        </w:rPr>
        <w:t xml:space="preserve"> </w:t>
      </w:r>
      <w:r w:rsidRPr="00D92FC1">
        <w:rPr>
          <w:rFonts w:ascii="Times New Roman" w:eastAsiaTheme="minorEastAsia" w:hAnsi="Times New Roman" w:cs="Times New Roman"/>
          <w:sz w:val="24"/>
          <w:szCs w:val="24"/>
          <w:lang w:eastAsia="pl-PL"/>
        </w:rPr>
        <w:t xml:space="preserve">stosowaniu art. 83 i art. 85 rozporządzenia nr 2021/23, </w:t>
      </w:r>
      <w:r>
        <w:rPr>
          <w:rFonts w:ascii="Times New Roman" w:eastAsiaTheme="minorEastAsia" w:hAnsi="Times New Roman" w:cs="Times New Roman"/>
          <w:sz w:val="24"/>
          <w:szCs w:val="24"/>
          <w:lang w:eastAsia="pl-PL"/>
        </w:rPr>
        <w:t xml:space="preserve">które dotyczą </w:t>
      </w:r>
      <w:r w:rsidRPr="00D92FC1">
        <w:rPr>
          <w:rFonts w:ascii="Times New Roman" w:eastAsiaTheme="minorEastAsia" w:hAnsi="Times New Roman" w:cs="Times New Roman"/>
          <w:sz w:val="24"/>
          <w:szCs w:val="24"/>
          <w:lang w:eastAsia="pl-PL"/>
        </w:rPr>
        <w:t>nakładania kar administracyjnych i innych środków administracyjnych oraz ich skutecznego stosowania przez właściwy organ nadzoru (KNF)</w:t>
      </w:r>
      <w:r>
        <w:rPr>
          <w:rFonts w:ascii="Times New Roman" w:eastAsiaTheme="minorEastAsia" w:hAnsi="Times New Roman" w:cs="Times New Roman"/>
          <w:sz w:val="24"/>
          <w:szCs w:val="24"/>
          <w:lang w:eastAsia="pl-PL"/>
        </w:rPr>
        <w:t xml:space="preserve"> – w przepisach ustawy o nadzorze</w:t>
      </w:r>
      <w:r w:rsidRPr="00D92FC1">
        <w:rPr>
          <w:rFonts w:ascii="Times New Roman" w:eastAsiaTheme="minorEastAsia" w:hAnsi="Times New Roman" w:cs="Times New Roman"/>
          <w:sz w:val="24"/>
          <w:szCs w:val="24"/>
          <w:lang w:eastAsia="pl-PL"/>
        </w:rPr>
        <w:t xml:space="preserve"> </w:t>
      </w:r>
      <w:r>
        <w:rPr>
          <w:rFonts w:ascii="Times New Roman" w:eastAsiaTheme="minorEastAsia" w:hAnsi="Times New Roman" w:cs="Times New Roman"/>
          <w:sz w:val="24"/>
          <w:szCs w:val="24"/>
          <w:lang w:eastAsia="pl-PL"/>
        </w:rPr>
        <w:t xml:space="preserve">oraz </w:t>
      </w:r>
      <w:r w:rsidRPr="00D92FC1">
        <w:rPr>
          <w:rFonts w:ascii="Times New Roman" w:eastAsiaTheme="minorEastAsia" w:hAnsi="Times New Roman" w:cs="Times New Roman"/>
          <w:sz w:val="24"/>
          <w:szCs w:val="24"/>
          <w:lang w:eastAsia="pl-PL"/>
        </w:rPr>
        <w:t xml:space="preserve"> organ ds. restrukturyzacji i uporządkowanej likwidacji CCP (BFG) oraz kwestii publikacji tych kar administracyjnych lub tych innych środków administracyjnych. </w:t>
      </w:r>
    </w:p>
    <w:p w14:paraId="7D769970" w14:textId="79BF284B" w:rsidR="00682672" w:rsidRDefault="00682672" w:rsidP="005E5395">
      <w:pPr>
        <w:spacing w:after="0" w:line="360" w:lineRule="auto"/>
        <w:jc w:val="both"/>
        <w:rPr>
          <w:rFonts w:ascii="Times New Roman" w:eastAsiaTheme="minorEastAsia" w:hAnsi="Times New Roman" w:cs="Times New Roman"/>
          <w:sz w:val="24"/>
          <w:szCs w:val="24"/>
          <w:lang w:eastAsia="pl-PL"/>
        </w:rPr>
      </w:pPr>
      <w:r>
        <w:rPr>
          <w:rFonts w:ascii="Times New Roman" w:eastAsiaTheme="minorEastAsia" w:hAnsi="Times New Roman" w:cs="Times New Roman"/>
          <w:sz w:val="24"/>
          <w:szCs w:val="24"/>
          <w:lang w:eastAsia="pl-PL"/>
        </w:rPr>
        <w:t xml:space="preserve">W </w:t>
      </w:r>
      <w:r w:rsidRPr="00DE7EF9">
        <w:rPr>
          <w:rFonts w:ascii="Times New Roman" w:eastAsiaTheme="minorEastAsia" w:hAnsi="Times New Roman" w:cs="Times New Roman"/>
          <w:b/>
          <w:sz w:val="24"/>
          <w:szCs w:val="24"/>
          <w:lang w:eastAsia="pl-PL"/>
        </w:rPr>
        <w:t>ust. 4</w:t>
      </w:r>
      <w:r>
        <w:rPr>
          <w:rFonts w:ascii="Times New Roman" w:eastAsiaTheme="minorEastAsia" w:hAnsi="Times New Roman" w:cs="Times New Roman"/>
          <w:sz w:val="24"/>
          <w:szCs w:val="24"/>
          <w:lang w:eastAsia="pl-PL"/>
        </w:rPr>
        <w:t xml:space="preserve"> przewidziano stosowanie przepisów o postępowaniu egzekucyjnym w administracji do decyzji BFG o nałożeniu kary pieniężnej. </w:t>
      </w:r>
    </w:p>
    <w:p w14:paraId="6BDA5E70" w14:textId="5143A31D" w:rsidR="00F039E8" w:rsidRPr="00174897" w:rsidRDefault="00F039E8" w:rsidP="005E5395">
      <w:pPr>
        <w:pStyle w:val="ARTartustawynprozporzdzenia"/>
        <w:spacing w:before="0"/>
        <w:ind w:firstLine="0"/>
        <w:rPr>
          <w:rFonts w:ascii="Times New Roman" w:eastAsiaTheme="minorEastAsia" w:hAnsi="Times New Roman" w:cs="Times New Roman"/>
          <w:b/>
          <w:szCs w:val="24"/>
        </w:rPr>
      </w:pPr>
      <w:r w:rsidRPr="00F039E8">
        <w:rPr>
          <w:rFonts w:ascii="Times New Roman" w:eastAsiaTheme="minorEastAsia" w:hAnsi="Times New Roman" w:cs="Times New Roman"/>
          <w:szCs w:val="24"/>
        </w:rPr>
        <w:t>Na podstawie</w:t>
      </w:r>
      <w:r>
        <w:rPr>
          <w:rFonts w:ascii="Times New Roman" w:eastAsiaTheme="minorEastAsia" w:hAnsi="Times New Roman" w:cs="Times New Roman"/>
          <w:b/>
          <w:szCs w:val="24"/>
        </w:rPr>
        <w:t xml:space="preserve"> </w:t>
      </w:r>
      <w:r w:rsidRPr="00D92FC1">
        <w:rPr>
          <w:rFonts w:ascii="Times New Roman" w:eastAsiaTheme="minorEastAsia" w:hAnsi="Times New Roman" w:cs="Times New Roman"/>
          <w:b/>
          <w:szCs w:val="24"/>
        </w:rPr>
        <w:t>art. 340</w:t>
      </w:r>
      <w:r>
        <w:rPr>
          <w:rFonts w:ascii="Times New Roman" w:eastAsiaTheme="minorEastAsia" w:hAnsi="Times New Roman" w:cs="Times New Roman"/>
          <w:b/>
          <w:szCs w:val="24"/>
        </w:rPr>
        <w:t>b</w:t>
      </w:r>
      <w:r w:rsidR="00174897">
        <w:rPr>
          <w:rFonts w:ascii="Times New Roman" w:eastAsiaTheme="minorEastAsia" w:hAnsi="Times New Roman" w:cs="Times New Roman"/>
          <w:b/>
          <w:szCs w:val="24"/>
        </w:rPr>
        <w:t xml:space="preserve"> – </w:t>
      </w:r>
      <w:r>
        <w:t>w przypadku, o którym mowa w art.</w:t>
      </w:r>
      <w:r w:rsidRPr="00EE3F41">
        <w:t xml:space="preserve"> </w:t>
      </w:r>
      <w:r>
        <w:t xml:space="preserve">340a ust. 1, BFG będzie podawał </w:t>
      </w:r>
      <w:r w:rsidRPr="00EE3F41">
        <w:t>do publicznej wiadomości</w:t>
      </w:r>
      <w:r>
        <w:t>, w szczególności przez publikację na swoich stronach internetowych,</w:t>
      </w:r>
      <w:r w:rsidRPr="00EE3F41">
        <w:t xml:space="preserve"> informację o treści rozstrzygnięcia oraz </w:t>
      </w:r>
      <w:r>
        <w:t xml:space="preserve">o </w:t>
      </w:r>
      <w:r w:rsidRPr="00EE3F41">
        <w:t xml:space="preserve">rodzaju i charakterze naruszenia, imieniu i nazwisku osoby fizycznej lub </w:t>
      </w:r>
      <w:r>
        <w:t xml:space="preserve">o </w:t>
      </w:r>
      <w:r w:rsidRPr="00EE3F41">
        <w:t xml:space="preserve">firmie (nazwie) podmiotu, na który została nałożona sankcja zgodnie z art. </w:t>
      </w:r>
      <w:r>
        <w:t>83</w:t>
      </w:r>
      <w:r w:rsidRPr="00EE3F41">
        <w:t xml:space="preserve"> rozporządzenia nr </w:t>
      </w:r>
      <w:r>
        <w:t>2021/23</w:t>
      </w:r>
      <w:r w:rsidRPr="00EE3F41">
        <w:t>.</w:t>
      </w:r>
    </w:p>
    <w:p w14:paraId="5E2597B8" w14:textId="77777777" w:rsidR="00174897" w:rsidRDefault="00174897" w:rsidP="005E5395">
      <w:pPr>
        <w:pStyle w:val="ARTartustawynprozporzdzenia"/>
        <w:spacing w:before="0"/>
        <w:ind w:firstLine="0"/>
        <w:rPr>
          <w:rStyle w:val="Ppogrubienie"/>
        </w:rPr>
      </w:pPr>
    </w:p>
    <w:p w14:paraId="3D00A11D" w14:textId="2939E0EF" w:rsidR="00AB1420" w:rsidRPr="00D92FC1" w:rsidRDefault="00AB1420" w:rsidP="005E5395">
      <w:pPr>
        <w:pStyle w:val="Tekstpodstawowy1"/>
        <w:shd w:val="clear" w:color="auto" w:fill="auto"/>
        <w:spacing w:after="120" w:line="360" w:lineRule="auto"/>
        <w:ind w:firstLine="0"/>
        <w:jc w:val="both"/>
        <w:rPr>
          <w:rFonts w:ascii="Times New Roman" w:eastAsia="Calibri" w:hAnsi="Times New Roman" w:cs="Times New Roman"/>
          <w:b/>
          <w:szCs w:val="24"/>
          <w:u w:val="single"/>
        </w:rPr>
      </w:pPr>
      <w:r w:rsidRPr="00D92FC1">
        <w:rPr>
          <w:rFonts w:ascii="Times New Roman" w:eastAsia="Calibri" w:hAnsi="Times New Roman" w:cs="Times New Roman"/>
          <w:b/>
          <w:szCs w:val="24"/>
          <w:u w:val="single"/>
        </w:rPr>
        <w:t xml:space="preserve">Art. </w:t>
      </w:r>
      <w:r w:rsidR="00682672">
        <w:rPr>
          <w:rFonts w:ascii="Times New Roman" w:eastAsia="Calibri" w:hAnsi="Times New Roman" w:cs="Times New Roman"/>
          <w:b/>
          <w:szCs w:val="24"/>
          <w:u w:val="single"/>
        </w:rPr>
        <w:t>4</w:t>
      </w:r>
      <w:r w:rsidRPr="00D92FC1">
        <w:rPr>
          <w:rFonts w:ascii="Times New Roman" w:eastAsia="Calibri" w:hAnsi="Times New Roman" w:cs="Times New Roman"/>
          <w:b/>
          <w:szCs w:val="24"/>
          <w:u w:val="single"/>
        </w:rPr>
        <w:t xml:space="preserve"> projektu – zmiany w ustawie o Krajowym Rejestrze Sądowym</w:t>
      </w:r>
    </w:p>
    <w:p w14:paraId="5C3197D8" w14:textId="77777777" w:rsidR="00AB1420" w:rsidRPr="00D92FC1" w:rsidRDefault="00AB1420" w:rsidP="005E5395">
      <w:pPr>
        <w:pStyle w:val="Tekstpodstawowy1"/>
        <w:shd w:val="clear" w:color="auto" w:fill="auto"/>
        <w:spacing w:after="120" w:line="360" w:lineRule="auto"/>
        <w:ind w:firstLine="0"/>
        <w:jc w:val="both"/>
        <w:rPr>
          <w:rFonts w:ascii="Times New Roman" w:eastAsia="Calibri" w:hAnsi="Times New Roman" w:cs="Times New Roman"/>
          <w:szCs w:val="24"/>
        </w:rPr>
      </w:pPr>
      <w:r w:rsidRPr="00D92FC1">
        <w:rPr>
          <w:rFonts w:ascii="Times New Roman" w:eastAsia="Calibri" w:hAnsi="Times New Roman" w:cs="Times New Roman"/>
          <w:szCs w:val="24"/>
        </w:rPr>
        <w:t xml:space="preserve">Zmiana zaproponowana w </w:t>
      </w:r>
      <w:r w:rsidRPr="00D92FC1">
        <w:rPr>
          <w:rFonts w:ascii="Times New Roman" w:eastAsia="Calibri" w:hAnsi="Times New Roman" w:cs="Times New Roman"/>
          <w:b/>
          <w:szCs w:val="24"/>
        </w:rPr>
        <w:t>art. 38 pkt 9</w:t>
      </w:r>
      <w:r w:rsidRPr="00D92FC1">
        <w:rPr>
          <w:rFonts w:ascii="Times New Roman" w:eastAsia="Calibri" w:hAnsi="Times New Roman" w:cs="Times New Roman"/>
          <w:szCs w:val="24"/>
        </w:rPr>
        <w:t xml:space="preserve"> jest konsekwencją wprowadzenia w Kodeksie spółek handlowych nowej instytucji – podwyższenia kapitału zakładowego spółki w drodze zamiany obligacji kapitałowych na akcje. Niezbędne stało się dodanie w dziale I rejestru przedsiębiorców informacji o wartości nominalnej podwyższenia kapitału zakładowego dokonanego w wyniku zamiany obligacji na akcje oraz wzmianki o emisji obligacji kapitałowych i akcji przyznawanych w zamian za te obligacje, ze wskazaniem maksymalnej wysokości podwyższenia kapitału zakładowego spółki, która wyemitowała obligacje kapitałowe i dokonuje takiej zamiany.</w:t>
      </w:r>
    </w:p>
    <w:p w14:paraId="759B3027" w14:textId="70BA0BAC" w:rsidR="00AB1420" w:rsidRDefault="00AB1420" w:rsidP="005E5395">
      <w:pPr>
        <w:spacing w:line="360" w:lineRule="auto"/>
        <w:jc w:val="both"/>
        <w:rPr>
          <w:rFonts w:ascii="Times New Roman" w:eastAsia="Calibri" w:hAnsi="Times New Roman" w:cs="Times New Roman"/>
          <w:sz w:val="24"/>
          <w:szCs w:val="24"/>
        </w:rPr>
      </w:pPr>
      <w:r w:rsidRPr="00D92FC1">
        <w:rPr>
          <w:rFonts w:ascii="Times New Roman" w:eastAsia="Calibri" w:hAnsi="Times New Roman" w:cs="Times New Roman"/>
          <w:sz w:val="24"/>
          <w:szCs w:val="24"/>
        </w:rPr>
        <w:t>Zmiany</w:t>
      </w:r>
      <w:r w:rsidRPr="00D92FC1">
        <w:rPr>
          <w:rFonts w:ascii="Times New Roman" w:eastAsia="Calibri" w:hAnsi="Times New Roman" w:cs="Times New Roman"/>
          <w:b/>
          <w:sz w:val="24"/>
          <w:szCs w:val="24"/>
        </w:rPr>
        <w:t xml:space="preserve"> w art. 44 w ust. 1 </w:t>
      </w:r>
      <w:r>
        <w:rPr>
          <w:rFonts w:ascii="Times New Roman" w:eastAsia="Calibri" w:hAnsi="Times New Roman" w:cs="Times New Roman"/>
          <w:b/>
          <w:sz w:val="24"/>
          <w:szCs w:val="24"/>
        </w:rPr>
        <w:t xml:space="preserve">pkt 1b i 2c </w:t>
      </w:r>
      <w:r w:rsidRPr="00D92FC1">
        <w:rPr>
          <w:rFonts w:ascii="Times New Roman" w:eastAsia="Calibri" w:hAnsi="Times New Roman" w:cs="Times New Roman"/>
          <w:sz w:val="24"/>
          <w:szCs w:val="24"/>
        </w:rPr>
        <w:t>mają na celu</w:t>
      </w:r>
      <w:r w:rsidRPr="00D92FC1">
        <w:rPr>
          <w:rFonts w:ascii="Times New Roman" w:eastAsia="Calibri" w:hAnsi="Times New Roman" w:cs="Times New Roman"/>
          <w:b/>
          <w:sz w:val="24"/>
          <w:szCs w:val="24"/>
        </w:rPr>
        <w:t xml:space="preserve"> </w:t>
      </w:r>
      <w:r w:rsidRPr="00D92FC1">
        <w:rPr>
          <w:rFonts w:ascii="Times New Roman" w:eastAsia="Calibri" w:hAnsi="Times New Roman" w:cs="Times New Roman"/>
          <w:sz w:val="24"/>
          <w:szCs w:val="24"/>
        </w:rPr>
        <w:t>wskazanie, że w dziale 6 rejestru przedsiębiorców zamieszcza się także dane o objęciu CCP</w:t>
      </w:r>
      <w:r w:rsidR="007C5B91">
        <w:rPr>
          <w:rFonts w:ascii="Times New Roman" w:eastAsia="Calibri" w:hAnsi="Times New Roman" w:cs="Times New Roman"/>
          <w:sz w:val="24"/>
          <w:szCs w:val="24"/>
        </w:rPr>
        <w:t xml:space="preserve"> (wraz ze wskazaniem definicji tego podmiotu)</w:t>
      </w:r>
      <w:r w:rsidRPr="00D92FC1">
        <w:rPr>
          <w:rFonts w:ascii="Times New Roman" w:eastAsia="Calibri" w:hAnsi="Times New Roman" w:cs="Times New Roman"/>
          <w:sz w:val="24"/>
          <w:szCs w:val="24"/>
        </w:rPr>
        <w:t xml:space="preserve"> </w:t>
      </w:r>
      <w:r w:rsidR="003F0583" w:rsidRPr="0068274D">
        <w:rPr>
          <w:rFonts w:ascii="Times New Roman" w:eastAsia="Calibri" w:hAnsi="Times New Roman" w:cs="Times New Roman"/>
          <w:sz w:val="24"/>
          <w:szCs w:val="24"/>
        </w:rPr>
        <w:t>z siedzibą na terytorium Rzeczypospolitej Polskiej</w:t>
      </w:r>
      <w:r w:rsidR="003F0583" w:rsidRPr="00D92FC1">
        <w:rPr>
          <w:rFonts w:ascii="Times New Roman" w:eastAsia="Calibri" w:hAnsi="Times New Roman" w:cs="Times New Roman"/>
          <w:sz w:val="24"/>
          <w:szCs w:val="24"/>
        </w:rPr>
        <w:t xml:space="preserve"> </w:t>
      </w:r>
      <w:r w:rsidRPr="00D92FC1">
        <w:rPr>
          <w:rFonts w:ascii="Times New Roman" w:eastAsia="Calibri" w:hAnsi="Times New Roman" w:cs="Times New Roman"/>
          <w:sz w:val="24"/>
          <w:szCs w:val="24"/>
        </w:rPr>
        <w:t>restrukturyzacją i uporządkowaną likwidacją, zgodnie z art. 22 rozporządzenia nr 2021/23</w:t>
      </w:r>
      <w:r w:rsidR="002059BE">
        <w:rPr>
          <w:rFonts w:ascii="Times New Roman" w:eastAsia="Calibri" w:hAnsi="Times New Roman" w:cs="Times New Roman"/>
          <w:sz w:val="24"/>
          <w:szCs w:val="24"/>
        </w:rPr>
        <w:t>,</w:t>
      </w:r>
      <w:r w:rsidRPr="00D92FC1">
        <w:rPr>
          <w:rFonts w:ascii="Times New Roman" w:eastAsia="Calibri" w:hAnsi="Times New Roman" w:cs="Times New Roman"/>
          <w:sz w:val="24"/>
          <w:szCs w:val="24"/>
        </w:rPr>
        <w:t xml:space="preserve"> oraz o zakończeniu restrukturyzacji i uporządkowanej likwidacji CCP, jak również dane o osobie zarządcy nadzwyczajnego, o którym mowa w art. 50 tego rozporządzenia. Zmiany mają zapewnić pewność obrotu gospodarczego.</w:t>
      </w:r>
    </w:p>
    <w:p w14:paraId="6AE07243" w14:textId="093D4C14" w:rsidR="00DC147E" w:rsidRDefault="00455672" w:rsidP="005E5395">
      <w:pPr>
        <w:pStyle w:val="Tekstpodstawowy1"/>
        <w:shd w:val="clear" w:color="auto" w:fill="auto"/>
        <w:spacing w:after="0" w:line="360" w:lineRule="auto"/>
        <w:ind w:firstLine="0"/>
        <w:jc w:val="both"/>
        <w:rPr>
          <w:rFonts w:ascii="Times New Roman" w:eastAsia="Calibri" w:hAnsi="Times New Roman" w:cs="Times New Roman"/>
          <w:szCs w:val="24"/>
        </w:rPr>
      </w:pPr>
      <w:r>
        <w:rPr>
          <w:rFonts w:ascii="Times New Roman" w:eastAsia="Calibri" w:hAnsi="Times New Roman" w:cs="Times New Roman"/>
          <w:szCs w:val="24"/>
        </w:rPr>
        <w:t xml:space="preserve">Zmiany w </w:t>
      </w:r>
      <w:r w:rsidR="008F5E92" w:rsidRPr="00D81662">
        <w:rPr>
          <w:rFonts w:ascii="Times New Roman" w:eastAsia="Calibri" w:hAnsi="Times New Roman" w:cs="Times New Roman"/>
          <w:b/>
          <w:szCs w:val="24"/>
        </w:rPr>
        <w:t>art. 45</w:t>
      </w:r>
      <w:r w:rsidR="008F5E92">
        <w:rPr>
          <w:rFonts w:ascii="Times New Roman" w:eastAsia="Calibri" w:hAnsi="Times New Roman" w:cs="Times New Roman"/>
          <w:szCs w:val="24"/>
        </w:rPr>
        <w:t xml:space="preserve"> (dodanie ust. 1bb, 1ca i 4aa) są zmianami</w:t>
      </w:r>
      <w:r w:rsidR="00327602">
        <w:rPr>
          <w:rFonts w:ascii="Times New Roman" w:eastAsia="Calibri" w:hAnsi="Times New Roman" w:cs="Times New Roman"/>
          <w:szCs w:val="24"/>
        </w:rPr>
        <w:t xml:space="preserve"> wynikowymi</w:t>
      </w:r>
      <w:r w:rsidR="008F5E92">
        <w:rPr>
          <w:rFonts w:ascii="Times New Roman" w:eastAsia="Calibri" w:hAnsi="Times New Roman" w:cs="Times New Roman"/>
          <w:szCs w:val="24"/>
        </w:rPr>
        <w:t xml:space="preserve"> </w:t>
      </w:r>
      <w:r w:rsidR="004B589E">
        <w:rPr>
          <w:rFonts w:ascii="Times New Roman" w:eastAsia="Calibri" w:hAnsi="Times New Roman" w:cs="Times New Roman"/>
          <w:szCs w:val="24"/>
        </w:rPr>
        <w:t xml:space="preserve">w </w:t>
      </w:r>
      <w:r w:rsidR="00A91A9B">
        <w:rPr>
          <w:rFonts w:ascii="Times New Roman" w:eastAsia="Calibri" w:hAnsi="Times New Roman" w:cs="Times New Roman"/>
          <w:szCs w:val="24"/>
        </w:rPr>
        <w:t xml:space="preserve">stosunku do </w:t>
      </w:r>
      <w:r w:rsidR="00327602">
        <w:rPr>
          <w:rFonts w:ascii="Times New Roman" w:eastAsia="Calibri" w:hAnsi="Times New Roman" w:cs="Times New Roman"/>
          <w:szCs w:val="24"/>
        </w:rPr>
        <w:t xml:space="preserve">zmian </w:t>
      </w:r>
      <w:r w:rsidR="008F5E92">
        <w:rPr>
          <w:rFonts w:ascii="Times New Roman" w:eastAsia="Calibri" w:hAnsi="Times New Roman" w:cs="Times New Roman"/>
          <w:szCs w:val="24"/>
        </w:rPr>
        <w:t xml:space="preserve">w </w:t>
      </w:r>
      <w:r w:rsidR="008F5E92" w:rsidRPr="008F5E92">
        <w:rPr>
          <w:rFonts w:ascii="Times New Roman" w:eastAsia="Calibri" w:hAnsi="Times New Roman" w:cs="Times New Roman"/>
          <w:szCs w:val="24"/>
        </w:rPr>
        <w:t xml:space="preserve">ustawie </w:t>
      </w:r>
      <w:r w:rsidR="00C277D4">
        <w:rPr>
          <w:rFonts w:ascii="Times New Roman" w:eastAsia="Calibri" w:hAnsi="Times New Roman" w:cs="Times New Roman"/>
          <w:szCs w:val="24"/>
        </w:rPr>
        <w:t xml:space="preserve">o BFG, </w:t>
      </w:r>
      <w:r w:rsidR="008F5E92">
        <w:rPr>
          <w:rFonts w:ascii="Times New Roman" w:eastAsia="Calibri" w:hAnsi="Times New Roman" w:cs="Times New Roman"/>
          <w:szCs w:val="24"/>
        </w:rPr>
        <w:t xml:space="preserve">tj. </w:t>
      </w:r>
      <w:r w:rsidR="00DC147E">
        <w:rPr>
          <w:rFonts w:ascii="Times New Roman" w:eastAsia="Calibri" w:hAnsi="Times New Roman" w:cs="Times New Roman"/>
          <w:szCs w:val="24"/>
        </w:rPr>
        <w:t xml:space="preserve">dodania </w:t>
      </w:r>
      <w:r w:rsidR="008F5E92">
        <w:rPr>
          <w:rFonts w:ascii="Times New Roman" w:eastAsia="Calibri" w:hAnsi="Times New Roman" w:cs="Times New Roman"/>
          <w:szCs w:val="24"/>
        </w:rPr>
        <w:t xml:space="preserve"> art. </w:t>
      </w:r>
      <w:r w:rsidR="008F5E92" w:rsidRPr="008F5E92">
        <w:rPr>
          <w:rFonts w:ascii="Times New Roman" w:eastAsia="Calibri" w:hAnsi="Times New Roman" w:cs="Times New Roman"/>
          <w:szCs w:val="24"/>
        </w:rPr>
        <w:t xml:space="preserve">258e, </w:t>
      </w:r>
      <w:r w:rsidR="00A91A9B">
        <w:rPr>
          <w:rFonts w:ascii="Times New Roman" w:eastAsia="Calibri" w:hAnsi="Times New Roman" w:cs="Times New Roman"/>
          <w:szCs w:val="24"/>
        </w:rPr>
        <w:t xml:space="preserve">art. </w:t>
      </w:r>
      <w:r w:rsidR="008F5E92" w:rsidRPr="008F5E92">
        <w:rPr>
          <w:rFonts w:ascii="Times New Roman" w:eastAsia="Calibri" w:hAnsi="Times New Roman" w:cs="Times New Roman"/>
          <w:szCs w:val="24"/>
        </w:rPr>
        <w:t xml:space="preserve">258f i </w:t>
      </w:r>
      <w:r w:rsidR="00A91A9B">
        <w:rPr>
          <w:rFonts w:ascii="Times New Roman" w:eastAsia="Calibri" w:hAnsi="Times New Roman" w:cs="Times New Roman"/>
          <w:szCs w:val="24"/>
        </w:rPr>
        <w:t xml:space="preserve">art. </w:t>
      </w:r>
      <w:r w:rsidR="008F5E92" w:rsidRPr="008F5E92">
        <w:rPr>
          <w:rFonts w:ascii="Times New Roman" w:eastAsia="Calibri" w:hAnsi="Times New Roman" w:cs="Times New Roman"/>
          <w:szCs w:val="24"/>
        </w:rPr>
        <w:t>258h ust. 4</w:t>
      </w:r>
      <w:r w:rsidR="00A91A9B">
        <w:rPr>
          <w:rFonts w:ascii="Times New Roman" w:eastAsia="Calibri" w:hAnsi="Times New Roman" w:cs="Times New Roman"/>
          <w:szCs w:val="24"/>
        </w:rPr>
        <w:t xml:space="preserve">. </w:t>
      </w:r>
    </w:p>
    <w:p w14:paraId="27052FEE" w14:textId="1ECBF2AD" w:rsidR="00DC147E" w:rsidRDefault="00A91A9B" w:rsidP="005E5395">
      <w:pPr>
        <w:pStyle w:val="Tekstpodstawowy1"/>
        <w:shd w:val="clear" w:color="auto" w:fill="auto"/>
        <w:spacing w:after="0" w:line="360" w:lineRule="auto"/>
        <w:ind w:firstLine="0"/>
        <w:jc w:val="both"/>
        <w:rPr>
          <w:rFonts w:ascii="Times New Roman" w:eastAsia="Calibri" w:hAnsi="Times New Roman" w:cs="Times New Roman"/>
          <w:szCs w:val="24"/>
        </w:rPr>
      </w:pPr>
      <w:r>
        <w:rPr>
          <w:rFonts w:ascii="Times New Roman" w:eastAsia="Calibri" w:hAnsi="Times New Roman" w:cs="Times New Roman"/>
          <w:szCs w:val="24"/>
        </w:rPr>
        <w:t xml:space="preserve">W proponowanych przepisach </w:t>
      </w:r>
      <w:r w:rsidR="00DC147E">
        <w:rPr>
          <w:rFonts w:ascii="Times New Roman" w:eastAsia="Calibri" w:hAnsi="Times New Roman" w:cs="Times New Roman"/>
          <w:szCs w:val="24"/>
        </w:rPr>
        <w:t xml:space="preserve">przewidziano powiadamianie przez BFG sądu rejestrowego </w:t>
      </w:r>
      <w:r w:rsidR="008F5E92" w:rsidRPr="008F5E92">
        <w:rPr>
          <w:rFonts w:ascii="Times New Roman" w:eastAsia="Calibri" w:hAnsi="Times New Roman" w:cs="Times New Roman"/>
          <w:szCs w:val="24"/>
        </w:rPr>
        <w:t xml:space="preserve">o objęciu CCP </w:t>
      </w:r>
      <w:r w:rsidR="008F5E92">
        <w:rPr>
          <w:rFonts w:ascii="Times New Roman" w:eastAsia="Calibri" w:hAnsi="Times New Roman" w:cs="Times New Roman"/>
          <w:szCs w:val="24"/>
        </w:rPr>
        <w:t>restrukturyzacją i uporządkowaną likwidacją</w:t>
      </w:r>
      <w:r>
        <w:rPr>
          <w:rFonts w:ascii="Times New Roman" w:eastAsia="Calibri" w:hAnsi="Times New Roman" w:cs="Times New Roman"/>
          <w:szCs w:val="24"/>
        </w:rPr>
        <w:t xml:space="preserve">, a także – </w:t>
      </w:r>
      <w:r w:rsidR="008F5E92">
        <w:rPr>
          <w:rFonts w:ascii="Times New Roman" w:eastAsia="Calibri" w:hAnsi="Times New Roman" w:cs="Times New Roman"/>
          <w:szCs w:val="24"/>
        </w:rPr>
        <w:t xml:space="preserve"> </w:t>
      </w:r>
      <w:r>
        <w:rPr>
          <w:rFonts w:ascii="Times New Roman" w:eastAsia="Calibri" w:hAnsi="Times New Roman" w:cs="Times New Roman"/>
          <w:szCs w:val="24"/>
        </w:rPr>
        <w:t xml:space="preserve">tak jak w przypadku </w:t>
      </w:r>
      <w:r w:rsidR="008F5E92">
        <w:rPr>
          <w:rFonts w:ascii="Times New Roman" w:eastAsia="Calibri" w:hAnsi="Times New Roman" w:cs="Times New Roman"/>
          <w:szCs w:val="24"/>
        </w:rPr>
        <w:t>przymusowej restrukturyzacji banków (art. 45 ust. 1ba, 1c i 4a)</w:t>
      </w:r>
      <w:r>
        <w:rPr>
          <w:rFonts w:ascii="Times New Roman" w:eastAsia="Calibri" w:hAnsi="Times New Roman" w:cs="Times New Roman"/>
          <w:szCs w:val="24"/>
        </w:rPr>
        <w:t xml:space="preserve"> – </w:t>
      </w:r>
      <w:r w:rsidR="008F5E92">
        <w:rPr>
          <w:rFonts w:ascii="Times New Roman" w:eastAsia="Calibri" w:hAnsi="Times New Roman" w:cs="Times New Roman"/>
          <w:szCs w:val="24"/>
        </w:rPr>
        <w:t xml:space="preserve"> dokonywanie przez sąd rejestrowy wpisów z urzędu</w:t>
      </w:r>
      <w:r>
        <w:rPr>
          <w:rFonts w:ascii="Times New Roman" w:eastAsia="Calibri" w:hAnsi="Times New Roman" w:cs="Times New Roman"/>
          <w:szCs w:val="24"/>
        </w:rPr>
        <w:t xml:space="preserve"> w zakresie </w:t>
      </w:r>
      <w:r w:rsidR="008F5E92">
        <w:rPr>
          <w:rFonts w:ascii="Times New Roman" w:eastAsia="Calibri" w:hAnsi="Times New Roman" w:cs="Times New Roman"/>
          <w:szCs w:val="24"/>
        </w:rPr>
        <w:t xml:space="preserve">podwyższenia albo obniżenia kapitału zakładowego w efekcie </w:t>
      </w:r>
      <w:r w:rsidR="008F5E92" w:rsidRPr="008F5E92">
        <w:rPr>
          <w:rFonts w:ascii="Times New Roman" w:eastAsia="Calibri" w:hAnsi="Times New Roman" w:cs="Times New Roman"/>
          <w:szCs w:val="24"/>
        </w:rPr>
        <w:t>umorzenia i konwersji instrumentów właścicielskich i instrumentów dłużnych lub innych niezabezpieczonych zobowiązań</w:t>
      </w:r>
      <w:r w:rsidR="008F5E92">
        <w:rPr>
          <w:rFonts w:ascii="Times New Roman" w:eastAsia="Calibri" w:hAnsi="Times New Roman" w:cs="Times New Roman"/>
          <w:szCs w:val="24"/>
        </w:rPr>
        <w:t xml:space="preserve">, </w:t>
      </w:r>
      <w:r w:rsidR="008F5E92" w:rsidRPr="008F5E92">
        <w:rPr>
          <w:rFonts w:ascii="Times New Roman" w:eastAsia="Calibri" w:hAnsi="Times New Roman" w:cs="Times New Roman"/>
          <w:szCs w:val="24"/>
        </w:rPr>
        <w:t>objęciu CCP restrukturyzacją i uporządkowaną likwidacją</w:t>
      </w:r>
      <w:r w:rsidR="008F5E92">
        <w:rPr>
          <w:rFonts w:ascii="Times New Roman" w:eastAsia="Calibri" w:hAnsi="Times New Roman" w:cs="Times New Roman"/>
          <w:szCs w:val="24"/>
        </w:rPr>
        <w:t xml:space="preserve"> oraz </w:t>
      </w:r>
      <w:r w:rsidR="00327602" w:rsidRPr="00327602">
        <w:rPr>
          <w:rFonts w:ascii="Times New Roman" w:eastAsia="Calibri" w:hAnsi="Times New Roman" w:cs="Times New Roman"/>
          <w:szCs w:val="24"/>
        </w:rPr>
        <w:t>zarządcy nadzwyczajnego</w:t>
      </w:r>
      <w:r w:rsidR="00327602">
        <w:rPr>
          <w:rFonts w:ascii="Times New Roman" w:eastAsia="Calibri" w:hAnsi="Times New Roman" w:cs="Times New Roman"/>
          <w:szCs w:val="24"/>
        </w:rPr>
        <w:t xml:space="preserve">. </w:t>
      </w:r>
    </w:p>
    <w:p w14:paraId="5D933D94" w14:textId="0D0C7FED" w:rsidR="00AB1420" w:rsidRDefault="00327602" w:rsidP="005E5395">
      <w:pPr>
        <w:pStyle w:val="Tekstpodstawowy1"/>
        <w:shd w:val="clear" w:color="auto" w:fill="auto"/>
        <w:spacing w:after="0" w:line="360" w:lineRule="auto"/>
        <w:ind w:firstLine="0"/>
        <w:jc w:val="both"/>
        <w:rPr>
          <w:rFonts w:ascii="Times New Roman" w:eastAsia="Calibri" w:hAnsi="Times New Roman" w:cs="Times New Roman"/>
          <w:szCs w:val="24"/>
        </w:rPr>
      </w:pPr>
      <w:r>
        <w:rPr>
          <w:rFonts w:ascii="Times New Roman" w:eastAsia="Calibri" w:hAnsi="Times New Roman" w:cs="Times New Roman"/>
          <w:szCs w:val="24"/>
        </w:rPr>
        <w:t>Konstrukcja wpisów z urzędu jest niezbędna dla zapewnienia szybkości i efektywności postepowania w przedmiocie restrukturyzacji i uporządkowanej likwidacji CCP</w:t>
      </w:r>
      <w:r w:rsidR="00DC147E">
        <w:rPr>
          <w:rFonts w:ascii="Times New Roman" w:eastAsia="Calibri" w:hAnsi="Times New Roman" w:cs="Times New Roman"/>
          <w:szCs w:val="24"/>
        </w:rPr>
        <w:t xml:space="preserve"> </w:t>
      </w:r>
      <w:r w:rsidR="00A91A9B">
        <w:rPr>
          <w:rFonts w:ascii="Times New Roman" w:eastAsia="Calibri" w:hAnsi="Times New Roman" w:cs="Times New Roman"/>
          <w:szCs w:val="24"/>
        </w:rPr>
        <w:t xml:space="preserve">– w przeciwnym razie </w:t>
      </w:r>
      <w:r w:rsidR="00FC414A">
        <w:rPr>
          <w:rFonts w:ascii="Times New Roman" w:eastAsia="Calibri" w:hAnsi="Times New Roman" w:cs="Times New Roman"/>
          <w:szCs w:val="24"/>
        </w:rPr>
        <w:t>sąd rejestrowy mógłby jedynie wszcząć postępowanie przymuszające zmierzające do złożenia wniosku o zmianę danych podmiotu w Krajowym Rejestrze Sądowym.</w:t>
      </w:r>
    </w:p>
    <w:p w14:paraId="23EEF0A6" w14:textId="77777777" w:rsidR="002059BE" w:rsidRPr="00D92FC1" w:rsidRDefault="002059BE" w:rsidP="005E5395">
      <w:pPr>
        <w:pStyle w:val="Tekstpodstawowy1"/>
        <w:shd w:val="clear" w:color="auto" w:fill="auto"/>
        <w:spacing w:after="0" w:line="360" w:lineRule="auto"/>
        <w:ind w:firstLine="0"/>
        <w:jc w:val="both"/>
        <w:rPr>
          <w:rFonts w:ascii="Times New Roman" w:eastAsia="Calibri" w:hAnsi="Times New Roman" w:cs="Times New Roman"/>
          <w:b/>
          <w:szCs w:val="24"/>
        </w:rPr>
      </w:pPr>
    </w:p>
    <w:p w14:paraId="3424BCAD" w14:textId="2C76F60F" w:rsidR="001D00B2" w:rsidRDefault="00AB1420" w:rsidP="005E5395">
      <w:pPr>
        <w:pStyle w:val="Tekstpodstawowy1"/>
        <w:shd w:val="clear" w:color="auto" w:fill="auto"/>
        <w:spacing w:after="120" w:line="360" w:lineRule="auto"/>
        <w:ind w:firstLine="0"/>
        <w:jc w:val="both"/>
        <w:rPr>
          <w:rFonts w:ascii="Times New Roman" w:eastAsia="Calibri" w:hAnsi="Times New Roman" w:cs="Times New Roman"/>
          <w:b/>
          <w:szCs w:val="24"/>
          <w:u w:val="single"/>
        </w:rPr>
      </w:pPr>
      <w:r w:rsidRPr="00D92FC1">
        <w:rPr>
          <w:rFonts w:ascii="Times New Roman" w:eastAsia="Calibri" w:hAnsi="Times New Roman" w:cs="Times New Roman"/>
          <w:b/>
          <w:szCs w:val="24"/>
          <w:u w:val="single"/>
        </w:rPr>
        <w:t xml:space="preserve">Art. </w:t>
      </w:r>
      <w:r w:rsidR="00682672">
        <w:rPr>
          <w:rFonts w:ascii="Times New Roman" w:eastAsia="Calibri" w:hAnsi="Times New Roman" w:cs="Times New Roman"/>
          <w:b/>
          <w:szCs w:val="24"/>
          <w:u w:val="single"/>
        </w:rPr>
        <w:t>5</w:t>
      </w:r>
      <w:r w:rsidR="00682672" w:rsidRPr="00D92FC1">
        <w:rPr>
          <w:rFonts w:ascii="Times New Roman" w:eastAsia="Calibri" w:hAnsi="Times New Roman" w:cs="Times New Roman"/>
          <w:b/>
          <w:szCs w:val="24"/>
          <w:u w:val="single"/>
        </w:rPr>
        <w:t xml:space="preserve"> </w:t>
      </w:r>
      <w:r w:rsidRPr="00D92FC1">
        <w:rPr>
          <w:rFonts w:ascii="Times New Roman" w:eastAsia="Calibri" w:hAnsi="Times New Roman" w:cs="Times New Roman"/>
          <w:b/>
          <w:szCs w:val="24"/>
          <w:u w:val="single"/>
        </w:rPr>
        <w:t>projektu – zmiany w ustawie – Prawo bankowe</w:t>
      </w:r>
    </w:p>
    <w:p w14:paraId="033F3E7B" w14:textId="70DE3CD0" w:rsidR="000F5831" w:rsidRPr="00406F87" w:rsidRDefault="000F5831" w:rsidP="005E5395">
      <w:pPr>
        <w:pStyle w:val="Tekstpodstawowy1"/>
        <w:spacing w:after="120" w:line="360" w:lineRule="auto"/>
        <w:ind w:firstLine="0"/>
        <w:jc w:val="both"/>
        <w:rPr>
          <w:rFonts w:ascii="Times New Roman" w:eastAsia="Calibri" w:hAnsi="Times New Roman" w:cs="Times New Roman"/>
          <w:szCs w:val="24"/>
        </w:rPr>
      </w:pPr>
      <w:r w:rsidRPr="00406F87">
        <w:rPr>
          <w:rFonts w:ascii="Times New Roman" w:eastAsia="Calibri" w:hAnsi="Times New Roman" w:cs="Times New Roman"/>
          <w:szCs w:val="24"/>
        </w:rPr>
        <w:lastRenderedPageBreak/>
        <w:t xml:space="preserve">Zmiana w </w:t>
      </w:r>
      <w:r w:rsidRPr="00406F87">
        <w:rPr>
          <w:rFonts w:ascii="Times New Roman" w:eastAsia="Calibri" w:hAnsi="Times New Roman" w:cs="Times New Roman"/>
          <w:b/>
          <w:szCs w:val="24"/>
        </w:rPr>
        <w:t>art. 11 ust. 2 pkt 16a</w:t>
      </w:r>
      <w:r w:rsidRPr="00406F87">
        <w:rPr>
          <w:rFonts w:ascii="Times New Roman" w:eastAsia="Calibri" w:hAnsi="Times New Roman" w:cs="Times New Roman"/>
          <w:szCs w:val="24"/>
        </w:rPr>
        <w:t xml:space="preserve"> </w:t>
      </w:r>
      <w:r w:rsidR="004D7DF5">
        <w:rPr>
          <w:rFonts w:ascii="Times New Roman" w:eastAsia="Calibri" w:hAnsi="Times New Roman" w:cs="Times New Roman"/>
          <w:szCs w:val="24"/>
        </w:rPr>
        <w:t>wprowadzona została w związku</w:t>
      </w:r>
      <w:r w:rsidR="008F1263">
        <w:rPr>
          <w:rFonts w:ascii="Times New Roman" w:eastAsia="Calibri" w:hAnsi="Times New Roman" w:cs="Times New Roman"/>
          <w:szCs w:val="24"/>
        </w:rPr>
        <w:t xml:space="preserve"> z nadaniem uprawnienia </w:t>
      </w:r>
      <w:r w:rsidR="0009445E">
        <w:rPr>
          <w:rFonts w:ascii="Times New Roman" w:eastAsia="Calibri" w:hAnsi="Times New Roman" w:cs="Times New Roman"/>
          <w:szCs w:val="24"/>
        </w:rPr>
        <w:t>KNF</w:t>
      </w:r>
      <w:r w:rsidR="008F1263">
        <w:rPr>
          <w:rFonts w:ascii="Times New Roman" w:eastAsia="Calibri" w:hAnsi="Times New Roman" w:cs="Times New Roman"/>
          <w:szCs w:val="24"/>
        </w:rPr>
        <w:t xml:space="preserve"> </w:t>
      </w:r>
      <w:r w:rsidR="001F0077">
        <w:rPr>
          <w:rFonts w:ascii="Times New Roman" w:eastAsia="Calibri" w:hAnsi="Times New Roman" w:cs="Times New Roman"/>
          <w:szCs w:val="24"/>
        </w:rPr>
        <w:t>(</w:t>
      </w:r>
      <w:r w:rsidR="008F1263">
        <w:rPr>
          <w:rFonts w:ascii="Times New Roman" w:eastAsia="Calibri" w:hAnsi="Times New Roman" w:cs="Times New Roman"/>
          <w:szCs w:val="24"/>
        </w:rPr>
        <w:t>art. 138 ust. 7f pkt 1</w:t>
      </w:r>
      <w:r w:rsidR="001F0077">
        <w:rPr>
          <w:rFonts w:ascii="Times New Roman" w:eastAsia="Calibri" w:hAnsi="Times New Roman" w:cs="Times New Roman"/>
          <w:szCs w:val="24"/>
        </w:rPr>
        <w:t xml:space="preserve">) </w:t>
      </w:r>
      <w:r w:rsidR="008F1263">
        <w:rPr>
          <w:rFonts w:ascii="Times New Roman" w:eastAsia="Calibri" w:hAnsi="Times New Roman" w:cs="Times New Roman"/>
          <w:szCs w:val="24"/>
        </w:rPr>
        <w:t xml:space="preserve"> do </w:t>
      </w:r>
      <w:r w:rsidR="004D7DF5">
        <w:rPr>
          <w:rFonts w:ascii="Times New Roman" w:eastAsia="Calibri" w:hAnsi="Times New Roman" w:cs="Times New Roman"/>
          <w:szCs w:val="24"/>
        </w:rPr>
        <w:t xml:space="preserve"> </w:t>
      </w:r>
      <w:r w:rsidR="004D7DF5" w:rsidRPr="004D7DF5">
        <w:rPr>
          <w:rFonts w:ascii="Times New Roman" w:eastAsia="Calibri" w:hAnsi="Times New Roman" w:cs="Times New Roman"/>
          <w:szCs w:val="24"/>
        </w:rPr>
        <w:t xml:space="preserve">nakazania </w:t>
      </w:r>
      <w:r w:rsidR="008F1263">
        <w:rPr>
          <w:rFonts w:ascii="Times New Roman" w:eastAsia="Calibri" w:hAnsi="Times New Roman" w:cs="Times New Roman"/>
          <w:szCs w:val="24"/>
        </w:rPr>
        <w:t xml:space="preserve">bankowi </w:t>
      </w:r>
      <w:r w:rsidR="004D7DF5" w:rsidRPr="004D7DF5">
        <w:rPr>
          <w:rFonts w:ascii="Times New Roman" w:eastAsia="Calibri" w:hAnsi="Times New Roman" w:cs="Times New Roman"/>
          <w:szCs w:val="24"/>
        </w:rPr>
        <w:t>zaprzestania działań skutkujących naruszeniem art. 127b ust. 1 lub powstrzymania się od takich działań w przyszłości</w:t>
      </w:r>
      <w:r w:rsidR="008F1263">
        <w:rPr>
          <w:rFonts w:ascii="Times New Roman" w:eastAsia="Calibri" w:hAnsi="Times New Roman" w:cs="Times New Roman"/>
          <w:szCs w:val="24"/>
        </w:rPr>
        <w:t xml:space="preserve">. Analogicznie do innych decyzji </w:t>
      </w:r>
      <w:r w:rsidR="0009445E">
        <w:rPr>
          <w:rFonts w:ascii="Times New Roman" w:eastAsia="Calibri" w:hAnsi="Times New Roman" w:cs="Times New Roman"/>
          <w:szCs w:val="24"/>
        </w:rPr>
        <w:t>KNF</w:t>
      </w:r>
      <w:r w:rsidR="008F1263">
        <w:rPr>
          <w:rFonts w:ascii="Times New Roman" w:eastAsia="Calibri" w:hAnsi="Times New Roman" w:cs="Times New Roman"/>
          <w:szCs w:val="24"/>
        </w:rPr>
        <w:t xml:space="preserve"> w zakresie nakazów, ta</w:t>
      </w:r>
      <w:r w:rsidR="001F0077">
        <w:rPr>
          <w:rFonts w:ascii="Times New Roman" w:eastAsia="Calibri" w:hAnsi="Times New Roman" w:cs="Times New Roman"/>
          <w:szCs w:val="24"/>
        </w:rPr>
        <w:t xml:space="preserve">ka decyzja </w:t>
      </w:r>
      <w:r w:rsidR="008F1263">
        <w:rPr>
          <w:rFonts w:ascii="Times New Roman" w:eastAsia="Calibri" w:hAnsi="Times New Roman" w:cs="Times New Roman"/>
          <w:szCs w:val="24"/>
        </w:rPr>
        <w:t xml:space="preserve"> również będzie miała</w:t>
      </w:r>
      <w:r w:rsidR="004D7DF5" w:rsidRPr="004D7DF5">
        <w:rPr>
          <w:rFonts w:ascii="Times New Roman" w:eastAsia="Calibri" w:hAnsi="Times New Roman" w:cs="Times New Roman"/>
          <w:szCs w:val="24"/>
        </w:rPr>
        <w:t xml:space="preserve"> moc ostateczn</w:t>
      </w:r>
      <w:r w:rsidR="008F1263">
        <w:rPr>
          <w:rFonts w:ascii="Times New Roman" w:eastAsia="Calibri" w:hAnsi="Times New Roman" w:cs="Times New Roman"/>
          <w:szCs w:val="24"/>
        </w:rPr>
        <w:t>ej</w:t>
      </w:r>
      <w:r w:rsidR="004D7DF5" w:rsidRPr="004D7DF5">
        <w:rPr>
          <w:rFonts w:ascii="Times New Roman" w:eastAsia="Calibri" w:hAnsi="Times New Roman" w:cs="Times New Roman"/>
          <w:szCs w:val="24"/>
        </w:rPr>
        <w:t xml:space="preserve"> decyzji administracyjn</w:t>
      </w:r>
      <w:r w:rsidR="008F1263">
        <w:rPr>
          <w:rFonts w:ascii="Times New Roman" w:eastAsia="Calibri" w:hAnsi="Times New Roman" w:cs="Times New Roman"/>
          <w:szCs w:val="24"/>
        </w:rPr>
        <w:t>ej</w:t>
      </w:r>
      <w:r w:rsidR="004D7DF5" w:rsidRPr="004D7DF5">
        <w:rPr>
          <w:rFonts w:ascii="Times New Roman" w:eastAsia="Calibri" w:hAnsi="Times New Roman" w:cs="Times New Roman"/>
          <w:szCs w:val="24"/>
        </w:rPr>
        <w:t xml:space="preserve"> i </w:t>
      </w:r>
      <w:r w:rsidR="008F1263">
        <w:rPr>
          <w:rFonts w:ascii="Times New Roman" w:eastAsia="Calibri" w:hAnsi="Times New Roman" w:cs="Times New Roman"/>
          <w:szCs w:val="24"/>
        </w:rPr>
        <w:t xml:space="preserve">będzie </w:t>
      </w:r>
      <w:r w:rsidR="004D7DF5" w:rsidRPr="004D7DF5">
        <w:rPr>
          <w:rFonts w:ascii="Times New Roman" w:eastAsia="Calibri" w:hAnsi="Times New Roman" w:cs="Times New Roman"/>
          <w:szCs w:val="24"/>
        </w:rPr>
        <w:t>podlega</w:t>
      </w:r>
      <w:r w:rsidR="008F1263">
        <w:rPr>
          <w:rFonts w:ascii="Times New Roman" w:eastAsia="Calibri" w:hAnsi="Times New Roman" w:cs="Times New Roman"/>
          <w:szCs w:val="24"/>
        </w:rPr>
        <w:t>ła</w:t>
      </w:r>
      <w:r w:rsidR="004D7DF5" w:rsidRPr="004D7DF5">
        <w:rPr>
          <w:rFonts w:ascii="Times New Roman" w:eastAsia="Calibri" w:hAnsi="Times New Roman" w:cs="Times New Roman"/>
          <w:szCs w:val="24"/>
        </w:rPr>
        <w:t xml:space="preserve"> natychmiastowemu wykonaniu.</w:t>
      </w:r>
    </w:p>
    <w:p w14:paraId="5D2ED214" w14:textId="77777777" w:rsidR="00AB1420" w:rsidRPr="00D92FC1" w:rsidRDefault="00AB1420" w:rsidP="005E5395">
      <w:pPr>
        <w:pStyle w:val="Tekstpodstawowy1"/>
        <w:spacing w:after="120" w:line="360" w:lineRule="auto"/>
        <w:ind w:firstLine="0"/>
        <w:jc w:val="both"/>
        <w:rPr>
          <w:rFonts w:ascii="Times New Roman" w:hAnsi="Times New Roman" w:cs="Times New Roman"/>
          <w:szCs w:val="24"/>
        </w:rPr>
      </w:pPr>
      <w:r w:rsidRPr="00D92FC1">
        <w:rPr>
          <w:rFonts w:ascii="Times New Roman" w:hAnsi="Times New Roman" w:cs="Times New Roman"/>
          <w:szCs w:val="24"/>
        </w:rPr>
        <w:t xml:space="preserve">Proponowane zmiany w </w:t>
      </w:r>
      <w:r w:rsidRPr="00D92FC1">
        <w:rPr>
          <w:rFonts w:ascii="Times New Roman" w:hAnsi="Times New Roman" w:cs="Times New Roman"/>
          <w:b/>
          <w:szCs w:val="24"/>
        </w:rPr>
        <w:t>art. 25</w:t>
      </w:r>
      <w:r w:rsidRPr="00D92FC1">
        <w:rPr>
          <w:rFonts w:ascii="Times New Roman" w:hAnsi="Times New Roman" w:cs="Times New Roman"/>
          <w:szCs w:val="24"/>
        </w:rPr>
        <w:t xml:space="preserve"> uzupełniają regulacje w zakresie obowiązków nabywcy akcji banku krajowego w trybie konwersji obligacji kapitałowej na akcje. Zgodnie z art. 25 </w:t>
      </w:r>
      <w:r w:rsidRPr="00D92FC1">
        <w:rPr>
          <w:rFonts w:ascii="Times New Roman" w:hAnsi="Times New Roman" w:cs="Times New Roman"/>
          <w:b/>
          <w:szCs w:val="24"/>
        </w:rPr>
        <w:t xml:space="preserve">ust. 4 pkt 3 </w:t>
      </w:r>
      <w:r w:rsidRPr="00D92FC1">
        <w:rPr>
          <w:rFonts w:ascii="Times New Roman" w:hAnsi="Times New Roman" w:cs="Times New Roman"/>
          <w:szCs w:val="24"/>
        </w:rPr>
        <w:t xml:space="preserve">podmiot, który otrzymał akcje banku w wyniku zamiany instrumentów kapitałowych zakwalifikowanych jako instrumenty dodatkowe w </w:t>
      </w:r>
      <w:r w:rsidRPr="00D92FC1">
        <w:rPr>
          <w:rFonts w:ascii="Times New Roman" w:hAnsi="Times New Roman" w:cs="Times New Roman"/>
          <w:i/>
          <w:szCs w:val="24"/>
        </w:rPr>
        <w:t>Tier I</w:t>
      </w:r>
      <w:r w:rsidRPr="00D92FC1">
        <w:rPr>
          <w:rFonts w:ascii="Times New Roman" w:hAnsi="Times New Roman" w:cs="Times New Roman"/>
          <w:szCs w:val="24"/>
        </w:rPr>
        <w:t>, jest obowiązany zawiadomić KNF, zgodnie z ust. 1 tego artykułu. Zmiana ta uzupełnia ust. 4 o szczególny rodzaj nabycia akcji, który następuje (automatycznie) w wyniku konwersji obligacji kapitałowych na akcje.</w:t>
      </w:r>
    </w:p>
    <w:p w14:paraId="683E2A4C" w14:textId="77777777" w:rsidR="00AB1420" w:rsidRPr="00D92FC1" w:rsidRDefault="00AB1420" w:rsidP="005E5395">
      <w:pPr>
        <w:pStyle w:val="Tekstpodstawowy1"/>
        <w:spacing w:after="120" w:line="360" w:lineRule="auto"/>
        <w:ind w:firstLine="0"/>
        <w:jc w:val="both"/>
        <w:rPr>
          <w:rFonts w:ascii="Times New Roman" w:hAnsi="Times New Roman" w:cs="Times New Roman"/>
          <w:szCs w:val="24"/>
        </w:rPr>
      </w:pPr>
      <w:r w:rsidRPr="00D92FC1">
        <w:rPr>
          <w:rFonts w:ascii="Times New Roman" w:hAnsi="Times New Roman" w:cs="Times New Roman"/>
          <w:szCs w:val="24"/>
        </w:rPr>
        <w:t xml:space="preserve">Zmiana </w:t>
      </w:r>
      <w:r w:rsidRPr="00D92FC1">
        <w:rPr>
          <w:rFonts w:ascii="Times New Roman" w:hAnsi="Times New Roman" w:cs="Times New Roman"/>
          <w:b/>
          <w:szCs w:val="24"/>
        </w:rPr>
        <w:t xml:space="preserve">art. 127 ust. 1 </w:t>
      </w:r>
      <w:r w:rsidRPr="00D92FC1">
        <w:rPr>
          <w:rFonts w:ascii="Times New Roman" w:hAnsi="Times New Roman" w:cs="Times New Roman"/>
          <w:szCs w:val="24"/>
        </w:rPr>
        <w:t xml:space="preserve">dotyczy bankowych papierów wartościowych, które – jako szczególny rodzaj papierów wartościowych – mogą być emitowane wyłącznie przez banki, na warunkach podawanych do publicznej wiadomości (art. 89 ustawy – Prawo bankowe). Emitowanie bankowych papierów wartościowych jest zaliczane do czynności bankowych (art. 5 ust. 1 pkt 5 ustawy – Prawo bankowe). Bankowy papier wartościowy służy gromadzeniu przez banki środków pieniężnych w złotych lub w innej walucie wymienialnej i zawiera w nazwie wyrazy „bankowy papier wartościowy”. Ustawa – Prawo bankowe określa tylko ogólne ramy konstrukcyjne bankowego papieru wartościowego. W celu uniknięcia wątpliwości co do charakteru tego rodzaju instrumentów, w tym możliwości wykorzystania tej instytucji prawnej do emisji podporządkowanych instrumentów zaliczanych do funduszy własnych emitenta, przesądzono, że do instrumentów kapitałowych wskazanych w art. 127 ust. 1 nie zalicza się bankowych papierów wartościowych. </w:t>
      </w:r>
    </w:p>
    <w:p w14:paraId="33E98811" w14:textId="35C93AE4" w:rsidR="00AB1420" w:rsidRPr="00D92FC1" w:rsidRDefault="00AB1420" w:rsidP="005E5395">
      <w:pPr>
        <w:suppressAutoHyphens/>
        <w:spacing w:after="0" w:line="360" w:lineRule="auto"/>
        <w:jc w:val="both"/>
        <w:rPr>
          <w:rFonts w:ascii="Times New Roman" w:eastAsiaTheme="minorEastAsia" w:hAnsi="Times New Roman" w:cs="Times New Roman"/>
          <w:sz w:val="24"/>
          <w:szCs w:val="24"/>
        </w:rPr>
      </w:pPr>
      <w:r w:rsidRPr="00D92FC1">
        <w:rPr>
          <w:rFonts w:ascii="Times New Roman" w:eastAsiaTheme="minorEastAsia" w:hAnsi="Times New Roman" w:cs="Times New Roman"/>
          <w:sz w:val="24"/>
          <w:szCs w:val="24"/>
        </w:rPr>
        <w:t>Przepis</w:t>
      </w:r>
      <w:r w:rsidRPr="00D92FC1">
        <w:rPr>
          <w:rFonts w:ascii="Times New Roman" w:eastAsiaTheme="minorEastAsia" w:hAnsi="Times New Roman" w:cs="Times New Roman"/>
          <w:b/>
          <w:sz w:val="24"/>
          <w:szCs w:val="24"/>
        </w:rPr>
        <w:t xml:space="preserve"> art. 127a</w:t>
      </w:r>
      <w:r w:rsidRPr="00D92FC1">
        <w:rPr>
          <w:rFonts w:ascii="Times New Roman" w:eastAsiaTheme="minorEastAsia" w:hAnsi="Times New Roman" w:cs="Times New Roman"/>
          <w:sz w:val="24"/>
          <w:szCs w:val="24"/>
        </w:rPr>
        <w:t xml:space="preserve"> wprowadza rozwiązania dotyczące umowy pożyczki podporządkowanej, o której mowa w motywie 24 rozporządzenia CRR II. Wskazuje on, że instrumenty kapitałowe kwalifikują się jako instrumenty dodatkowe w </w:t>
      </w:r>
      <w:r w:rsidRPr="00D92FC1">
        <w:rPr>
          <w:rFonts w:ascii="Times New Roman" w:eastAsiaTheme="minorEastAsia" w:hAnsi="Times New Roman" w:cs="Times New Roman"/>
          <w:i/>
          <w:sz w:val="24"/>
          <w:szCs w:val="24"/>
        </w:rPr>
        <w:t xml:space="preserve">Tier I </w:t>
      </w:r>
      <w:r w:rsidRPr="00D92FC1">
        <w:rPr>
          <w:rFonts w:ascii="Times New Roman" w:eastAsiaTheme="minorEastAsia" w:hAnsi="Times New Roman" w:cs="Times New Roman"/>
          <w:sz w:val="24"/>
          <w:szCs w:val="24"/>
        </w:rPr>
        <w:t xml:space="preserve">albo instrumenty w </w:t>
      </w:r>
      <w:r w:rsidRPr="00D92FC1">
        <w:rPr>
          <w:rFonts w:ascii="Times New Roman" w:eastAsiaTheme="minorEastAsia" w:hAnsi="Times New Roman" w:cs="Times New Roman"/>
          <w:i/>
          <w:sz w:val="24"/>
          <w:szCs w:val="24"/>
        </w:rPr>
        <w:t>Tier II</w:t>
      </w:r>
      <w:r w:rsidRPr="00D92FC1">
        <w:rPr>
          <w:rFonts w:ascii="Times New Roman" w:eastAsiaTheme="minorEastAsia" w:hAnsi="Times New Roman" w:cs="Times New Roman"/>
          <w:sz w:val="24"/>
          <w:szCs w:val="24"/>
        </w:rPr>
        <w:t xml:space="preserve"> wyłącznie w zakresie, w jakim spełniają kryteria kwalifikowalności. Europejski Urząd Nadzoru Bankowego w ramach wyjaśnień do art. 51 i art. 52 rozporządzenia nr 575/2013 (</w:t>
      </w:r>
      <w:r w:rsidRPr="00D92FC1">
        <w:rPr>
          <w:rFonts w:ascii="Times New Roman" w:eastAsiaTheme="minorEastAsia" w:hAnsi="Times New Roman" w:cs="Times New Roman"/>
          <w:i/>
          <w:sz w:val="24"/>
          <w:szCs w:val="24"/>
        </w:rPr>
        <w:t xml:space="preserve">EBA, </w:t>
      </w:r>
      <w:r w:rsidRPr="00D92FC1">
        <w:rPr>
          <w:rFonts w:ascii="Times New Roman" w:hAnsi="Times New Roman" w:cs="Times New Roman"/>
          <w:i/>
          <w:sz w:val="24"/>
          <w:szCs w:val="24"/>
        </w:rPr>
        <w:t>Single Rulebook Q&amp;A, Question ID: 2015_1846</w:t>
      </w:r>
      <w:r w:rsidRPr="00D92FC1">
        <w:rPr>
          <w:rFonts w:ascii="Times New Roman" w:hAnsi="Times New Roman" w:cs="Times New Roman"/>
          <w:sz w:val="24"/>
          <w:szCs w:val="24"/>
        </w:rPr>
        <w:t>)</w:t>
      </w:r>
      <w:r w:rsidRPr="00D92FC1">
        <w:rPr>
          <w:rFonts w:ascii="Times New Roman" w:eastAsiaTheme="minorEastAsia" w:hAnsi="Times New Roman" w:cs="Times New Roman"/>
          <w:sz w:val="24"/>
          <w:szCs w:val="24"/>
        </w:rPr>
        <w:t xml:space="preserve"> wskazał, że pożyczka podporządkowana może kwalifikować się jako element pozycji dodatkowych w </w:t>
      </w:r>
      <w:r w:rsidRPr="00D92FC1">
        <w:rPr>
          <w:rFonts w:ascii="Times New Roman" w:eastAsiaTheme="minorEastAsia" w:hAnsi="Times New Roman" w:cs="Times New Roman"/>
          <w:i/>
          <w:sz w:val="24"/>
          <w:szCs w:val="24"/>
        </w:rPr>
        <w:t>Tier I</w:t>
      </w:r>
      <w:r w:rsidRPr="00D92FC1">
        <w:rPr>
          <w:rFonts w:ascii="Times New Roman" w:eastAsiaTheme="minorEastAsia" w:hAnsi="Times New Roman" w:cs="Times New Roman"/>
          <w:sz w:val="24"/>
          <w:szCs w:val="24"/>
        </w:rPr>
        <w:t xml:space="preserve"> na mocy art. 51 rozporządzenia nr 575/2013 pod warunkiem, że spełnia wszystkie warunki określone w części drugiej tytułu I w rozdziale trzecim tego rozporządzenia,</w:t>
      </w:r>
      <w:r w:rsidRPr="00D92FC1">
        <w:rPr>
          <w:rFonts w:ascii="Times New Roman" w:hAnsi="Times New Roman" w:cs="Times New Roman"/>
          <w:sz w:val="24"/>
          <w:szCs w:val="24"/>
        </w:rPr>
        <w:t xml:space="preserve"> </w:t>
      </w:r>
      <w:r w:rsidRPr="00D92FC1">
        <w:rPr>
          <w:rFonts w:ascii="Times New Roman" w:eastAsiaTheme="minorEastAsia" w:hAnsi="Times New Roman" w:cs="Times New Roman"/>
          <w:sz w:val="24"/>
          <w:szCs w:val="24"/>
        </w:rPr>
        <w:t xml:space="preserve">tj. cechy instrumentu kwalifikującego się do kapitału </w:t>
      </w:r>
      <w:r w:rsidRPr="00D92FC1">
        <w:rPr>
          <w:rFonts w:ascii="Times New Roman" w:eastAsiaTheme="minorEastAsia" w:hAnsi="Times New Roman" w:cs="Times New Roman"/>
          <w:i/>
          <w:sz w:val="24"/>
          <w:szCs w:val="24"/>
        </w:rPr>
        <w:t>Tier I</w:t>
      </w:r>
      <w:r w:rsidRPr="00D92FC1">
        <w:rPr>
          <w:rFonts w:ascii="Times New Roman" w:eastAsiaTheme="minorEastAsia" w:hAnsi="Times New Roman" w:cs="Times New Roman"/>
          <w:sz w:val="24"/>
          <w:szCs w:val="24"/>
        </w:rPr>
        <w:t xml:space="preserve"> wynikające z art. 52 rozporządzenia nr 575/2013. </w:t>
      </w:r>
    </w:p>
    <w:p w14:paraId="2115C194" w14:textId="10D2E755" w:rsidR="00AB1420" w:rsidRPr="00D92FC1" w:rsidRDefault="00AB1420" w:rsidP="005E5395">
      <w:pPr>
        <w:suppressAutoHyphens/>
        <w:spacing w:after="0" w:line="360" w:lineRule="auto"/>
        <w:jc w:val="both"/>
        <w:rPr>
          <w:rFonts w:ascii="Times New Roman" w:eastAsiaTheme="minorEastAsia" w:hAnsi="Times New Roman" w:cs="Times New Roman"/>
          <w:sz w:val="24"/>
          <w:szCs w:val="24"/>
        </w:rPr>
      </w:pPr>
      <w:r w:rsidRPr="00D92FC1">
        <w:rPr>
          <w:rFonts w:ascii="Times New Roman" w:eastAsiaTheme="minorEastAsia" w:hAnsi="Times New Roman" w:cs="Times New Roman"/>
          <w:sz w:val="24"/>
          <w:szCs w:val="24"/>
        </w:rPr>
        <w:lastRenderedPageBreak/>
        <w:t xml:space="preserve">Zaciągnięcie pożyczki podporządkowanej kwalifikowanej jako instrument dodatkowy </w:t>
      </w:r>
      <w:r w:rsidRPr="00D92FC1">
        <w:rPr>
          <w:rFonts w:ascii="Times New Roman" w:eastAsiaTheme="minorEastAsia" w:hAnsi="Times New Roman" w:cs="Times New Roman"/>
          <w:i/>
          <w:sz w:val="24"/>
          <w:szCs w:val="24"/>
        </w:rPr>
        <w:t>Tier I</w:t>
      </w:r>
      <w:r w:rsidRPr="00D92FC1">
        <w:rPr>
          <w:rFonts w:ascii="Times New Roman" w:eastAsiaTheme="minorEastAsia" w:hAnsi="Times New Roman" w:cs="Times New Roman"/>
          <w:sz w:val="24"/>
          <w:szCs w:val="24"/>
        </w:rPr>
        <w:t xml:space="preserve"> wymaga uchwały zarządu banku oraz zgody rady nadzorczej banku (</w:t>
      </w:r>
      <w:r w:rsidRPr="00D92FC1">
        <w:rPr>
          <w:rFonts w:ascii="Times New Roman" w:eastAsiaTheme="minorEastAsia" w:hAnsi="Times New Roman" w:cs="Times New Roman"/>
          <w:b/>
          <w:sz w:val="24"/>
          <w:szCs w:val="24"/>
        </w:rPr>
        <w:t>ust. 1</w:t>
      </w:r>
      <w:r w:rsidRPr="00D92FC1">
        <w:rPr>
          <w:rFonts w:ascii="Times New Roman" w:eastAsiaTheme="minorEastAsia" w:hAnsi="Times New Roman" w:cs="Times New Roman"/>
          <w:sz w:val="24"/>
          <w:szCs w:val="24"/>
        </w:rPr>
        <w:t>).</w:t>
      </w:r>
    </w:p>
    <w:p w14:paraId="5AB01697" w14:textId="77777777" w:rsidR="00AB1420" w:rsidRPr="00D92FC1" w:rsidRDefault="00AB1420" w:rsidP="005E5395">
      <w:pPr>
        <w:suppressAutoHyphens/>
        <w:spacing w:after="120" w:line="360" w:lineRule="auto"/>
        <w:jc w:val="both"/>
        <w:rPr>
          <w:rFonts w:ascii="Times New Roman" w:eastAsiaTheme="minorEastAsia" w:hAnsi="Times New Roman" w:cs="Times New Roman"/>
          <w:sz w:val="24"/>
          <w:szCs w:val="24"/>
        </w:rPr>
      </w:pPr>
      <w:r w:rsidRPr="00D92FC1">
        <w:rPr>
          <w:rFonts w:ascii="Times New Roman" w:eastAsiaTheme="minorEastAsia" w:hAnsi="Times New Roman" w:cs="Times New Roman"/>
          <w:sz w:val="24"/>
          <w:szCs w:val="24"/>
        </w:rPr>
        <w:t xml:space="preserve">Zgodnie z </w:t>
      </w:r>
      <w:r w:rsidRPr="00D92FC1">
        <w:rPr>
          <w:rFonts w:ascii="Times New Roman" w:eastAsiaTheme="minorEastAsia" w:hAnsi="Times New Roman" w:cs="Times New Roman"/>
          <w:b/>
          <w:sz w:val="24"/>
          <w:szCs w:val="24"/>
        </w:rPr>
        <w:t>ust. 2</w:t>
      </w:r>
      <w:r w:rsidRPr="00D92FC1">
        <w:rPr>
          <w:rFonts w:ascii="Times New Roman" w:eastAsiaTheme="minorEastAsia" w:hAnsi="Times New Roman" w:cs="Times New Roman"/>
          <w:sz w:val="24"/>
          <w:szCs w:val="24"/>
        </w:rPr>
        <w:t xml:space="preserve"> przedmiotem pożyczki podporządkowanej mogą być środki pieniężne w wysokości nie niższej niż 400 000 złotych lub równowartość tej kwoty wyrażonej w innej walucie, ustalonej przy zastosowaniu średniego kursu tej waluty ogłaszanego przez NBP w dniu podjęcia uchwały.</w:t>
      </w:r>
    </w:p>
    <w:p w14:paraId="305F982A" w14:textId="53D21D36" w:rsidR="00AB1420" w:rsidRPr="00D92FC1" w:rsidRDefault="00AB1420" w:rsidP="005E5395">
      <w:pPr>
        <w:spacing w:after="0" w:line="360" w:lineRule="auto"/>
        <w:jc w:val="both"/>
        <w:rPr>
          <w:rFonts w:ascii="Times New Roman" w:eastAsia="Calibri" w:hAnsi="Times New Roman" w:cs="Times New Roman"/>
          <w:sz w:val="24"/>
          <w:szCs w:val="24"/>
        </w:rPr>
      </w:pPr>
      <w:r w:rsidRPr="00D92FC1">
        <w:rPr>
          <w:rFonts w:ascii="Times New Roman" w:eastAsiaTheme="minorEastAsia" w:hAnsi="Times New Roman" w:cs="Times New Roman"/>
          <w:sz w:val="24"/>
          <w:szCs w:val="24"/>
        </w:rPr>
        <w:t xml:space="preserve">Umowa pożyczki podporządkowanej może być oferowana wyłącznie </w:t>
      </w:r>
      <w:r w:rsidR="00CF723A">
        <w:rPr>
          <w:rFonts w:ascii="Times New Roman" w:eastAsiaTheme="minorEastAsia" w:hAnsi="Times New Roman" w:cs="Times New Roman"/>
          <w:sz w:val="24"/>
          <w:szCs w:val="24"/>
        </w:rPr>
        <w:t xml:space="preserve">podmiotom, o których mowa w </w:t>
      </w:r>
      <w:r w:rsidR="00CF723A" w:rsidRPr="00CF723A">
        <w:rPr>
          <w:rFonts w:ascii="Times New Roman" w:eastAsiaTheme="minorEastAsia" w:hAnsi="Times New Roman" w:cs="Times New Roman"/>
          <w:sz w:val="24"/>
          <w:szCs w:val="24"/>
        </w:rPr>
        <w:t>art. 3 pkt 39b lit. a–m ustawy</w:t>
      </w:r>
      <w:r w:rsidR="00CF723A">
        <w:rPr>
          <w:rFonts w:ascii="Times New Roman" w:eastAsiaTheme="minorEastAsia" w:hAnsi="Times New Roman" w:cs="Times New Roman"/>
          <w:sz w:val="24"/>
          <w:szCs w:val="24"/>
        </w:rPr>
        <w:t xml:space="preserve"> o obrocie instrumentami finansowymi</w:t>
      </w:r>
      <w:r w:rsidRPr="00D92FC1">
        <w:rPr>
          <w:rFonts w:ascii="Times New Roman" w:eastAsiaTheme="minorEastAsia" w:hAnsi="Times New Roman" w:cs="Times New Roman"/>
          <w:sz w:val="24"/>
          <w:szCs w:val="24"/>
        </w:rPr>
        <w:t xml:space="preserve">, analogicznie jak obligacje kapitałowe (art. 27c ustawy o obligacjach), </w:t>
      </w:r>
      <w:r w:rsidRPr="00D92FC1">
        <w:rPr>
          <w:rFonts w:ascii="Times New Roman" w:eastAsia="Calibri" w:hAnsi="Times New Roman" w:cs="Times New Roman"/>
          <w:sz w:val="24"/>
          <w:szCs w:val="24"/>
        </w:rPr>
        <w:t>w formie pisemnej pod rygorem nieważności (</w:t>
      </w:r>
      <w:r w:rsidRPr="00D92FC1">
        <w:rPr>
          <w:rFonts w:ascii="Times New Roman" w:eastAsia="Calibri" w:hAnsi="Times New Roman" w:cs="Times New Roman"/>
          <w:b/>
          <w:sz w:val="24"/>
          <w:szCs w:val="24"/>
        </w:rPr>
        <w:t>art. 127b</w:t>
      </w:r>
      <w:r w:rsidRPr="00D92FC1">
        <w:rPr>
          <w:rFonts w:ascii="Times New Roman" w:eastAsia="Calibri" w:hAnsi="Times New Roman" w:cs="Times New Roman"/>
          <w:sz w:val="24"/>
          <w:szCs w:val="24"/>
        </w:rPr>
        <w:t xml:space="preserve"> </w:t>
      </w:r>
      <w:r w:rsidRPr="00D92FC1">
        <w:rPr>
          <w:rFonts w:ascii="Times New Roman" w:eastAsia="Calibri" w:hAnsi="Times New Roman" w:cs="Times New Roman"/>
          <w:b/>
          <w:sz w:val="24"/>
          <w:szCs w:val="24"/>
        </w:rPr>
        <w:t>ust. 1</w:t>
      </w:r>
      <w:r w:rsidRPr="00D92FC1">
        <w:rPr>
          <w:rFonts w:ascii="Times New Roman" w:eastAsia="Calibri" w:hAnsi="Times New Roman" w:cs="Times New Roman"/>
          <w:sz w:val="24"/>
          <w:szCs w:val="24"/>
        </w:rPr>
        <w:t>).</w:t>
      </w:r>
      <w:r w:rsidRPr="00D92FC1">
        <w:rPr>
          <w:rFonts w:ascii="Times New Roman" w:hAnsi="Times New Roman" w:cs="Times New Roman"/>
          <w:sz w:val="24"/>
          <w:szCs w:val="24"/>
        </w:rPr>
        <w:t xml:space="preserve"> </w:t>
      </w:r>
      <w:r w:rsidRPr="00D92FC1">
        <w:rPr>
          <w:rFonts w:ascii="Times New Roman" w:eastAsia="Calibri" w:hAnsi="Times New Roman" w:cs="Times New Roman"/>
          <w:sz w:val="24"/>
          <w:szCs w:val="24"/>
        </w:rPr>
        <w:t>Relacja pomiędzy emitentem, a klientem polega na utrzymywaniu stałych relacji z klientem lub sytuacji gdy ma być świadczona co najmniej jedna z usług określonych w art.</w:t>
      </w:r>
      <w:r w:rsidRPr="00D92FC1">
        <w:rPr>
          <w:rFonts w:ascii="Times New Roman" w:hAnsi="Times New Roman" w:cs="Times New Roman"/>
          <w:sz w:val="24"/>
          <w:szCs w:val="24"/>
        </w:rPr>
        <w:t xml:space="preserve"> </w:t>
      </w:r>
      <w:r w:rsidRPr="00D92FC1">
        <w:rPr>
          <w:rFonts w:ascii="Times New Roman" w:eastAsia="Calibri" w:hAnsi="Times New Roman" w:cs="Times New Roman"/>
          <w:sz w:val="24"/>
          <w:szCs w:val="24"/>
        </w:rPr>
        <w:t>69 ust. 2 lub 4 ustawy o obrocie instrumentami finansowymi.</w:t>
      </w:r>
    </w:p>
    <w:p w14:paraId="5E5D6004" w14:textId="454338A7" w:rsidR="00AB1420" w:rsidRPr="00D92FC1" w:rsidRDefault="00AB1420" w:rsidP="005E5395">
      <w:pPr>
        <w:spacing w:after="0" w:line="360" w:lineRule="auto"/>
        <w:jc w:val="both"/>
        <w:rPr>
          <w:rFonts w:ascii="Times New Roman" w:hAnsi="Times New Roman" w:cs="Times New Roman"/>
          <w:sz w:val="24"/>
          <w:szCs w:val="24"/>
        </w:rPr>
      </w:pPr>
      <w:r w:rsidRPr="00D92FC1">
        <w:rPr>
          <w:rFonts w:ascii="Times New Roman" w:eastAsia="Calibri" w:hAnsi="Times New Roman" w:cs="Times New Roman"/>
          <w:sz w:val="24"/>
          <w:szCs w:val="24"/>
        </w:rPr>
        <w:t xml:space="preserve">Przepis </w:t>
      </w:r>
      <w:r w:rsidRPr="00D92FC1">
        <w:rPr>
          <w:rFonts w:ascii="Times New Roman" w:eastAsia="Calibri" w:hAnsi="Times New Roman" w:cs="Times New Roman"/>
          <w:b/>
          <w:sz w:val="24"/>
          <w:szCs w:val="24"/>
        </w:rPr>
        <w:t xml:space="preserve">ust. 2 </w:t>
      </w:r>
      <w:r w:rsidRPr="00D92FC1">
        <w:rPr>
          <w:rFonts w:ascii="Times New Roman" w:eastAsia="Calibri" w:hAnsi="Times New Roman" w:cs="Times New Roman"/>
          <w:sz w:val="24"/>
          <w:szCs w:val="24"/>
        </w:rPr>
        <w:t>określa niezbędne elementy w zakresie ryzyk związanych z zawarciem umowy pożyczki podporządkowanej.</w:t>
      </w:r>
      <w:r w:rsidR="00B23447">
        <w:rPr>
          <w:rFonts w:ascii="Times New Roman" w:eastAsia="Calibri" w:hAnsi="Times New Roman" w:cs="Times New Roman"/>
          <w:sz w:val="24"/>
          <w:szCs w:val="24"/>
        </w:rPr>
        <w:t xml:space="preserve"> </w:t>
      </w:r>
    </w:p>
    <w:p w14:paraId="3F3974B6" w14:textId="77777777" w:rsidR="00AB1420" w:rsidRPr="00D92FC1" w:rsidRDefault="00AB1420" w:rsidP="005E5395">
      <w:pPr>
        <w:spacing w:after="0" w:line="360" w:lineRule="auto"/>
        <w:jc w:val="both"/>
        <w:rPr>
          <w:rFonts w:ascii="Times New Roman" w:hAnsi="Times New Roman" w:cs="Times New Roman"/>
          <w:sz w:val="24"/>
          <w:szCs w:val="24"/>
        </w:rPr>
      </w:pPr>
      <w:r w:rsidRPr="00D92FC1">
        <w:rPr>
          <w:rFonts w:ascii="Times New Roman" w:hAnsi="Times New Roman" w:cs="Times New Roman"/>
          <w:sz w:val="24"/>
          <w:szCs w:val="24"/>
        </w:rPr>
        <w:t xml:space="preserve">Zgodnie z </w:t>
      </w:r>
      <w:r w:rsidRPr="00D92FC1">
        <w:rPr>
          <w:rFonts w:ascii="Times New Roman" w:hAnsi="Times New Roman" w:cs="Times New Roman"/>
          <w:b/>
          <w:sz w:val="24"/>
          <w:szCs w:val="24"/>
        </w:rPr>
        <w:t>ust. 3</w:t>
      </w:r>
      <w:r w:rsidRPr="00D92FC1">
        <w:rPr>
          <w:rFonts w:ascii="Times New Roman" w:hAnsi="Times New Roman" w:cs="Times New Roman"/>
          <w:sz w:val="24"/>
          <w:szCs w:val="24"/>
        </w:rPr>
        <w:t xml:space="preserve"> udzielającemu pożyczki podporządkowanej nie będzie przysługiwać prawo do wypowiedzenia ani odstąpienia od tej umowy. Związane jest to z koniecznością zapewnienia bezterminowego charakteru instrumentów zaliczanych do </w:t>
      </w:r>
      <w:r w:rsidRPr="00D92FC1">
        <w:rPr>
          <w:rFonts w:ascii="Times New Roman" w:hAnsi="Times New Roman" w:cs="Times New Roman"/>
          <w:i/>
          <w:sz w:val="24"/>
          <w:szCs w:val="24"/>
        </w:rPr>
        <w:t>Tier I.</w:t>
      </w:r>
    </w:p>
    <w:p w14:paraId="1A3F3C3E" w14:textId="77777777" w:rsidR="00AB1420" w:rsidRDefault="00AB1420" w:rsidP="005E5395">
      <w:pPr>
        <w:spacing w:after="0" w:line="360" w:lineRule="auto"/>
        <w:jc w:val="both"/>
        <w:rPr>
          <w:rFonts w:ascii="Times New Roman" w:hAnsi="Times New Roman" w:cs="Times New Roman"/>
          <w:i/>
          <w:sz w:val="24"/>
          <w:szCs w:val="24"/>
        </w:rPr>
      </w:pPr>
      <w:r w:rsidRPr="00D92FC1">
        <w:rPr>
          <w:rFonts w:ascii="Times New Roman" w:hAnsi="Times New Roman" w:cs="Times New Roman"/>
          <w:sz w:val="24"/>
          <w:szCs w:val="24"/>
        </w:rPr>
        <w:t xml:space="preserve">Zgodnie z </w:t>
      </w:r>
      <w:r w:rsidRPr="00D92FC1">
        <w:rPr>
          <w:rFonts w:ascii="Times New Roman" w:hAnsi="Times New Roman" w:cs="Times New Roman"/>
          <w:b/>
          <w:sz w:val="24"/>
          <w:szCs w:val="24"/>
        </w:rPr>
        <w:t>ust. 4</w:t>
      </w:r>
      <w:r w:rsidRPr="00D92FC1">
        <w:rPr>
          <w:rFonts w:ascii="Times New Roman" w:hAnsi="Times New Roman" w:cs="Times New Roman"/>
          <w:sz w:val="24"/>
          <w:szCs w:val="24"/>
        </w:rPr>
        <w:t xml:space="preserve"> umowa pożyczki podporządkowanej zaliczanej do kapitału dodatkowego </w:t>
      </w:r>
      <w:r w:rsidRPr="00D92FC1">
        <w:rPr>
          <w:rFonts w:ascii="Times New Roman" w:hAnsi="Times New Roman" w:cs="Times New Roman"/>
          <w:i/>
          <w:sz w:val="24"/>
          <w:szCs w:val="24"/>
        </w:rPr>
        <w:t>Tier I</w:t>
      </w:r>
      <w:r w:rsidRPr="00D92FC1">
        <w:rPr>
          <w:rFonts w:ascii="Times New Roman" w:hAnsi="Times New Roman" w:cs="Times New Roman"/>
          <w:sz w:val="24"/>
          <w:szCs w:val="24"/>
        </w:rPr>
        <w:t xml:space="preserve"> będzie uprawniać udzielającego pożyczkę do otrzymywania odsetek przez czas nieoznaczony. Przewidziano przy tym wyłączenie stosowania art. 365</w:t>
      </w:r>
      <w:r w:rsidRPr="00D92FC1">
        <w:rPr>
          <w:rFonts w:ascii="Times New Roman" w:hAnsi="Times New Roman" w:cs="Times New Roman"/>
          <w:sz w:val="24"/>
          <w:szCs w:val="24"/>
          <w:vertAlign w:val="superscript"/>
        </w:rPr>
        <w:t>1</w:t>
      </w:r>
      <w:r w:rsidRPr="00D92FC1">
        <w:rPr>
          <w:rFonts w:ascii="Times New Roman" w:hAnsi="Times New Roman" w:cs="Times New Roman"/>
          <w:sz w:val="24"/>
          <w:szCs w:val="24"/>
        </w:rPr>
        <w:t xml:space="preserve"> Kodeksu cywilnego, tak jak w proponowanym art. 27e ustawy o obligacjach, mając na uwadze, że jest to instrument zaliczany do kapitału dodatkowego </w:t>
      </w:r>
      <w:r w:rsidRPr="00D92FC1">
        <w:rPr>
          <w:rFonts w:ascii="Times New Roman" w:hAnsi="Times New Roman" w:cs="Times New Roman"/>
          <w:i/>
          <w:sz w:val="24"/>
          <w:szCs w:val="24"/>
        </w:rPr>
        <w:t>Tier I</w:t>
      </w:r>
      <w:r w:rsidRPr="00D92FC1">
        <w:rPr>
          <w:rFonts w:ascii="Times New Roman" w:hAnsi="Times New Roman" w:cs="Times New Roman"/>
          <w:sz w:val="24"/>
          <w:szCs w:val="24"/>
        </w:rPr>
        <w:t xml:space="preserve">, który musi spełniać wymogi określone w art. 52 rozporządzenia nr 575/2013. Wyłączono także zastosowanie art. 359 </w:t>
      </w:r>
      <w:r w:rsidRPr="00D92FC1">
        <w:rPr>
          <w:rFonts w:ascii="Times New Roman" w:eastAsia="Times New Roman" w:hAnsi="Times New Roman" w:cs="Times New Roman"/>
          <w:sz w:val="24"/>
          <w:szCs w:val="24"/>
          <w:lang w:eastAsia="pl-PL"/>
        </w:rPr>
        <w:t>§ 2</w:t>
      </w:r>
      <w:r w:rsidRPr="00D92FC1">
        <w:rPr>
          <w:rFonts w:ascii="Times New Roman" w:eastAsia="Times New Roman" w:hAnsi="Times New Roman" w:cs="Times New Roman"/>
          <w:sz w:val="24"/>
          <w:szCs w:val="24"/>
          <w:vertAlign w:val="superscript"/>
          <w:lang w:eastAsia="pl-PL"/>
        </w:rPr>
        <w:t>1</w:t>
      </w:r>
      <w:r w:rsidRPr="00D92FC1">
        <w:rPr>
          <w:rFonts w:ascii="Times New Roman" w:eastAsia="Times New Roman" w:hAnsi="Times New Roman" w:cs="Times New Roman"/>
          <w:sz w:val="24"/>
          <w:szCs w:val="24"/>
          <w:lang w:eastAsia="pl-PL"/>
        </w:rPr>
        <w:t>–2</w:t>
      </w:r>
      <w:r w:rsidRPr="00D92FC1">
        <w:rPr>
          <w:rFonts w:ascii="Times New Roman" w:eastAsia="Times New Roman" w:hAnsi="Times New Roman" w:cs="Times New Roman"/>
          <w:sz w:val="24"/>
          <w:szCs w:val="24"/>
          <w:vertAlign w:val="superscript"/>
          <w:lang w:eastAsia="pl-PL"/>
        </w:rPr>
        <w:t>3</w:t>
      </w:r>
      <w:r w:rsidRPr="00D92FC1">
        <w:rPr>
          <w:rFonts w:ascii="Times New Roman" w:hAnsi="Times New Roman" w:cs="Times New Roman"/>
          <w:sz w:val="24"/>
          <w:szCs w:val="24"/>
        </w:rPr>
        <w:t xml:space="preserve"> Kodeksu cywilnego dotyczącego wysokości odsetek maksymalnych, ponieważ w praktyce rynkowej wysokość odsetek z tytułu instrumentu dodatkowego </w:t>
      </w:r>
      <w:r w:rsidRPr="00D92FC1">
        <w:rPr>
          <w:rFonts w:ascii="Times New Roman" w:hAnsi="Times New Roman" w:cs="Times New Roman"/>
          <w:i/>
          <w:sz w:val="24"/>
          <w:szCs w:val="24"/>
        </w:rPr>
        <w:t>Tier I</w:t>
      </w:r>
      <w:r w:rsidRPr="00D92FC1">
        <w:rPr>
          <w:rFonts w:ascii="Times New Roman" w:hAnsi="Times New Roman" w:cs="Times New Roman"/>
          <w:sz w:val="24"/>
          <w:szCs w:val="24"/>
        </w:rPr>
        <w:t xml:space="preserve"> może kształtować się na poziomie wyższym niż wskazany w tym przepisie. Wyłączenie zastosowania art. 395 Kodeksu cywilnego jest natomiast związane z zapewnieniem bezterminowego charakteru instrumentów zaliczanych do </w:t>
      </w:r>
      <w:r w:rsidRPr="00D92FC1">
        <w:rPr>
          <w:rFonts w:ascii="Times New Roman" w:hAnsi="Times New Roman" w:cs="Times New Roman"/>
          <w:i/>
          <w:sz w:val="24"/>
          <w:szCs w:val="24"/>
        </w:rPr>
        <w:t>Tier I.</w:t>
      </w:r>
    </w:p>
    <w:p w14:paraId="47D4286A" w14:textId="27DD049B" w:rsidR="00B23447" w:rsidRPr="0063311B" w:rsidRDefault="00B23447" w:rsidP="005E5395">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Zgodnie</w:t>
      </w:r>
      <w:r w:rsidR="009C1B2B">
        <w:rPr>
          <w:rFonts w:ascii="Times New Roman" w:hAnsi="Times New Roman" w:cs="Times New Roman"/>
          <w:sz w:val="24"/>
          <w:szCs w:val="24"/>
        </w:rPr>
        <w:t xml:space="preserve"> z </w:t>
      </w:r>
      <w:r w:rsidRPr="0063311B">
        <w:rPr>
          <w:rFonts w:ascii="Times New Roman" w:hAnsi="Times New Roman" w:cs="Times New Roman"/>
          <w:b/>
          <w:sz w:val="24"/>
          <w:szCs w:val="24"/>
        </w:rPr>
        <w:t>ust. 5</w:t>
      </w:r>
      <w:r>
        <w:rPr>
          <w:rFonts w:ascii="Times New Roman" w:hAnsi="Times New Roman" w:cs="Times New Roman"/>
          <w:sz w:val="24"/>
          <w:szCs w:val="24"/>
        </w:rPr>
        <w:t xml:space="preserve"> w</w:t>
      </w:r>
      <w:r w:rsidRPr="00B23447">
        <w:rPr>
          <w:rFonts w:ascii="Times New Roman" w:hAnsi="Times New Roman" w:cs="Times New Roman"/>
          <w:sz w:val="24"/>
          <w:szCs w:val="24"/>
        </w:rPr>
        <w:t>ierzytelność wynikająca z pożyczki podporządkowanej może być przedmiotem przeniesienia wyłącznie między podmiotami wymienionymi w art. 3 pkt 39b lit. a–m ustawy o obrocie instrumentami finansowymi</w:t>
      </w:r>
      <w:r w:rsidR="009C1B2B">
        <w:rPr>
          <w:rFonts w:ascii="Times New Roman" w:hAnsi="Times New Roman" w:cs="Times New Roman"/>
          <w:sz w:val="24"/>
          <w:szCs w:val="24"/>
        </w:rPr>
        <w:t xml:space="preserve">, co jest konsekwencją </w:t>
      </w:r>
      <w:r w:rsidR="0062586F">
        <w:rPr>
          <w:rFonts w:ascii="Times New Roman" w:hAnsi="Times New Roman" w:cs="Times New Roman"/>
          <w:sz w:val="24"/>
          <w:szCs w:val="24"/>
        </w:rPr>
        <w:t>ust 1</w:t>
      </w:r>
      <w:r w:rsidRPr="00B23447">
        <w:rPr>
          <w:rFonts w:ascii="Times New Roman" w:hAnsi="Times New Roman" w:cs="Times New Roman"/>
          <w:sz w:val="24"/>
          <w:szCs w:val="24"/>
        </w:rPr>
        <w:t>.</w:t>
      </w:r>
      <w:r w:rsidR="002A08A9">
        <w:rPr>
          <w:rFonts w:ascii="Times New Roman" w:hAnsi="Times New Roman" w:cs="Times New Roman"/>
          <w:sz w:val="24"/>
          <w:szCs w:val="24"/>
        </w:rPr>
        <w:t xml:space="preserve"> Przepis ten </w:t>
      </w:r>
      <w:r w:rsidR="00FD4B55">
        <w:rPr>
          <w:rFonts w:ascii="Times New Roman" w:hAnsi="Times New Roman" w:cs="Times New Roman"/>
          <w:sz w:val="24"/>
          <w:szCs w:val="24"/>
        </w:rPr>
        <w:t>uniemoż</w:t>
      </w:r>
      <w:r w:rsidR="00AB7782">
        <w:rPr>
          <w:rFonts w:ascii="Times New Roman" w:hAnsi="Times New Roman" w:cs="Times New Roman"/>
          <w:sz w:val="24"/>
          <w:szCs w:val="24"/>
        </w:rPr>
        <w:t>l</w:t>
      </w:r>
      <w:r w:rsidR="00FD4B55">
        <w:rPr>
          <w:rFonts w:ascii="Times New Roman" w:hAnsi="Times New Roman" w:cs="Times New Roman"/>
          <w:sz w:val="24"/>
          <w:szCs w:val="24"/>
        </w:rPr>
        <w:t>iwi</w:t>
      </w:r>
      <w:r w:rsidR="00BC5290">
        <w:rPr>
          <w:rFonts w:ascii="Times New Roman" w:hAnsi="Times New Roman" w:cs="Times New Roman"/>
          <w:sz w:val="24"/>
          <w:szCs w:val="24"/>
        </w:rPr>
        <w:t xml:space="preserve"> przeniesieni</w:t>
      </w:r>
      <w:r w:rsidR="009C1B2B">
        <w:rPr>
          <w:rFonts w:ascii="Times New Roman" w:hAnsi="Times New Roman" w:cs="Times New Roman"/>
          <w:sz w:val="24"/>
          <w:szCs w:val="24"/>
        </w:rPr>
        <w:t>e</w:t>
      </w:r>
      <w:r w:rsidR="00BC5290">
        <w:rPr>
          <w:rFonts w:ascii="Times New Roman" w:hAnsi="Times New Roman" w:cs="Times New Roman"/>
          <w:sz w:val="24"/>
          <w:szCs w:val="24"/>
        </w:rPr>
        <w:t xml:space="preserve"> wierzytelności </w:t>
      </w:r>
      <w:r w:rsidR="009C1B2B">
        <w:rPr>
          <w:rFonts w:ascii="Times New Roman" w:hAnsi="Times New Roman" w:cs="Times New Roman"/>
          <w:sz w:val="24"/>
          <w:szCs w:val="24"/>
        </w:rPr>
        <w:t>na podmiot inny niż inwestor (klient) profesjonalny</w:t>
      </w:r>
      <w:r w:rsidR="00BC5290">
        <w:rPr>
          <w:rFonts w:ascii="Times New Roman" w:hAnsi="Times New Roman" w:cs="Times New Roman"/>
          <w:sz w:val="24"/>
          <w:szCs w:val="24"/>
        </w:rPr>
        <w:t>.</w:t>
      </w:r>
      <w:r w:rsidR="002A08A9">
        <w:rPr>
          <w:rFonts w:ascii="Times New Roman" w:hAnsi="Times New Roman" w:cs="Times New Roman"/>
          <w:sz w:val="24"/>
          <w:szCs w:val="24"/>
        </w:rPr>
        <w:t xml:space="preserve"> </w:t>
      </w:r>
    </w:p>
    <w:p w14:paraId="06F6CD00" w14:textId="41798520" w:rsidR="00AB1420" w:rsidRPr="00D92FC1" w:rsidRDefault="00AB1420" w:rsidP="005E5395">
      <w:pPr>
        <w:spacing w:after="120" w:line="360" w:lineRule="auto"/>
        <w:jc w:val="both"/>
        <w:rPr>
          <w:rFonts w:ascii="Times New Roman" w:hAnsi="Times New Roman" w:cs="Times New Roman"/>
          <w:sz w:val="24"/>
          <w:szCs w:val="24"/>
        </w:rPr>
      </w:pPr>
      <w:r w:rsidRPr="00D92FC1">
        <w:rPr>
          <w:rFonts w:ascii="Times New Roman" w:hAnsi="Times New Roman" w:cs="Times New Roman"/>
          <w:sz w:val="24"/>
          <w:szCs w:val="24"/>
        </w:rPr>
        <w:lastRenderedPageBreak/>
        <w:t xml:space="preserve">Proponowany </w:t>
      </w:r>
      <w:r w:rsidRPr="00D92FC1">
        <w:rPr>
          <w:rFonts w:ascii="Times New Roman" w:hAnsi="Times New Roman" w:cs="Times New Roman"/>
          <w:b/>
          <w:sz w:val="24"/>
          <w:szCs w:val="24"/>
        </w:rPr>
        <w:t xml:space="preserve">art. 127c ust. 1 </w:t>
      </w:r>
      <w:r w:rsidRPr="00D92FC1">
        <w:rPr>
          <w:rFonts w:ascii="Times New Roman" w:hAnsi="Times New Roman" w:cs="Times New Roman"/>
          <w:sz w:val="24"/>
          <w:szCs w:val="24"/>
        </w:rPr>
        <w:t xml:space="preserve">przewiduje, że pożyczka podporządkowana podlega spłacie wyłącznie w przypadku gdy umowa ta przewiduje jej spłatę, bank uzyskał zezwolenie </w:t>
      </w:r>
      <w:r w:rsidR="00646598">
        <w:rPr>
          <w:rFonts w:ascii="Times New Roman" w:hAnsi="Times New Roman" w:cs="Times New Roman"/>
          <w:sz w:val="24"/>
          <w:szCs w:val="24"/>
        </w:rPr>
        <w:t xml:space="preserve">KNF </w:t>
      </w:r>
      <w:r w:rsidRPr="00D92FC1">
        <w:rPr>
          <w:rFonts w:ascii="Times New Roman" w:hAnsi="Times New Roman" w:cs="Times New Roman"/>
          <w:sz w:val="24"/>
          <w:szCs w:val="24"/>
        </w:rPr>
        <w:t xml:space="preserve"> na spłatę pożyczki podporządkowanej, a ponadto upłynęło nie mniej niż 5 lat od dnia zawarcia umowy, z wyjątkiem przypadku określonego w art. 78 ust. 4 rozporządzenia nr 575/2013. Rozwiązanie jest analogiczne jak w przypadku obligacji kapitałowych (art. 74a ustawy o obligacjach), tj. wynika z przepisów rozporządzenia nr 575/2013. Ponadto pożyczka podporządkowana będzie podlegać spłacie w przypadku odmowy wydania zezwolenia przez KNF na jej zakwalifikowanie do funduszy własnych jako instrumentu dodatkowego w </w:t>
      </w:r>
      <w:r w:rsidRPr="00D92FC1">
        <w:rPr>
          <w:rFonts w:ascii="Times New Roman" w:hAnsi="Times New Roman" w:cs="Times New Roman"/>
          <w:i/>
          <w:sz w:val="24"/>
          <w:szCs w:val="24"/>
        </w:rPr>
        <w:t>Tier I</w:t>
      </w:r>
      <w:r w:rsidRPr="00D92FC1">
        <w:rPr>
          <w:rFonts w:ascii="Times New Roman" w:hAnsi="Times New Roman" w:cs="Times New Roman"/>
          <w:sz w:val="24"/>
          <w:szCs w:val="24"/>
        </w:rPr>
        <w:t>, jeżeli w umowie pożyczki podporządkowanej zostało zawarte uprawnienie banku do spłaty pożyczki pod</w:t>
      </w:r>
      <w:r w:rsidR="0034774E">
        <w:rPr>
          <w:rFonts w:ascii="Times New Roman" w:hAnsi="Times New Roman" w:cs="Times New Roman"/>
          <w:sz w:val="24"/>
          <w:szCs w:val="24"/>
        </w:rPr>
        <w:t>porządkowanej w takim przypadku</w:t>
      </w:r>
      <w:r w:rsidRPr="00D92FC1">
        <w:rPr>
          <w:rFonts w:ascii="Times New Roman" w:hAnsi="Times New Roman" w:cs="Times New Roman"/>
          <w:sz w:val="24"/>
          <w:szCs w:val="24"/>
        </w:rPr>
        <w:t xml:space="preserve"> (</w:t>
      </w:r>
      <w:r w:rsidRPr="00D92FC1">
        <w:rPr>
          <w:rFonts w:ascii="Times New Roman" w:hAnsi="Times New Roman" w:cs="Times New Roman"/>
          <w:b/>
          <w:sz w:val="24"/>
          <w:szCs w:val="24"/>
        </w:rPr>
        <w:t>ust. 2</w:t>
      </w:r>
      <w:r w:rsidRPr="00D92FC1">
        <w:rPr>
          <w:rFonts w:ascii="Times New Roman" w:hAnsi="Times New Roman" w:cs="Times New Roman"/>
          <w:sz w:val="24"/>
          <w:szCs w:val="24"/>
        </w:rPr>
        <w:t>).</w:t>
      </w:r>
    </w:p>
    <w:p w14:paraId="45232E80" w14:textId="77777777" w:rsidR="00AB1420" w:rsidRPr="00D92FC1" w:rsidRDefault="00AB1420" w:rsidP="005E5395">
      <w:pPr>
        <w:spacing w:after="120" w:line="360" w:lineRule="auto"/>
        <w:jc w:val="both"/>
        <w:rPr>
          <w:rFonts w:ascii="Times New Roman" w:hAnsi="Times New Roman" w:cs="Times New Roman"/>
          <w:sz w:val="24"/>
          <w:szCs w:val="24"/>
        </w:rPr>
      </w:pPr>
      <w:r w:rsidRPr="00D92FC1">
        <w:rPr>
          <w:rFonts w:ascii="Times New Roman" w:hAnsi="Times New Roman" w:cs="Times New Roman"/>
          <w:sz w:val="24"/>
          <w:szCs w:val="24"/>
        </w:rPr>
        <w:t xml:space="preserve">Przepisy </w:t>
      </w:r>
      <w:r w:rsidRPr="00D92FC1">
        <w:rPr>
          <w:rFonts w:ascii="Times New Roman" w:hAnsi="Times New Roman" w:cs="Times New Roman"/>
          <w:b/>
          <w:sz w:val="24"/>
          <w:szCs w:val="24"/>
        </w:rPr>
        <w:t xml:space="preserve">art. 127d </w:t>
      </w:r>
      <w:r w:rsidRPr="00D92FC1">
        <w:rPr>
          <w:rFonts w:ascii="Times New Roman" w:hAnsi="Times New Roman" w:cs="Times New Roman"/>
          <w:sz w:val="24"/>
          <w:szCs w:val="24"/>
        </w:rPr>
        <w:t>odzwierciedlają art. 52 ust. 1 lit. l ppkt iii</w:t>
      </w:r>
      <w:r w:rsidRPr="00D92FC1">
        <w:rPr>
          <w:rFonts w:ascii="Times New Roman" w:eastAsia="Times New Roman" w:hAnsi="Times New Roman" w:cs="Times New Roman"/>
          <w:sz w:val="24"/>
          <w:szCs w:val="24"/>
          <w:lang w:eastAsia="pl-PL"/>
        </w:rPr>
        <w:t>–</w:t>
      </w:r>
      <w:r w:rsidRPr="00D92FC1">
        <w:rPr>
          <w:rFonts w:ascii="Times New Roman" w:hAnsi="Times New Roman" w:cs="Times New Roman"/>
          <w:sz w:val="24"/>
          <w:szCs w:val="24"/>
        </w:rPr>
        <w:t xml:space="preserve">v oraz art. 53 rozporządzenia nr 575/2013. </w:t>
      </w:r>
    </w:p>
    <w:p w14:paraId="71BBB27F" w14:textId="77777777" w:rsidR="00AB1420" w:rsidRPr="00D92FC1" w:rsidRDefault="00AB1420" w:rsidP="005E5395">
      <w:pPr>
        <w:spacing w:after="120" w:line="360" w:lineRule="auto"/>
        <w:jc w:val="both"/>
        <w:rPr>
          <w:rFonts w:ascii="Times New Roman" w:eastAsia="Calibri" w:hAnsi="Times New Roman" w:cs="Times New Roman"/>
          <w:sz w:val="24"/>
          <w:szCs w:val="24"/>
        </w:rPr>
      </w:pPr>
      <w:r w:rsidRPr="00D92FC1">
        <w:rPr>
          <w:rFonts w:ascii="Times New Roman" w:eastAsia="Calibri" w:hAnsi="Times New Roman" w:cs="Times New Roman"/>
          <w:sz w:val="24"/>
          <w:szCs w:val="24"/>
        </w:rPr>
        <w:t>Wprowadzono możliwość absorpcji strat przez dokonanie odpisu trwałego albo odpisu tymczasowego obniżającego kwotę pożyczki podporządkowanej w całości albo w części w razie wystąpienia zdarzenia inicjującego określonego w umowie, o którym mowa w art. 54 ust. 1 rozporządzenia nr 575/2013.</w:t>
      </w:r>
      <w:r w:rsidRPr="00D92FC1">
        <w:rPr>
          <w:rFonts w:ascii="Times New Roman" w:hAnsi="Times New Roman" w:cs="Times New Roman"/>
          <w:sz w:val="24"/>
          <w:szCs w:val="24"/>
        </w:rPr>
        <w:t xml:space="preserve"> Rozwiązanie </w:t>
      </w:r>
      <w:r w:rsidRPr="00D92FC1">
        <w:rPr>
          <w:rFonts w:ascii="Times New Roman" w:hAnsi="Times New Roman" w:cs="Times New Roman"/>
          <w:b/>
          <w:sz w:val="24"/>
          <w:szCs w:val="24"/>
        </w:rPr>
        <w:t>art. 127e</w:t>
      </w:r>
      <w:r w:rsidRPr="00D92FC1">
        <w:rPr>
          <w:rFonts w:ascii="Times New Roman" w:hAnsi="Times New Roman" w:cs="Times New Roman"/>
          <w:sz w:val="24"/>
          <w:szCs w:val="24"/>
        </w:rPr>
        <w:t xml:space="preserve"> jest analogiczne do art. 27i ustawy o obligacjach.</w:t>
      </w:r>
    </w:p>
    <w:p w14:paraId="48BBB5B6" w14:textId="77777777" w:rsidR="00AB1420" w:rsidRDefault="00AB1420" w:rsidP="005E5395">
      <w:pPr>
        <w:spacing w:after="120" w:line="360" w:lineRule="auto"/>
        <w:jc w:val="both"/>
        <w:rPr>
          <w:rFonts w:ascii="Times New Roman" w:eastAsia="Calibri" w:hAnsi="Times New Roman" w:cs="Times New Roman"/>
          <w:sz w:val="24"/>
          <w:szCs w:val="24"/>
        </w:rPr>
      </w:pPr>
      <w:r w:rsidRPr="00D92FC1">
        <w:rPr>
          <w:rFonts w:ascii="Times New Roman" w:eastAsia="Calibri" w:hAnsi="Times New Roman" w:cs="Times New Roman"/>
          <w:sz w:val="24"/>
          <w:szCs w:val="24"/>
        </w:rPr>
        <w:t xml:space="preserve">Dodawany </w:t>
      </w:r>
      <w:r w:rsidRPr="00D92FC1">
        <w:rPr>
          <w:rFonts w:ascii="Times New Roman" w:eastAsia="Calibri" w:hAnsi="Times New Roman" w:cs="Times New Roman"/>
          <w:b/>
          <w:sz w:val="24"/>
          <w:szCs w:val="24"/>
        </w:rPr>
        <w:t xml:space="preserve">art. 127f </w:t>
      </w:r>
      <w:r w:rsidRPr="00D92FC1">
        <w:rPr>
          <w:rFonts w:ascii="Times New Roman" w:eastAsia="Calibri" w:hAnsi="Times New Roman" w:cs="Times New Roman"/>
          <w:sz w:val="24"/>
          <w:szCs w:val="24"/>
        </w:rPr>
        <w:t xml:space="preserve">stanowi, że roszczenie o spłatę pożyczki podporządkowanej staje się wymagalne z chwilą ogłoszenia upadłości albo likwidacji banku. </w:t>
      </w:r>
    </w:p>
    <w:p w14:paraId="3B16DF00" w14:textId="69F97613" w:rsidR="00CF5CFB" w:rsidRDefault="00DA62C9" w:rsidP="005E5395">
      <w:pPr>
        <w:spacing w:after="0" w:line="360" w:lineRule="auto"/>
        <w:jc w:val="both"/>
        <w:rPr>
          <w:rFonts w:ascii="Times New Roman" w:hAnsi="Times New Roman" w:cs="Times New Roman"/>
          <w:sz w:val="24"/>
          <w:szCs w:val="24"/>
        </w:rPr>
      </w:pPr>
      <w:r w:rsidRPr="0069297C">
        <w:rPr>
          <w:rFonts w:ascii="Times New Roman" w:hAnsi="Times New Roman" w:cs="Times New Roman"/>
          <w:sz w:val="24"/>
          <w:szCs w:val="24"/>
        </w:rPr>
        <w:t>Ze względu na międzysektorowy charakter obligacji kapitałowej, która może być emitowana przez ściśle</w:t>
      </w:r>
      <w:r>
        <w:rPr>
          <w:rFonts w:ascii="Times New Roman" w:hAnsi="Times New Roman" w:cs="Times New Roman"/>
          <w:sz w:val="24"/>
          <w:szCs w:val="24"/>
        </w:rPr>
        <w:t xml:space="preserve"> określony </w:t>
      </w:r>
      <w:r w:rsidRPr="0069297C">
        <w:rPr>
          <w:rFonts w:ascii="Times New Roman" w:hAnsi="Times New Roman" w:cs="Times New Roman"/>
          <w:sz w:val="24"/>
          <w:szCs w:val="24"/>
        </w:rPr>
        <w:t>krąg podmiotów nadzorowanych, konieczne jest zamieszczenie przepisu określającego środki nadzorcze</w:t>
      </w:r>
      <w:r>
        <w:rPr>
          <w:rFonts w:ascii="Times New Roman" w:hAnsi="Times New Roman" w:cs="Times New Roman"/>
          <w:sz w:val="24"/>
          <w:szCs w:val="24"/>
        </w:rPr>
        <w:t xml:space="preserve">, które mogą być stosowane przez </w:t>
      </w:r>
      <w:r w:rsidRPr="0069297C">
        <w:rPr>
          <w:rFonts w:ascii="Times New Roman" w:hAnsi="Times New Roman" w:cs="Times New Roman"/>
          <w:sz w:val="24"/>
          <w:szCs w:val="24"/>
        </w:rPr>
        <w:t xml:space="preserve">KNF </w:t>
      </w:r>
      <w:r>
        <w:rPr>
          <w:rFonts w:ascii="Times New Roman" w:hAnsi="Times New Roman" w:cs="Times New Roman"/>
          <w:sz w:val="24"/>
          <w:szCs w:val="24"/>
        </w:rPr>
        <w:t xml:space="preserve">w przypadku </w:t>
      </w:r>
      <w:r w:rsidRPr="0069297C">
        <w:rPr>
          <w:rFonts w:ascii="Times New Roman" w:hAnsi="Times New Roman" w:cs="Times New Roman"/>
          <w:sz w:val="24"/>
          <w:szCs w:val="24"/>
        </w:rPr>
        <w:t xml:space="preserve">oferowania obligacji kapitałowych inwestorom inni niż </w:t>
      </w:r>
      <w:r>
        <w:rPr>
          <w:rFonts w:ascii="Times New Roman" w:hAnsi="Times New Roman" w:cs="Times New Roman"/>
          <w:sz w:val="24"/>
          <w:szCs w:val="24"/>
        </w:rPr>
        <w:t xml:space="preserve">inwestorzy (klienci) </w:t>
      </w:r>
      <w:r w:rsidRPr="0069297C">
        <w:rPr>
          <w:rFonts w:ascii="Times New Roman" w:hAnsi="Times New Roman" w:cs="Times New Roman"/>
          <w:sz w:val="24"/>
          <w:szCs w:val="24"/>
        </w:rPr>
        <w:t xml:space="preserve">profesjonalni. </w:t>
      </w:r>
      <w:r w:rsidR="00CF5CFB">
        <w:rPr>
          <w:rFonts w:ascii="Times New Roman" w:hAnsi="Times New Roman" w:cs="Times New Roman"/>
          <w:sz w:val="24"/>
          <w:szCs w:val="24"/>
        </w:rPr>
        <w:t xml:space="preserve">Zgodnie </w:t>
      </w:r>
      <w:r w:rsidR="009C1B2B">
        <w:rPr>
          <w:rFonts w:ascii="Times New Roman" w:hAnsi="Times New Roman" w:cs="Times New Roman"/>
          <w:sz w:val="24"/>
          <w:szCs w:val="24"/>
        </w:rPr>
        <w:t xml:space="preserve">z </w:t>
      </w:r>
      <w:r w:rsidR="00CF5CFB" w:rsidRPr="009C1B2B">
        <w:rPr>
          <w:rFonts w:ascii="Times New Roman" w:hAnsi="Times New Roman" w:cs="Times New Roman"/>
          <w:b/>
          <w:sz w:val="24"/>
          <w:szCs w:val="24"/>
        </w:rPr>
        <w:t>art. 138</w:t>
      </w:r>
      <w:r w:rsidR="00CF5CFB">
        <w:rPr>
          <w:rFonts w:ascii="Times New Roman" w:hAnsi="Times New Roman" w:cs="Times New Roman"/>
          <w:b/>
          <w:sz w:val="24"/>
          <w:szCs w:val="24"/>
        </w:rPr>
        <w:t xml:space="preserve"> </w:t>
      </w:r>
      <w:r w:rsidR="009C1B2B">
        <w:rPr>
          <w:rFonts w:ascii="Times New Roman" w:hAnsi="Times New Roman" w:cs="Times New Roman"/>
          <w:b/>
          <w:sz w:val="24"/>
          <w:szCs w:val="24"/>
        </w:rPr>
        <w:t xml:space="preserve">ust. 7f i 7g </w:t>
      </w:r>
      <w:r w:rsidR="00CF5CFB">
        <w:rPr>
          <w:rFonts w:ascii="Times New Roman" w:hAnsi="Times New Roman" w:cs="Times New Roman"/>
          <w:sz w:val="24"/>
          <w:szCs w:val="24"/>
        </w:rPr>
        <w:t xml:space="preserve">w </w:t>
      </w:r>
      <w:r w:rsidR="00871D62">
        <w:rPr>
          <w:rFonts w:ascii="Times New Roman" w:hAnsi="Times New Roman" w:cs="Times New Roman"/>
          <w:sz w:val="24"/>
          <w:szCs w:val="24"/>
        </w:rPr>
        <w:t>przypadku</w:t>
      </w:r>
      <w:r w:rsidR="00CF5CFB">
        <w:rPr>
          <w:rFonts w:ascii="Times New Roman" w:hAnsi="Times New Roman" w:cs="Times New Roman"/>
          <w:sz w:val="24"/>
          <w:szCs w:val="24"/>
        </w:rPr>
        <w:t xml:space="preserve"> naruszenia przepisów </w:t>
      </w:r>
      <w:r w:rsidR="00871D62">
        <w:rPr>
          <w:rFonts w:ascii="Times New Roman" w:hAnsi="Times New Roman" w:cs="Times New Roman"/>
          <w:sz w:val="24"/>
          <w:szCs w:val="24"/>
        </w:rPr>
        <w:t xml:space="preserve">art. 127b ust. 1 KNF  </w:t>
      </w:r>
      <w:r w:rsidR="009C1B2B">
        <w:rPr>
          <w:rFonts w:ascii="Times New Roman" w:hAnsi="Times New Roman" w:cs="Times New Roman"/>
          <w:sz w:val="24"/>
          <w:szCs w:val="24"/>
        </w:rPr>
        <w:t xml:space="preserve">będzie mógł, </w:t>
      </w:r>
      <w:r w:rsidR="00871D62">
        <w:rPr>
          <w:rFonts w:ascii="Times New Roman" w:hAnsi="Times New Roman" w:cs="Times New Roman"/>
          <w:sz w:val="24"/>
          <w:szCs w:val="24"/>
        </w:rPr>
        <w:t>w drodze decyzji</w:t>
      </w:r>
      <w:r w:rsidR="009C1B2B">
        <w:rPr>
          <w:rFonts w:ascii="Times New Roman" w:hAnsi="Times New Roman" w:cs="Times New Roman"/>
          <w:sz w:val="24"/>
          <w:szCs w:val="24"/>
        </w:rPr>
        <w:t xml:space="preserve">, </w:t>
      </w:r>
      <w:r w:rsidR="00871D62">
        <w:rPr>
          <w:rFonts w:ascii="Times New Roman" w:hAnsi="Times New Roman" w:cs="Times New Roman"/>
          <w:sz w:val="24"/>
          <w:szCs w:val="24"/>
        </w:rPr>
        <w:t xml:space="preserve"> </w:t>
      </w:r>
      <w:r w:rsidR="00871D62" w:rsidRPr="00871D62">
        <w:rPr>
          <w:rFonts w:ascii="Times New Roman" w:hAnsi="Times New Roman" w:cs="Times New Roman"/>
          <w:sz w:val="24"/>
          <w:szCs w:val="24"/>
        </w:rPr>
        <w:t>nakazać bankowi zaprzestanie działań skutkujących naruszeniem lub powstrzymania się od takich działań w przyszłości</w:t>
      </w:r>
      <w:r w:rsidR="00871D62">
        <w:rPr>
          <w:rFonts w:ascii="Times New Roman" w:hAnsi="Times New Roman" w:cs="Times New Roman"/>
          <w:sz w:val="24"/>
          <w:szCs w:val="24"/>
        </w:rPr>
        <w:t xml:space="preserve">, </w:t>
      </w:r>
      <w:r w:rsidR="00871D62" w:rsidRPr="00871D62">
        <w:rPr>
          <w:rFonts w:ascii="Times New Roman" w:hAnsi="Times New Roman" w:cs="Times New Roman"/>
          <w:sz w:val="24"/>
          <w:szCs w:val="24"/>
        </w:rPr>
        <w:t xml:space="preserve">nałożyć na bank </w:t>
      </w:r>
      <w:r w:rsidR="009C1B2B">
        <w:rPr>
          <w:rFonts w:ascii="Times New Roman" w:hAnsi="Times New Roman" w:cs="Times New Roman"/>
          <w:sz w:val="24"/>
          <w:szCs w:val="24"/>
        </w:rPr>
        <w:t xml:space="preserve">lub </w:t>
      </w:r>
      <w:r w:rsidR="009C1B2B" w:rsidRPr="00871D62">
        <w:rPr>
          <w:rFonts w:ascii="Times New Roman" w:hAnsi="Times New Roman" w:cs="Times New Roman"/>
          <w:sz w:val="24"/>
          <w:szCs w:val="24"/>
        </w:rPr>
        <w:t xml:space="preserve">osoby odpowiedzialne za zaistniałe naruszenie </w:t>
      </w:r>
      <w:r w:rsidR="00871D62" w:rsidRPr="00871D62">
        <w:rPr>
          <w:rFonts w:ascii="Times New Roman" w:hAnsi="Times New Roman" w:cs="Times New Roman"/>
          <w:sz w:val="24"/>
          <w:szCs w:val="24"/>
        </w:rPr>
        <w:t xml:space="preserve">karę pieniężną </w:t>
      </w:r>
      <w:r w:rsidR="009C1B2B">
        <w:rPr>
          <w:rFonts w:ascii="Times New Roman" w:hAnsi="Times New Roman" w:cs="Times New Roman"/>
          <w:sz w:val="24"/>
          <w:szCs w:val="24"/>
        </w:rPr>
        <w:t>w określonej wysokości</w:t>
      </w:r>
      <w:r w:rsidR="0045156C">
        <w:rPr>
          <w:rFonts w:ascii="Times New Roman" w:hAnsi="Times New Roman" w:cs="Times New Roman"/>
          <w:sz w:val="24"/>
          <w:szCs w:val="24"/>
        </w:rPr>
        <w:t>.</w:t>
      </w:r>
      <w:r w:rsidR="009C1B2B">
        <w:rPr>
          <w:rFonts w:ascii="Times New Roman" w:hAnsi="Times New Roman" w:cs="Times New Roman"/>
          <w:sz w:val="24"/>
          <w:szCs w:val="24"/>
        </w:rPr>
        <w:t xml:space="preserve"> </w:t>
      </w:r>
    </w:p>
    <w:p w14:paraId="4204E3A5" w14:textId="1C8C76A3" w:rsidR="00436211" w:rsidRDefault="00436211" w:rsidP="005E5395">
      <w:pPr>
        <w:spacing w:after="12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Zgodnie ze zmienionym </w:t>
      </w:r>
      <w:r w:rsidRPr="00436211">
        <w:rPr>
          <w:rFonts w:ascii="Times New Roman" w:eastAsia="Calibri" w:hAnsi="Times New Roman" w:cs="Times New Roman"/>
          <w:b/>
          <w:sz w:val="24"/>
          <w:szCs w:val="24"/>
        </w:rPr>
        <w:t>art. 142 ust. 1 pkt 3</w:t>
      </w:r>
      <w:r>
        <w:rPr>
          <w:rFonts w:ascii="Times New Roman" w:eastAsia="Calibri" w:hAnsi="Times New Roman" w:cs="Times New Roman"/>
          <w:sz w:val="24"/>
          <w:szCs w:val="24"/>
        </w:rPr>
        <w:t xml:space="preserve"> w</w:t>
      </w:r>
      <w:r w:rsidRPr="00293EF3">
        <w:rPr>
          <w:rFonts w:ascii="Times New Roman" w:eastAsia="Calibri" w:hAnsi="Times New Roman" w:cs="Times New Roman"/>
          <w:sz w:val="24"/>
          <w:szCs w:val="24"/>
        </w:rPr>
        <w:t xml:space="preserve"> razie naruszenia przez bank lub wystąpienia niebezpieczeństwa naruszenia</w:t>
      </w:r>
      <w:r>
        <w:rPr>
          <w:rFonts w:ascii="Times New Roman" w:eastAsia="Calibri" w:hAnsi="Times New Roman" w:cs="Times New Roman"/>
          <w:sz w:val="24"/>
          <w:szCs w:val="24"/>
        </w:rPr>
        <w:t xml:space="preserve"> </w:t>
      </w:r>
      <w:r w:rsidRPr="00293EF3">
        <w:rPr>
          <w:rFonts w:ascii="Times New Roman" w:eastAsia="Calibri" w:hAnsi="Times New Roman" w:cs="Times New Roman"/>
          <w:sz w:val="24"/>
          <w:szCs w:val="24"/>
        </w:rPr>
        <w:t>przepisów art. 412 lub art. 413 rozporządzenia nr 575/2013, lub przepisów działu IV rozdziału 1 ustawy o obrocie instrumentami finansowymi</w:t>
      </w:r>
      <w:r>
        <w:rPr>
          <w:rFonts w:ascii="Times New Roman" w:eastAsia="Calibri" w:hAnsi="Times New Roman" w:cs="Times New Roman"/>
          <w:sz w:val="24"/>
          <w:szCs w:val="24"/>
        </w:rPr>
        <w:t xml:space="preserve"> </w:t>
      </w:r>
      <w:r w:rsidRPr="00293EF3">
        <w:rPr>
          <w:rFonts w:ascii="Times New Roman" w:eastAsia="Calibri" w:hAnsi="Times New Roman" w:cs="Times New Roman"/>
          <w:sz w:val="24"/>
          <w:szCs w:val="24"/>
        </w:rPr>
        <w:t xml:space="preserve">zarząd banku </w:t>
      </w:r>
      <w:r>
        <w:rPr>
          <w:rFonts w:ascii="Times New Roman" w:eastAsia="Calibri" w:hAnsi="Times New Roman" w:cs="Times New Roman"/>
          <w:sz w:val="24"/>
          <w:szCs w:val="24"/>
        </w:rPr>
        <w:t xml:space="preserve">będzie </w:t>
      </w:r>
      <w:r w:rsidRPr="00293EF3">
        <w:rPr>
          <w:rFonts w:ascii="Times New Roman" w:eastAsia="Calibri" w:hAnsi="Times New Roman" w:cs="Times New Roman"/>
          <w:sz w:val="24"/>
          <w:szCs w:val="24"/>
        </w:rPr>
        <w:t>niezwłocznie zawiadamia</w:t>
      </w:r>
      <w:r>
        <w:rPr>
          <w:rFonts w:ascii="Times New Roman" w:eastAsia="Calibri" w:hAnsi="Times New Roman" w:cs="Times New Roman"/>
          <w:sz w:val="24"/>
          <w:szCs w:val="24"/>
        </w:rPr>
        <w:t xml:space="preserve">ł </w:t>
      </w:r>
      <w:r w:rsidRPr="00293EF3">
        <w:rPr>
          <w:rFonts w:ascii="Times New Roman" w:eastAsia="Calibri" w:hAnsi="Times New Roman" w:cs="Times New Roman"/>
          <w:sz w:val="24"/>
          <w:szCs w:val="24"/>
        </w:rPr>
        <w:t xml:space="preserve">o tym </w:t>
      </w:r>
      <w:r>
        <w:rPr>
          <w:rFonts w:ascii="Times New Roman" w:eastAsia="Calibri" w:hAnsi="Times New Roman" w:cs="Times New Roman"/>
          <w:sz w:val="24"/>
          <w:szCs w:val="24"/>
        </w:rPr>
        <w:t xml:space="preserve">KNF </w:t>
      </w:r>
      <w:r w:rsidRPr="00293EF3">
        <w:rPr>
          <w:rFonts w:ascii="Times New Roman" w:eastAsia="Calibri" w:hAnsi="Times New Roman" w:cs="Times New Roman"/>
          <w:sz w:val="24"/>
          <w:szCs w:val="24"/>
        </w:rPr>
        <w:t>i Bankowy Fundusz Gwarancyjny oraz zapewni wdrożenie planu naprawy.</w:t>
      </w:r>
    </w:p>
    <w:p w14:paraId="28276B44" w14:textId="0DEAC47B" w:rsidR="003F0583" w:rsidRDefault="003F0583" w:rsidP="005E5395">
      <w:pPr>
        <w:pStyle w:val="Default"/>
        <w:spacing w:after="120" w:line="360" w:lineRule="auto"/>
        <w:jc w:val="both"/>
        <w:rPr>
          <w:rFonts w:eastAsia="Calibri"/>
        </w:rPr>
      </w:pPr>
      <w:r>
        <w:rPr>
          <w:rFonts w:eastAsia="Calibri"/>
        </w:rPr>
        <w:lastRenderedPageBreak/>
        <w:t xml:space="preserve">Dodawany w </w:t>
      </w:r>
      <w:r w:rsidRPr="00C22D43">
        <w:rPr>
          <w:rFonts w:eastAsia="Calibri"/>
          <w:b/>
        </w:rPr>
        <w:t xml:space="preserve">art. </w:t>
      </w:r>
      <w:r w:rsidR="008F7E4E">
        <w:rPr>
          <w:rFonts w:eastAsia="Calibri"/>
          <w:b/>
        </w:rPr>
        <w:t>158</w:t>
      </w:r>
      <w:r w:rsidR="008F7E4E" w:rsidRPr="00C22D43">
        <w:rPr>
          <w:rFonts w:eastAsia="Calibri"/>
          <w:b/>
        </w:rPr>
        <w:t xml:space="preserve"> </w:t>
      </w:r>
      <w:r w:rsidRPr="00C22D43">
        <w:rPr>
          <w:rFonts w:eastAsia="Calibri"/>
          <w:b/>
        </w:rPr>
        <w:t>ust. 1</w:t>
      </w:r>
      <w:r w:rsidR="008F7E4E">
        <w:rPr>
          <w:rFonts w:eastAsia="Calibri"/>
          <w:b/>
        </w:rPr>
        <w:t>a</w:t>
      </w:r>
      <w:r w:rsidRPr="00C22D43">
        <w:rPr>
          <w:rFonts w:eastAsia="Calibri"/>
          <w:b/>
        </w:rPr>
        <w:t xml:space="preserve"> </w:t>
      </w:r>
      <w:r w:rsidRPr="00333B76">
        <w:rPr>
          <w:rFonts w:eastAsia="Calibri"/>
        </w:rPr>
        <w:t xml:space="preserve">ma na celu </w:t>
      </w:r>
      <w:r w:rsidR="008F7E4E">
        <w:rPr>
          <w:rFonts w:eastAsia="Calibri"/>
        </w:rPr>
        <w:t xml:space="preserve">dostosowanie art. 158 prawa bankowego do brzmienia </w:t>
      </w:r>
      <w:r w:rsidR="008F7E4E" w:rsidRPr="008F7E4E">
        <w:rPr>
          <w:rFonts w:eastAsia="Calibri"/>
        </w:rPr>
        <w:t>art. 52 ust. 1 lit</w:t>
      </w:r>
      <w:r w:rsidR="008F7E4E">
        <w:rPr>
          <w:rFonts w:eastAsia="Calibri"/>
        </w:rPr>
        <w:t>.</w:t>
      </w:r>
      <w:r w:rsidR="008F7E4E" w:rsidRPr="008F7E4E">
        <w:rPr>
          <w:rFonts w:eastAsia="Calibri"/>
        </w:rPr>
        <w:t xml:space="preserve"> m </w:t>
      </w:r>
      <w:r w:rsidR="008F7E4E" w:rsidRPr="00D92FC1">
        <w:t>rozporządzenia nr 575/2013</w:t>
      </w:r>
      <w:r w:rsidR="008F7E4E">
        <w:rPr>
          <w:rFonts w:eastAsia="Calibri"/>
        </w:rPr>
        <w:t xml:space="preserve"> tj.</w:t>
      </w:r>
      <w:r w:rsidR="008F7E4E" w:rsidRPr="008F7E4E">
        <w:rPr>
          <w:rFonts w:eastAsia="Calibri"/>
        </w:rPr>
        <w:t xml:space="preserve"> </w:t>
      </w:r>
      <w:r w:rsidR="008F7E4E" w:rsidRPr="008F7E4E">
        <w:rPr>
          <w:rFonts w:eastAsia="Calibri"/>
          <w:i/>
        </w:rPr>
        <w:t>„instrumenty nie wpływają na ustalenie, czy wartość zobowiązań instytucji przekracza wartość jej aktywów, jeżeli takie ustalenie stanowi test niewypłacalności zgodnie z mającym zastosowanie prawem krajowym”</w:t>
      </w:r>
      <w:r w:rsidR="008F7E4E" w:rsidRPr="008F7E4E">
        <w:rPr>
          <w:rFonts w:eastAsia="Calibri"/>
        </w:rPr>
        <w:t>.</w:t>
      </w:r>
      <w:r w:rsidR="008F7E4E">
        <w:rPr>
          <w:rFonts w:eastAsia="Calibri"/>
        </w:rPr>
        <w:t xml:space="preserve"> </w:t>
      </w:r>
      <w:r w:rsidR="00436211">
        <w:rPr>
          <w:rFonts w:eastAsia="Calibri"/>
        </w:rPr>
        <w:t>O</w:t>
      </w:r>
      <w:r w:rsidR="008F7E4E" w:rsidRPr="008F7E4E">
        <w:rPr>
          <w:rFonts w:eastAsia="Calibri"/>
        </w:rPr>
        <w:t xml:space="preserve">bligacje kapitałowe i pożyczki podporządkowane zaliczane do AT1 powinny </w:t>
      </w:r>
      <w:r w:rsidR="00436211">
        <w:rPr>
          <w:rFonts w:eastAsia="Calibri"/>
        </w:rPr>
        <w:t xml:space="preserve">zatem </w:t>
      </w:r>
      <w:r w:rsidR="008F7E4E" w:rsidRPr="008F7E4E">
        <w:rPr>
          <w:rFonts w:eastAsia="Calibri"/>
        </w:rPr>
        <w:t xml:space="preserve">zostać wyłączone z art. 158 </w:t>
      </w:r>
      <w:r w:rsidR="00436211">
        <w:rPr>
          <w:rFonts w:eastAsia="Calibri"/>
        </w:rPr>
        <w:t xml:space="preserve">ustawy – </w:t>
      </w:r>
      <w:r w:rsidR="008F7E4E" w:rsidRPr="008F7E4E">
        <w:rPr>
          <w:rFonts w:eastAsia="Calibri"/>
        </w:rPr>
        <w:t xml:space="preserve">Praw bankowe, aby spełniać kryteria kwalifikacji do zaliczenia do kapitału AT1. </w:t>
      </w:r>
    </w:p>
    <w:p w14:paraId="0C2BBAF0" w14:textId="77777777" w:rsidR="00C90CE6" w:rsidRPr="00D92FC1" w:rsidRDefault="00C90CE6" w:rsidP="005E5395">
      <w:pPr>
        <w:spacing w:after="0" w:line="360" w:lineRule="auto"/>
        <w:jc w:val="both"/>
        <w:rPr>
          <w:rFonts w:ascii="Times New Roman" w:eastAsia="Calibri" w:hAnsi="Times New Roman" w:cs="Times New Roman"/>
          <w:b/>
          <w:sz w:val="24"/>
          <w:szCs w:val="24"/>
        </w:rPr>
      </w:pPr>
    </w:p>
    <w:p w14:paraId="59FF9F73" w14:textId="18AE6D45" w:rsidR="00C90D37" w:rsidRDefault="00AB1420" w:rsidP="005E5395">
      <w:pPr>
        <w:spacing w:after="120" w:line="360" w:lineRule="auto"/>
        <w:jc w:val="both"/>
        <w:rPr>
          <w:rFonts w:ascii="Times New Roman" w:hAnsi="Times New Roman" w:cs="Times New Roman"/>
          <w:sz w:val="24"/>
          <w:szCs w:val="24"/>
        </w:rPr>
      </w:pPr>
      <w:r w:rsidRPr="00D92FC1">
        <w:rPr>
          <w:rFonts w:ascii="Times New Roman" w:eastAsia="Calibri" w:hAnsi="Times New Roman" w:cs="Times New Roman"/>
          <w:b/>
          <w:sz w:val="24"/>
          <w:szCs w:val="24"/>
          <w:u w:val="single"/>
        </w:rPr>
        <w:t xml:space="preserve">Art. </w:t>
      </w:r>
      <w:r w:rsidR="00682672">
        <w:rPr>
          <w:rFonts w:ascii="Times New Roman" w:eastAsia="Calibri" w:hAnsi="Times New Roman" w:cs="Times New Roman"/>
          <w:b/>
          <w:sz w:val="24"/>
          <w:szCs w:val="24"/>
          <w:u w:val="single"/>
        </w:rPr>
        <w:t>6</w:t>
      </w:r>
      <w:r w:rsidR="00682672" w:rsidRPr="00D92FC1">
        <w:rPr>
          <w:rFonts w:ascii="Times New Roman" w:eastAsia="Calibri" w:hAnsi="Times New Roman" w:cs="Times New Roman"/>
          <w:b/>
          <w:sz w:val="24"/>
          <w:szCs w:val="24"/>
          <w:u w:val="single"/>
        </w:rPr>
        <w:t xml:space="preserve"> </w:t>
      </w:r>
      <w:r w:rsidRPr="00D92FC1">
        <w:rPr>
          <w:rFonts w:ascii="Times New Roman" w:eastAsia="Calibri" w:hAnsi="Times New Roman" w:cs="Times New Roman"/>
          <w:b/>
          <w:sz w:val="24"/>
          <w:szCs w:val="24"/>
          <w:u w:val="single"/>
        </w:rPr>
        <w:t>projektu – zmiany w ustawie – Kodeks spółek handlowych</w:t>
      </w:r>
      <w:r w:rsidR="00C90CE6">
        <w:rPr>
          <w:rFonts w:ascii="Times New Roman" w:hAnsi="Times New Roman" w:cs="Times New Roman"/>
          <w:sz w:val="24"/>
          <w:szCs w:val="24"/>
        </w:rPr>
        <w:t xml:space="preserve"> </w:t>
      </w:r>
    </w:p>
    <w:p w14:paraId="1233B657" w14:textId="3E94E92D" w:rsidR="00AB1420" w:rsidRPr="00D92FC1" w:rsidRDefault="00AB1420" w:rsidP="005E5395">
      <w:pPr>
        <w:spacing w:after="120" w:line="360" w:lineRule="auto"/>
        <w:jc w:val="both"/>
        <w:rPr>
          <w:rFonts w:ascii="Times New Roman" w:hAnsi="Times New Roman" w:cs="Times New Roman"/>
          <w:sz w:val="24"/>
          <w:szCs w:val="24"/>
        </w:rPr>
      </w:pPr>
      <w:r w:rsidRPr="00D92FC1">
        <w:rPr>
          <w:rFonts w:ascii="Times New Roman" w:hAnsi="Times New Roman" w:cs="Times New Roman"/>
          <w:sz w:val="24"/>
          <w:szCs w:val="24"/>
        </w:rPr>
        <w:t>Proponuje się wprowadzenie nowego sposobu podwyższenia kapitału zakładowego, ściśle związanego z możliwością emitowania obligacji kapitałowych przez banki, domy maklerskie oraz zakłady ubezpieczeń i zakłady reasekuracji, tj. podwyższenie kapitału zakładowego w drodze zamiany obligacji kapitałowych na akcje, zawierającego elementy zarówno warunkowego, jak i docelowego podwyższenia kapitału zakładowego (</w:t>
      </w:r>
      <w:r w:rsidRPr="00D92FC1">
        <w:rPr>
          <w:rFonts w:ascii="Times New Roman" w:hAnsi="Times New Roman" w:cs="Times New Roman"/>
          <w:b/>
          <w:bCs/>
          <w:sz w:val="24"/>
          <w:szCs w:val="24"/>
        </w:rPr>
        <w:t>art. 454</w:t>
      </w:r>
      <w:r w:rsidRPr="00D92FC1">
        <w:rPr>
          <w:rFonts w:ascii="Times New Roman" w:hAnsi="Times New Roman" w:cs="Times New Roman"/>
          <w:b/>
          <w:bCs/>
          <w:sz w:val="24"/>
          <w:szCs w:val="24"/>
          <w:vertAlign w:val="superscript"/>
        </w:rPr>
        <w:t>1</w:t>
      </w:r>
      <w:r w:rsidRPr="00D92FC1">
        <w:rPr>
          <w:rFonts w:ascii="Times New Roman" w:hAnsi="Times New Roman" w:cs="Times New Roman"/>
          <w:sz w:val="24"/>
          <w:szCs w:val="24"/>
        </w:rPr>
        <w:t xml:space="preserve">). Podwyższenie kapitału zakładowego w drodze zamiany obligacji kapitałowych na akcje będzie możliwe wyłącznie w przypadku spółek akcyjnych uprawnionych do emitowania obligacji, które będą podlegały zamianie na akcje emitenta po wystąpieniu okoliczności określonych w warunkach emisji tych obligacji jako zdarzenie inicjujące. W zamian za obligacje kapitałowe zarząd nie będzie mógł przyznawać akcji uprzywilejowanych ani uprawnień osobistych, o których mowa w art. 354 Kodeksu spółek handlowych. Wynika to z charakteru samego instrumentu, który ma służyć przede wszystkim poprawie kapitalizacji emitenta. </w:t>
      </w:r>
    </w:p>
    <w:p w14:paraId="64E6E9B1" w14:textId="77777777" w:rsidR="00AB1420" w:rsidRPr="00D92FC1" w:rsidRDefault="00AB1420" w:rsidP="005E5395">
      <w:pPr>
        <w:spacing w:after="0" w:line="360" w:lineRule="auto"/>
        <w:jc w:val="both"/>
        <w:rPr>
          <w:rFonts w:ascii="Times New Roman" w:hAnsi="Times New Roman" w:cs="Times New Roman"/>
          <w:sz w:val="24"/>
          <w:szCs w:val="24"/>
        </w:rPr>
      </w:pPr>
      <w:r w:rsidRPr="00D92FC1">
        <w:rPr>
          <w:rFonts w:ascii="Times New Roman" w:hAnsi="Times New Roman" w:cs="Times New Roman"/>
          <w:sz w:val="24"/>
          <w:szCs w:val="24"/>
        </w:rPr>
        <w:t xml:space="preserve">Zgodnie z dodawanym </w:t>
      </w:r>
      <w:r w:rsidRPr="00D92FC1">
        <w:rPr>
          <w:rFonts w:ascii="Times New Roman" w:hAnsi="Times New Roman" w:cs="Times New Roman"/>
          <w:b/>
          <w:bCs/>
          <w:sz w:val="24"/>
          <w:szCs w:val="24"/>
        </w:rPr>
        <w:t>art. 454</w:t>
      </w:r>
      <w:r w:rsidRPr="00D92FC1">
        <w:rPr>
          <w:rFonts w:ascii="Times New Roman" w:hAnsi="Times New Roman" w:cs="Times New Roman"/>
          <w:b/>
          <w:bCs/>
          <w:sz w:val="24"/>
          <w:szCs w:val="24"/>
          <w:vertAlign w:val="superscript"/>
        </w:rPr>
        <w:t>2</w:t>
      </w:r>
      <w:r w:rsidRPr="00D92FC1">
        <w:rPr>
          <w:rFonts w:ascii="Times New Roman" w:hAnsi="Times New Roman" w:cs="Times New Roman"/>
          <w:sz w:val="24"/>
          <w:szCs w:val="24"/>
        </w:rPr>
        <w:t xml:space="preserve"> podwyższenie kapitału zakładowego będzie mogło nastąpić tylko na podstawie uchwały walnego zgromadzenia akcjonariuszy spółki podjętej większością trzech czwartych głosów. Ta sama większość będzie wymagana do upoważnienia zarządu do podjęcia uchwały o przyznaniu obligatariuszom akcji emitenta w zamian za te obligacje w przypadku wystąpienia zdarzenia inicjującego. </w:t>
      </w:r>
    </w:p>
    <w:p w14:paraId="09A00D16" w14:textId="77777777" w:rsidR="00AB1420" w:rsidRPr="00D92FC1" w:rsidRDefault="00AB1420" w:rsidP="005E5395">
      <w:pPr>
        <w:spacing w:after="120" w:line="360" w:lineRule="auto"/>
        <w:jc w:val="both"/>
        <w:rPr>
          <w:rFonts w:ascii="Times New Roman" w:hAnsi="Times New Roman" w:cs="Times New Roman"/>
          <w:sz w:val="24"/>
          <w:szCs w:val="24"/>
        </w:rPr>
      </w:pPr>
      <w:r w:rsidRPr="00D92FC1">
        <w:rPr>
          <w:rFonts w:ascii="Times New Roman" w:hAnsi="Times New Roman" w:cs="Times New Roman"/>
          <w:sz w:val="24"/>
          <w:szCs w:val="24"/>
        </w:rPr>
        <w:t>Akcje przyznane akcjonariuszom na mocy uchwały zarządu w zamian za opłacone obligacje kapitałowe nie będą wymagały ich objęcia. Przyznanie akcji nastąpi automatycznie, na mocy uchwały zarządu spółki.</w:t>
      </w:r>
    </w:p>
    <w:p w14:paraId="5C22BA0A" w14:textId="76A2AEDA" w:rsidR="00AB1420" w:rsidRDefault="00AB1420" w:rsidP="005E5395">
      <w:pPr>
        <w:spacing w:after="120" w:line="360" w:lineRule="auto"/>
        <w:jc w:val="both"/>
        <w:rPr>
          <w:rFonts w:ascii="Times New Roman" w:hAnsi="Times New Roman" w:cs="Times New Roman"/>
          <w:sz w:val="24"/>
          <w:szCs w:val="24"/>
        </w:rPr>
      </w:pPr>
      <w:r w:rsidRPr="00D92FC1">
        <w:rPr>
          <w:rFonts w:ascii="Times New Roman" w:hAnsi="Times New Roman" w:cs="Times New Roman"/>
          <w:sz w:val="24"/>
          <w:szCs w:val="24"/>
        </w:rPr>
        <w:t xml:space="preserve">Zgodnie z </w:t>
      </w:r>
      <w:r w:rsidRPr="00D92FC1">
        <w:rPr>
          <w:rFonts w:ascii="Times New Roman" w:hAnsi="Times New Roman" w:cs="Times New Roman"/>
          <w:b/>
          <w:bCs/>
          <w:sz w:val="24"/>
          <w:szCs w:val="24"/>
        </w:rPr>
        <w:t>art. 454</w:t>
      </w:r>
      <w:r w:rsidRPr="00D92FC1">
        <w:rPr>
          <w:rFonts w:ascii="Times New Roman" w:hAnsi="Times New Roman" w:cs="Times New Roman"/>
          <w:b/>
          <w:bCs/>
          <w:sz w:val="24"/>
          <w:szCs w:val="24"/>
          <w:vertAlign w:val="superscript"/>
        </w:rPr>
        <w:t>3</w:t>
      </w:r>
      <w:r w:rsidRPr="00D92FC1">
        <w:rPr>
          <w:rFonts w:ascii="Times New Roman" w:hAnsi="Times New Roman" w:cs="Times New Roman"/>
          <w:sz w:val="24"/>
          <w:szCs w:val="24"/>
        </w:rPr>
        <w:t xml:space="preserve"> zarząd zgłosi podwyższenie kapitału zakładowego w drodze zamiany obligacji kapitałowych na akcje do sądu rejestrowego wraz z uchwałą walnego zgromadzenia akcjonariuszy w sprawie tego podwyższenia oraz uchwałą o emisji obligacji kapitałowych, a </w:t>
      </w:r>
      <w:r w:rsidRPr="00D92FC1">
        <w:rPr>
          <w:rFonts w:ascii="Times New Roman" w:hAnsi="Times New Roman" w:cs="Times New Roman"/>
          <w:sz w:val="24"/>
          <w:szCs w:val="24"/>
        </w:rPr>
        <w:lastRenderedPageBreak/>
        <w:t xml:space="preserve">także oświadczenie zarządu, że akcje zostały przyznane </w:t>
      </w:r>
      <w:r w:rsidR="0016560E" w:rsidRPr="0016560E">
        <w:rPr>
          <w:rFonts w:ascii="Times New Roman" w:hAnsi="Times New Roman" w:cs="Times New Roman"/>
          <w:sz w:val="24"/>
          <w:szCs w:val="24"/>
        </w:rPr>
        <w:t>w zamian za  obligacje kapitałowe, które zostały  w pełni opłacone</w:t>
      </w:r>
      <w:r w:rsidRPr="00D92FC1">
        <w:rPr>
          <w:rFonts w:ascii="Times New Roman" w:hAnsi="Times New Roman" w:cs="Times New Roman"/>
          <w:sz w:val="24"/>
          <w:szCs w:val="24"/>
        </w:rPr>
        <w:t xml:space="preserve">. Przyznanie akcji w zamian za obligacje kapitałowe nastąpi w terminie 21 dni od wystąpienia zdarzenia inicjującego, na mocy uchwały zarządu podjętej w tym czasie i zgłoszonej do sądu rejestrowego. Przyznanie akcji stanie się skuteczne z chwilą dokonania wpisu w rejestrze akcjonariuszy albo zapisania na rachunku papierów wartościowych lub na rachunku zbiorczym – w przypadku spółki publicznej, której akcje są zarejestrowane w depozycie papierów wartościowych. </w:t>
      </w:r>
    </w:p>
    <w:p w14:paraId="3B48028D" w14:textId="77777777" w:rsidR="00AB1420" w:rsidRPr="00D92FC1" w:rsidRDefault="00AB1420" w:rsidP="005E5395">
      <w:pPr>
        <w:spacing w:after="120" w:line="360" w:lineRule="auto"/>
        <w:jc w:val="both"/>
        <w:rPr>
          <w:rFonts w:ascii="Times New Roman" w:hAnsi="Times New Roman" w:cs="Times New Roman"/>
          <w:sz w:val="24"/>
          <w:szCs w:val="24"/>
        </w:rPr>
      </w:pPr>
      <w:r w:rsidRPr="00D92FC1">
        <w:rPr>
          <w:rFonts w:ascii="Times New Roman" w:hAnsi="Times New Roman" w:cs="Times New Roman"/>
          <w:sz w:val="24"/>
          <w:szCs w:val="24"/>
        </w:rPr>
        <w:t>Wraz z przyznaniem akcji nastąpi nabycie praw z akcji i podwyższenie kapitału zakładowego spółki (</w:t>
      </w:r>
      <w:r w:rsidRPr="00D92FC1">
        <w:rPr>
          <w:rFonts w:ascii="Times New Roman" w:hAnsi="Times New Roman" w:cs="Times New Roman"/>
          <w:b/>
          <w:bCs/>
          <w:sz w:val="24"/>
          <w:szCs w:val="24"/>
        </w:rPr>
        <w:t>art. 454</w:t>
      </w:r>
      <w:r w:rsidRPr="00D92FC1">
        <w:rPr>
          <w:rFonts w:ascii="Times New Roman" w:hAnsi="Times New Roman" w:cs="Times New Roman"/>
          <w:b/>
          <w:bCs/>
          <w:sz w:val="24"/>
          <w:szCs w:val="24"/>
          <w:vertAlign w:val="superscript"/>
        </w:rPr>
        <w:t>4</w:t>
      </w:r>
      <w:r w:rsidRPr="00D92FC1">
        <w:rPr>
          <w:rFonts w:ascii="Times New Roman" w:hAnsi="Times New Roman" w:cs="Times New Roman"/>
          <w:sz w:val="24"/>
          <w:szCs w:val="24"/>
        </w:rPr>
        <w:t>).</w:t>
      </w:r>
    </w:p>
    <w:p w14:paraId="5496AACC" w14:textId="77777777" w:rsidR="00AB1420" w:rsidRPr="00D92FC1" w:rsidRDefault="00AB1420" w:rsidP="005E5395">
      <w:pPr>
        <w:spacing w:after="120" w:line="360" w:lineRule="auto"/>
        <w:jc w:val="both"/>
        <w:rPr>
          <w:rFonts w:ascii="Times New Roman" w:hAnsi="Times New Roman" w:cs="Times New Roman"/>
          <w:sz w:val="24"/>
          <w:szCs w:val="24"/>
        </w:rPr>
      </w:pPr>
      <w:r w:rsidRPr="00D92FC1">
        <w:rPr>
          <w:rFonts w:ascii="Times New Roman" w:hAnsi="Times New Roman" w:cs="Times New Roman"/>
          <w:sz w:val="24"/>
          <w:szCs w:val="24"/>
        </w:rPr>
        <w:t xml:space="preserve">W </w:t>
      </w:r>
      <w:r w:rsidRPr="00D92FC1">
        <w:rPr>
          <w:rFonts w:ascii="Times New Roman" w:hAnsi="Times New Roman" w:cs="Times New Roman"/>
          <w:b/>
          <w:bCs/>
          <w:sz w:val="24"/>
          <w:szCs w:val="24"/>
        </w:rPr>
        <w:t>art. 454</w:t>
      </w:r>
      <w:r w:rsidRPr="00D92FC1">
        <w:rPr>
          <w:rFonts w:ascii="Times New Roman" w:hAnsi="Times New Roman" w:cs="Times New Roman"/>
          <w:b/>
          <w:bCs/>
          <w:sz w:val="24"/>
          <w:szCs w:val="24"/>
          <w:vertAlign w:val="superscript"/>
        </w:rPr>
        <w:t>5</w:t>
      </w:r>
      <w:r w:rsidRPr="00D92FC1">
        <w:rPr>
          <w:rFonts w:ascii="Times New Roman" w:hAnsi="Times New Roman" w:cs="Times New Roman"/>
          <w:sz w:val="24"/>
          <w:szCs w:val="24"/>
        </w:rPr>
        <w:t xml:space="preserve"> znalazły się szczegółowe uregulowania dotyczące trybu podwyższenia kapitału zakładowego, w tym sposobu i terminu przekazania danych obligatariuszy spółce lub podmiotowi prowadzącemu rejestr akcjonariuszy, ze wskazaniem liczby obligacji lub akcji posiadanych przez każdego z obligatariuszy w celu ich zapisania w odpowiednim rejestrze.</w:t>
      </w:r>
    </w:p>
    <w:p w14:paraId="6716DB6A" w14:textId="06A065FC" w:rsidR="00AB1420" w:rsidRDefault="00AB1420" w:rsidP="005E5395">
      <w:pPr>
        <w:spacing w:after="0" w:line="360" w:lineRule="auto"/>
        <w:jc w:val="both"/>
        <w:rPr>
          <w:rFonts w:ascii="Times New Roman" w:hAnsi="Times New Roman" w:cs="Times New Roman"/>
          <w:sz w:val="24"/>
          <w:szCs w:val="24"/>
        </w:rPr>
      </w:pPr>
      <w:r w:rsidRPr="00D92FC1">
        <w:rPr>
          <w:rFonts w:ascii="Times New Roman" w:hAnsi="Times New Roman" w:cs="Times New Roman"/>
          <w:sz w:val="24"/>
          <w:szCs w:val="24"/>
        </w:rPr>
        <w:t xml:space="preserve">Przepis art. </w:t>
      </w:r>
      <w:r w:rsidRPr="00D92FC1">
        <w:rPr>
          <w:rFonts w:ascii="Times New Roman" w:hAnsi="Times New Roman" w:cs="Times New Roman"/>
          <w:b/>
          <w:bCs/>
          <w:sz w:val="24"/>
          <w:szCs w:val="24"/>
        </w:rPr>
        <w:t>454</w:t>
      </w:r>
      <w:r w:rsidRPr="00D92FC1">
        <w:rPr>
          <w:rFonts w:ascii="Times New Roman" w:hAnsi="Times New Roman" w:cs="Times New Roman"/>
          <w:b/>
          <w:bCs/>
          <w:sz w:val="24"/>
          <w:szCs w:val="24"/>
          <w:vertAlign w:val="superscript"/>
        </w:rPr>
        <w:t>6</w:t>
      </w:r>
      <w:r w:rsidRPr="00D92FC1">
        <w:rPr>
          <w:rFonts w:ascii="Times New Roman" w:hAnsi="Times New Roman" w:cs="Times New Roman"/>
          <w:sz w:val="24"/>
          <w:szCs w:val="24"/>
        </w:rPr>
        <w:t xml:space="preserve"> przewiduje, że możliwość szczególnego podwyższenia kapitału zakładowego w drodze zamiany obligacji kapitałowych na akcje nie wyłącza uprawnień walnego zgromadzenia do zwykłego podwyższenia kapitału zakładowego spółki.</w:t>
      </w:r>
    </w:p>
    <w:p w14:paraId="52751D62" w14:textId="77777777" w:rsidR="00C90D37" w:rsidRPr="00D92FC1" w:rsidRDefault="00C90D37" w:rsidP="005E5395">
      <w:pPr>
        <w:spacing w:after="0" w:line="360" w:lineRule="auto"/>
        <w:jc w:val="both"/>
        <w:rPr>
          <w:rFonts w:ascii="Times New Roman" w:hAnsi="Times New Roman" w:cs="Times New Roman"/>
          <w:sz w:val="24"/>
          <w:szCs w:val="24"/>
        </w:rPr>
      </w:pPr>
    </w:p>
    <w:p w14:paraId="72EC5921" w14:textId="55820993" w:rsidR="00AB1420" w:rsidRPr="00D92FC1" w:rsidRDefault="00AB1420" w:rsidP="005E5395">
      <w:pPr>
        <w:shd w:val="clear" w:color="auto" w:fill="FFFFFF" w:themeFill="background1"/>
        <w:spacing w:after="120" w:line="360" w:lineRule="auto"/>
        <w:jc w:val="both"/>
        <w:rPr>
          <w:rFonts w:ascii="Times New Roman" w:eastAsia="Calibri" w:hAnsi="Times New Roman" w:cs="Times New Roman"/>
          <w:b/>
          <w:sz w:val="24"/>
          <w:szCs w:val="24"/>
          <w:u w:val="single"/>
        </w:rPr>
      </w:pPr>
      <w:r w:rsidRPr="00D92FC1">
        <w:rPr>
          <w:rFonts w:ascii="Times New Roman" w:eastAsia="Calibri" w:hAnsi="Times New Roman" w:cs="Times New Roman"/>
          <w:b/>
          <w:sz w:val="24"/>
          <w:szCs w:val="24"/>
          <w:u w:val="single"/>
        </w:rPr>
        <w:t xml:space="preserve">Art. </w:t>
      </w:r>
      <w:r w:rsidR="00682672">
        <w:rPr>
          <w:rFonts w:ascii="Times New Roman" w:eastAsia="Calibri" w:hAnsi="Times New Roman" w:cs="Times New Roman"/>
          <w:b/>
          <w:sz w:val="24"/>
          <w:szCs w:val="24"/>
          <w:u w:val="single"/>
        </w:rPr>
        <w:t>7</w:t>
      </w:r>
      <w:r w:rsidR="00682672" w:rsidRPr="00D92FC1">
        <w:rPr>
          <w:rFonts w:ascii="Times New Roman" w:eastAsia="Calibri" w:hAnsi="Times New Roman" w:cs="Times New Roman"/>
          <w:sz w:val="24"/>
          <w:szCs w:val="24"/>
          <w:u w:val="single"/>
        </w:rPr>
        <w:t xml:space="preserve"> </w:t>
      </w:r>
      <w:r w:rsidRPr="00D92FC1">
        <w:rPr>
          <w:rFonts w:ascii="Times New Roman" w:eastAsia="Calibri" w:hAnsi="Times New Roman" w:cs="Times New Roman"/>
          <w:b/>
          <w:sz w:val="24"/>
          <w:szCs w:val="24"/>
          <w:u w:val="single"/>
        </w:rPr>
        <w:t xml:space="preserve">projektu </w:t>
      </w:r>
      <w:r w:rsidRPr="00D92FC1">
        <w:rPr>
          <w:rFonts w:ascii="Times New Roman" w:eastAsia="Calibri" w:hAnsi="Times New Roman" w:cs="Times New Roman"/>
          <w:sz w:val="24"/>
          <w:szCs w:val="24"/>
          <w:u w:val="single"/>
        </w:rPr>
        <w:t xml:space="preserve">– </w:t>
      </w:r>
      <w:r w:rsidRPr="00D92FC1">
        <w:rPr>
          <w:rFonts w:ascii="Times New Roman" w:eastAsia="Calibri" w:hAnsi="Times New Roman" w:cs="Times New Roman"/>
          <w:b/>
          <w:sz w:val="24"/>
          <w:szCs w:val="24"/>
          <w:u w:val="single"/>
        </w:rPr>
        <w:t>zmiany w ustawie – Prawo upadłościowe</w:t>
      </w:r>
    </w:p>
    <w:p w14:paraId="70244F35" w14:textId="0A55BACD" w:rsidR="00AB1420" w:rsidRDefault="00AB1420" w:rsidP="005E5395">
      <w:pPr>
        <w:pStyle w:val="Tekstpodstawowy1"/>
        <w:spacing w:after="0" w:line="360" w:lineRule="auto"/>
        <w:ind w:firstLine="0"/>
        <w:jc w:val="both"/>
        <w:rPr>
          <w:rFonts w:ascii="Times New Roman" w:eastAsia="Calibri" w:hAnsi="Times New Roman" w:cs="Times New Roman"/>
          <w:szCs w:val="24"/>
        </w:rPr>
      </w:pPr>
      <w:r w:rsidRPr="00D92FC1">
        <w:rPr>
          <w:rFonts w:ascii="Times New Roman" w:eastAsia="Calibri" w:hAnsi="Times New Roman" w:cs="Times New Roman"/>
          <w:szCs w:val="24"/>
        </w:rPr>
        <w:t xml:space="preserve">Zgodnie z art. 52 ust. 1 lit. m rozporządzenia nr 575/2013 instrumenty dodatkowe w </w:t>
      </w:r>
      <w:r w:rsidRPr="00D92FC1">
        <w:rPr>
          <w:rFonts w:ascii="Times New Roman" w:eastAsia="Calibri" w:hAnsi="Times New Roman" w:cs="Times New Roman"/>
          <w:i/>
          <w:szCs w:val="24"/>
        </w:rPr>
        <w:t>Tier I</w:t>
      </w:r>
      <w:r w:rsidRPr="00D92FC1">
        <w:rPr>
          <w:rFonts w:ascii="Times New Roman" w:eastAsia="Calibri" w:hAnsi="Times New Roman" w:cs="Times New Roman"/>
          <w:szCs w:val="24"/>
        </w:rPr>
        <w:t xml:space="preserve"> nie wpływają na ustalenie, czy wartość zobowiązań instytucji przekracza wartość jej aktywów, jeżeli takie ustalenie stanowi test niewypłacalności zgodnie z właściwym prawem krajowym. Zaproponowane brzmienie </w:t>
      </w:r>
      <w:r w:rsidRPr="00D92FC1">
        <w:rPr>
          <w:rFonts w:ascii="Times New Roman" w:eastAsia="Calibri" w:hAnsi="Times New Roman" w:cs="Times New Roman"/>
          <w:b/>
          <w:szCs w:val="24"/>
        </w:rPr>
        <w:t>art. 11 ust. 4a</w:t>
      </w:r>
      <w:r w:rsidRPr="00D92FC1">
        <w:rPr>
          <w:rFonts w:ascii="Times New Roman" w:eastAsia="Calibri" w:hAnsi="Times New Roman" w:cs="Times New Roman"/>
          <w:szCs w:val="24"/>
        </w:rPr>
        <w:t xml:space="preserve"> przewiduje zatem, że do zobowiązań pieniężnych</w:t>
      </w:r>
      <w:r w:rsidRPr="00D92FC1">
        <w:rPr>
          <w:rFonts w:ascii="Times New Roman" w:hAnsi="Times New Roman" w:cs="Times New Roman"/>
          <w:szCs w:val="24"/>
        </w:rPr>
        <w:t xml:space="preserve"> </w:t>
      </w:r>
      <w:r w:rsidRPr="00D92FC1">
        <w:rPr>
          <w:rFonts w:ascii="Times New Roman" w:eastAsia="Calibri" w:hAnsi="Times New Roman" w:cs="Times New Roman"/>
          <w:szCs w:val="24"/>
        </w:rPr>
        <w:t xml:space="preserve">nie wlicza się zobowiązań wynikających z emisji instrumentów kapitałowych, w tym obligacji kapitałowych wyemitowanych w celu ich zaliczenia do instrumentów dodatkowych w </w:t>
      </w:r>
      <w:r w:rsidRPr="00D92FC1">
        <w:rPr>
          <w:rFonts w:ascii="Times New Roman" w:eastAsia="Calibri" w:hAnsi="Times New Roman" w:cs="Times New Roman"/>
          <w:i/>
          <w:szCs w:val="24"/>
        </w:rPr>
        <w:t>Tier I</w:t>
      </w:r>
      <w:r w:rsidRPr="00D92FC1">
        <w:rPr>
          <w:rFonts w:ascii="Times New Roman" w:eastAsia="Calibri" w:hAnsi="Times New Roman" w:cs="Times New Roman"/>
          <w:szCs w:val="24"/>
        </w:rPr>
        <w:t xml:space="preserve">, oraz pożyczek podporządkowanych zaciągniętych w celu ich zaliczenia do instrumentów dodatkowych w </w:t>
      </w:r>
      <w:r w:rsidRPr="00D92FC1">
        <w:rPr>
          <w:rFonts w:ascii="Times New Roman" w:eastAsia="Calibri" w:hAnsi="Times New Roman" w:cs="Times New Roman"/>
          <w:i/>
          <w:szCs w:val="24"/>
        </w:rPr>
        <w:t>Tier I</w:t>
      </w:r>
      <w:r w:rsidRPr="00D92FC1">
        <w:rPr>
          <w:rFonts w:ascii="Times New Roman" w:eastAsia="Calibri" w:hAnsi="Times New Roman" w:cs="Times New Roman"/>
          <w:szCs w:val="24"/>
        </w:rPr>
        <w:t xml:space="preserve">. Zgodnie z art. 54 ust. 6 rozporządzenia nr 575/2013 wszystkie niezbędne zezwolenia muszą zostać już uzyskane w terminie emisji takich zamiennych instrumentów dodatkowych w </w:t>
      </w:r>
      <w:r w:rsidRPr="00D92FC1">
        <w:rPr>
          <w:rFonts w:ascii="Times New Roman" w:eastAsia="Calibri" w:hAnsi="Times New Roman" w:cs="Times New Roman"/>
          <w:i/>
          <w:szCs w:val="24"/>
        </w:rPr>
        <w:t>Tier I</w:t>
      </w:r>
      <w:r w:rsidRPr="00D92FC1">
        <w:rPr>
          <w:rFonts w:ascii="Times New Roman" w:eastAsia="Calibri" w:hAnsi="Times New Roman" w:cs="Times New Roman"/>
          <w:szCs w:val="24"/>
        </w:rPr>
        <w:t>. Przepis art. 11 ust. 4a odwołuje się do celu emisji ze względu na to, że instrument powinien mieć cechy</w:t>
      </w:r>
      <w:r w:rsidRPr="00D92FC1">
        <w:rPr>
          <w:rFonts w:ascii="Times New Roman" w:hAnsi="Times New Roman" w:cs="Times New Roman"/>
          <w:szCs w:val="24"/>
        </w:rPr>
        <w:t xml:space="preserve"> </w:t>
      </w:r>
      <w:r w:rsidRPr="00D92FC1">
        <w:rPr>
          <w:rFonts w:ascii="Times New Roman" w:eastAsia="Calibri" w:hAnsi="Times New Roman" w:cs="Times New Roman"/>
          <w:szCs w:val="24"/>
        </w:rPr>
        <w:t>instrumentu AT1 niezbędne do uzyskania zezwolenia w momencie emisji.</w:t>
      </w:r>
    </w:p>
    <w:p w14:paraId="6CCEBEBF" w14:textId="44EC9DCA" w:rsidR="000B71D3" w:rsidRPr="00D92FC1" w:rsidRDefault="00106155" w:rsidP="005E5395">
      <w:pPr>
        <w:pStyle w:val="Tekstpodstawowy1"/>
        <w:spacing w:after="0" w:line="360" w:lineRule="auto"/>
        <w:ind w:firstLine="0"/>
        <w:jc w:val="both"/>
        <w:rPr>
          <w:rFonts w:ascii="Times New Roman" w:eastAsia="Calibri" w:hAnsi="Times New Roman" w:cs="Times New Roman"/>
          <w:szCs w:val="24"/>
        </w:rPr>
      </w:pPr>
      <w:r>
        <w:rPr>
          <w:rFonts w:ascii="Times New Roman" w:eastAsia="Calibri" w:hAnsi="Times New Roman" w:cs="Times New Roman"/>
          <w:szCs w:val="24"/>
        </w:rPr>
        <w:t xml:space="preserve">Ponadto, </w:t>
      </w:r>
      <w:r w:rsidR="00871D62">
        <w:rPr>
          <w:rFonts w:ascii="Times New Roman" w:eastAsia="Calibri" w:hAnsi="Times New Roman" w:cs="Times New Roman"/>
          <w:szCs w:val="24"/>
        </w:rPr>
        <w:t xml:space="preserve">zgodnie z </w:t>
      </w:r>
      <w:r w:rsidR="00871D62" w:rsidRPr="00871D62">
        <w:rPr>
          <w:rFonts w:ascii="Times New Roman" w:eastAsia="Calibri" w:hAnsi="Times New Roman" w:cs="Times New Roman"/>
          <w:szCs w:val="24"/>
        </w:rPr>
        <w:t>art. 11 ust. 4a pkt 1 lit. b</w:t>
      </w:r>
      <w:r w:rsidR="00871D62">
        <w:rPr>
          <w:rFonts w:ascii="Times New Roman" w:eastAsia="Calibri" w:hAnsi="Times New Roman" w:cs="Times New Roman"/>
          <w:szCs w:val="24"/>
        </w:rPr>
        <w:t>,</w:t>
      </w:r>
      <w:r w:rsidR="00871D62" w:rsidRPr="00871D62">
        <w:rPr>
          <w:rFonts w:ascii="Times New Roman" w:eastAsia="Calibri" w:hAnsi="Times New Roman" w:cs="Times New Roman"/>
          <w:szCs w:val="24"/>
        </w:rPr>
        <w:t xml:space="preserve"> </w:t>
      </w:r>
      <w:r w:rsidR="000B71D3" w:rsidRPr="000B71D3">
        <w:rPr>
          <w:rFonts w:ascii="Times New Roman" w:eastAsia="Calibri" w:hAnsi="Times New Roman" w:cs="Times New Roman"/>
          <w:szCs w:val="24"/>
        </w:rPr>
        <w:t xml:space="preserve">do zobowiązań pieniężnych </w:t>
      </w:r>
      <w:r w:rsidR="00871D62" w:rsidRPr="00871D62">
        <w:rPr>
          <w:rFonts w:ascii="Times New Roman" w:eastAsia="Calibri" w:hAnsi="Times New Roman" w:cs="Times New Roman"/>
          <w:szCs w:val="24"/>
        </w:rPr>
        <w:t xml:space="preserve">przekraczających wartość majątku dłużnika </w:t>
      </w:r>
      <w:r w:rsidR="000B71D3" w:rsidRPr="000B71D3">
        <w:rPr>
          <w:rFonts w:ascii="Times New Roman" w:eastAsia="Calibri" w:hAnsi="Times New Roman" w:cs="Times New Roman"/>
          <w:szCs w:val="24"/>
        </w:rPr>
        <w:t xml:space="preserve">nie wlicza się instrumentów kapitałowych wyemitowanych w celu </w:t>
      </w:r>
      <w:r w:rsidR="000B71D3" w:rsidRPr="000B71D3">
        <w:rPr>
          <w:rFonts w:ascii="Times New Roman" w:eastAsia="Calibri" w:hAnsi="Times New Roman" w:cs="Times New Roman"/>
          <w:szCs w:val="24"/>
        </w:rPr>
        <w:lastRenderedPageBreak/>
        <w:t>ich zakwalifikowania do funduszy własnych jako instrumenty w Tier II zgodnie z art. 63 rozporządzenia nr 575/2013</w:t>
      </w:r>
      <w:r w:rsidR="000B71D3">
        <w:rPr>
          <w:rFonts w:ascii="Times New Roman" w:eastAsia="Calibri" w:hAnsi="Times New Roman" w:cs="Times New Roman"/>
          <w:szCs w:val="24"/>
        </w:rPr>
        <w:t>.</w:t>
      </w:r>
      <w:r w:rsidR="00871D62">
        <w:rPr>
          <w:rFonts w:ascii="Times New Roman" w:eastAsia="Calibri" w:hAnsi="Times New Roman" w:cs="Times New Roman"/>
          <w:szCs w:val="24"/>
        </w:rPr>
        <w:t xml:space="preserve"> </w:t>
      </w:r>
      <w:r w:rsidR="00871D62" w:rsidRPr="00871D62">
        <w:rPr>
          <w:rFonts w:ascii="Times New Roman" w:eastAsia="Calibri" w:hAnsi="Times New Roman" w:cs="Times New Roman"/>
          <w:szCs w:val="24"/>
        </w:rPr>
        <w:t>W związku z tym, że projekt ustawy ma umożliwiać także emisję instrumentów posiadających cechy pozwalające zaliczyć je do kapitału Tier II, za zasadne uznano wyłączenie ze zobowiązań uwzględnianych przy ustalaniu stanu niewypłacalności również zobowiązań wynikających z tych instrumentów.</w:t>
      </w:r>
    </w:p>
    <w:p w14:paraId="3BFF86C9" w14:textId="77777777" w:rsidR="00AB1420" w:rsidRDefault="00AB1420" w:rsidP="005E5395">
      <w:pPr>
        <w:pStyle w:val="Tekstpodstawowy1"/>
        <w:spacing w:after="120" w:line="360" w:lineRule="auto"/>
        <w:ind w:firstLine="0"/>
        <w:jc w:val="both"/>
        <w:rPr>
          <w:rFonts w:ascii="Times New Roman" w:eastAsia="Calibri" w:hAnsi="Times New Roman" w:cs="Times New Roman"/>
          <w:szCs w:val="24"/>
        </w:rPr>
      </w:pPr>
      <w:r w:rsidRPr="00D92FC1">
        <w:rPr>
          <w:rFonts w:ascii="Times New Roman" w:eastAsia="Calibri" w:hAnsi="Times New Roman" w:cs="Times New Roman"/>
          <w:szCs w:val="24"/>
        </w:rPr>
        <w:t xml:space="preserve">Analogiczne rozwiązania w stosunku do zakładów ubezpieczeń oraz zakładów reasekuracji zawiera projektowany </w:t>
      </w:r>
      <w:r w:rsidRPr="00D92FC1">
        <w:rPr>
          <w:rFonts w:ascii="Times New Roman" w:eastAsia="Calibri" w:hAnsi="Times New Roman" w:cs="Times New Roman"/>
          <w:b/>
          <w:szCs w:val="24"/>
        </w:rPr>
        <w:t>ust. 4b</w:t>
      </w:r>
      <w:r w:rsidRPr="00D92FC1">
        <w:rPr>
          <w:rFonts w:ascii="Times New Roman" w:eastAsia="Calibri" w:hAnsi="Times New Roman" w:cs="Times New Roman"/>
          <w:szCs w:val="24"/>
        </w:rPr>
        <w:t>.</w:t>
      </w:r>
    </w:p>
    <w:p w14:paraId="54E2A176" w14:textId="62251782" w:rsidR="00AB1420" w:rsidRDefault="00AB1420" w:rsidP="005E5395">
      <w:pPr>
        <w:spacing w:after="120" w:line="360" w:lineRule="auto"/>
        <w:jc w:val="both"/>
        <w:rPr>
          <w:rFonts w:ascii="Times New Roman" w:eastAsia="Calibri" w:hAnsi="Times New Roman" w:cs="Times New Roman"/>
          <w:color w:val="000000" w:themeColor="text1"/>
          <w:sz w:val="24"/>
          <w:szCs w:val="24"/>
        </w:rPr>
      </w:pPr>
      <w:r w:rsidRPr="00D92FC1">
        <w:rPr>
          <w:rFonts w:ascii="Times New Roman" w:eastAsia="Calibri" w:hAnsi="Times New Roman" w:cs="Times New Roman"/>
          <w:color w:val="000000" w:themeColor="text1"/>
          <w:sz w:val="24"/>
          <w:szCs w:val="24"/>
        </w:rPr>
        <w:t xml:space="preserve">Przepis </w:t>
      </w:r>
      <w:r w:rsidRPr="00D92FC1">
        <w:rPr>
          <w:rFonts w:ascii="Times New Roman" w:eastAsia="Calibri" w:hAnsi="Times New Roman" w:cs="Times New Roman"/>
          <w:b/>
          <w:color w:val="000000" w:themeColor="text1"/>
          <w:sz w:val="24"/>
          <w:szCs w:val="24"/>
        </w:rPr>
        <w:t>art. 342</w:t>
      </w:r>
      <w:r w:rsidRPr="00D92FC1">
        <w:rPr>
          <w:rFonts w:ascii="Times New Roman" w:hAnsi="Times New Roman" w:cs="Times New Roman"/>
          <w:b/>
          <w:sz w:val="24"/>
          <w:szCs w:val="24"/>
        </w:rPr>
        <w:t xml:space="preserve"> </w:t>
      </w:r>
      <w:r w:rsidRPr="00D92FC1">
        <w:rPr>
          <w:rFonts w:ascii="Times New Roman" w:eastAsia="Calibri" w:hAnsi="Times New Roman" w:cs="Times New Roman"/>
          <w:b/>
          <w:color w:val="000000" w:themeColor="text1"/>
          <w:sz w:val="24"/>
          <w:szCs w:val="24"/>
        </w:rPr>
        <w:t xml:space="preserve">ust. 7 </w:t>
      </w:r>
      <w:r w:rsidRPr="00D92FC1">
        <w:rPr>
          <w:rFonts w:ascii="Times New Roman" w:eastAsia="Calibri" w:hAnsi="Times New Roman" w:cs="Times New Roman"/>
          <w:color w:val="000000" w:themeColor="text1"/>
          <w:sz w:val="24"/>
          <w:szCs w:val="24"/>
        </w:rPr>
        <w:t>określa hierarchię wierzytelności domów maklerskich. Do kategorii piątej zostaną zaliczone należności z tytułu zobowiązań zaciągniętych w celu ich zaliczenia do funduszy własnych domu maklerskiego, o których mowa w art. 51 rozporządzenia nr 575/2013, wobec których KNF nie udzieliła zgody, o której mowa w art. 110ea ust. 1 ustawy o obrocie instrumentami finansowymi, wraz z odsetkami i kosztami egzekucji. Kategoria szósta zawiera należności z tytułu zobowiązań zaliczanych do funduszy własnych domu maklerskiego, o których mowa w art. 62 rozporządzenia nr 575/2013, wraz z odsetkami i kosztami egzekucji. Kategoria siódma odnosi się do należności z tytułu zobowiązań zaliczanych do funduszy własnych domu maklerskiego, o których mowa w art. 51 rozporządzenia nr 575/2013, wraz z odsetkami i kosztami egzekucji.</w:t>
      </w:r>
      <w:r w:rsidRPr="00D92FC1">
        <w:rPr>
          <w:rFonts w:ascii="Times New Roman" w:hAnsi="Times New Roman" w:cs="Times New Roman"/>
          <w:sz w:val="24"/>
          <w:szCs w:val="24"/>
        </w:rPr>
        <w:t xml:space="preserve"> </w:t>
      </w:r>
      <w:r w:rsidRPr="00D92FC1">
        <w:rPr>
          <w:rFonts w:ascii="Times New Roman" w:eastAsia="Calibri" w:hAnsi="Times New Roman" w:cs="Times New Roman"/>
          <w:color w:val="000000" w:themeColor="text1"/>
          <w:sz w:val="24"/>
          <w:szCs w:val="24"/>
        </w:rPr>
        <w:t xml:space="preserve">Wprowadzenie zmiany w art. 342 ustawy </w:t>
      </w:r>
      <w:r w:rsidR="00800C89">
        <w:rPr>
          <w:rFonts w:ascii="Times New Roman" w:eastAsia="Calibri" w:hAnsi="Times New Roman" w:cs="Times New Roman"/>
          <w:color w:val="000000" w:themeColor="text1"/>
          <w:sz w:val="24"/>
          <w:szCs w:val="24"/>
        </w:rPr>
        <w:t xml:space="preserve">– </w:t>
      </w:r>
      <w:r w:rsidRPr="00D92FC1">
        <w:rPr>
          <w:rFonts w:ascii="Times New Roman" w:eastAsia="Calibri" w:hAnsi="Times New Roman" w:cs="Times New Roman"/>
          <w:color w:val="000000" w:themeColor="text1"/>
          <w:sz w:val="24"/>
          <w:szCs w:val="24"/>
        </w:rPr>
        <w:t xml:space="preserve">Prawo upadłościowe ma na celu odpowiednie uwzględnienie podporządkowania wierzytelności w prawie upadłościowym instrumentów kapitałowych zaliczonych do kapitału </w:t>
      </w:r>
      <w:r w:rsidRPr="00D92FC1">
        <w:rPr>
          <w:rFonts w:ascii="Times New Roman" w:eastAsia="Calibri" w:hAnsi="Times New Roman" w:cs="Times New Roman"/>
          <w:i/>
          <w:color w:val="000000" w:themeColor="text1"/>
          <w:sz w:val="24"/>
          <w:szCs w:val="24"/>
        </w:rPr>
        <w:t>Tier I</w:t>
      </w:r>
      <w:r w:rsidRPr="00D92FC1">
        <w:rPr>
          <w:rFonts w:ascii="Times New Roman" w:eastAsia="Calibri" w:hAnsi="Times New Roman" w:cs="Times New Roman"/>
          <w:color w:val="000000" w:themeColor="text1"/>
          <w:sz w:val="24"/>
          <w:szCs w:val="24"/>
        </w:rPr>
        <w:t>.</w:t>
      </w:r>
      <w:r w:rsidRPr="00D92FC1">
        <w:rPr>
          <w:rFonts w:ascii="Times New Roman" w:hAnsi="Times New Roman" w:cs="Times New Roman"/>
          <w:sz w:val="24"/>
          <w:szCs w:val="24"/>
        </w:rPr>
        <w:t xml:space="preserve"> </w:t>
      </w:r>
      <w:r w:rsidRPr="00D92FC1">
        <w:rPr>
          <w:rFonts w:ascii="Times New Roman" w:eastAsia="Calibri" w:hAnsi="Times New Roman" w:cs="Times New Roman"/>
          <w:color w:val="000000" w:themeColor="text1"/>
          <w:sz w:val="24"/>
          <w:szCs w:val="24"/>
        </w:rPr>
        <w:t xml:space="preserve">Przedstawione regulacje precyzują odpowiednią kolejność zaspokajania należności w przypadku upadłości domu maklerskiego. </w:t>
      </w:r>
    </w:p>
    <w:p w14:paraId="15EC048C" w14:textId="54909541" w:rsidR="00C43A20" w:rsidRPr="00D92FC1" w:rsidRDefault="00084467" w:rsidP="005E5395">
      <w:pPr>
        <w:spacing w:after="120" w:line="36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W związku z dodaniem ust. 7 w art. 342, zgodnie z którym hierarchia wierzytelności</w:t>
      </w:r>
      <w:r w:rsidR="00FC2168">
        <w:rPr>
          <w:rFonts w:ascii="Times New Roman" w:eastAsia="Calibri" w:hAnsi="Times New Roman" w:cs="Times New Roman"/>
          <w:color w:val="000000" w:themeColor="text1"/>
          <w:sz w:val="24"/>
          <w:szCs w:val="24"/>
        </w:rPr>
        <w:t xml:space="preserve"> </w:t>
      </w:r>
      <w:r w:rsidR="007D55D1">
        <w:rPr>
          <w:rFonts w:ascii="Times New Roman" w:eastAsia="Calibri" w:hAnsi="Times New Roman" w:cs="Times New Roman"/>
          <w:color w:val="000000" w:themeColor="text1"/>
          <w:sz w:val="24"/>
          <w:szCs w:val="24"/>
        </w:rPr>
        <w:t>domów maklerskich</w:t>
      </w:r>
      <w:r>
        <w:rPr>
          <w:rFonts w:ascii="Times New Roman" w:eastAsia="Calibri" w:hAnsi="Times New Roman" w:cs="Times New Roman"/>
          <w:color w:val="000000" w:themeColor="text1"/>
          <w:sz w:val="24"/>
          <w:szCs w:val="24"/>
        </w:rPr>
        <w:t xml:space="preserve"> dzieli się na 7 kategorii, zmiany wymagał również przepis </w:t>
      </w:r>
      <w:r w:rsidR="00C43A20" w:rsidRPr="00106155">
        <w:rPr>
          <w:rFonts w:ascii="Times New Roman" w:eastAsia="Calibri" w:hAnsi="Times New Roman" w:cs="Times New Roman"/>
          <w:b/>
          <w:color w:val="000000" w:themeColor="text1"/>
          <w:sz w:val="24"/>
          <w:szCs w:val="24"/>
        </w:rPr>
        <w:t>art. 344 ust. 1</w:t>
      </w:r>
      <w:r w:rsidRPr="00491834">
        <w:rPr>
          <w:rFonts w:ascii="Times New Roman" w:eastAsia="Calibri" w:hAnsi="Times New Roman" w:cs="Times New Roman"/>
          <w:color w:val="000000" w:themeColor="text1"/>
          <w:sz w:val="24"/>
          <w:szCs w:val="24"/>
        </w:rPr>
        <w:t xml:space="preserve">. </w:t>
      </w:r>
      <w:r w:rsidR="00491834">
        <w:rPr>
          <w:rFonts w:ascii="Times New Roman" w:eastAsia="Calibri" w:hAnsi="Times New Roman" w:cs="Times New Roman"/>
          <w:color w:val="000000" w:themeColor="text1"/>
          <w:sz w:val="24"/>
          <w:szCs w:val="24"/>
        </w:rPr>
        <w:t xml:space="preserve">Przepis został uzupełniony w ten sposób, że </w:t>
      </w:r>
      <w:r w:rsidR="00C43A20">
        <w:rPr>
          <w:rFonts w:ascii="Times New Roman" w:eastAsia="Calibri" w:hAnsi="Times New Roman" w:cs="Times New Roman"/>
          <w:color w:val="000000" w:themeColor="text1"/>
          <w:sz w:val="24"/>
          <w:szCs w:val="24"/>
        </w:rPr>
        <w:t>n</w:t>
      </w:r>
      <w:r w:rsidR="00C43A20" w:rsidRPr="00C43A20">
        <w:rPr>
          <w:rFonts w:ascii="Times New Roman" w:eastAsia="Calibri" w:hAnsi="Times New Roman" w:cs="Times New Roman"/>
          <w:color w:val="000000" w:themeColor="text1"/>
          <w:sz w:val="24"/>
          <w:szCs w:val="24"/>
        </w:rPr>
        <w:t xml:space="preserve">ależności, o których mowa w art. 342 ust. 7, </w:t>
      </w:r>
      <w:r w:rsidR="0017033D">
        <w:rPr>
          <w:rFonts w:ascii="Times New Roman" w:eastAsia="Calibri" w:hAnsi="Times New Roman" w:cs="Times New Roman"/>
          <w:color w:val="000000" w:themeColor="text1"/>
          <w:sz w:val="24"/>
          <w:szCs w:val="24"/>
        </w:rPr>
        <w:t xml:space="preserve">również </w:t>
      </w:r>
      <w:r w:rsidR="00C43A20" w:rsidRPr="00C43A20">
        <w:rPr>
          <w:rFonts w:ascii="Times New Roman" w:eastAsia="Calibri" w:hAnsi="Times New Roman" w:cs="Times New Roman"/>
          <w:color w:val="000000" w:themeColor="text1"/>
          <w:sz w:val="24"/>
          <w:szCs w:val="24"/>
        </w:rPr>
        <w:t xml:space="preserve">zaspokaja się dopiero po zaspokojeniu w całości kosztów postępowania, zobowiązań masy upadłości i należności alimentacyjnych zgodnie z </w:t>
      </w:r>
      <w:r w:rsidR="004035A4">
        <w:rPr>
          <w:rFonts w:ascii="Times New Roman" w:eastAsia="Calibri" w:hAnsi="Times New Roman" w:cs="Times New Roman"/>
          <w:color w:val="000000" w:themeColor="text1"/>
          <w:sz w:val="24"/>
          <w:szCs w:val="24"/>
        </w:rPr>
        <w:t>określ</w:t>
      </w:r>
      <w:r w:rsidR="00491834">
        <w:rPr>
          <w:rFonts w:ascii="Times New Roman" w:eastAsia="Calibri" w:hAnsi="Times New Roman" w:cs="Times New Roman"/>
          <w:color w:val="000000" w:themeColor="text1"/>
          <w:sz w:val="24"/>
          <w:szCs w:val="24"/>
        </w:rPr>
        <w:t xml:space="preserve">oną w </w:t>
      </w:r>
      <w:r w:rsidR="00491834" w:rsidRPr="00C43A20">
        <w:rPr>
          <w:rFonts w:ascii="Times New Roman" w:eastAsia="Calibri" w:hAnsi="Times New Roman" w:cs="Times New Roman"/>
          <w:color w:val="000000" w:themeColor="text1"/>
          <w:sz w:val="24"/>
          <w:szCs w:val="24"/>
        </w:rPr>
        <w:t>art. 343</w:t>
      </w:r>
      <w:r w:rsidR="00491834">
        <w:rPr>
          <w:rFonts w:ascii="Times New Roman" w:eastAsia="Calibri" w:hAnsi="Times New Roman" w:cs="Times New Roman"/>
          <w:color w:val="000000" w:themeColor="text1"/>
          <w:sz w:val="24"/>
          <w:szCs w:val="24"/>
        </w:rPr>
        <w:t xml:space="preserve"> </w:t>
      </w:r>
      <w:r w:rsidR="004035A4">
        <w:rPr>
          <w:rFonts w:ascii="Times New Roman" w:eastAsia="Calibri" w:hAnsi="Times New Roman" w:cs="Times New Roman"/>
          <w:color w:val="000000" w:themeColor="text1"/>
          <w:sz w:val="24"/>
          <w:szCs w:val="24"/>
        </w:rPr>
        <w:t>kolejnoś</w:t>
      </w:r>
      <w:r w:rsidR="00491834">
        <w:rPr>
          <w:rFonts w:ascii="Times New Roman" w:eastAsia="Calibri" w:hAnsi="Times New Roman" w:cs="Times New Roman"/>
          <w:color w:val="000000" w:themeColor="text1"/>
          <w:sz w:val="24"/>
          <w:szCs w:val="24"/>
        </w:rPr>
        <w:t xml:space="preserve">cią </w:t>
      </w:r>
      <w:r w:rsidR="004035A4">
        <w:rPr>
          <w:rFonts w:ascii="Times New Roman" w:eastAsia="Calibri" w:hAnsi="Times New Roman" w:cs="Times New Roman"/>
          <w:color w:val="000000" w:themeColor="text1"/>
          <w:sz w:val="24"/>
          <w:szCs w:val="24"/>
        </w:rPr>
        <w:t xml:space="preserve">zaspokajania z masy upadłości. </w:t>
      </w:r>
    </w:p>
    <w:p w14:paraId="155920E8" w14:textId="77777777" w:rsidR="00AB1420" w:rsidRPr="00D92FC1" w:rsidRDefault="00AB1420" w:rsidP="005E5395">
      <w:pPr>
        <w:pStyle w:val="Tekstpodstawowy1"/>
        <w:spacing w:after="0" w:line="360" w:lineRule="auto"/>
        <w:ind w:firstLine="0"/>
        <w:jc w:val="both"/>
        <w:rPr>
          <w:rFonts w:ascii="Times New Roman" w:hAnsi="Times New Roman" w:cs="Times New Roman"/>
          <w:szCs w:val="24"/>
        </w:rPr>
      </w:pPr>
      <w:r w:rsidRPr="00D92FC1">
        <w:rPr>
          <w:rFonts w:ascii="Times New Roman" w:eastAsia="Calibri" w:hAnsi="Times New Roman" w:cs="Times New Roman"/>
          <w:szCs w:val="24"/>
        </w:rPr>
        <w:t xml:space="preserve">Dodawany </w:t>
      </w:r>
      <w:r w:rsidRPr="00D92FC1">
        <w:rPr>
          <w:rFonts w:ascii="Times New Roman" w:eastAsia="Calibri" w:hAnsi="Times New Roman" w:cs="Times New Roman"/>
          <w:b/>
          <w:szCs w:val="24"/>
        </w:rPr>
        <w:t>art.</w:t>
      </w:r>
      <w:r w:rsidRPr="00D92FC1">
        <w:rPr>
          <w:rFonts w:ascii="Times New Roman" w:eastAsia="Calibri" w:hAnsi="Times New Roman" w:cs="Times New Roman"/>
          <w:szCs w:val="24"/>
        </w:rPr>
        <w:t xml:space="preserve"> </w:t>
      </w:r>
      <w:r w:rsidRPr="00D92FC1">
        <w:rPr>
          <w:rFonts w:ascii="Times New Roman" w:eastAsia="Calibri" w:hAnsi="Times New Roman" w:cs="Times New Roman"/>
          <w:b/>
          <w:szCs w:val="24"/>
        </w:rPr>
        <w:t>426 ust. 4</w:t>
      </w:r>
      <w:r w:rsidRPr="00D92FC1">
        <w:rPr>
          <w:rFonts w:ascii="Times New Roman" w:eastAsia="Calibri" w:hAnsi="Times New Roman" w:cs="Times New Roman"/>
          <w:szCs w:val="24"/>
        </w:rPr>
        <w:t xml:space="preserve"> przewiduje, że do zobowiązań pieniężnych nie będą zaliczane zobowiązania wynikające z emisji instrumentów kapitałowych, w tym obligacji kapitałowych wyemitowanych w celu ich zaliczenia do instrumentów dodatkowych w </w:t>
      </w:r>
      <w:r w:rsidRPr="00D92FC1">
        <w:rPr>
          <w:rFonts w:ascii="Times New Roman" w:eastAsia="Calibri" w:hAnsi="Times New Roman" w:cs="Times New Roman"/>
          <w:i/>
          <w:szCs w:val="24"/>
        </w:rPr>
        <w:t>Tier I</w:t>
      </w:r>
      <w:r w:rsidRPr="00D92FC1">
        <w:rPr>
          <w:rFonts w:ascii="Times New Roman" w:eastAsia="Calibri" w:hAnsi="Times New Roman" w:cs="Times New Roman"/>
          <w:szCs w:val="24"/>
        </w:rPr>
        <w:t xml:space="preserve"> oraz </w:t>
      </w:r>
      <w:r w:rsidRPr="00D92FC1">
        <w:rPr>
          <w:rFonts w:ascii="Times New Roman" w:eastAsia="Calibri" w:hAnsi="Times New Roman" w:cs="Times New Roman"/>
          <w:i/>
          <w:szCs w:val="24"/>
        </w:rPr>
        <w:t>Tier II</w:t>
      </w:r>
      <w:r w:rsidRPr="00D92FC1">
        <w:rPr>
          <w:rFonts w:ascii="Times New Roman" w:eastAsia="Calibri" w:hAnsi="Times New Roman" w:cs="Times New Roman"/>
          <w:szCs w:val="24"/>
        </w:rPr>
        <w:t xml:space="preserve">, oraz pożyczek podporządkowanych zaciągniętych w celu ich zaliczenia do instrumentów dodatkowych w </w:t>
      </w:r>
      <w:r w:rsidRPr="00D92FC1">
        <w:rPr>
          <w:rFonts w:ascii="Times New Roman" w:eastAsia="Calibri" w:hAnsi="Times New Roman" w:cs="Times New Roman"/>
          <w:i/>
          <w:szCs w:val="24"/>
        </w:rPr>
        <w:t>Tier I</w:t>
      </w:r>
      <w:r w:rsidRPr="00D92FC1">
        <w:rPr>
          <w:rFonts w:ascii="Times New Roman" w:eastAsia="Calibri" w:hAnsi="Times New Roman" w:cs="Times New Roman"/>
          <w:szCs w:val="24"/>
        </w:rPr>
        <w:t xml:space="preserve"> oraz </w:t>
      </w:r>
      <w:r w:rsidRPr="00D92FC1">
        <w:rPr>
          <w:rFonts w:ascii="Times New Roman" w:eastAsia="Calibri" w:hAnsi="Times New Roman" w:cs="Times New Roman"/>
          <w:i/>
          <w:szCs w:val="24"/>
        </w:rPr>
        <w:t xml:space="preserve">Tier II </w:t>
      </w:r>
      <w:r w:rsidRPr="00D92FC1">
        <w:rPr>
          <w:rFonts w:ascii="Times New Roman" w:eastAsia="Calibri" w:hAnsi="Times New Roman" w:cs="Times New Roman"/>
          <w:szCs w:val="24"/>
        </w:rPr>
        <w:t>zgodnie z przepisami rozporządzenia nr 575/2013.</w:t>
      </w:r>
    </w:p>
    <w:p w14:paraId="1750337C" w14:textId="77777777" w:rsidR="00AB1420" w:rsidRPr="00D92FC1" w:rsidRDefault="00AB1420" w:rsidP="005E5395">
      <w:pPr>
        <w:spacing w:after="0" w:line="360" w:lineRule="auto"/>
        <w:jc w:val="both"/>
        <w:rPr>
          <w:rFonts w:ascii="Times New Roman" w:eastAsia="Calibri" w:hAnsi="Times New Roman" w:cs="Times New Roman"/>
          <w:color w:val="000000" w:themeColor="text1"/>
          <w:sz w:val="24"/>
          <w:szCs w:val="24"/>
        </w:rPr>
      </w:pPr>
      <w:r w:rsidRPr="00D92FC1">
        <w:rPr>
          <w:rFonts w:ascii="Times New Roman" w:eastAsia="Calibri" w:hAnsi="Times New Roman" w:cs="Times New Roman"/>
          <w:color w:val="000000" w:themeColor="text1"/>
          <w:sz w:val="24"/>
          <w:szCs w:val="24"/>
        </w:rPr>
        <w:lastRenderedPageBreak/>
        <w:t xml:space="preserve">Zgodnie z art. 52 ust. 1 lit. d </w:t>
      </w:r>
      <w:r w:rsidRPr="00D92FC1">
        <w:rPr>
          <w:rFonts w:ascii="Times New Roman" w:eastAsia="Calibri" w:hAnsi="Times New Roman" w:cs="Times New Roman"/>
          <w:sz w:val="24"/>
          <w:szCs w:val="24"/>
        </w:rPr>
        <w:t xml:space="preserve">rozporządzenia nr 575/2013 </w:t>
      </w:r>
      <w:r w:rsidRPr="00D92FC1">
        <w:rPr>
          <w:rFonts w:ascii="Times New Roman" w:eastAsia="Calibri" w:hAnsi="Times New Roman" w:cs="Times New Roman"/>
          <w:color w:val="000000" w:themeColor="text1"/>
          <w:sz w:val="24"/>
          <w:szCs w:val="24"/>
        </w:rPr>
        <w:t>w przypadku niewypłacalności instytucji</w:t>
      </w:r>
      <w:r w:rsidRPr="00D92FC1">
        <w:rPr>
          <w:rFonts w:ascii="Times New Roman" w:eastAsia="Calibri" w:hAnsi="Times New Roman" w:cs="Times New Roman"/>
          <w:sz w:val="24"/>
          <w:szCs w:val="24"/>
        </w:rPr>
        <w:t xml:space="preserve"> </w:t>
      </w:r>
      <w:r w:rsidRPr="00D92FC1">
        <w:rPr>
          <w:rFonts w:ascii="Times New Roman" w:eastAsia="Calibri" w:hAnsi="Times New Roman" w:cs="Times New Roman"/>
          <w:color w:val="000000" w:themeColor="text1"/>
          <w:sz w:val="24"/>
          <w:szCs w:val="24"/>
        </w:rPr>
        <w:t xml:space="preserve">instrumenty dodatkowe w </w:t>
      </w:r>
      <w:r w:rsidRPr="00D92FC1">
        <w:rPr>
          <w:rFonts w:ascii="Times New Roman" w:eastAsia="Calibri" w:hAnsi="Times New Roman" w:cs="Times New Roman"/>
          <w:i/>
          <w:color w:val="000000" w:themeColor="text1"/>
          <w:sz w:val="24"/>
          <w:szCs w:val="24"/>
        </w:rPr>
        <w:t>Tier I</w:t>
      </w:r>
      <w:r w:rsidRPr="00D92FC1">
        <w:rPr>
          <w:rFonts w:ascii="Times New Roman" w:eastAsia="Calibri" w:hAnsi="Times New Roman" w:cs="Times New Roman"/>
          <w:color w:val="000000" w:themeColor="text1"/>
          <w:sz w:val="24"/>
          <w:szCs w:val="24"/>
        </w:rPr>
        <w:t xml:space="preserve"> mają niższy stopień uprzywilejowania niż instrumenty w </w:t>
      </w:r>
      <w:r w:rsidRPr="00D92FC1">
        <w:rPr>
          <w:rFonts w:ascii="Times New Roman" w:eastAsia="Calibri" w:hAnsi="Times New Roman" w:cs="Times New Roman"/>
          <w:i/>
          <w:color w:val="000000" w:themeColor="text1"/>
          <w:sz w:val="24"/>
          <w:szCs w:val="24"/>
        </w:rPr>
        <w:t>Tier II</w:t>
      </w:r>
      <w:r w:rsidRPr="00D92FC1">
        <w:rPr>
          <w:rFonts w:ascii="Times New Roman" w:eastAsia="Calibri" w:hAnsi="Times New Roman" w:cs="Times New Roman"/>
          <w:color w:val="000000" w:themeColor="text1"/>
          <w:sz w:val="24"/>
          <w:szCs w:val="24"/>
        </w:rPr>
        <w:t xml:space="preserve">. Instrument dodatkowy w </w:t>
      </w:r>
      <w:r w:rsidRPr="00D92FC1">
        <w:rPr>
          <w:rFonts w:ascii="Times New Roman" w:eastAsia="Calibri" w:hAnsi="Times New Roman" w:cs="Times New Roman"/>
          <w:i/>
          <w:color w:val="000000" w:themeColor="text1"/>
          <w:sz w:val="24"/>
          <w:szCs w:val="24"/>
        </w:rPr>
        <w:t>Tier I</w:t>
      </w:r>
      <w:r w:rsidRPr="00D92FC1">
        <w:rPr>
          <w:rFonts w:ascii="Times New Roman" w:eastAsia="Calibri" w:hAnsi="Times New Roman" w:cs="Times New Roman"/>
          <w:color w:val="000000" w:themeColor="text1"/>
          <w:sz w:val="24"/>
          <w:szCs w:val="24"/>
        </w:rPr>
        <w:t xml:space="preserve">, w przypadku braku zgody KNF na jego zaliczenie do funduszy własnych, powinien być podporządkowany wobec </w:t>
      </w:r>
      <w:r w:rsidRPr="00D92FC1">
        <w:rPr>
          <w:rFonts w:ascii="Times New Roman" w:eastAsia="Calibri" w:hAnsi="Times New Roman" w:cs="Times New Roman"/>
          <w:i/>
          <w:color w:val="000000" w:themeColor="text1"/>
          <w:sz w:val="24"/>
          <w:szCs w:val="24"/>
        </w:rPr>
        <w:t>Tier II</w:t>
      </w:r>
      <w:r w:rsidRPr="00D92FC1">
        <w:rPr>
          <w:rFonts w:ascii="Times New Roman" w:eastAsia="Calibri" w:hAnsi="Times New Roman" w:cs="Times New Roman"/>
          <w:color w:val="000000" w:themeColor="text1"/>
          <w:sz w:val="24"/>
          <w:szCs w:val="24"/>
        </w:rPr>
        <w:t xml:space="preserve">. </w:t>
      </w:r>
    </w:p>
    <w:p w14:paraId="7AD3CF4B" w14:textId="77777777" w:rsidR="00AB1420" w:rsidRPr="00D92FC1" w:rsidRDefault="00AB1420" w:rsidP="005E5395">
      <w:pPr>
        <w:spacing w:after="120" w:line="360" w:lineRule="auto"/>
        <w:jc w:val="both"/>
        <w:rPr>
          <w:rFonts w:ascii="Times New Roman" w:eastAsia="Calibri" w:hAnsi="Times New Roman" w:cs="Times New Roman"/>
          <w:color w:val="000000" w:themeColor="text1"/>
          <w:sz w:val="24"/>
          <w:szCs w:val="24"/>
        </w:rPr>
      </w:pPr>
      <w:r w:rsidRPr="00D92FC1">
        <w:rPr>
          <w:rFonts w:ascii="Times New Roman" w:eastAsia="Calibri" w:hAnsi="Times New Roman" w:cs="Times New Roman"/>
          <w:color w:val="000000" w:themeColor="text1"/>
          <w:sz w:val="24"/>
          <w:szCs w:val="24"/>
        </w:rPr>
        <w:t xml:space="preserve">Na tle obecnie obowiązujących przepisów istnieją wątpliwości interpretacyjne dotyczące kwalifikacji instrumentu dodatkowego w </w:t>
      </w:r>
      <w:r w:rsidRPr="00D92FC1">
        <w:rPr>
          <w:rFonts w:ascii="Times New Roman" w:eastAsia="Calibri" w:hAnsi="Times New Roman" w:cs="Times New Roman"/>
          <w:i/>
          <w:color w:val="000000" w:themeColor="text1"/>
          <w:sz w:val="24"/>
          <w:szCs w:val="24"/>
        </w:rPr>
        <w:t>Tier I</w:t>
      </w:r>
      <w:r w:rsidRPr="00D92FC1">
        <w:rPr>
          <w:rFonts w:ascii="Times New Roman" w:eastAsia="Calibri" w:hAnsi="Times New Roman" w:cs="Times New Roman"/>
          <w:color w:val="000000" w:themeColor="text1"/>
          <w:sz w:val="24"/>
          <w:szCs w:val="24"/>
        </w:rPr>
        <w:t xml:space="preserve"> lub </w:t>
      </w:r>
      <w:r w:rsidRPr="00D92FC1">
        <w:rPr>
          <w:rFonts w:ascii="Times New Roman" w:eastAsia="Calibri" w:hAnsi="Times New Roman" w:cs="Times New Roman"/>
          <w:i/>
          <w:color w:val="000000" w:themeColor="text1"/>
          <w:sz w:val="24"/>
          <w:szCs w:val="24"/>
        </w:rPr>
        <w:t>Tier II</w:t>
      </w:r>
      <w:r w:rsidRPr="00D92FC1">
        <w:rPr>
          <w:rFonts w:ascii="Times New Roman" w:eastAsia="Calibri" w:hAnsi="Times New Roman" w:cs="Times New Roman"/>
          <w:color w:val="000000" w:themeColor="text1"/>
          <w:sz w:val="24"/>
          <w:szCs w:val="24"/>
        </w:rPr>
        <w:t xml:space="preserve"> w okresie pomiędzy jego wyemitowaniem i opłaceniem a zaliczeniem do funduszy własnych jako instrumentu kapitałowego do kategorii wierzytelności określonych w art. 440 ust. 2 ustawy – Prawo upadłościowe. Kwalifikacja ta będzie mieć znaczenie w dwóch przypadkach – przymusowej restrukturyzacji oraz po wszczęciu postępowania upadłościowego wobec banku, w przypadku gdy instrumenty nie zostały wcześniej konwertowane albo umorzone zgodnie z warunkami emisji.</w:t>
      </w:r>
    </w:p>
    <w:p w14:paraId="248B696B" w14:textId="6D243346" w:rsidR="00106155" w:rsidRDefault="00C43A20" w:rsidP="005E5395">
      <w:pPr>
        <w:spacing w:after="120" w:line="36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 xml:space="preserve">Zgodnie z dodawanym </w:t>
      </w:r>
      <w:r w:rsidRPr="00106155">
        <w:rPr>
          <w:rFonts w:ascii="Times New Roman" w:eastAsia="Calibri" w:hAnsi="Times New Roman" w:cs="Times New Roman"/>
          <w:b/>
          <w:color w:val="000000" w:themeColor="text1"/>
          <w:sz w:val="24"/>
          <w:szCs w:val="24"/>
        </w:rPr>
        <w:t>art. 440 ust. 2b</w:t>
      </w:r>
      <w:r>
        <w:rPr>
          <w:rFonts w:ascii="Times New Roman" w:eastAsia="Calibri" w:hAnsi="Times New Roman" w:cs="Times New Roman"/>
          <w:color w:val="000000" w:themeColor="text1"/>
          <w:sz w:val="24"/>
          <w:szCs w:val="24"/>
        </w:rPr>
        <w:t xml:space="preserve"> w</w:t>
      </w:r>
      <w:r w:rsidRPr="00C43A20">
        <w:rPr>
          <w:rFonts w:ascii="Times New Roman" w:eastAsia="Calibri" w:hAnsi="Times New Roman" w:cs="Times New Roman"/>
          <w:color w:val="000000" w:themeColor="text1"/>
          <w:sz w:val="24"/>
          <w:szCs w:val="24"/>
        </w:rPr>
        <w:t xml:space="preserve"> przypadku gdy instrumenty, których dotyczą należności wskazane w ust. 2 pkt 8</w:t>
      </w:r>
      <w:r w:rsidR="00106155">
        <w:rPr>
          <w:rFonts w:ascii="Times New Roman" w:eastAsia="Calibri" w:hAnsi="Times New Roman" w:cs="Times New Roman"/>
          <w:color w:val="000000" w:themeColor="text1"/>
          <w:sz w:val="24"/>
          <w:szCs w:val="24"/>
        </w:rPr>
        <w:t>–</w:t>
      </w:r>
      <w:r w:rsidRPr="00C43A20">
        <w:rPr>
          <w:rFonts w:ascii="Times New Roman" w:eastAsia="Calibri" w:hAnsi="Times New Roman" w:cs="Times New Roman"/>
          <w:color w:val="000000" w:themeColor="text1"/>
          <w:sz w:val="24"/>
          <w:szCs w:val="24"/>
        </w:rPr>
        <w:t>10, są jedynie częściowo uznawane za pozycję funduszy własnych banku, należności z tytułu całego instrumentu są traktowane jako należności wynikające z kategorii, do której został zaliczony ten instrument.</w:t>
      </w:r>
    </w:p>
    <w:p w14:paraId="1C74F3AA" w14:textId="77777777" w:rsidR="00AB1420" w:rsidRPr="00D92FC1" w:rsidRDefault="00AB1420" w:rsidP="005E5395">
      <w:pPr>
        <w:shd w:val="clear" w:color="auto" w:fill="FFFFFF"/>
        <w:spacing w:after="0" w:line="360" w:lineRule="auto"/>
        <w:jc w:val="both"/>
        <w:rPr>
          <w:rFonts w:ascii="Times New Roman" w:hAnsi="Times New Roman" w:cs="Times New Roman"/>
          <w:b/>
          <w:sz w:val="24"/>
          <w:szCs w:val="24"/>
          <w:u w:val="single"/>
        </w:rPr>
      </w:pPr>
    </w:p>
    <w:p w14:paraId="4DB49414" w14:textId="1DDB7390" w:rsidR="00AB1420" w:rsidRDefault="00AB1420" w:rsidP="005E5395">
      <w:pPr>
        <w:shd w:val="clear" w:color="auto" w:fill="FFFFFF"/>
        <w:spacing w:after="100" w:afterAutospacing="1" w:line="360" w:lineRule="auto"/>
        <w:jc w:val="both"/>
        <w:rPr>
          <w:rFonts w:ascii="Times New Roman" w:hAnsi="Times New Roman" w:cs="Times New Roman"/>
          <w:b/>
          <w:sz w:val="24"/>
          <w:szCs w:val="24"/>
          <w:u w:val="single"/>
        </w:rPr>
      </w:pPr>
      <w:r w:rsidRPr="00D92FC1">
        <w:rPr>
          <w:rFonts w:ascii="Times New Roman" w:hAnsi="Times New Roman" w:cs="Times New Roman"/>
          <w:b/>
          <w:sz w:val="24"/>
          <w:szCs w:val="24"/>
          <w:u w:val="single"/>
        </w:rPr>
        <w:t xml:space="preserve">Art. </w:t>
      </w:r>
      <w:r w:rsidR="00682672">
        <w:rPr>
          <w:rFonts w:ascii="Times New Roman" w:hAnsi="Times New Roman" w:cs="Times New Roman"/>
          <w:b/>
          <w:sz w:val="24"/>
          <w:szCs w:val="24"/>
          <w:u w:val="single"/>
        </w:rPr>
        <w:t>8</w:t>
      </w:r>
      <w:r w:rsidR="00682672" w:rsidRPr="00D92FC1">
        <w:rPr>
          <w:rFonts w:ascii="Times New Roman" w:hAnsi="Times New Roman" w:cs="Times New Roman"/>
          <w:b/>
          <w:sz w:val="24"/>
          <w:szCs w:val="24"/>
          <w:u w:val="single"/>
        </w:rPr>
        <w:t xml:space="preserve"> </w:t>
      </w:r>
      <w:r w:rsidRPr="00D92FC1">
        <w:rPr>
          <w:rFonts w:ascii="Times New Roman" w:hAnsi="Times New Roman" w:cs="Times New Roman"/>
          <w:b/>
          <w:sz w:val="24"/>
          <w:szCs w:val="24"/>
          <w:u w:val="single"/>
        </w:rPr>
        <w:t>projektu – zmiany w ustawie o obrocie instrumentami finansowymi</w:t>
      </w:r>
    </w:p>
    <w:p w14:paraId="4049DF1C" w14:textId="77777777" w:rsidR="000F2C75" w:rsidRPr="0091557C" w:rsidRDefault="000F2C75" w:rsidP="005E5395">
      <w:pPr>
        <w:shd w:val="clear" w:color="auto" w:fill="FFFFFF"/>
        <w:spacing w:after="0" w:line="360" w:lineRule="auto"/>
        <w:jc w:val="both"/>
        <w:rPr>
          <w:rFonts w:ascii="Times New Roman" w:hAnsi="Times New Roman" w:cs="Times New Roman"/>
          <w:i/>
          <w:sz w:val="24"/>
          <w:szCs w:val="24"/>
        </w:rPr>
      </w:pPr>
      <w:r w:rsidRPr="000F479C">
        <w:rPr>
          <w:rFonts w:ascii="Times New Roman" w:hAnsi="Times New Roman" w:cs="Times New Roman"/>
          <w:sz w:val="24"/>
          <w:szCs w:val="24"/>
        </w:rPr>
        <w:t xml:space="preserve">Dodanie </w:t>
      </w:r>
      <w:r w:rsidRPr="000F479C">
        <w:rPr>
          <w:rFonts w:ascii="Times New Roman" w:hAnsi="Times New Roman" w:cs="Times New Roman"/>
          <w:b/>
          <w:sz w:val="24"/>
          <w:szCs w:val="24"/>
        </w:rPr>
        <w:t>art. 2</w:t>
      </w:r>
      <w:r>
        <w:rPr>
          <w:rFonts w:ascii="Times New Roman" w:hAnsi="Times New Roman" w:cs="Times New Roman"/>
          <w:sz w:val="24"/>
          <w:szCs w:val="24"/>
        </w:rPr>
        <w:t xml:space="preserve"> </w:t>
      </w:r>
      <w:r w:rsidRPr="000F479C">
        <w:rPr>
          <w:rFonts w:ascii="Times New Roman" w:hAnsi="Times New Roman" w:cs="Times New Roman"/>
          <w:b/>
          <w:sz w:val="24"/>
          <w:szCs w:val="24"/>
        </w:rPr>
        <w:t>ust. 1a</w:t>
      </w:r>
      <w:r w:rsidRPr="000F479C">
        <w:rPr>
          <w:rFonts w:ascii="Times New Roman" w:hAnsi="Times New Roman" w:cs="Times New Roman"/>
          <w:sz w:val="24"/>
          <w:szCs w:val="24"/>
        </w:rPr>
        <w:t xml:space="preserve"> ma na cel</w:t>
      </w:r>
      <w:r w:rsidRPr="00005E25">
        <w:rPr>
          <w:rFonts w:ascii="Times New Roman" w:hAnsi="Times New Roman" w:cs="Times New Roman"/>
          <w:sz w:val="24"/>
          <w:szCs w:val="24"/>
        </w:rPr>
        <w:t xml:space="preserve">u implementację dyrektywy </w:t>
      </w:r>
      <w:r>
        <w:rPr>
          <w:rFonts w:ascii="Times New Roman" w:hAnsi="Times New Roman" w:cs="Times New Roman"/>
          <w:sz w:val="24"/>
          <w:szCs w:val="24"/>
        </w:rPr>
        <w:t xml:space="preserve">MiFID II </w:t>
      </w:r>
      <w:r w:rsidRPr="00005E25">
        <w:rPr>
          <w:rFonts w:ascii="Times New Roman" w:hAnsi="Times New Roman" w:cs="Times New Roman"/>
          <w:sz w:val="24"/>
          <w:szCs w:val="24"/>
        </w:rPr>
        <w:t xml:space="preserve">w </w:t>
      </w:r>
      <w:r>
        <w:rPr>
          <w:rFonts w:ascii="Times New Roman" w:hAnsi="Times New Roman" w:cs="Times New Roman"/>
          <w:sz w:val="24"/>
          <w:szCs w:val="24"/>
        </w:rPr>
        <w:t xml:space="preserve">zakresie wynikającym z </w:t>
      </w:r>
      <w:r w:rsidRPr="00005E25">
        <w:rPr>
          <w:rFonts w:ascii="Times New Roman" w:hAnsi="Times New Roman" w:cs="Times New Roman"/>
          <w:sz w:val="24"/>
          <w:szCs w:val="24"/>
        </w:rPr>
        <w:t>rozporządzeni</w:t>
      </w:r>
      <w:r>
        <w:rPr>
          <w:rFonts w:ascii="Times New Roman" w:hAnsi="Times New Roman" w:cs="Times New Roman"/>
          <w:sz w:val="24"/>
          <w:szCs w:val="24"/>
        </w:rPr>
        <w:t>a</w:t>
      </w:r>
      <w:r w:rsidRPr="00005E25">
        <w:rPr>
          <w:rFonts w:ascii="Times New Roman" w:hAnsi="Times New Roman" w:cs="Times New Roman"/>
          <w:sz w:val="24"/>
          <w:szCs w:val="24"/>
        </w:rPr>
        <w:t xml:space="preserve"> DLT Pilot. Rozporządzenie DLT Pilot w art. 18 zmienia </w:t>
      </w:r>
      <w:r>
        <w:rPr>
          <w:rFonts w:ascii="Times New Roman" w:hAnsi="Times New Roman" w:cs="Times New Roman"/>
          <w:sz w:val="24"/>
          <w:szCs w:val="24"/>
        </w:rPr>
        <w:t xml:space="preserve">dotychczasową </w:t>
      </w:r>
      <w:r w:rsidRPr="00005E25">
        <w:rPr>
          <w:rFonts w:ascii="Times New Roman" w:hAnsi="Times New Roman" w:cs="Times New Roman"/>
          <w:sz w:val="24"/>
          <w:szCs w:val="24"/>
        </w:rPr>
        <w:t>definicję instrumentu finansowego zawartą w art. 4 ust. 1 pkt 15 dyrektywy MiFID II przez wskazanie, że za instrumenty finansowe określone w załączniku I sekcja C tej dyrektywy uznaje się również takie instrumenty wyemitowane za pomocą technologii rozproszonego rejestru (</w:t>
      </w:r>
      <w:r w:rsidRPr="00005E25">
        <w:rPr>
          <w:rFonts w:ascii="Times New Roman" w:hAnsi="Times New Roman" w:cs="Times New Roman"/>
          <w:i/>
          <w:sz w:val="24"/>
          <w:szCs w:val="24"/>
        </w:rPr>
        <w:t>distributed ledger technology</w:t>
      </w:r>
      <w:r>
        <w:rPr>
          <w:rFonts w:ascii="Times New Roman" w:hAnsi="Times New Roman" w:cs="Times New Roman"/>
          <w:i/>
          <w:sz w:val="24"/>
          <w:szCs w:val="24"/>
        </w:rPr>
        <w:t xml:space="preserve"> – </w:t>
      </w:r>
      <w:r w:rsidRPr="00005E25">
        <w:rPr>
          <w:rFonts w:ascii="Times New Roman" w:hAnsi="Times New Roman" w:cs="Times New Roman"/>
          <w:sz w:val="24"/>
          <w:szCs w:val="24"/>
        </w:rPr>
        <w:t xml:space="preserve"> DLT).</w:t>
      </w:r>
    </w:p>
    <w:p w14:paraId="6D01099D" w14:textId="77777777" w:rsidR="000F2C75" w:rsidRDefault="000F2C75" w:rsidP="005E5395">
      <w:pPr>
        <w:shd w:val="clear" w:color="auto" w:fill="FFFFFF"/>
        <w:spacing w:after="0" w:line="360" w:lineRule="auto"/>
        <w:jc w:val="both"/>
        <w:rPr>
          <w:rFonts w:ascii="Times New Roman" w:hAnsi="Times New Roman" w:cs="Times New Roman"/>
          <w:sz w:val="24"/>
          <w:szCs w:val="24"/>
        </w:rPr>
      </w:pPr>
      <w:r w:rsidRPr="000F479C">
        <w:rPr>
          <w:rFonts w:ascii="Times New Roman" w:hAnsi="Times New Roman" w:cs="Times New Roman"/>
          <w:sz w:val="24"/>
          <w:szCs w:val="24"/>
        </w:rPr>
        <w:t xml:space="preserve">W kontekście nowego brzmienia definicji instrumentu finansowego w dyrektywie MiFID II należy zauważyć, że ustawodawca unijny posłużył się pewnym uproszeniem terminologicznym niewystępującym w prawodawstwie krajowym. W przypadku emisji papierów wartościowych trudno </w:t>
      </w:r>
      <w:r>
        <w:rPr>
          <w:rFonts w:ascii="Times New Roman" w:hAnsi="Times New Roman" w:cs="Times New Roman"/>
          <w:sz w:val="24"/>
          <w:szCs w:val="24"/>
        </w:rPr>
        <w:t xml:space="preserve">jednak </w:t>
      </w:r>
      <w:r w:rsidRPr="000F479C">
        <w:rPr>
          <w:rFonts w:ascii="Times New Roman" w:hAnsi="Times New Roman" w:cs="Times New Roman"/>
          <w:sz w:val="24"/>
          <w:szCs w:val="24"/>
        </w:rPr>
        <w:t>mówić o ich emisji za pomocą technologii rozproszonego rejestru, gdyż technologia ta może być wykorzystywana do zapisywania</w:t>
      </w:r>
      <w:r>
        <w:rPr>
          <w:rFonts w:ascii="Times New Roman" w:hAnsi="Times New Roman" w:cs="Times New Roman"/>
          <w:sz w:val="24"/>
          <w:szCs w:val="24"/>
        </w:rPr>
        <w:t xml:space="preserve"> lub </w:t>
      </w:r>
      <w:r w:rsidRPr="000F479C">
        <w:rPr>
          <w:rFonts w:ascii="Times New Roman" w:hAnsi="Times New Roman" w:cs="Times New Roman"/>
          <w:sz w:val="24"/>
          <w:szCs w:val="24"/>
        </w:rPr>
        <w:t>rejestracji instrumentu finansowego, a nie samej emisji. Ponadto, w przypadku niektórych instrumentów finansowych</w:t>
      </w:r>
      <w:r>
        <w:rPr>
          <w:rFonts w:ascii="Times New Roman" w:hAnsi="Times New Roman" w:cs="Times New Roman"/>
          <w:sz w:val="24"/>
          <w:szCs w:val="24"/>
        </w:rPr>
        <w:t xml:space="preserve"> </w:t>
      </w:r>
      <w:r w:rsidRPr="000F479C">
        <w:rPr>
          <w:rFonts w:ascii="Times New Roman" w:hAnsi="Times New Roman" w:cs="Times New Roman"/>
          <w:sz w:val="24"/>
          <w:szCs w:val="24"/>
        </w:rPr>
        <w:t>niebędących papierami wartościowymi, np. instrumentów pochodnych, dochodzi do ich wystawienia, a nie emisji</w:t>
      </w:r>
      <w:r>
        <w:rPr>
          <w:rFonts w:ascii="Times New Roman" w:hAnsi="Times New Roman" w:cs="Times New Roman"/>
          <w:sz w:val="24"/>
          <w:szCs w:val="24"/>
        </w:rPr>
        <w:t xml:space="preserve">. </w:t>
      </w:r>
      <w:r w:rsidRPr="000F479C">
        <w:rPr>
          <w:rFonts w:ascii="Times New Roman" w:hAnsi="Times New Roman" w:cs="Times New Roman"/>
          <w:sz w:val="24"/>
          <w:szCs w:val="24"/>
        </w:rPr>
        <w:t xml:space="preserve"> </w:t>
      </w:r>
    </w:p>
    <w:p w14:paraId="5BDAC112" w14:textId="55349B3A" w:rsidR="000F2C75" w:rsidRPr="000F479C" w:rsidRDefault="000F2C75" w:rsidP="005E5395">
      <w:pPr>
        <w:shd w:val="clear" w:color="auto" w:fill="FFFFFF"/>
        <w:spacing w:after="12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W związku z tym </w:t>
      </w:r>
      <w:r w:rsidRPr="000F479C">
        <w:rPr>
          <w:rFonts w:ascii="Times New Roman" w:hAnsi="Times New Roman" w:cs="Times New Roman"/>
          <w:sz w:val="24"/>
          <w:szCs w:val="24"/>
        </w:rPr>
        <w:t xml:space="preserve">dodawany </w:t>
      </w:r>
      <w:r w:rsidR="00B45E60">
        <w:rPr>
          <w:rFonts w:ascii="Times New Roman" w:hAnsi="Times New Roman" w:cs="Times New Roman"/>
          <w:sz w:val="24"/>
          <w:szCs w:val="24"/>
        </w:rPr>
        <w:t xml:space="preserve">w </w:t>
      </w:r>
      <w:r w:rsidRPr="000F479C">
        <w:rPr>
          <w:rFonts w:ascii="Times New Roman" w:hAnsi="Times New Roman" w:cs="Times New Roman"/>
          <w:sz w:val="24"/>
          <w:szCs w:val="24"/>
        </w:rPr>
        <w:t>art. 2</w:t>
      </w:r>
      <w:r>
        <w:rPr>
          <w:rFonts w:ascii="Times New Roman" w:hAnsi="Times New Roman" w:cs="Times New Roman"/>
          <w:sz w:val="24"/>
          <w:szCs w:val="24"/>
        </w:rPr>
        <w:t xml:space="preserve"> ust. 1</w:t>
      </w:r>
      <w:r w:rsidR="00B45E60">
        <w:rPr>
          <w:rFonts w:ascii="Times New Roman" w:hAnsi="Times New Roman" w:cs="Times New Roman"/>
          <w:sz w:val="24"/>
          <w:szCs w:val="24"/>
        </w:rPr>
        <w:t xml:space="preserve">a </w:t>
      </w:r>
      <w:r>
        <w:rPr>
          <w:rFonts w:ascii="Times New Roman" w:hAnsi="Times New Roman" w:cs="Times New Roman"/>
          <w:sz w:val="24"/>
          <w:szCs w:val="24"/>
        </w:rPr>
        <w:t xml:space="preserve"> </w:t>
      </w:r>
      <w:r w:rsidR="00B45E60">
        <w:rPr>
          <w:rFonts w:ascii="Times New Roman" w:hAnsi="Times New Roman" w:cs="Times New Roman"/>
          <w:sz w:val="24"/>
          <w:szCs w:val="24"/>
        </w:rPr>
        <w:t>przewiduje</w:t>
      </w:r>
      <w:r w:rsidRPr="000F479C">
        <w:rPr>
          <w:rFonts w:ascii="Times New Roman" w:hAnsi="Times New Roman" w:cs="Times New Roman"/>
          <w:sz w:val="24"/>
          <w:szCs w:val="24"/>
        </w:rPr>
        <w:t xml:space="preserve"> umożliwienie zapisania instrumentów finansowych, o których mowa w ust. 1 tego przepisu, za pomocą technologii rozproszonego rejestru. Sprawia to jednocześnie, że instrumenty finansowe zapisane za pomocą tej technologii uznane zostaną za instrumenty finansowe w rozumieniu ustawy o obrocie instrumentami finansowymi, a co za tym idzie zostanie osiągnięty cel zmienionej dyrektywy MiFID II. W kontekście przewidzianego w dodawanym w art. 2 ust. 1a doprecyzowania, że chodzi o instrumenty finansowe zapisywane za pomocą technologii rozproszonego rejestru, wykorzystywanej przez operatora infrastruktury rynkowej opartej na DLT w rozumieniu art. 2 pkt 5 rozporządzenia DLT Pilot, wyjaśnienia wymaga, że wprowadzona </w:t>
      </w:r>
      <w:r>
        <w:rPr>
          <w:rFonts w:ascii="Times New Roman" w:hAnsi="Times New Roman" w:cs="Times New Roman"/>
          <w:sz w:val="24"/>
          <w:szCs w:val="24"/>
        </w:rPr>
        <w:t xml:space="preserve">przez </w:t>
      </w:r>
      <w:r w:rsidRPr="000F479C">
        <w:rPr>
          <w:rFonts w:ascii="Times New Roman" w:hAnsi="Times New Roman" w:cs="Times New Roman"/>
          <w:sz w:val="24"/>
          <w:szCs w:val="24"/>
        </w:rPr>
        <w:t>rozporządzenie DLT Pilot zmian</w:t>
      </w:r>
      <w:r>
        <w:rPr>
          <w:rFonts w:ascii="Times New Roman" w:hAnsi="Times New Roman" w:cs="Times New Roman"/>
          <w:sz w:val="24"/>
          <w:szCs w:val="24"/>
        </w:rPr>
        <w:t>a</w:t>
      </w:r>
      <w:r w:rsidRPr="000F479C">
        <w:rPr>
          <w:rFonts w:ascii="Times New Roman" w:hAnsi="Times New Roman" w:cs="Times New Roman"/>
          <w:sz w:val="24"/>
          <w:szCs w:val="24"/>
        </w:rPr>
        <w:t xml:space="preserve"> definicji instrumentu finansowego w dyrektywie MiFID II </w:t>
      </w:r>
      <w:r>
        <w:rPr>
          <w:rFonts w:ascii="Times New Roman" w:hAnsi="Times New Roman" w:cs="Times New Roman"/>
          <w:sz w:val="24"/>
          <w:szCs w:val="24"/>
        </w:rPr>
        <w:t xml:space="preserve">jest </w:t>
      </w:r>
      <w:r w:rsidRPr="000F479C">
        <w:rPr>
          <w:rFonts w:ascii="Times New Roman" w:hAnsi="Times New Roman" w:cs="Times New Roman"/>
          <w:sz w:val="24"/>
          <w:szCs w:val="24"/>
        </w:rPr>
        <w:t xml:space="preserve">związana bezpośrednio z tym rozporządzeniem. Potwierdza to </w:t>
      </w:r>
      <w:r>
        <w:rPr>
          <w:rFonts w:ascii="Times New Roman" w:hAnsi="Times New Roman" w:cs="Times New Roman"/>
          <w:sz w:val="24"/>
          <w:szCs w:val="24"/>
        </w:rPr>
        <w:t xml:space="preserve">preambuła </w:t>
      </w:r>
      <w:r w:rsidRPr="000F479C">
        <w:rPr>
          <w:rFonts w:ascii="Times New Roman" w:hAnsi="Times New Roman" w:cs="Times New Roman"/>
          <w:sz w:val="24"/>
          <w:szCs w:val="24"/>
        </w:rPr>
        <w:t>rozporządzenia DLT Pilot</w:t>
      </w:r>
      <w:r>
        <w:rPr>
          <w:rFonts w:ascii="Times New Roman" w:hAnsi="Times New Roman" w:cs="Times New Roman"/>
          <w:sz w:val="24"/>
          <w:szCs w:val="24"/>
        </w:rPr>
        <w:t xml:space="preserve"> – pkt 59</w:t>
      </w:r>
      <w:r w:rsidRPr="000F479C">
        <w:rPr>
          <w:rFonts w:ascii="Times New Roman" w:hAnsi="Times New Roman" w:cs="Times New Roman"/>
          <w:sz w:val="24"/>
          <w:szCs w:val="24"/>
        </w:rPr>
        <w:t xml:space="preserve">, który wskazuje, że </w:t>
      </w:r>
      <w:r w:rsidR="00007BC6">
        <w:rPr>
          <w:rFonts w:ascii="Times New Roman" w:hAnsi="Times New Roman" w:cs="Times New Roman"/>
          <w:sz w:val="24"/>
          <w:szCs w:val="24"/>
        </w:rPr>
        <w:t>„</w:t>
      </w:r>
      <w:r w:rsidRPr="0069297C">
        <w:rPr>
          <w:rFonts w:ascii="Times New Roman" w:hAnsi="Times New Roman" w:cs="Times New Roman"/>
          <w:sz w:val="24"/>
          <w:szCs w:val="24"/>
        </w:rPr>
        <w:t>obecnie definicja instrumentu finansowego w dyrektywie MiFID II nie uwzględnia wyraźnie instrumentów finansowych wyemitowanych za pomocą technologii rozproszonego rejestru,</w:t>
      </w:r>
      <w:r w:rsidRPr="0091557C">
        <w:rPr>
          <w:rFonts w:ascii="Times New Roman" w:hAnsi="Times New Roman" w:cs="Times New Roman"/>
          <w:i/>
          <w:sz w:val="24"/>
          <w:szCs w:val="24"/>
        </w:rPr>
        <w:t xml:space="preserve"> dlatego w celu zapewnienia, aby obrót takimi instrumentami finansowymi na rynku był możliwy na podstawie obowiązujących ram prawnych, należy zmienić definicję instrumentów finansowych zawartą w dyrektywie MiFID II, aby uwzględnić takie instrumenty</w:t>
      </w:r>
      <w:r w:rsidR="00007BC6">
        <w:rPr>
          <w:rFonts w:ascii="Times New Roman" w:hAnsi="Times New Roman" w:cs="Times New Roman"/>
          <w:i/>
          <w:sz w:val="24"/>
          <w:szCs w:val="24"/>
        </w:rPr>
        <w:t>”</w:t>
      </w:r>
      <w:r w:rsidRPr="000F479C">
        <w:rPr>
          <w:rFonts w:ascii="Times New Roman" w:hAnsi="Times New Roman" w:cs="Times New Roman"/>
          <w:sz w:val="24"/>
          <w:szCs w:val="24"/>
        </w:rPr>
        <w:t xml:space="preserve">. </w:t>
      </w:r>
    </w:p>
    <w:p w14:paraId="23A19C82" w14:textId="77777777" w:rsidR="00AB1420" w:rsidRDefault="00AB1420" w:rsidP="005E5395">
      <w:pPr>
        <w:shd w:val="clear" w:color="auto" w:fill="FFFFFF"/>
        <w:spacing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W </w:t>
      </w:r>
      <w:r w:rsidRPr="00220007">
        <w:rPr>
          <w:rFonts w:ascii="Times New Roman" w:hAnsi="Times New Roman" w:cs="Times New Roman"/>
          <w:b/>
          <w:sz w:val="24"/>
          <w:szCs w:val="24"/>
        </w:rPr>
        <w:t>art. 3</w:t>
      </w:r>
      <w:r>
        <w:rPr>
          <w:rFonts w:ascii="Times New Roman" w:hAnsi="Times New Roman" w:cs="Times New Roman"/>
          <w:sz w:val="24"/>
          <w:szCs w:val="24"/>
        </w:rPr>
        <w:t xml:space="preserve"> dodano </w:t>
      </w:r>
      <w:r w:rsidRPr="00220007">
        <w:rPr>
          <w:rFonts w:ascii="Times New Roman" w:hAnsi="Times New Roman" w:cs="Times New Roman"/>
          <w:b/>
          <w:sz w:val="24"/>
          <w:szCs w:val="24"/>
        </w:rPr>
        <w:t>pkt 4z</w:t>
      </w:r>
      <w:r>
        <w:rPr>
          <w:rFonts w:ascii="Times New Roman" w:hAnsi="Times New Roman" w:cs="Times New Roman"/>
          <w:sz w:val="24"/>
          <w:szCs w:val="24"/>
        </w:rPr>
        <w:t xml:space="preserve">, tj. skrót na oznaczenie rozporządzenia 20221/23. </w:t>
      </w:r>
    </w:p>
    <w:p w14:paraId="09FDE785" w14:textId="77777777" w:rsidR="00AB1420" w:rsidRPr="00D92FC1" w:rsidRDefault="00AB1420" w:rsidP="005E5395">
      <w:pPr>
        <w:shd w:val="clear" w:color="auto" w:fill="FFFFFF"/>
        <w:spacing w:after="120" w:line="360" w:lineRule="auto"/>
        <w:jc w:val="both"/>
        <w:rPr>
          <w:rFonts w:ascii="Times New Roman" w:hAnsi="Times New Roman" w:cs="Times New Roman"/>
          <w:sz w:val="24"/>
          <w:szCs w:val="24"/>
        </w:rPr>
      </w:pPr>
      <w:r w:rsidRPr="00D92FC1">
        <w:rPr>
          <w:rFonts w:ascii="Times New Roman" w:hAnsi="Times New Roman" w:cs="Times New Roman"/>
          <w:sz w:val="24"/>
          <w:szCs w:val="24"/>
        </w:rPr>
        <w:t xml:space="preserve">Przepisy </w:t>
      </w:r>
      <w:r w:rsidRPr="00D92FC1">
        <w:rPr>
          <w:rFonts w:ascii="Times New Roman" w:hAnsi="Times New Roman" w:cs="Times New Roman"/>
          <w:b/>
          <w:sz w:val="24"/>
          <w:szCs w:val="24"/>
        </w:rPr>
        <w:t xml:space="preserve">art. 7, art. 7a </w:t>
      </w:r>
      <w:r w:rsidRPr="00D92FC1">
        <w:rPr>
          <w:rFonts w:ascii="Times New Roman" w:hAnsi="Times New Roman" w:cs="Times New Roman"/>
          <w:sz w:val="24"/>
          <w:szCs w:val="24"/>
        </w:rPr>
        <w:t xml:space="preserve">i </w:t>
      </w:r>
      <w:r w:rsidRPr="00D92FC1">
        <w:rPr>
          <w:rFonts w:ascii="Times New Roman" w:hAnsi="Times New Roman" w:cs="Times New Roman"/>
          <w:b/>
          <w:sz w:val="24"/>
          <w:szCs w:val="24"/>
        </w:rPr>
        <w:t xml:space="preserve">art. 7b </w:t>
      </w:r>
      <w:r w:rsidRPr="00D92FC1">
        <w:rPr>
          <w:rFonts w:ascii="Times New Roman" w:hAnsi="Times New Roman" w:cs="Times New Roman"/>
          <w:sz w:val="24"/>
          <w:szCs w:val="24"/>
        </w:rPr>
        <w:t>zawierają dodatkowe zastrzeżenia w związku ze zmianami zaproponowanymi w kolejnych przepisach.</w:t>
      </w:r>
    </w:p>
    <w:p w14:paraId="6CA786F2" w14:textId="77777777" w:rsidR="00AB1420" w:rsidRPr="00D92FC1" w:rsidRDefault="00AB1420" w:rsidP="005E5395">
      <w:pPr>
        <w:shd w:val="clear" w:color="auto" w:fill="FFFFFF"/>
        <w:spacing w:after="0" w:line="360" w:lineRule="auto"/>
        <w:jc w:val="both"/>
        <w:rPr>
          <w:rFonts w:ascii="Times New Roman" w:hAnsi="Times New Roman" w:cs="Times New Roman"/>
          <w:sz w:val="24"/>
          <w:szCs w:val="24"/>
        </w:rPr>
      </w:pPr>
      <w:r w:rsidRPr="00D92FC1">
        <w:rPr>
          <w:rFonts w:ascii="Times New Roman" w:hAnsi="Times New Roman" w:cs="Times New Roman"/>
          <w:sz w:val="24"/>
          <w:szCs w:val="24"/>
        </w:rPr>
        <w:t>Zgodnie z</w:t>
      </w:r>
      <w:r w:rsidRPr="00D92FC1">
        <w:rPr>
          <w:rFonts w:ascii="Times New Roman" w:hAnsi="Times New Roman" w:cs="Times New Roman"/>
          <w:b/>
          <w:sz w:val="24"/>
          <w:szCs w:val="24"/>
        </w:rPr>
        <w:t xml:space="preserve"> art. 7aa ust. 1–3 </w:t>
      </w:r>
      <w:r w:rsidRPr="00D92FC1">
        <w:rPr>
          <w:rFonts w:ascii="Times New Roman" w:hAnsi="Times New Roman" w:cs="Times New Roman"/>
          <w:sz w:val="24"/>
          <w:szCs w:val="24"/>
        </w:rPr>
        <w:t xml:space="preserve">w przypadku emitowania obligacji kapitałowych w formie dokumentu emitent będzie dokonywał rejestracji tych obligacji w systemie rejestracji, o którym mowa w art. 5 ust. 1a. Prowadzenie rejestru ma istotne znaczenie dla emitenta, który ze względu na swoje obowiązki informacyjne wobec obligatariuszy wynikające z warunków instrumentów dodatkowych w </w:t>
      </w:r>
      <w:r w:rsidRPr="00D92FC1">
        <w:rPr>
          <w:rFonts w:ascii="Times New Roman" w:hAnsi="Times New Roman" w:cs="Times New Roman"/>
          <w:i/>
          <w:sz w:val="24"/>
          <w:szCs w:val="24"/>
        </w:rPr>
        <w:t>Tier I</w:t>
      </w:r>
      <w:r w:rsidRPr="00D92FC1">
        <w:rPr>
          <w:rFonts w:ascii="Times New Roman" w:hAnsi="Times New Roman" w:cs="Times New Roman"/>
          <w:sz w:val="24"/>
          <w:szCs w:val="24"/>
        </w:rPr>
        <w:t>, powinien mieć też dostęp do aktualnego zestawienia obligatariuszy. Tak jak w przypadku ewidencji osób uprawnionych z papierów wartościowych tworzonej przez agenta emisji na podstawie art. 7a ust. 4 pkt 4 nie zachodzi potrzeba wskazywania zakresu danych objętych rejestrem na poziomie ustawy. Emitent będzie obowiązany zawrzeć z firmą inwestycyjną posiadającą uprawnienie do prowadzenia rachunków papierów wartościowych albo bankiem powierniczym umowę dotyczącą przechowywania dokumentów obligacji kapitałowych i prowadzenia rejestru osób uprawnionych z tych obligacji – do czasu i wydania obligacji systemowi rejestracji, o którym mowa w art. 5 ust. 1a.</w:t>
      </w:r>
    </w:p>
    <w:p w14:paraId="71F0E381" w14:textId="77777777" w:rsidR="00AB1420" w:rsidRPr="00D92FC1" w:rsidRDefault="00AB1420" w:rsidP="005E5395">
      <w:pPr>
        <w:shd w:val="clear" w:color="auto" w:fill="FFFFFF"/>
        <w:spacing w:after="0" w:line="360" w:lineRule="auto"/>
        <w:jc w:val="both"/>
        <w:rPr>
          <w:rFonts w:ascii="Times New Roman" w:hAnsi="Times New Roman" w:cs="Times New Roman"/>
          <w:sz w:val="24"/>
          <w:szCs w:val="24"/>
        </w:rPr>
      </w:pPr>
      <w:r w:rsidRPr="00D92FC1">
        <w:rPr>
          <w:rFonts w:ascii="Times New Roman" w:hAnsi="Times New Roman" w:cs="Times New Roman"/>
          <w:sz w:val="24"/>
          <w:szCs w:val="24"/>
        </w:rPr>
        <w:lastRenderedPageBreak/>
        <w:t>Emitent będzie zobowiązany do przekazania obligacji kapitałowych firmie inwestycyjnej posiadającej uprawnienie do prowadzenia rachunków papierów wartościowych albo bankowi powierniczemu niezwłocznie po dokonaniu przydziału obligacji (</w:t>
      </w:r>
      <w:r w:rsidRPr="00D92FC1">
        <w:rPr>
          <w:rFonts w:ascii="Times New Roman" w:hAnsi="Times New Roman" w:cs="Times New Roman"/>
          <w:b/>
          <w:sz w:val="24"/>
          <w:szCs w:val="24"/>
        </w:rPr>
        <w:t>ust. 4</w:t>
      </w:r>
      <w:r w:rsidRPr="00D92FC1">
        <w:rPr>
          <w:rFonts w:ascii="Times New Roman" w:hAnsi="Times New Roman" w:cs="Times New Roman"/>
          <w:sz w:val="24"/>
          <w:szCs w:val="24"/>
        </w:rPr>
        <w:t xml:space="preserve">). </w:t>
      </w:r>
    </w:p>
    <w:p w14:paraId="4154B3CA" w14:textId="77777777" w:rsidR="00AB1420" w:rsidRPr="00D92FC1" w:rsidRDefault="00AB1420" w:rsidP="005E5395">
      <w:pPr>
        <w:shd w:val="clear" w:color="auto" w:fill="FFFFFF"/>
        <w:spacing w:after="0" w:line="360" w:lineRule="auto"/>
        <w:jc w:val="both"/>
        <w:rPr>
          <w:rFonts w:ascii="Times New Roman" w:hAnsi="Times New Roman" w:cs="Times New Roman"/>
          <w:sz w:val="24"/>
          <w:szCs w:val="24"/>
        </w:rPr>
      </w:pPr>
      <w:r w:rsidRPr="00D92FC1">
        <w:rPr>
          <w:rFonts w:ascii="Times New Roman" w:hAnsi="Times New Roman" w:cs="Times New Roman"/>
          <w:sz w:val="24"/>
          <w:szCs w:val="24"/>
        </w:rPr>
        <w:t>Dokumenty obligacji kapitałowych, w formie, w której zostały wydane, zachowują moc prawną po utworzeniu rejestru osób uprawnionych z obligacji kapitałowych (</w:t>
      </w:r>
      <w:r w:rsidRPr="00D92FC1">
        <w:rPr>
          <w:rFonts w:ascii="Times New Roman" w:hAnsi="Times New Roman" w:cs="Times New Roman"/>
          <w:b/>
          <w:sz w:val="24"/>
          <w:szCs w:val="24"/>
        </w:rPr>
        <w:t>ust. 5</w:t>
      </w:r>
      <w:r w:rsidRPr="00D92FC1">
        <w:rPr>
          <w:rFonts w:ascii="Times New Roman" w:hAnsi="Times New Roman" w:cs="Times New Roman"/>
          <w:sz w:val="24"/>
          <w:szCs w:val="24"/>
        </w:rPr>
        <w:t>).</w:t>
      </w:r>
    </w:p>
    <w:p w14:paraId="698223D2" w14:textId="45516842" w:rsidR="00AB1420" w:rsidRPr="00D92FC1" w:rsidRDefault="00AB1420" w:rsidP="005E5395">
      <w:pPr>
        <w:shd w:val="clear" w:color="auto" w:fill="FFFFFF"/>
        <w:spacing w:after="120" w:line="360" w:lineRule="auto"/>
        <w:jc w:val="both"/>
        <w:rPr>
          <w:rFonts w:ascii="Times New Roman" w:hAnsi="Times New Roman" w:cs="Times New Roman"/>
          <w:sz w:val="24"/>
          <w:szCs w:val="24"/>
        </w:rPr>
      </w:pPr>
      <w:r w:rsidRPr="00D92FC1">
        <w:rPr>
          <w:rFonts w:ascii="Times New Roman" w:hAnsi="Times New Roman" w:cs="Times New Roman"/>
          <w:sz w:val="24"/>
          <w:szCs w:val="24"/>
        </w:rPr>
        <w:t xml:space="preserve">Przepisy </w:t>
      </w:r>
      <w:r w:rsidRPr="00D92FC1">
        <w:rPr>
          <w:rFonts w:ascii="Times New Roman" w:hAnsi="Times New Roman" w:cs="Times New Roman"/>
          <w:b/>
          <w:sz w:val="24"/>
          <w:szCs w:val="24"/>
        </w:rPr>
        <w:t xml:space="preserve">ust. 6 </w:t>
      </w:r>
      <w:r w:rsidRPr="00D92FC1">
        <w:rPr>
          <w:rFonts w:ascii="Times New Roman" w:hAnsi="Times New Roman" w:cs="Times New Roman"/>
          <w:sz w:val="24"/>
          <w:szCs w:val="24"/>
        </w:rPr>
        <w:t>i</w:t>
      </w:r>
      <w:r w:rsidRPr="00D92FC1">
        <w:rPr>
          <w:rFonts w:ascii="Times New Roman" w:hAnsi="Times New Roman" w:cs="Times New Roman"/>
          <w:b/>
          <w:sz w:val="24"/>
          <w:szCs w:val="24"/>
        </w:rPr>
        <w:t xml:space="preserve"> 7</w:t>
      </w:r>
      <w:r w:rsidRPr="00D92FC1">
        <w:rPr>
          <w:rFonts w:ascii="Times New Roman" w:hAnsi="Times New Roman" w:cs="Times New Roman"/>
          <w:sz w:val="24"/>
          <w:szCs w:val="24"/>
        </w:rPr>
        <w:t xml:space="preserve"> sankcjonują możliwości przetwarzania danych osobowych przez podmioty uprawnione do prowadzenia rejestru osób, na rzecz których papiery wartościowe są zapisane w rejestrze. Udostępnienie danych osobowych jest niezbędne z perspektywy zapewnienia prawidłowego funkcjonowania rynku finansowego, zaufania do rynku finansowego, jego bezpieczeństwa, a także zapewnienia ochrony uczestników tego rynku. Udostępnianie tożsamości osoby w rejestrze stanowi niezbędny i proporcjonalny środek, który zapewnia realizację ważnych celów leżących w ogólnym interesie publicznym – jest zgodne z art. 5, art. 6, art. 13</w:t>
      </w:r>
      <w:r w:rsidRPr="00D92FC1">
        <w:rPr>
          <w:rFonts w:ascii="Times New Roman" w:hAnsi="Times New Roman" w:cs="Times New Roman"/>
          <w:b/>
          <w:sz w:val="24"/>
          <w:szCs w:val="24"/>
        </w:rPr>
        <w:t>–</w:t>
      </w:r>
      <w:r w:rsidRPr="00D92FC1">
        <w:rPr>
          <w:rFonts w:ascii="Times New Roman" w:hAnsi="Times New Roman" w:cs="Times New Roman"/>
          <w:sz w:val="24"/>
          <w:szCs w:val="24"/>
        </w:rPr>
        <w:t xml:space="preserve">15, art. 23 i art. 35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tzw. RODO (Dz. Urz. UE L 119 z </w:t>
      </w:r>
      <w:r>
        <w:rPr>
          <w:rFonts w:ascii="Times New Roman" w:hAnsi="Times New Roman" w:cs="Times New Roman"/>
          <w:sz w:val="24"/>
          <w:szCs w:val="24"/>
        </w:rPr>
        <w:t>0</w:t>
      </w:r>
      <w:r w:rsidRPr="00D92FC1">
        <w:rPr>
          <w:rFonts w:ascii="Times New Roman" w:hAnsi="Times New Roman" w:cs="Times New Roman"/>
          <w:sz w:val="24"/>
          <w:szCs w:val="24"/>
        </w:rPr>
        <w:t>4.05.2016, str. 1), z uwzględnieniem m.in. motywu 50 i 73 preambuły.</w:t>
      </w:r>
    </w:p>
    <w:p w14:paraId="40A52E85" w14:textId="40ADA77E" w:rsidR="00AB1420" w:rsidRPr="00D92FC1" w:rsidRDefault="00AB1420" w:rsidP="005E5395">
      <w:pPr>
        <w:autoSpaceDE w:val="0"/>
        <w:autoSpaceDN w:val="0"/>
        <w:adjustRightInd w:val="0"/>
        <w:spacing w:after="0" w:line="360" w:lineRule="auto"/>
        <w:jc w:val="both"/>
        <w:rPr>
          <w:rFonts w:ascii="Times New Roman" w:eastAsia="Calibri" w:hAnsi="Times New Roman" w:cs="Times New Roman"/>
          <w:sz w:val="24"/>
          <w:szCs w:val="24"/>
        </w:rPr>
      </w:pPr>
      <w:r w:rsidRPr="00D92FC1">
        <w:rPr>
          <w:rFonts w:ascii="Times New Roman" w:eastAsia="Calibri" w:hAnsi="Times New Roman" w:cs="Times New Roman"/>
          <w:sz w:val="24"/>
          <w:szCs w:val="24"/>
        </w:rPr>
        <w:t xml:space="preserve">Dodawane </w:t>
      </w:r>
      <w:r w:rsidRPr="0069297C">
        <w:rPr>
          <w:rFonts w:ascii="Times New Roman" w:eastAsia="Calibri" w:hAnsi="Times New Roman" w:cs="Times New Roman"/>
          <w:sz w:val="24"/>
          <w:szCs w:val="24"/>
        </w:rPr>
        <w:t>art. 47f</w:t>
      </w:r>
      <w:r w:rsidRPr="00326732">
        <w:rPr>
          <w:rFonts w:ascii="Times New Roman" w:eastAsia="Calibri" w:hAnsi="Times New Roman" w:cs="Times New Roman"/>
          <w:sz w:val="24"/>
          <w:szCs w:val="24"/>
        </w:rPr>
        <w:t>–</w:t>
      </w:r>
      <w:r w:rsidRPr="0069297C">
        <w:rPr>
          <w:rFonts w:ascii="Times New Roman" w:eastAsia="Calibri" w:hAnsi="Times New Roman" w:cs="Times New Roman"/>
          <w:sz w:val="24"/>
          <w:szCs w:val="24"/>
        </w:rPr>
        <w:t>47i</w:t>
      </w:r>
      <w:r w:rsidRPr="00D92FC1">
        <w:rPr>
          <w:rFonts w:ascii="Times New Roman" w:eastAsia="Calibri" w:hAnsi="Times New Roman" w:cs="Times New Roman"/>
          <w:sz w:val="24"/>
          <w:szCs w:val="24"/>
        </w:rPr>
        <w:t xml:space="preserve"> przewidują, że w zakresie nieuregulowanym w przepisach rozporządzenia nr 2021/23 w odniesieniu do postępowań administracyjnych prowadzonych zgodnie z przepisami rozporządzenia nr 2021/23 będą miały zastosowanie przepisy ustawy z dnia 14 czerwca 1960 r. – Kodeks postępowania administracyjnego (Dz. U. z 202</w:t>
      </w:r>
      <w:r w:rsidR="00345722">
        <w:rPr>
          <w:rFonts w:ascii="Times New Roman" w:eastAsia="Calibri" w:hAnsi="Times New Roman" w:cs="Times New Roman"/>
          <w:sz w:val="24"/>
          <w:szCs w:val="24"/>
        </w:rPr>
        <w:t>2</w:t>
      </w:r>
      <w:r w:rsidRPr="00D92FC1">
        <w:rPr>
          <w:rFonts w:ascii="Times New Roman" w:eastAsia="Calibri" w:hAnsi="Times New Roman" w:cs="Times New Roman"/>
          <w:sz w:val="24"/>
          <w:szCs w:val="24"/>
        </w:rPr>
        <w:t xml:space="preserve"> r. poz. </w:t>
      </w:r>
      <w:r w:rsidR="00345722">
        <w:rPr>
          <w:rFonts w:ascii="Times New Roman" w:eastAsia="Calibri" w:hAnsi="Times New Roman" w:cs="Times New Roman"/>
          <w:sz w:val="24"/>
          <w:szCs w:val="24"/>
        </w:rPr>
        <w:t>2000</w:t>
      </w:r>
      <w:r w:rsidR="00326732">
        <w:rPr>
          <w:rFonts w:ascii="Times New Roman" w:eastAsia="Calibri" w:hAnsi="Times New Roman" w:cs="Times New Roman"/>
          <w:sz w:val="24"/>
          <w:szCs w:val="24"/>
        </w:rPr>
        <w:t>, z późn. zm.</w:t>
      </w:r>
      <w:r w:rsidRPr="00D92FC1">
        <w:rPr>
          <w:rFonts w:ascii="Times New Roman" w:eastAsia="Calibri" w:hAnsi="Times New Roman" w:cs="Times New Roman"/>
          <w:sz w:val="24"/>
          <w:szCs w:val="24"/>
        </w:rPr>
        <w:t xml:space="preserve">). </w:t>
      </w:r>
    </w:p>
    <w:p w14:paraId="39038F8F" w14:textId="51A47FF1" w:rsidR="00771297" w:rsidRDefault="00326732" w:rsidP="005E5395">
      <w:pPr>
        <w:autoSpaceDE w:val="0"/>
        <w:autoSpaceDN w:val="0"/>
        <w:adjustRightInd w:val="0"/>
        <w:spacing w:after="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Jednocześnie, w </w:t>
      </w:r>
      <w:r w:rsidR="00AB1420" w:rsidRPr="00D92FC1">
        <w:rPr>
          <w:rFonts w:ascii="Times New Roman" w:eastAsia="Calibri" w:hAnsi="Times New Roman" w:cs="Times New Roman"/>
          <w:sz w:val="24"/>
          <w:szCs w:val="24"/>
        </w:rPr>
        <w:t>celu zapewnieni</w:t>
      </w:r>
      <w:r>
        <w:rPr>
          <w:rFonts w:ascii="Times New Roman" w:eastAsia="Calibri" w:hAnsi="Times New Roman" w:cs="Times New Roman"/>
          <w:sz w:val="24"/>
          <w:szCs w:val="24"/>
        </w:rPr>
        <w:t xml:space="preserve">a </w:t>
      </w:r>
      <w:r w:rsidR="00AB1420" w:rsidRPr="00D92FC1">
        <w:rPr>
          <w:rFonts w:ascii="Times New Roman" w:eastAsia="Calibri" w:hAnsi="Times New Roman" w:cs="Times New Roman"/>
          <w:sz w:val="24"/>
          <w:szCs w:val="24"/>
        </w:rPr>
        <w:t>KNF możliwości podejmowania natychmiastowych działań</w:t>
      </w:r>
      <w:r>
        <w:rPr>
          <w:rFonts w:ascii="Times New Roman" w:eastAsia="Calibri" w:hAnsi="Times New Roman" w:cs="Times New Roman"/>
          <w:sz w:val="24"/>
          <w:szCs w:val="24"/>
        </w:rPr>
        <w:t xml:space="preserve">, proponuje się </w:t>
      </w:r>
      <w:r w:rsidR="00AB1420" w:rsidRPr="00D92FC1">
        <w:rPr>
          <w:rFonts w:ascii="Times New Roman" w:eastAsia="Calibri" w:hAnsi="Times New Roman" w:cs="Times New Roman"/>
          <w:sz w:val="24"/>
          <w:szCs w:val="24"/>
        </w:rPr>
        <w:t xml:space="preserve">wyłączenie stosowania niektórych przepisów Kodeksu postępowania administracyjnego oraz nadanie decyzjom KNF rygoru natychmiastowej wykonalności. </w:t>
      </w:r>
      <w:r w:rsidR="00771297">
        <w:rPr>
          <w:rFonts w:ascii="Times New Roman" w:eastAsia="Calibri" w:hAnsi="Times New Roman" w:cs="Times New Roman"/>
          <w:sz w:val="24"/>
          <w:szCs w:val="24"/>
        </w:rPr>
        <w:t>Zmiany są niezbędne dla osiągnięcia celów rozporządzenia nr 2021/23</w:t>
      </w:r>
      <w:r>
        <w:rPr>
          <w:rFonts w:ascii="Times New Roman" w:eastAsia="Calibri" w:hAnsi="Times New Roman" w:cs="Times New Roman"/>
          <w:sz w:val="24"/>
          <w:szCs w:val="24"/>
        </w:rPr>
        <w:t>,</w:t>
      </w:r>
      <w:r w:rsidR="00771297">
        <w:rPr>
          <w:rFonts w:ascii="Times New Roman" w:eastAsia="Calibri" w:hAnsi="Times New Roman" w:cs="Times New Roman"/>
          <w:sz w:val="24"/>
          <w:szCs w:val="24"/>
        </w:rPr>
        <w:t xml:space="preserve"> tj. konieczności</w:t>
      </w:r>
      <w:r w:rsidR="00771297" w:rsidRPr="00063D66">
        <w:rPr>
          <w:rFonts w:ascii="Times New Roman" w:eastAsia="Calibri" w:hAnsi="Times New Roman" w:cs="Times New Roman"/>
          <w:sz w:val="24"/>
          <w:szCs w:val="24"/>
        </w:rPr>
        <w:t xml:space="preserve"> zapewnienia efektywności, terminowości i należytej pilności podejmowania </w:t>
      </w:r>
      <w:r w:rsidR="00771297">
        <w:rPr>
          <w:rFonts w:ascii="Times New Roman" w:eastAsia="Calibri" w:hAnsi="Times New Roman" w:cs="Times New Roman"/>
          <w:sz w:val="24"/>
          <w:szCs w:val="24"/>
        </w:rPr>
        <w:t xml:space="preserve">działań i </w:t>
      </w:r>
      <w:r w:rsidR="00771297" w:rsidRPr="00063D66">
        <w:rPr>
          <w:rFonts w:ascii="Times New Roman" w:eastAsia="Calibri" w:hAnsi="Times New Roman" w:cs="Times New Roman"/>
          <w:sz w:val="24"/>
          <w:szCs w:val="24"/>
        </w:rPr>
        <w:t>decyzji, kiedy jest to niezbędne, oraz utrzymania kosztów na najniższym możliwym poziomie w chwili podejmowania decyzji i działania, przy jednoczesnym zapewnieniu złagodzenia w jak największym stopniu zakłócenia rynku</w:t>
      </w:r>
      <w:r w:rsidR="00771297">
        <w:rPr>
          <w:rFonts w:ascii="Times New Roman" w:eastAsia="Calibri" w:hAnsi="Times New Roman" w:cs="Times New Roman"/>
          <w:sz w:val="24"/>
          <w:szCs w:val="24"/>
        </w:rPr>
        <w:t xml:space="preserve">. Tylko przy spełnieniu </w:t>
      </w:r>
      <w:r>
        <w:rPr>
          <w:rFonts w:ascii="Times New Roman" w:eastAsia="Calibri" w:hAnsi="Times New Roman" w:cs="Times New Roman"/>
          <w:sz w:val="24"/>
          <w:szCs w:val="24"/>
        </w:rPr>
        <w:t xml:space="preserve">tych  </w:t>
      </w:r>
      <w:r w:rsidR="00771297">
        <w:rPr>
          <w:rFonts w:ascii="Times New Roman" w:eastAsia="Calibri" w:hAnsi="Times New Roman" w:cs="Times New Roman"/>
          <w:sz w:val="24"/>
          <w:szCs w:val="24"/>
        </w:rPr>
        <w:t xml:space="preserve">założeń działania KNF i BFG określone w rozporządzeniu nr 2021/23 </w:t>
      </w:r>
      <w:r>
        <w:rPr>
          <w:rFonts w:ascii="Times New Roman" w:eastAsia="Calibri" w:hAnsi="Times New Roman" w:cs="Times New Roman"/>
          <w:sz w:val="24"/>
          <w:szCs w:val="24"/>
        </w:rPr>
        <w:t>mogą  być przeprowadzone skutecznie</w:t>
      </w:r>
      <w:r w:rsidR="00771297">
        <w:rPr>
          <w:rFonts w:ascii="Times New Roman" w:eastAsia="Calibri" w:hAnsi="Times New Roman" w:cs="Times New Roman"/>
          <w:sz w:val="24"/>
          <w:szCs w:val="24"/>
        </w:rPr>
        <w:t>.</w:t>
      </w:r>
    </w:p>
    <w:p w14:paraId="653FE969" w14:textId="520CE26F" w:rsidR="00771297" w:rsidRDefault="00AB1420" w:rsidP="005E5395">
      <w:pPr>
        <w:autoSpaceDE w:val="0"/>
        <w:autoSpaceDN w:val="0"/>
        <w:adjustRightInd w:val="0"/>
        <w:spacing w:after="120" w:line="360" w:lineRule="auto"/>
        <w:jc w:val="both"/>
        <w:rPr>
          <w:rFonts w:ascii="Times New Roman" w:eastAsia="Calibri" w:hAnsi="Times New Roman" w:cs="Times New Roman"/>
          <w:sz w:val="24"/>
          <w:szCs w:val="24"/>
        </w:rPr>
      </w:pPr>
      <w:r w:rsidRPr="00D92FC1">
        <w:rPr>
          <w:rFonts w:ascii="Times New Roman" w:eastAsia="Calibri" w:hAnsi="Times New Roman" w:cs="Times New Roman"/>
          <w:sz w:val="24"/>
          <w:szCs w:val="24"/>
        </w:rPr>
        <w:lastRenderedPageBreak/>
        <w:t>P</w:t>
      </w:r>
      <w:r w:rsidR="00771297">
        <w:rPr>
          <w:rFonts w:ascii="Times New Roman" w:eastAsia="Calibri" w:hAnsi="Times New Roman" w:cs="Times New Roman"/>
          <w:sz w:val="24"/>
          <w:szCs w:val="24"/>
        </w:rPr>
        <w:t>onadto p</w:t>
      </w:r>
      <w:r w:rsidRPr="00D92FC1">
        <w:rPr>
          <w:rFonts w:ascii="Times New Roman" w:eastAsia="Calibri" w:hAnsi="Times New Roman" w:cs="Times New Roman"/>
          <w:sz w:val="24"/>
          <w:szCs w:val="24"/>
        </w:rPr>
        <w:t xml:space="preserve">roponowane regulacje są analogiczne do przepisów dotyczących </w:t>
      </w:r>
      <w:r w:rsidR="00326732">
        <w:rPr>
          <w:rFonts w:ascii="Times New Roman" w:eastAsia="Calibri" w:hAnsi="Times New Roman" w:cs="Times New Roman"/>
          <w:sz w:val="24"/>
          <w:szCs w:val="24"/>
        </w:rPr>
        <w:t xml:space="preserve">przymusowej restrukturyzacji </w:t>
      </w:r>
      <w:r w:rsidRPr="00D92FC1">
        <w:rPr>
          <w:rFonts w:ascii="Times New Roman" w:eastAsia="Calibri" w:hAnsi="Times New Roman" w:cs="Times New Roman"/>
          <w:sz w:val="24"/>
          <w:szCs w:val="24"/>
        </w:rPr>
        <w:t>firm inwestycyjnych zawartych w art. 110zzd</w:t>
      </w:r>
      <w:r w:rsidRPr="00D92FC1">
        <w:rPr>
          <w:rFonts w:ascii="Times New Roman" w:eastAsia="Calibri" w:hAnsi="Times New Roman" w:cs="Times New Roman"/>
          <w:b/>
          <w:sz w:val="24"/>
          <w:szCs w:val="24"/>
        </w:rPr>
        <w:t>–</w:t>
      </w:r>
      <w:r w:rsidRPr="00D92FC1">
        <w:rPr>
          <w:rFonts w:ascii="Times New Roman" w:eastAsia="Calibri" w:hAnsi="Times New Roman" w:cs="Times New Roman"/>
          <w:sz w:val="24"/>
          <w:szCs w:val="24"/>
        </w:rPr>
        <w:t>110zzg ustawy o obrocie instrumentami</w:t>
      </w:r>
      <w:r w:rsidR="00436211">
        <w:rPr>
          <w:rFonts w:ascii="Times New Roman" w:eastAsia="Calibri" w:hAnsi="Times New Roman" w:cs="Times New Roman"/>
          <w:sz w:val="24"/>
          <w:szCs w:val="24"/>
        </w:rPr>
        <w:t xml:space="preserve"> finansowymi</w:t>
      </w:r>
      <w:r w:rsidR="00326732">
        <w:rPr>
          <w:rFonts w:ascii="Times New Roman" w:eastAsia="Calibri" w:hAnsi="Times New Roman" w:cs="Times New Roman"/>
          <w:sz w:val="24"/>
          <w:szCs w:val="24"/>
        </w:rPr>
        <w:t xml:space="preserve">, </w:t>
      </w:r>
      <w:r w:rsidR="00436211">
        <w:rPr>
          <w:rFonts w:ascii="Times New Roman" w:eastAsia="Calibri" w:hAnsi="Times New Roman" w:cs="Times New Roman"/>
          <w:sz w:val="24"/>
          <w:szCs w:val="24"/>
        </w:rPr>
        <w:t>co z</w:t>
      </w:r>
      <w:r w:rsidR="00326732">
        <w:rPr>
          <w:rFonts w:ascii="Times New Roman" w:eastAsia="Calibri" w:hAnsi="Times New Roman" w:cs="Times New Roman"/>
          <w:sz w:val="24"/>
          <w:szCs w:val="24"/>
        </w:rPr>
        <w:t xml:space="preserve">apewni </w:t>
      </w:r>
      <w:r w:rsidR="00771297">
        <w:rPr>
          <w:rFonts w:ascii="Times New Roman" w:eastAsia="Calibri" w:hAnsi="Times New Roman" w:cs="Times New Roman"/>
          <w:sz w:val="24"/>
          <w:szCs w:val="24"/>
        </w:rPr>
        <w:t>systemow</w:t>
      </w:r>
      <w:r w:rsidR="00326732">
        <w:rPr>
          <w:rFonts w:ascii="Times New Roman" w:eastAsia="Calibri" w:hAnsi="Times New Roman" w:cs="Times New Roman"/>
          <w:sz w:val="24"/>
          <w:szCs w:val="24"/>
        </w:rPr>
        <w:t>a sp</w:t>
      </w:r>
      <w:r w:rsidR="00F133ED">
        <w:rPr>
          <w:rFonts w:ascii="Times New Roman" w:eastAsia="Calibri" w:hAnsi="Times New Roman" w:cs="Times New Roman"/>
          <w:sz w:val="24"/>
          <w:szCs w:val="24"/>
        </w:rPr>
        <w:t>ó</w:t>
      </w:r>
      <w:r w:rsidR="00326732">
        <w:rPr>
          <w:rFonts w:ascii="Times New Roman" w:eastAsia="Calibri" w:hAnsi="Times New Roman" w:cs="Times New Roman"/>
          <w:sz w:val="24"/>
          <w:szCs w:val="24"/>
        </w:rPr>
        <w:t>jność proponowanych rozwiązań</w:t>
      </w:r>
      <w:r w:rsidR="00771297">
        <w:rPr>
          <w:rFonts w:ascii="Times New Roman" w:eastAsia="Calibri" w:hAnsi="Times New Roman" w:cs="Times New Roman"/>
          <w:sz w:val="24"/>
          <w:szCs w:val="24"/>
        </w:rPr>
        <w:t>.</w:t>
      </w:r>
    </w:p>
    <w:p w14:paraId="2CC0BF05" w14:textId="7DBE82CD" w:rsidR="00771297" w:rsidRDefault="00771297" w:rsidP="005E5395">
      <w:pPr>
        <w:autoSpaceDE w:val="0"/>
        <w:autoSpaceDN w:val="0"/>
        <w:adjustRightInd w:val="0"/>
        <w:spacing w:after="12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Dodawany </w:t>
      </w:r>
      <w:r w:rsidRPr="00206E23">
        <w:rPr>
          <w:rFonts w:ascii="Times New Roman" w:eastAsia="Calibri" w:hAnsi="Times New Roman" w:cs="Times New Roman"/>
          <w:b/>
          <w:sz w:val="24"/>
          <w:szCs w:val="24"/>
        </w:rPr>
        <w:t>art. 47f</w:t>
      </w:r>
      <w:r>
        <w:rPr>
          <w:rFonts w:ascii="Times New Roman" w:eastAsia="Calibri" w:hAnsi="Times New Roman" w:cs="Times New Roman"/>
          <w:sz w:val="24"/>
          <w:szCs w:val="24"/>
        </w:rPr>
        <w:t xml:space="preserve"> wskazuje, że w postępowaniach </w:t>
      </w:r>
      <w:r w:rsidR="00B9164D">
        <w:rPr>
          <w:rFonts w:ascii="Times New Roman" w:eastAsia="Calibri" w:hAnsi="Times New Roman" w:cs="Times New Roman"/>
          <w:sz w:val="24"/>
          <w:szCs w:val="24"/>
        </w:rPr>
        <w:t xml:space="preserve">dotyczących </w:t>
      </w:r>
      <w:r>
        <w:rPr>
          <w:rFonts w:ascii="Times New Roman" w:eastAsia="Calibri" w:hAnsi="Times New Roman" w:cs="Times New Roman"/>
          <w:sz w:val="24"/>
          <w:szCs w:val="24"/>
        </w:rPr>
        <w:t>sporządzenia i oceny nadzorczej planów naprawy, współpracy międzynarodowej</w:t>
      </w:r>
      <w:r w:rsidR="00F133ED">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 w tym zakresie dla podmiotów prowadzących działalność transgraniczną, a także stosowanych przez KNF środków wczesnej interwencji</w:t>
      </w:r>
      <w:r w:rsidR="00B9164D">
        <w:rPr>
          <w:rFonts w:ascii="Times New Roman" w:eastAsia="Calibri" w:hAnsi="Times New Roman" w:cs="Times New Roman"/>
          <w:sz w:val="24"/>
          <w:szCs w:val="24"/>
        </w:rPr>
        <w:t xml:space="preserve"> (</w:t>
      </w:r>
      <w:r>
        <w:rPr>
          <w:rFonts w:ascii="Times New Roman" w:eastAsia="Calibri" w:hAnsi="Times New Roman" w:cs="Times New Roman"/>
          <w:sz w:val="24"/>
          <w:szCs w:val="24"/>
        </w:rPr>
        <w:t>m.</w:t>
      </w:r>
      <w:r w:rsidR="00B9164D">
        <w:rPr>
          <w:rFonts w:ascii="Times New Roman" w:eastAsia="Calibri" w:hAnsi="Times New Roman" w:cs="Times New Roman"/>
          <w:sz w:val="24"/>
          <w:szCs w:val="24"/>
        </w:rPr>
        <w:t xml:space="preserve"> </w:t>
      </w:r>
      <w:r>
        <w:rPr>
          <w:rFonts w:ascii="Times New Roman" w:eastAsia="Calibri" w:hAnsi="Times New Roman" w:cs="Times New Roman"/>
          <w:sz w:val="24"/>
          <w:szCs w:val="24"/>
        </w:rPr>
        <w:t>in. wynikającego z art. 19 rozporządzenia nr 2021/23 uprawnienia do całościowego lub częściowego odwołania</w:t>
      </w:r>
      <w:r w:rsidRPr="00510C07">
        <w:rPr>
          <w:rFonts w:ascii="Times New Roman" w:eastAsia="Calibri" w:hAnsi="Times New Roman" w:cs="Times New Roman"/>
          <w:sz w:val="24"/>
          <w:szCs w:val="24"/>
        </w:rPr>
        <w:t xml:space="preserve"> kierownictwa wyższego szczebla i zarządu</w:t>
      </w:r>
      <w:r w:rsidR="00B9164D">
        <w:rPr>
          <w:rFonts w:ascii="Times New Roman" w:eastAsia="Calibri" w:hAnsi="Times New Roman" w:cs="Times New Roman"/>
          <w:sz w:val="24"/>
          <w:szCs w:val="24"/>
        </w:rPr>
        <w:t>)</w:t>
      </w:r>
      <w:r>
        <w:rPr>
          <w:rFonts w:ascii="Times New Roman" w:eastAsia="Calibri" w:hAnsi="Times New Roman" w:cs="Times New Roman"/>
          <w:sz w:val="24"/>
          <w:szCs w:val="24"/>
        </w:rPr>
        <w:t>, KNF będzie m</w:t>
      </w:r>
      <w:r w:rsidR="00B9164D">
        <w:rPr>
          <w:rFonts w:ascii="Times New Roman" w:eastAsia="Calibri" w:hAnsi="Times New Roman" w:cs="Times New Roman"/>
          <w:sz w:val="24"/>
          <w:szCs w:val="24"/>
        </w:rPr>
        <w:t xml:space="preserve">ógł </w:t>
      </w:r>
      <w:r>
        <w:rPr>
          <w:rFonts w:ascii="Times New Roman" w:eastAsia="Calibri" w:hAnsi="Times New Roman" w:cs="Times New Roman"/>
          <w:sz w:val="24"/>
          <w:szCs w:val="24"/>
        </w:rPr>
        <w:t xml:space="preserve">odstąpić od stosowania art. 10 </w:t>
      </w:r>
      <w:r w:rsidRPr="00D92FC1">
        <w:rPr>
          <w:rFonts w:ascii="Times New Roman" w:eastAsia="Calibri" w:hAnsi="Times New Roman" w:cs="Times New Roman"/>
          <w:sz w:val="24"/>
          <w:szCs w:val="24"/>
        </w:rPr>
        <w:t>Kodeks</w:t>
      </w:r>
      <w:r w:rsidR="00F133ED">
        <w:rPr>
          <w:rFonts w:ascii="Times New Roman" w:eastAsia="Calibri" w:hAnsi="Times New Roman" w:cs="Times New Roman"/>
          <w:sz w:val="24"/>
          <w:szCs w:val="24"/>
        </w:rPr>
        <w:t>u</w:t>
      </w:r>
      <w:r w:rsidRPr="00D92FC1">
        <w:rPr>
          <w:rFonts w:ascii="Times New Roman" w:eastAsia="Calibri" w:hAnsi="Times New Roman" w:cs="Times New Roman"/>
          <w:sz w:val="24"/>
          <w:szCs w:val="24"/>
        </w:rPr>
        <w:t xml:space="preserve"> postępowania administracyjnego</w:t>
      </w:r>
      <w:r>
        <w:rPr>
          <w:rFonts w:ascii="Times New Roman" w:eastAsia="Calibri" w:hAnsi="Times New Roman" w:cs="Times New Roman"/>
          <w:sz w:val="24"/>
          <w:szCs w:val="24"/>
        </w:rPr>
        <w:t>, tj. zasady czynnego udziału strony</w:t>
      </w:r>
      <w:r w:rsidR="00B9164D">
        <w:rPr>
          <w:rFonts w:ascii="Times New Roman" w:eastAsia="Calibri" w:hAnsi="Times New Roman" w:cs="Times New Roman"/>
          <w:sz w:val="24"/>
          <w:szCs w:val="24"/>
        </w:rPr>
        <w:t xml:space="preserve">. Wynika to </w:t>
      </w:r>
      <w:r>
        <w:rPr>
          <w:rFonts w:ascii="Times New Roman" w:eastAsia="Calibri" w:hAnsi="Times New Roman" w:cs="Times New Roman"/>
          <w:sz w:val="24"/>
          <w:szCs w:val="24"/>
        </w:rPr>
        <w:t xml:space="preserve">ze specyfiki </w:t>
      </w:r>
      <w:r w:rsidR="00B9164D">
        <w:rPr>
          <w:rFonts w:ascii="Times New Roman" w:eastAsia="Calibri" w:hAnsi="Times New Roman" w:cs="Times New Roman"/>
          <w:sz w:val="24"/>
          <w:szCs w:val="24"/>
        </w:rPr>
        <w:t xml:space="preserve">tych </w:t>
      </w:r>
      <w:r>
        <w:rPr>
          <w:rFonts w:ascii="Times New Roman" w:eastAsia="Calibri" w:hAnsi="Times New Roman" w:cs="Times New Roman"/>
          <w:sz w:val="24"/>
          <w:szCs w:val="24"/>
        </w:rPr>
        <w:t xml:space="preserve">postępowań, a także </w:t>
      </w:r>
      <w:r w:rsidR="00F133ED">
        <w:rPr>
          <w:rFonts w:ascii="Times New Roman" w:eastAsia="Calibri" w:hAnsi="Times New Roman" w:cs="Times New Roman"/>
          <w:sz w:val="24"/>
          <w:szCs w:val="24"/>
        </w:rPr>
        <w:t xml:space="preserve">z faktu </w:t>
      </w:r>
      <w:r>
        <w:rPr>
          <w:rFonts w:ascii="Times New Roman" w:eastAsia="Calibri" w:hAnsi="Times New Roman" w:cs="Times New Roman"/>
          <w:sz w:val="24"/>
          <w:szCs w:val="24"/>
        </w:rPr>
        <w:t xml:space="preserve">uzależnienia ich efektywności i skuteczności od szybkiego przeprowadzenia. </w:t>
      </w:r>
      <w:r w:rsidR="00B9164D">
        <w:rPr>
          <w:rFonts w:ascii="Times New Roman" w:eastAsia="Calibri" w:hAnsi="Times New Roman" w:cs="Times New Roman"/>
          <w:sz w:val="24"/>
          <w:szCs w:val="24"/>
        </w:rPr>
        <w:t>P</w:t>
      </w:r>
      <w:r>
        <w:rPr>
          <w:rFonts w:ascii="Times New Roman" w:eastAsia="Calibri" w:hAnsi="Times New Roman" w:cs="Times New Roman"/>
          <w:sz w:val="24"/>
          <w:szCs w:val="24"/>
        </w:rPr>
        <w:t>lany naprawy określają</w:t>
      </w:r>
      <w:r w:rsidRPr="00510C07">
        <w:rPr>
          <w:rFonts w:ascii="Times New Roman" w:eastAsia="Calibri" w:hAnsi="Times New Roman" w:cs="Times New Roman"/>
          <w:sz w:val="24"/>
          <w:szCs w:val="24"/>
        </w:rPr>
        <w:t xml:space="preserve"> działania na wyp</w:t>
      </w:r>
      <w:r>
        <w:rPr>
          <w:rFonts w:ascii="Times New Roman" w:eastAsia="Calibri" w:hAnsi="Times New Roman" w:cs="Times New Roman"/>
          <w:sz w:val="24"/>
          <w:szCs w:val="24"/>
        </w:rPr>
        <w:t xml:space="preserve">adek znaczącego pogorszenia sytuacji CCP, natomiast środki wczesnej interwencji mają ten proces zatrzymać. Działania podejmowane w tym zakresie przez KNF następują </w:t>
      </w:r>
      <w:r w:rsidR="00B9164D">
        <w:rPr>
          <w:rFonts w:ascii="Times New Roman" w:eastAsia="Calibri" w:hAnsi="Times New Roman" w:cs="Times New Roman"/>
          <w:sz w:val="24"/>
          <w:szCs w:val="24"/>
        </w:rPr>
        <w:t xml:space="preserve">zatem zgodnie z </w:t>
      </w:r>
      <w:r>
        <w:rPr>
          <w:rFonts w:ascii="Times New Roman" w:eastAsia="Calibri" w:hAnsi="Times New Roman" w:cs="Times New Roman"/>
          <w:sz w:val="24"/>
          <w:szCs w:val="24"/>
        </w:rPr>
        <w:t xml:space="preserve"> interes</w:t>
      </w:r>
      <w:r w:rsidR="00B9164D">
        <w:rPr>
          <w:rFonts w:ascii="Times New Roman" w:eastAsia="Calibri" w:hAnsi="Times New Roman" w:cs="Times New Roman"/>
          <w:sz w:val="24"/>
          <w:szCs w:val="24"/>
        </w:rPr>
        <w:t xml:space="preserve">em </w:t>
      </w:r>
      <w:r>
        <w:rPr>
          <w:rFonts w:ascii="Times New Roman" w:eastAsia="Calibri" w:hAnsi="Times New Roman" w:cs="Times New Roman"/>
          <w:sz w:val="24"/>
          <w:szCs w:val="24"/>
        </w:rPr>
        <w:t>publiczn</w:t>
      </w:r>
      <w:r w:rsidR="00B9164D">
        <w:rPr>
          <w:rFonts w:ascii="Times New Roman" w:eastAsia="Calibri" w:hAnsi="Times New Roman" w:cs="Times New Roman"/>
          <w:sz w:val="24"/>
          <w:szCs w:val="24"/>
        </w:rPr>
        <w:t xml:space="preserve">ym </w:t>
      </w:r>
      <w:r>
        <w:rPr>
          <w:rFonts w:ascii="Times New Roman" w:eastAsia="Calibri" w:hAnsi="Times New Roman" w:cs="Times New Roman"/>
          <w:sz w:val="24"/>
          <w:szCs w:val="24"/>
        </w:rPr>
        <w:t xml:space="preserve">i </w:t>
      </w:r>
      <w:r w:rsidR="00B9164D">
        <w:rPr>
          <w:rFonts w:ascii="Times New Roman" w:eastAsia="Calibri" w:hAnsi="Times New Roman" w:cs="Times New Roman"/>
          <w:sz w:val="24"/>
          <w:szCs w:val="24"/>
        </w:rPr>
        <w:t xml:space="preserve">w </w:t>
      </w:r>
      <w:r>
        <w:rPr>
          <w:rFonts w:ascii="Times New Roman" w:eastAsia="Calibri" w:hAnsi="Times New Roman" w:cs="Times New Roman"/>
          <w:sz w:val="24"/>
          <w:szCs w:val="24"/>
        </w:rPr>
        <w:t>cel</w:t>
      </w:r>
      <w:r w:rsidR="00B9164D">
        <w:rPr>
          <w:rFonts w:ascii="Times New Roman" w:eastAsia="Calibri" w:hAnsi="Times New Roman" w:cs="Times New Roman"/>
          <w:sz w:val="24"/>
          <w:szCs w:val="24"/>
        </w:rPr>
        <w:t>u u</w:t>
      </w:r>
      <w:r>
        <w:rPr>
          <w:rFonts w:ascii="Times New Roman" w:eastAsia="Calibri" w:hAnsi="Times New Roman" w:cs="Times New Roman"/>
          <w:sz w:val="24"/>
          <w:szCs w:val="24"/>
        </w:rPr>
        <w:t xml:space="preserve">trzymania stabilności finansowej na rynku, w tym ochrony interesów klientów/ kontrahentów danego CCP. Należy także zwrócić uwagę, że ograniczenie zasady czynnego udziału strony jest </w:t>
      </w:r>
      <w:r w:rsidR="000A4AED">
        <w:rPr>
          <w:rFonts w:ascii="Times New Roman" w:eastAsia="Calibri" w:hAnsi="Times New Roman" w:cs="Times New Roman"/>
          <w:sz w:val="24"/>
          <w:szCs w:val="24"/>
        </w:rPr>
        <w:t xml:space="preserve">ograniczone </w:t>
      </w:r>
      <w:r>
        <w:rPr>
          <w:rFonts w:ascii="Times New Roman" w:eastAsia="Calibri" w:hAnsi="Times New Roman" w:cs="Times New Roman"/>
          <w:sz w:val="24"/>
          <w:szCs w:val="24"/>
        </w:rPr>
        <w:t xml:space="preserve">wyłącznie do </w:t>
      </w:r>
      <w:r w:rsidR="00F133ED">
        <w:rPr>
          <w:rFonts w:ascii="Times New Roman" w:eastAsia="Calibri" w:hAnsi="Times New Roman" w:cs="Times New Roman"/>
          <w:sz w:val="24"/>
          <w:szCs w:val="24"/>
        </w:rPr>
        <w:t>przypadków</w:t>
      </w:r>
      <w:r>
        <w:rPr>
          <w:rFonts w:ascii="Times New Roman" w:eastAsia="Calibri" w:hAnsi="Times New Roman" w:cs="Times New Roman"/>
          <w:sz w:val="24"/>
          <w:szCs w:val="24"/>
        </w:rPr>
        <w:t xml:space="preserve">, </w:t>
      </w:r>
      <w:r w:rsidRPr="000E1FEA">
        <w:rPr>
          <w:rFonts w:ascii="Times New Roman" w:eastAsia="Calibri" w:hAnsi="Times New Roman" w:cs="Times New Roman"/>
          <w:sz w:val="24"/>
          <w:szCs w:val="24"/>
        </w:rPr>
        <w:t xml:space="preserve">gdy zastosowanie </w:t>
      </w:r>
      <w:r w:rsidR="00F133ED">
        <w:rPr>
          <w:rFonts w:ascii="Times New Roman" w:eastAsia="Calibri" w:hAnsi="Times New Roman" w:cs="Times New Roman"/>
          <w:sz w:val="24"/>
          <w:szCs w:val="24"/>
        </w:rPr>
        <w:t xml:space="preserve">art. 10 </w:t>
      </w:r>
      <w:r w:rsidR="00F133ED" w:rsidRPr="00D92FC1">
        <w:rPr>
          <w:rFonts w:ascii="Times New Roman" w:eastAsia="Calibri" w:hAnsi="Times New Roman" w:cs="Times New Roman"/>
          <w:sz w:val="24"/>
          <w:szCs w:val="24"/>
        </w:rPr>
        <w:t>Kodeks</w:t>
      </w:r>
      <w:r w:rsidR="00F133ED">
        <w:rPr>
          <w:rFonts w:ascii="Times New Roman" w:eastAsia="Calibri" w:hAnsi="Times New Roman" w:cs="Times New Roman"/>
          <w:sz w:val="24"/>
          <w:szCs w:val="24"/>
        </w:rPr>
        <w:t>u</w:t>
      </w:r>
      <w:r w:rsidR="00F133ED" w:rsidRPr="00D92FC1">
        <w:rPr>
          <w:rFonts w:ascii="Times New Roman" w:eastAsia="Calibri" w:hAnsi="Times New Roman" w:cs="Times New Roman"/>
          <w:sz w:val="24"/>
          <w:szCs w:val="24"/>
        </w:rPr>
        <w:t xml:space="preserve"> postępowania administracyjnego</w:t>
      </w:r>
      <w:r w:rsidR="00F133ED" w:rsidRPr="000E1FEA">
        <w:rPr>
          <w:rFonts w:ascii="Times New Roman" w:eastAsia="Calibri" w:hAnsi="Times New Roman" w:cs="Times New Roman"/>
          <w:sz w:val="24"/>
          <w:szCs w:val="24"/>
        </w:rPr>
        <w:t xml:space="preserve"> </w:t>
      </w:r>
      <w:r w:rsidRPr="000E1FEA">
        <w:rPr>
          <w:rFonts w:ascii="Times New Roman" w:eastAsia="Calibri" w:hAnsi="Times New Roman" w:cs="Times New Roman"/>
          <w:sz w:val="24"/>
          <w:szCs w:val="24"/>
        </w:rPr>
        <w:t>mogłoby uniemożliwić lub znacznie utrudnić osiągni</w:t>
      </w:r>
      <w:r>
        <w:rPr>
          <w:rFonts w:ascii="Times New Roman" w:eastAsia="Calibri" w:hAnsi="Times New Roman" w:cs="Times New Roman"/>
          <w:sz w:val="24"/>
          <w:szCs w:val="24"/>
        </w:rPr>
        <w:t xml:space="preserve">ęcie celów wczesnej interwencji, </w:t>
      </w:r>
      <w:r w:rsidR="000A4AED">
        <w:rPr>
          <w:rFonts w:ascii="Times New Roman" w:eastAsia="Calibri" w:hAnsi="Times New Roman" w:cs="Times New Roman"/>
          <w:sz w:val="24"/>
          <w:szCs w:val="24"/>
        </w:rPr>
        <w:t xml:space="preserve">co </w:t>
      </w:r>
      <w:r>
        <w:rPr>
          <w:rFonts w:ascii="Times New Roman" w:eastAsia="Calibri" w:hAnsi="Times New Roman" w:cs="Times New Roman"/>
          <w:sz w:val="24"/>
          <w:szCs w:val="24"/>
        </w:rPr>
        <w:t xml:space="preserve">w tym przypadku należy także rozumieć jako uniemożliwienie lub znacznie utrudnienie zastosowania prawa Unii Europejskiej. </w:t>
      </w:r>
    </w:p>
    <w:p w14:paraId="5357AD8A" w14:textId="77777777" w:rsidR="00436211" w:rsidRDefault="00771297" w:rsidP="005E5395">
      <w:pPr>
        <w:autoSpaceDE w:val="0"/>
        <w:autoSpaceDN w:val="0"/>
        <w:adjustRightInd w:val="0"/>
        <w:spacing w:after="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Proponowany </w:t>
      </w:r>
      <w:r w:rsidRPr="00206E23">
        <w:rPr>
          <w:rFonts w:ascii="Times New Roman" w:eastAsia="Calibri" w:hAnsi="Times New Roman" w:cs="Times New Roman"/>
          <w:b/>
          <w:sz w:val="24"/>
          <w:szCs w:val="24"/>
        </w:rPr>
        <w:t>art. 47g</w:t>
      </w:r>
      <w:r>
        <w:rPr>
          <w:rFonts w:ascii="Times New Roman" w:eastAsia="Calibri" w:hAnsi="Times New Roman" w:cs="Times New Roman"/>
          <w:sz w:val="24"/>
          <w:szCs w:val="24"/>
        </w:rPr>
        <w:t xml:space="preserve"> stanowi kontynuacj</w:t>
      </w:r>
      <w:r w:rsidR="00F133ED">
        <w:rPr>
          <w:rFonts w:ascii="Times New Roman" w:eastAsia="Calibri" w:hAnsi="Times New Roman" w:cs="Times New Roman"/>
          <w:sz w:val="24"/>
          <w:szCs w:val="24"/>
        </w:rPr>
        <w:t>ę</w:t>
      </w:r>
      <w:r>
        <w:rPr>
          <w:rFonts w:ascii="Times New Roman" w:eastAsia="Calibri" w:hAnsi="Times New Roman" w:cs="Times New Roman"/>
          <w:sz w:val="24"/>
          <w:szCs w:val="24"/>
        </w:rPr>
        <w:t xml:space="preserve"> zmian zaproponowanych w art. 47f oraz realizuje ten sam cel polegający na zapewnieniu skuteczności działań KNF w przedmiocie planów naprawy i realizacji środków wczesnej interwencji. </w:t>
      </w:r>
    </w:p>
    <w:p w14:paraId="20FB6C6C" w14:textId="3AA5B5C3" w:rsidR="00F133ED" w:rsidRDefault="00771297" w:rsidP="005E5395">
      <w:pPr>
        <w:autoSpaceDE w:val="0"/>
        <w:autoSpaceDN w:val="0"/>
        <w:adjustRightInd w:val="0"/>
        <w:spacing w:after="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W </w:t>
      </w:r>
      <w:r w:rsidRPr="0069297C">
        <w:rPr>
          <w:rFonts w:ascii="Times New Roman" w:eastAsia="Calibri" w:hAnsi="Times New Roman" w:cs="Times New Roman"/>
          <w:b/>
          <w:sz w:val="24"/>
          <w:szCs w:val="24"/>
        </w:rPr>
        <w:t>ust. 1</w:t>
      </w:r>
      <w:r>
        <w:rPr>
          <w:rFonts w:ascii="Times New Roman" w:eastAsia="Calibri" w:hAnsi="Times New Roman" w:cs="Times New Roman"/>
          <w:sz w:val="24"/>
          <w:szCs w:val="24"/>
        </w:rPr>
        <w:t xml:space="preserve"> </w:t>
      </w:r>
      <w:r w:rsidR="00F133ED">
        <w:rPr>
          <w:rFonts w:ascii="Times New Roman" w:eastAsia="Calibri" w:hAnsi="Times New Roman" w:cs="Times New Roman"/>
          <w:sz w:val="24"/>
          <w:szCs w:val="24"/>
        </w:rPr>
        <w:t xml:space="preserve">przewidziano, </w:t>
      </w:r>
      <w:r>
        <w:rPr>
          <w:rFonts w:ascii="Times New Roman" w:eastAsia="Calibri" w:hAnsi="Times New Roman" w:cs="Times New Roman"/>
          <w:sz w:val="24"/>
          <w:szCs w:val="24"/>
        </w:rPr>
        <w:t xml:space="preserve">że decyzje KNF w zakresie podlegają natychmiastowej wykonalności, co </w:t>
      </w:r>
      <w:r w:rsidR="00F133ED">
        <w:rPr>
          <w:rFonts w:ascii="Times New Roman" w:eastAsia="Calibri" w:hAnsi="Times New Roman" w:cs="Times New Roman"/>
          <w:sz w:val="24"/>
          <w:szCs w:val="24"/>
        </w:rPr>
        <w:t xml:space="preserve">nie powinno budzić zastrzeżeń </w:t>
      </w:r>
      <w:r>
        <w:rPr>
          <w:rFonts w:ascii="Times New Roman" w:eastAsia="Calibri" w:hAnsi="Times New Roman" w:cs="Times New Roman"/>
          <w:sz w:val="24"/>
          <w:szCs w:val="24"/>
        </w:rPr>
        <w:t>z punktu widzenia specyfiki tych procesów</w:t>
      </w:r>
      <w:r w:rsidR="00F133ED">
        <w:rPr>
          <w:rFonts w:ascii="Times New Roman" w:eastAsia="Calibri" w:hAnsi="Times New Roman" w:cs="Times New Roman"/>
          <w:sz w:val="24"/>
          <w:szCs w:val="24"/>
        </w:rPr>
        <w:t>. Maj</w:t>
      </w:r>
      <w:r w:rsidR="00436211">
        <w:rPr>
          <w:rFonts w:ascii="Times New Roman" w:eastAsia="Calibri" w:hAnsi="Times New Roman" w:cs="Times New Roman"/>
          <w:sz w:val="24"/>
          <w:szCs w:val="24"/>
        </w:rPr>
        <w:t>ą</w:t>
      </w:r>
      <w:r w:rsidR="00F133ED">
        <w:rPr>
          <w:rFonts w:ascii="Times New Roman" w:eastAsia="Calibri" w:hAnsi="Times New Roman" w:cs="Times New Roman"/>
          <w:sz w:val="24"/>
          <w:szCs w:val="24"/>
        </w:rPr>
        <w:t xml:space="preserve"> one bowiem </w:t>
      </w:r>
      <w:r>
        <w:rPr>
          <w:rFonts w:ascii="Times New Roman" w:eastAsia="Calibri" w:hAnsi="Times New Roman" w:cs="Times New Roman"/>
          <w:sz w:val="24"/>
          <w:szCs w:val="24"/>
        </w:rPr>
        <w:t xml:space="preserve"> w jak najkrótszym czasie skutkować zatrzymaniem pogarszania się sytuacji podmiotu</w:t>
      </w:r>
      <w:r w:rsidR="00F133ED">
        <w:rPr>
          <w:rFonts w:ascii="Times New Roman" w:eastAsia="Calibri" w:hAnsi="Times New Roman" w:cs="Times New Roman"/>
          <w:sz w:val="24"/>
          <w:szCs w:val="24"/>
        </w:rPr>
        <w:t xml:space="preserve"> w celu zapobieżenia jego</w:t>
      </w:r>
      <w:r w:rsidR="00436211">
        <w:rPr>
          <w:rFonts w:ascii="Times New Roman" w:eastAsia="Calibri" w:hAnsi="Times New Roman" w:cs="Times New Roman"/>
          <w:sz w:val="24"/>
          <w:szCs w:val="24"/>
        </w:rPr>
        <w:t xml:space="preserve"> </w:t>
      </w:r>
      <w:r>
        <w:rPr>
          <w:rFonts w:ascii="Times New Roman" w:eastAsia="Calibri" w:hAnsi="Times New Roman" w:cs="Times New Roman"/>
          <w:sz w:val="24"/>
          <w:szCs w:val="24"/>
        </w:rPr>
        <w:t>upadłości</w:t>
      </w:r>
      <w:r w:rsidR="00F133ED">
        <w:rPr>
          <w:rFonts w:ascii="Times New Roman" w:eastAsia="Calibri" w:hAnsi="Times New Roman" w:cs="Times New Roman"/>
          <w:sz w:val="24"/>
          <w:szCs w:val="24"/>
        </w:rPr>
        <w:t xml:space="preserve"> lub </w:t>
      </w:r>
      <w:r>
        <w:rPr>
          <w:rFonts w:ascii="Times New Roman" w:eastAsia="Calibri" w:hAnsi="Times New Roman" w:cs="Times New Roman"/>
          <w:sz w:val="24"/>
          <w:szCs w:val="24"/>
        </w:rPr>
        <w:t>podjęci</w:t>
      </w:r>
      <w:r w:rsidR="00F133ED">
        <w:rPr>
          <w:rFonts w:ascii="Times New Roman" w:eastAsia="Calibri" w:hAnsi="Times New Roman" w:cs="Times New Roman"/>
          <w:sz w:val="24"/>
          <w:szCs w:val="24"/>
        </w:rPr>
        <w:t xml:space="preserve">em radykalnych </w:t>
      </w:r>
      <w:r>
        <w:rPr>
          <w:rFonts w:ascii="Times New Roman" w:eastAsia="Calibri" w:hAnsi="Times New Roman" w:cs="Times New Roman"/>
          <w:sz w:val="24"/>
          <w:szCs w:val="24"/>
        </w:rPr>
        <w:t xml:space="preserve">środków w postaci restrukturyzacji i uporządkowanej likwidacji. </w:t>
      </w:r>
    </w:p>
    <w:p w14:paraId="796CF1B7" w14:textId="4E3F8DC1" w:rsidR="00771297" w:rsidRDefault="00771297" w:rsidP="005E5395">
      <w:pPr>
        <w:autoSpaceDE w:val="0"/>
        <w:autoSpaceDN w:val="0"/>
        <w:adjustRightInd w:val="0"/>
        <w:spacing w:after="12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Temu samemu celowi służy określona w </w:t>
      </w:r>
      <w:r w:rsidRPr="0069297C">
        <w:rPr>
          <w:rFonts w:ascii="Times New Roman" w:eastAsia="Calibri" w:hAnsi="Times New Roman" w:cs="Times New Roman"/>
          <w:b/>
          <w:sz w:val="24"/>
          <w:szCs w:val="24"/>
        </w:rPr>
        <w:t>ust. 2 i 3</w:t>
      </w:r>
      <w:r>
        <w:rPr>
          <w:rFonts w:ascii="Times New Roman" w:eastAsia="Calibri" w:hAnsi="Times New Roman" w:cs="Times New Roman"/>
          <w:sz w:val="24"/>
          <w:szCs w:val="24"/>
        </w:rPr>
        <w:t xml:space="preserve"> możliwość dostarczenia uzasadnienia decyzji w terminie 14 dni od dnia jej doręczenia. Późniejsze dostarczenie uzasadnienia jest </w:t>
      </w:r>
      <w:r w:rsidR="00F133ED">
        <w:rPr>
          <w:rFonts w:ascii="Times New Roman" w:eastAsia="Calibri" w:hAnsi="Times New Roman" w:cs="Times New Roman"/>
          <w:sz w:val="24"/>
          <w:szCs w:val="24"/>
        </w:rPr>
        <w:t xml:space="preserve">zasadą </w:t>
      </w:r>
      <w:r>
        <w:rPr>
          <w:rFonts w:ascii="Times New Roman" w:eastAsia="Calibri" w:hAnsi="Times New Roman" w:cs="Times New Roman"/>
          <w:sz w:val="24"/>
          <w:szCs w:val="24"/>
        </w:rPr>
        <w:t xml:space="preserve">w tego </w:t>
      </w:r>
      <w:r w:rsidR="00F133ED">
        <w:rPr>
          <w:rFonts w:ascii="Times New Roman" w:eastAsia="Calibri" w:hAnsi="Times New Roman" w:cs="Times New Roman"/>
          <w:sz w:val="24"/>
          <w:szCs w:val="24"/>
        </w:rPr>
        <w:t xml:space="preserve">rodzaju postępowaniach – </w:t>
      </w:r>
      <w:r>
        <w:rPr>
          <w:rFonts w:ascii="Times New Roman" w:eastAsia="Calibri" w:hAnsi="Times New Roman" w:cs="Times New Roman"/>
          <w:sz w:val="24"/>
          <w:szCs w:val="24"/>
        </w:rPr>
        <w:t xml:space="preserve"> podobnie </w:t>
      </w:r>
      <w:r w:rsidR="00F133ED">
        <w:rPr>
          <w:rFonts w:ascii="Times New Roman" w:eastAsia="Calibri" w:hAnsi="Times New Roman" w:cs="Times New Roman"/>
          <w:sz w:val="24"/>
          <w:szCs w:val="24"/>
        </w:rPr>
        <w:t xml:space="preserve">jak </w:t>
      </w:r>
      <w:r>
        <w:rPr>
          <w:rFonts w:ascii="Times New Roman" w:eastAsia="Calibri" w:hAnsi="Times New Roman" w:cs="Times New Roman"/>
          <w:sz w:val="24"/>
          <w:szCs w:val="24"/>
        </w:rPr>
        <w:t xml:space="preserve">w przypadku wczesnej interwencji oraz przymusowej restrukturyzacji banków i firm inwestycyjnych, a wynika to z dynamiki wydarzeń na rynku finansowym i często konieczności natychmiastowej reakcji ze strony </w:t>
      </w:r>
      <w:r w:rsidR="00436211">
        <w:rPr>
          <w:rFonts w:ascii="Times New Roman" w:eastAsia="Calibri" w:hAnsi="Times New Roman" w:cs="Times New Roman"/>
          <w:sz w:val="24"/>
          <w:szCs w:val="24"/>
        </w:rPr>
        <w:t>KNF</w:t>
      </w:r>
      <w:r>
        <w:rPr>
          <w:rFonts w:ascii="Times New Roman" w:eastAsia="Calibri" w:hAnsi="Times New Roman" w:cs="Times New Roman"/>
          <w:sz w:val="24"/>
          <w:szCs w:val="24"/>
        </w:rPr>
        <w:t xml:space="preserve">. </w:t>
      </w:r>
    </w:p>
    <w:p w14:paraId="6381EBF8" w14:textId="04102A90" w:rsidR="00771297" w:rsidRDefault="00771297" w:rsidP="005E5395">
      <w:pPr>
        <w:autoSpaceDE w:val="0"/>
        <w:autoSpaceDN w:val="0"/>
        <w:adjustRightInd w:val="0"/>
        <w:spacing w:after="12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Dodawany </w:t>
      </w:r>
      <w:r w:rsidRPr="004F5E17">
        <w:rPr>
          <w:rFonts w:ascii="Times New Roman" w:eastAsia="Calibri" w:hAnsi="Times New Roman" w:cs="Times New Roman"/>
          <w:b/>
          <w:sz w:val="24"/>
          <w:szCs w:val="24"/>
        </w:rPr>
        <w:t>art. 47h</w:t>
      </w:r>
      <w:r>
        <w:rPr>
          <w:rFonts w:ascii="Times New Roman" w:eastAsia="Calibri" w:hAnsi="Times New Roman" w:cs="Times New Roman"/>
          <w:b/>
          <w:sz w:val="24"/>
          <w:szCs w:val="24"/>
        </w:rPr>
        <w:t xml:space="preserve"> </w:t>
      </w:r>
      <w:r w:rsidR="00F133ED" w:rsidRPr="0069297C">
        <w:rPr>
          <w:rFonts w:ascii="Times New Roman" w:eastAsia="Calibri" w:hAnsi="Times New Roman" w:cs="Times New Roman"/>
          <w:sz w:val="24"/>
          <w:szCs w:val="24"/>
        </w:rPr>
        <w:t>przewiduje</w:t>
      </w:r>
      <w:r>
        <w:rPr>
          <w:rFonts w:ascii="Times New Roman" w:eastAsia="Calibri" w:hAnsi="Times New Roman" w:cs="Times New Roman"/>
          <w:sz w:val="24"/>
          <w:szCs w:val="24"/>
        </w:rPr>
        <w:t xml:space="preserve">, że do postepowań wskazanych w </w:t>
      </w:r>
      <w:r w:rsidRPr="00654FD1">
        <w:rPr>
          <w:rFonts w:ascii="Times New Roman" w:eastAsia="Calibri" w:hAnsi="Times New Roman" w:cs="Times New Roman"/>
          <w:sz w:val="24"/>
          <w:szCs w:val="24"/>
        </w:rPr>
        <w:t xml:space="preserve">art. 9–11, art. 18 i art. 19 rozporządzenia </w:t>
      </w:r>
      <w:r>
        <w:rPr>
          <w:rFonts w:ascii="Times New Roman" w:eastAsia="Calibri" w:hAnsi="Times New Roman" w:cs="Times New Roman"/>
          <w:sz w:val="24"/>
          <w:szCs w:val="24"/>
        </w:rPr>
        <w:t xml:space="preserve">nr </w:t>
      </w:r>
      <w:r w:rsidRPr="00654FD1">
        <w:rPr>
          <w:rFonts w:ascii="Times New Roman" w:eastAsia="Calibri" w:hAnsi="Times New Roman" w:cs="Times New Roman"/>
          <w:sz w:val="24"/>
          <w:szCs w:val="24"/>
        </w:rPr>
        <w:t>2021/23</w:t>
      </w:r>
      <w:r>
        <w:rPr>
          <w:rFonts w:ascii="Times New Roman" w:eastAsia="Calibri" w:hAnsi="Times New Roman" w:cs="Times New Roman"/>
          <w:sz w:val="24"/>
          <w:szCs w:val="24"/>
        </w:rPr>
        <w:t>, tj. post</w:t>
      </w:r>
      <w:r w:rsidR="00F133ED">
        <w:rPr>
          <w:rFonts w:ascii="Times New Roman" w:eastAsia="Calibri" w:hAnsi="Times New Roman" w:cs="Times New Roman"/>
          <w:sz w:val="24"/>
          <w:szCs w:val="24"/>
        </w:rPr>
        <w:t>ę</w:t>
      </w:r>
      <w:r>
        <w:rPr>
          <w:rFonts w:ascii="Times New Roman" w:eastAsia="Calibri" w:hAnsi="Times New Roman" w:cs="Times New Roman"/>
          <w:sz w:val="24"/>
          <w:szCs w:val="24"/>
        </w:rPr>
        <w:t xml:space="preserve">powań w zakresie planów naprawy i środków wczesnej interwencji, KNF nie stosuje także </w:t>
      </w:r>
      <w:r w:rsidRPr="00654FD1">
        <w:rPr>
          <w:rFonts w:ascii="Times New Roman" w:eastAsia="Calibri" w:hAnsi="Times New Roman" w:cs="Times New Roman"/>
          <w:sz w:val="24"/>
          <w:szCs w:val="24"/>
        </w:rPr>
        <w:t>art. 31 Kodeks</w:t>
      </w:r>
      <w:r w:rsidR="00F133ED">
        <w:rPr>
          <w:rFonts w:ascii="Times New Roman" w:eastAsia="Calibri" w:hAnsi="Times New Roman" w:cs="Times New Roman"/>
          <w:sz w:val="24"/>
          <w:szCs w:val="24"/>
        </w:rPr>
        <w:t>u</w:t>
      </w:r>
      <w:r w:rsidRPr="00654FD1">
        <w:rPr>
          <w:rFonts w:ascii="Times New Roman" w:eastAsia="Calibri" w:hAnsi="Times New Roman" w:cs="Times New Roman"/>
          <w:sz w:val="24"/>
          <w:szCs w:val="24"/>
        </w:rPr>
        <w:t xml:space="preserve"> postępowania administracyjnego</w:t>
      </w:r>
      <w:r w:rsidR="00F133ED">
        <w:rPr>
          <w:rFonts w:ascii="Times New Roman" w:eastAsia="Calibri" w:hAnsi="Times New Roman" w:cs="Times New Roman"/>
          <w:sz w:val="24"/>
          <w:szCs w:val="24"/>
        </w:rPr>
        <w:t xml:space="preserve"> – oznacza to  wyłączenie </w:t>
      </w:r>
      <w:r w:rsidR="00B9164D">
        <w:rPr>
          <w:rFonts w:ascii="Times New Roman" w:eastAsia="Calibri" w:hAnsi="Times New Roman" w:cs="Times New Roman"/>
          <w:sz w:val="24"/>
          <w:szCs w:val="24"/>
        </w:rPr>
        <w:t xml:space="preserve"> udziału w postę</w:t>
      </w:r>
      <w:r>
        <w:rPr>
          <w:rFonts w:ascii="Times New Roman" w:eastAsia="Calibri" w:hAnsi="Times New Roman" w:cs="Times New Roman"/>
          <w:sz w:val="24"/>
          <w:szCs w:val="24"/>
        </w:rPr>
        <w:t xml:space="preserve">powaniu organizacji społecznej. Nie ulega wątpliwości, że </w:t>
      </w:r>
      <w:r w:rsidR="00F133ED">
        <w:rPr>
          <w:rFonts w:ascii="Times New Roman" w:eastAsia="Calibri" w:hAnsi="Times New Roman" w:cs="Times New Roman"/>
          <w:sz w:val="24"/>
          <w:szCs w:val="24"/>
        </w:rPr>
        <w:t xml:space="preserve">omawiane </w:t>
      </w:r>
      <w:r>
        <w:rPr>
          <w:rFonts w:ascii="Times New Roman" w:eastAsia="Calibri" w:hAnsi="Times New Roman" w:cs="Times New Roman"/>
          <w:sz w:val="24"/>
          <w:szCs w:val="24"/>
        </w:rPr>
        <w:t xml:space="preserve">postępowania cechują się wysoką specjalizacją, mają </w:t>
      </w:r>
      <w:r w:rsidR="00F133ED">
        <w:rPr>
          <w:rFonts w:ascii="Times New Roman" w:eastAsia="Calibri" w:hAnsi="Times New Roman" w:cs="Times New Roman"/>
          <w:sz w:val="24"/>
          <w:szCs w:val="24"/>
        </w:rPr>
        <w:t xml:space="preserve">także </w:t>
      </w:r>
      <w:r>
        <w:rPr>
          <w:rFonts w:ascii="Times New Roman" w:eastAsia="Calibri" w:hAnsi="Times New Roman" w:cs="Times New Roman"/>
          <w:sz w:val="24"/>
          <w:szCs w:val="24"/>
        </w:rPr>
        <w:t xml:space="preserve">duży potencjał oddziaływania na inne podmioty, </w:t>
      </w:r>
      <w:r w:rsidR="007D6E10">
        <w:rPr>
          <w:rFonts w:ascii="Times New Roman" w:eastAsia="Calibri" w:hAnsi="Times New Roman" w:cs="Times New Roman"/>
          <w:sz w:val="24"/>
          <w:szCs w:val="24"/>
        </w:rPr>
        <w:t xml:space="preserve">w szczególności mogą oddziaływać </w:t>
      </w:r>
      <w:r>
        <w:rPr>
          <w:rFonts w:ascii="Times New Roman" w:eastAsia="Calibri" w:hAnsi="Times New Roman" w:cs="Times New Roman"/>
          <w:sz w:val="24"/>
          <w:szCs w:val="24"/>
        </w:rPr>
        <w:t>cenotwórczo na rynek</w:t>
      </w:r>
      <w:r w:rsidR="007D6E10">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 czy </w:t>
      </w:r>
      <w:r w:rsidR="007D6E10">
        <w:rPr>
          <w:rFonts w:ascii="Times New Roman" w:eastAsia="Calibri" w:hAnsi="Times New Roman" w:cs="Times New Roman"/>
          <w:sz w:val="24"/>
          <w:szCs w:val="24"/>
        </w:rPr>
        <w:t xml:space="preserve">implikować </w:t>
      </w:r>
      <w:r>
        <w:rPr>
          <w:rFonts w:ascii="Times New Roman" w:eastAsia="Calibri" w:hAnsi="Times New Roman" w:cs="Times New Roman"/>
          <w:sz w:val="24"/>
          <w:szCs w:val="24"/>
        </w:rPr>
        <w:t xml:space="preserve"> inne</w:t>
      </w:r>
      <w:r w:rsidR="007D6E10">
        <w:rPr>
          <w:rFonts w:ascii="Times New Roman" w:eastAsia="Calibri" w:hAnsi="Times New Roman" w:cs="Times New Roman"/>
          <w:sz w:val="24"/>
          <w:szCs w:val="24"/>
        </w:rPr>
        <w:t xml:space="preserve">go rodzaju skutki </w:t>
      </w:r>
      <w:r>
        <w:rPr>
          <w:rFonts w:ascii="Times New Roman" w:eastAsia="Calibri" w:hAnsi="Times New Roman" w:cs="Times New Roman"/>
          <w:sz w:val="24"/>
          <w:szCs w:val="24"/>
        </w:rPr>
        <w:t>destabilizujące</w:t>
      </w:r>
      <w:r w:rsidR="007D6E10">
        <w:rPr>
          <w:rFonts w:ascii="Times New Roman" w:eastAsia="Calibri" w:hAnsi="Times New Roman" w:cs="Times New Roman"/>
          <w:sz w:val="24"/>
          <w:szCs w:val="24"/>
        </w:rPr>
        <w:t xml:space="preserve"> rynek</w:t>
      </w:r>
      <w:r>
        <w:rPr>
          <w:rFonts w:ascii="Times New Roman" w:eastAsia="Calibri" w:hAnsi="Times New Roman" w:cs="Times New Roman"/>
          <w:sz w:val="24"/>
          <w:szCs w:val="24"/>
        </w:rPr>
        <w:t xml:space="preserve">. W tym kontekście udział organizacji społecznej, także z uwagi na </w:t>
      </w:r>
      <w:r w:rsidR="007D6E10">
        <w:rPr>
          <w:rFonts w:ascii="Times New Roman" w:eastAsia="Calibri" w:hAnsi="Times New Roman" w:cs="Times New Roman"/>
          <w:sz w:val="24"/>
          <w:szCs w:val="24"/>
        </w:rPr>
        <w:t xml:space="preserve">konieczność </w:t>
      </w:r>
      <w:r>
        <w:rPr>
          <w:rFonts w:ascii="Times New Roman" w:eastAsia="Calibri" w:hAnsi="Times New Roman" w:cs="Times New Roman"/>
          <w:sz w:val="24"/>
          <w:szCs w:val="24"/>
        </w:rPr>
        <w:t xml:space="preserve">szybkości i efektywności postępowania, nie jest wskazany. Jest to rozwiązanie spójne z </w:t>
      </w:r>
      <w:r w:rsidR="007D6E10">
        <w:rPr>
          <w:rFonts w:ascii="Times New Roman" w:eastAsia="Calibri" w:hAnsi="Times New Roman" w:cs="Times New Roman"/>
          <w:sz w:val="24"/>
          <w:szCs w:val="24"/>
        </w:rPr>
        <w:t xml:space="preserve">regulacjami </w:t>
      </w:r>
      <w:r>
        <w:rPr>
          <w:rFonts w:ascii="Times New Roman" w:eastAsia="Calibri" w:hAnsi="Times New Roman" w:cs="Times New Roman"/>
          <w:sz w:val="24"/>
          <w:szCs w:val="24"/>
        </w:rPr>
        <w:t xml:space="preserve">przyjętymi dla wczesnej interwencji i przymusowej restrukturyzacji banków i firm inwestycyjnych. </w:t>
      </w:r>
      <w:r w:rsidRPr="00DA143D">
        <w:rPr>
          <w:rFonts w:ascii="Times New Roman" w:eastAsia="Calibri" w:hAnsi="Times New Roman" w:cs="Times New Roman"/>
          <w:sz w:val="24"/>
          <w:szCs w:val="24"/>
        </w:rPr>
        <w:t>Należy podkreślić, ż</w:t>
      </w:r>
      <w:r w:rsidR="007D6E10">
        <w:rPr>
          <w:rFonts w:ascii="Times New Roman" w:eastAsia="Calibri" w:hAnsi="Times New Roman" w:cs="Times New Roman"/>
          <w:sz w:val="24"/>
          <w:szCs w:val="24"/>
        </w:rPr>
        <w:t>e</w:t>
      </w:r>
      <w:r w:rsidRPr="00DA143D">
        <w:rPr>
          <w:rFonts w:ascii="Times New Roman" w:eastAsia="Calibri" w:hAnsi="Times New Roman" w:cs="Times New Roman"/>
          <w:sz w:val="24"/>
          <w:szCs w:val="24"/>
        </w:rPr>
        <w:t xml:space="preserve"> </w:t>
      </w:r>
      <w:r>
        <w:rPr>
          <w:rFonts w:ascii="Times New Roman" w:eastAsia="Calibri" w:hAnsi="Times New Roman" w:cs="Times New Roman"/>
          <w:sz w:val="24"/>
          <w:szCs w:val="24"/>
        </w:rPr>
        <w:t>zaproponowane przepisy</w:t>
      </w:r>
      <w:r w:rsidRPr="00DA143D">
        <w:rPr>
          <w:rFonts w:ascii="Times New Roman" w:eastAsia="Calibri" w:hAnsi="Times New Roman" w:cs="Times New Roman"/>
          <w:sz w:val="24"/>
          <w:szCs w:val="24"/>
        </w:rPr>
        <w:t xml:space="preserve"> regulują sytuację wyjątkową, dopuszczalną tylko w</w:t>
      </w:r>
      <w:r w:rsidR="00436211">
        <w:rPr>
          <w:rFonts w:ascii="Times New Roman" w:eastAsia="Calibri" w:hAnsi="Times New Roman" w:cs="Times New Roman"/>
          <w:sz w:val="24"/>
          <w:szCs w:val="24"/>
        </w:rPr>
        <w:t xml:space="preserve"> przypadku</w:t>
      </w:r>
      <w:r w:rsidRPr="00DA143D">
        <w:rPr>
          <w:rFonts w:ascii="Times New Roman" w:eastAsia="Calibri" w:hAnsi="Times New Roman" w:cs="Times New Roman"/>
          <w:sz w:val="24"/>
          <w:szCs w:val="24"/>
        </w:rPr>
        <w:t xml:space="preserve">, gdy </w:t>
      </w:r>
      <w:r>
        <w:rPr>
          <w:rFonts w:ascii="Times New Roman" w:eastAsia="Calibri" w:hAnsi="Times New Roman" w:cs="Times New Roman"/>
          <w:sz w:val="24"/>
          <w:szCs w:val="24"/>
        </w:rPr>
        <w:t>podejmowane działania</w:t>
      </w:r>
      <w:r w:rsidRPr="00DA143D">
        <w:rPr>
          <w:rFonts w:ascii="Times New Roman" w:eastAsia="Calibri" w:hAnsi="Times New Roman" w:cs="Times New Roman"/>
          <w:sz w:val="24"/>
          <w:szCs w:val="24"/>
        </w:rPr>
        <w:t xml:space="preserve"> ma</w:t>
      </w:r>
      <w:r>
        <w:rPr>
          <w:rFonts w:ascii="Times New Roman" w:eastAsia="Calibri" w:hAnsi="Times New Roman" w:cs="Times New Roman"/>
          <w:sz w:val="24"/>
          <w:szCs w:val="24"/>
        </w:rPr>
        <w:t>ją</w:t>
      </w:r>
      <w:r w:rsidRPr="00DA143D">
        <w:rPr>
          <w:rFonts w:ascii="Times New Roman" w:eastAsia="Calibri" w:hAnsi="Times New Roman" w:cs="Times New Roman"/>
          <w:sz w:val="24"/>
          <w:szCs w:val="24"/>
        </w:rPr>
        <w:t xml:space="preserve"> zapobiec niebezpieczeństwu dla rynku finansowego</w:t>
      </w:r>
      <w:r>
        <w:rPr>
          <w:rFonts w:ascii="Times New Roman" w:eastAsia="Calibri" w:hAnsi="Times New Roman" w:cs="Times New Roman"/>
          <w:sz w:val="24"/>
          <w:szCs w:val="24"/>
        </w:rPr>
        <w:t>.</w:t>
      </w:r>
    </w:p>
    <w:p w14:paraId="02940D81" w14:textId="77777777" w:rsidR="00494F10" w:rsidRDefault="00771297" w:rsidP="005E5395">
      <w:pPr>
        <w:autoSpaceDE w:val="0"/>
        <w:autoSpaceDN w:val="0"/>
        <w:adjustRightInd w:val="0"/>
        <w:spacing w:after="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Dodawany </w:t>
      </w:r>
      <w:r w:rsidRPr="00DA143D">
        <w:rPr>
          <w:rFonts w:ascii="Times New Roman" w:eastAsia="Calibri" w:hAnsi="Times New Roman" w:cs="Times New Roman"/>
          <w:b/>
          <w:sz w:val="24"/>
          <w:szCs w:val="24"/>
        </w:rPr>
        <w:t>art. 47i</w:t>
      </w:r>
      <w:r>
        <w:rPr>
          <w:rFonts w:ascii="Times New Roman" w:eastAsia="Calibri" w:hAnsi="Times New Roman" w:cs="Times New Roman"/>
          <w:sz w:val="24"/>
          <w:szCs w:val="24"/>
        </w:rPr>
        <w:t xml:space="preserve"> dotyczy doręcz</w:t>
      </w:r>
      <w:r w:rsidR="00F133ED">
        <w:rPr>
          <w:rFonts w:ascii="Times New Roman" w:eastAsia="Calibri" w:hAnsi="Times New Roman" w:cs="Times New Roman"/>
          <w:sz w:val="24"/>
          <w:szCs w:val="24"/>
        </w:rPr>
        <w:t xml:space="preserve">ania </w:t>
      </w:r>
      <w:r>
        <w:rPr>
          <w:rFonts w:ascii="Times New Roman" w:eastAsia="Calibri" w:hAnsi="Times New Roman" w:cs="Times New Roman"/>
          <w:sz w:val="24"/>
          <w:szCs w:val="24"/>
        </w:rPr>
        <w:t xml:space="preserve">pism </w:t>
      </w:r>
      <w:r w:rsidRPr="00DA143D">
        <w:rPr>
          <w:rFonts w:ascii="Times New Roman" w:eastAsia="Calibri" w:hAnsi="Times New Roman" w:cs="Times New Roman"/>
          <w:sz w:val="24"/>
          <w:szCs w:val="24"/>
        </w:rPr>
        <w:t xml:space="preserve">w postępowaniach prowadzonych na podstawie art. 9–11, art. 18 i art. 19 rozporządzenia </w:t>
      </w:r>
      <w:r>
        <w:rPr>
          <w:rFonts w:ascii="Times New Roman" w:eastAsia="Calibri" w:hAnsi="Times New Roman" w:cs="Times New Roman"/>
          <w:sz w:val="24"/>
          <w:szCs w:val="24"/>
        </w:rPr>
        <w:t xml:space="preserve">nr </w:t>
      </w:r>
      <w:r w:rsidRPr="00DA143D">
        <w:rPr>
          <w:rFonts w:ascii="Times New Roman" w:eastAsia="Calibri" w:hAnsi="Times New Roman" w:cs="Times New Roman"/>
          <w:sz w:val="24"/>
          <w:szCs w:val="24"/>
        </w:rPr>
        <w:t>2021/23</w:t>
      </w:r>
      <w:r>
        <w:rPr>
          <w:rFonts w:ascii="Times New Roman" w:eastAsia="Calibri" w:hAnsi="Times New Roman" w:cs="Times New Roman"/>
          <w:sz w:val="24"/>
          <w:szCs w:val="24"/>
        </w:rPr>
        <w:t>.</w:t>
      </w:r>
      <w:r w:rsidR="00AB1420" w:rsidRPr="00D92FC1">
        <w:rPr>
          <w:rFonts w:ascii="Times New Roman" w:eastAsia="Calibri" w:hAnsi="Times New Roman" w:cs="Times New Roman"/>
          <w:sz w:val="24"/>
          <w:szCs w:val="24"/>
        </w:rPr>
        <w:t xml:space="preserve"> </w:t>
      </w:r>
    </w:p>
    <w:p w14:paraId="75DACEA0" w14:textId="46C17F31" w:rsidR="00494F10" w:rsidRDefault="003A4CD8" w:rsidP="005E5395">
      <w:pPr>
        <w:autoSpaceDE w:val="0"/>
        <w:autoSpaceDN w:val="0"/>
        <w:adjustRightInd w:val="0"/>
        <w:spacing w:after="0" w:line="360" w:lineRule="auto"/>
        <w:jc w:val="both"/>
        <w:rPr>
          <w:rFonts w:ascii="Times New Roman" w:eastAsia="Calibri" w:hAnsi="Times New Roman" w:cs="Times New Roman"/>
          <w:sz w:val="24"/>
          <w:szCs w:val="24"/>
        </w:rPr>
      </w:pPr>
      <w:r w:rsidRPr="003A4CD8">
        <w:rPr>
          <w:rFonts w:ascii="Times New Roman" w:eastAsia="Calibri" w:hAnsi="Times New Roman" w:cs="Times New Roman"/>
          <w:sz w:val="24"/>
          <w:szCs w:val="24"/>
        </w:rPr>
        <w:t>Regulacje te są analogiczne do przepisów dotyczących przymusowej restrukturyzacji firm inwestycyjnych zawartych w art. 110zzg ustawy o obrocie instrumentami finansowymi, co zapewni systemow</w:t>
      </w:r>
      <w:r w:rsidR="00494F10">
        <w:rPr>
          <w:rFonts w:ascii="Times New Roman" w:eastAsia="Calibri" w:hAnsi="Times New Roman" w:cs="Times New Roman"/>
          <w:sz w:val="24"/>
          <w:szCs w:val="24"/>
        </w:rPr>
        <w:t>ą</w:t>
      </w:r>
      <w:r w:rsidRPr="003A4CD8">
        <w:rPr>
          <w:rFonts w:ascii="Times New Roman" w:eastAsia="Calibri" w:hAnsi="Times New Roman" w:cs="Times New Roman"/>
          <w:sz w:val="24"/>
          <w:szCs w:val="24"/>
        </w:rPr>
        <w:t xml:space="preserve"> spójność proponowanych rozwiązań</w:t>
      </w:r>
      <w:r w:rsidR="00494F10">
        <w:rPr>
          <w:rFonts w:ascii="Times New Roman" w:eastAsia="Calibri" w:hAnsi="Times New Roman" w:cs="Times New Roman"/>
          <w:sz w:val="24"/>
          <w:szCs w:val="24"/>
        </w:rPr>
        <w:t xml:space="preserve">, </w:t>
      </w:r>
      <w:r w:rsidRPr="003A4CD8">
        <w:rPr>
          <w:rFonts w:ascii="Times New Roman" w:eastAsia="Calibri" w:hAnsi="Times New Roman" w:cs="Times New Roman"/>
          <w:sz w:val="24"/>
          <w:szCs w:val="24"/>
        </w:rPr>
        <w:t>także w postępowa</w:t>
      </w:r>
      <w:r w:rsidR="00494F10">
        <w:rPr>
          <w:rFonts w:ascii="Times New Roman" w:eastAsia="Calibri" w:hAnsi="Times New Roman" w:cs="Times New Roman"/>
          <w:sz w:val="24"/>
          <w:szCs w:val="24"/>
        </w:rPr>
        <w:t xml:space="preserve">niach </w:t>
      </w:r>
      <w:r w:rsidRPr="003A4CD8">
        <w:rPr>
          <w:rFonts w:ascii="Times New Roman" w:eastAsia="Calibri" w:hAnsi="Times New Roman" w:cs="Times New Roman"/>
          <w:sz w:val="24"/>
          <w:szCs w:val="24"/>
        </w:rPr>
        <w:t>administracyjnych prowadzonych zgodnie z przepisami rozporządzenia nr 2021/23. Zaproponowane rozwiązania zapewnią bezpieczeństwo i pewność obrotu gospodarczego</w:t>
      </w:r>
      <w:r w:rsidR="00494F10">
        <w:rPr>
          <w:rFonts w:ascii="Times New Roman" w:eastAsia="Calibri" w:hAnsi="Times New Roman" w:cs="Times New Roman"/>
          <w:sz w:val="24"/>
          <w:szCs w:val="24"/>
        </w:rPr>
        <w:t>,</w:t>
      </w:r>
      <w:r w:rsidRPr="003A4CD8">
        <w:rPr>
          <w:rFonts w:ascii="Times New Roman" w:eastAsia="Calibri" w:hAnsi="Times New Roman" w:cs="Times New Roman"/>
          <w:sz w:val="24"/>
          <w:szCs w:val="24"/>
        </w:rPr>
        <w:t xml:space="preserve"> a także pozwolą KNF sprawnie i efektywnie realizować kompetencje w sprawach określanych jako wczesna interwencja (tzw. </w:t>
      </w:r>
      <w:r w:rsidRPr="00491834">
        <w:rPr>
          <w:rFonts w:ascii="Times New Roman" w:eastAsia="Calibri" w:hAnsi="Times New Roman" w:cs="Times New Roman"/>
          <w:i/>
          <w:sz w:val="24"/>
          <w:szCs w:val="24"/>
        </w:rPr>
        <w:t>early intervention</w:t>
      </w:r>
      <w:r w:rsidRPr="003A4CD8">
        <w:rPr>
          <w:rFonts w:ascii="Times New Roman" w:eastAsia="Calibri" w:hAnsi="Times New Roman" w:cs="Times New Roman"/>
          <w:sz w:val="24"/>
          <w:szCs w:val="24"/>
        </w:rPr>
        <w:t>), tj. dbani</w:t>
      </w:r>
      <w:r w:rsidR="00494F10">
        <w:rPr>
          <w:rFonts w:ascii="Times New Roman" w:eastAsia="Calibri" w:hAnsi="Times New Roman" w:cs="Times New Roman"/>
          <w:sz w:val="24"/>
          <w:szCs w:val="24"/>
        </w:rPr>
        <w:t>e</w:t>
      </w:r>
      <w:r w:rsidRPr="003A4CD8">
        <w:rPr>
          <w:rFonts w:ascii="Times New Roman" w:eastAsia="Calibri" w:hAnsi="Times New Roman" w:cs="Times New Roman"/>
          <w:sz w:val="24"/>
          <w:szCs w:val="24"/>
        </w:rPr>
        <w:t xml:space="preserve"> o interes wszystkich uczestników rynku finansowego i </w:t>
      </w:r>
      <w:r w:rsidR="00494F10">
        <w:rPr>
          <w:rFonts w:ascii="Times New Roman" w:eastAsia="Calibri" w:hAnsi="Times New Roman" w:cs="Times New Roman"/>
          <w:sz w:val="24"/>
          <w:szCs w:val="24"/>
        </w:rPr>
        <w:t xml:space="preserve">podejmowanie </w:t>
      </w:r>
      <w:r w:rsidRPr="003A4CD8">
        <w:rPr>
          <w:rFonts w:ascii="Times New Roman" w:eastAsia="Calibri" w:hAnsi="Times New Roman" w:cs="Times New Roman"/>
          <w:sz w:val="24"/>
          <w:szCs w:val="24"/>
        </w:rPr>
        <w:t>działa</w:t>
      </w:r>
      <w:r w:rsidR="00494F10">
        <w:rPr>
          <w:rFonts w:ascii="Times New Roman" w:eastAsia="Calibri" w:hAnsi="Times New Roman" w:cs="Times New Roman"/>
          <w:sz w:val="24"/>
          <w:szCs w:val="24"/>
        </w:rPr>
        <w:t>ń</w:t>
      </w:r>
      <w:r w:rsidRPr="003A4CD8">
        <w:rPr>
          <w:rFonts w:ascii="Times New Roman" w:eastAsia="Calibri" w:hAnsi="Times New Roman" w:cs="Times New Roman"/>
          <w:sz w:val="24"/>
          <w:szCs w:val="24"/>
        </w:rPr>
        <w:t xml:space="preserve"> na rzecz poprawy sytuacji podmiotu nadzorowanego zanim ulegnie ona nieodwracalnemu pogorszeniu. </w:t>
      </w:r>
    </w:p>
    <w:p w14:paraId="57057C39" w14:textId="0125E066" w:rsidR="00AB1420" w:rsidRPr="00D92FC1" w:rsidRDefault="00494F10" w:rsidP="005E5395">
      <w:pPr>
        <w:autoSpaceDE w:val="0"/>
        <w:autoSpaceDN w:val="0"/>
        <w:adjustRightInd w:val="0"/>
        <w:spacing w:after="12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Z </w:t>
      </w:r>
      <w:r w:rsidR="003A4CD8" w:rsidRPr="003A4CD8">
        <w:rPr>
          <w:rFonts w:ascii="Times New Roman" w:eastAsia="Calibri" w:hAnsi="Times New Roman" w:cs="Times New Roman"/>
          <w:sz w:val="24"/>
          <w:szCs w:val="24"/>
        </w:rPr>
        <w:t xml:space="preserve">uwagi na specyfikę zjawisk występujących na rynku finansowym standardowy termin </w:t>
      </w:r>
      <w:r>
        <w:rPr>
          <w:rFonts w:ascii="Times New Roman" w:eastAsia="Calibri" w:hAnsi="Times New Roman" w:cs="Times New Roman"/>
          <w:sz w:val="24"/>
          <w:szCs w:val="24"/>
        </w:rPr>
        <w:t xml:space="preserve">tzw. </w:t>
      </w:r>
      <w:r w:rsidR="003A4CD8" w:rsidRPr="003A4CD8">
        <w:rPr>
          <w:rFonts w:ascii="Times New Roman" w:eastAsia="Calibri" w:hAnsi="Times New Roman" w:cs="Times New Roman"/>
          <w:sz w:val="24"/>
          <w:szCs w:val="24"/>
        </w:rPr>
        <w:t>fikcji doręczenia mógłby generować określone ryzyka, także (w skrajnych przypadkach) związan</w:t>
      </w:r>
      <w:r>
        <w:rPr>
          <w:rFonts w:ascii="Times New Roman" w:eastAsia="Calibri" w:hAnsi="Times New Roman" w:cs="Times New Roman"/>
          <w:sz w:val="24"/>
          <w:szCs w:val="24"/>
        </w:rPr>
        <w:t>e</w:t>
      </w:r>
      <w:r w:rsidR="003A4CD8" w:rsidRPr="003A4CD8">
        <w:rPr>
          <w:rFonts w:ascii="Times New Roman" w:eastAsia="Calibri" w:hAnsi="Times New Roman" w:cs="Times New Roman"/>
          <w:sz w:val="24"/>
          <w:szCs w:val="24"/>
        </w:rPr>
        <w:t xml:space="preserve"> z możliwością wystąpienia efektu zarażenia oraz znacznego utrudnienia przez podmiot nadzorowany realizowania przez KNF jego mandatu nadzorcy rynku. </w:t>
      </w:r>
    </w:p>
    <w:p w14:paraId="087B866E" w14:textId="30BC0B20" w:rsidR="00AB1420" w:rsidRPr="00D92FC1" w:rsidRDefault="00AB1420" w:rsidP="005E5395">
      <w:pPr>
        <w:pStyle w:val="Tekstpodstawowy1"/>
        <w:spacing w:after="120" w:line="360" w:lineRule="auto"/>
        <w:ind w:firstLine="0"/>
        <w:jc w:val="both"/>
        <w:rPr>
          <w:rFonts w:ascii="Times New Roman" w:hAnsi="Times New Roman" w:cs="Times New Roman"/>
          <w:szCs w:val="24"/>
        </w:rPr>
      </w:pPr>
      <w:r w:rsidRPr="00D92FC1">
        <w:rPr>
          <w:rFonts w:ascii="Times New Roman" w:hAnsi="Times New Roman" w:cs="Times New Roman"/>
          <w:szCs w:val="24"/>
        </w:rPr>
        <w:t xml:space="preserve">Proponowane zmiany </w:t>
      </w:r>
      <w:r w:rsidRPr="00D92FC1">
        <w:rPr>
          <w:rFonts w:ascii="Times New Roman" w:eastAsiaTheme="minorEastAsia" w:hAnsi="Times New Roman" w:cs="Times New Roman"/>
          <w:bCs/>
          <w:szCs w:val="24"/>
        </w:rPr>
        <w:t xml:space="preserve">w </w:t>
      </w:r>
      <w:r w:rsidRPr="00D92FC1">
        <w:rPr>
          <w:rFonts w:ascii="Times New Roman" w:eastAsiaTheme="minorEastAsia" w:hAnsi="Times New Roman" w:cs="Times New Roman"/>
          <w:b/>
          <w:bCs/>
          <w:szCs w:val="24"/>
        </w:rPr>
        <w:t>art. 106</w:t>
      </w:r>
      <w:r w:rsidRPr="00D92FC1">
        <w:rPr>
          <w:rFonts w:ascii="Times New Roman" w:eastAsiaTheme="minorEastAsia" w:hAnsi="Times New Roman" w:cs="Times New Roman"/>
          <w:bCs/>
          <w:szCs w:val="24"/>
        </w:rPr>
        <w:t xml:space="preserve"> ust. 4 </w:t>
      </w:r>
      <w:r w:rsidRPr="00D92FC1">
        <w:rPr>
          <w:rFonts w:ascii="Times New Roman" w:hAnsi="Times New Roman" w:cs="Times New Roman"/>
          <w:szCs w:val="24"/>
        </w:rPr>
        <w:t>dotyczą obowiązków nabywcy akcji domu maklerskiego w trybie konwersji obligacji kapitałowej na akcje. Jest to rozwiązanie analogiczne do art. 25 ustawy – Prawo bankowe.</w:t>
      </w:r>
    </w:p>
    <w:p w14:paraId="05E0D6C6" w14:textId="77777777" w:rsidR="00AB1420" w:rsidRPr="00D92FC1" w:rsidRDefault="00AB1420" w:rsidP="005E5395">
      <w:pPr>
        <w:suppressAutoHyphens/>
        <w:autoSpaceDE w:val="0"/>
        <w:autoSpaceDN w:val="0"/>
        <w:adjustRightInd w:val="0"/>
        <w:spacing w:after="120" w:line="360" w:lineRule="auto"/>
        <w:jc w:val="both"/>
        <w:rPr>
          <w:rFonts w:ascii="Times New Roman" w:eastAsiaTheme="minorEastAsia" w:hAnsi="Times New Roman" w:cs="Times New Roman"/>
          <w:sz w:val="24"/>
          <w:szCs w:val="24"/>
        </w:rPr>
      </w:pPr>
      <w:r w:rsidRPr="00D92FC1">
        <w:rPr>
          <w:rFonts w:ascii="Times New Roman" w:eastAsiaTheme="minorEastAsia" w:hAnsi="Times New Roman" w:cs="Times New Roman"/>
          <w:sz w:val="24"/>
          <w:szCs w:val="24"/>
        </w:rPr>
        <w:t xml:space="preserve">Dodawane </w:t>
      </w:r>
      <w:r w:rsidRPr="00D92FC1">
        <w:rPr>
          <w:rFonts w:ascii="Times New Roman" w:eastAsiaTheme="minorEastAsia" w:hAnsi="Times New Roman" w:cs="Times New Roman"/>
          <w:b/>
          <w:sz w:val="24"/>
          <w:szCs w:val="24"/>
        </w:rPr>
        <w:t xml:space="preserve">art. 110eb–110eg </w:t>
      </w:r>
      <w:r w:rsidRPr="00D92FC1">
        <w:rPr>
          <w:rFonts w:ascii="Times New Roman" w:eastAsiaTheme="minorEastAsia" w:hAnsi="Times New Roman" w:cs="Times New Roman"/>
          <w:sz w:val="24"/>
          <w:szCs w:val="24"/>
        </w:rPr>
        <w:t>wprowadzają regulacje dotyczące pożyczki podporządkowanej. Jest to rozwiązanie analogiczne do art. 127a–127f ustawy – Prawo bankowe.</w:t>
      </w:r>
    </w:p>
    <w:p w14:paraId="1D9C0EDF" w14:textId="77777777" w:rsidR="00AB1420" w:rsidRPr="00D92FC1" w:rsidRDefault="00AB1420" w:rsidP="005E5395">
      <w:pPr>
        <w:spacing w:after="0" w:line="360" w:lineRule="auto"/>
        <w:jc w:val="both"/>
        <w:rPr>
          <w:rFonts w:ascii="Times New Roman" w:hAnsi="Times New Roman" w:cs="Times New Roman"/>
          <w:sz w:val="24"/>
          <w:szCs w:val="24"/>
        </w:rPr>
      </w:pPr>
      <w:r w:rsidRPr="00D92FC1">
        <w:rPr>
          <w:rFonts w:ascii="Times New Roman" w:hAnsi="Times New Roman" w:cs="Times New Roman"/>
          <w:sz w:val="24"/>
          <w:szCs w:val="24"/>
        </w:rPr>
        <w:lastRenderedPageBreak/>
        <w:t>Zgodnie z dodawanym</w:t>
      </w:r>
      <w:r w:rsidRPr="00D92FC1">
        <w:rPr>
          <w:rFonts w:ascii="Times New Roman" w:hAnsi="Times New Roman" w:cs="Times New Roman"/>
          <w:b/>
          <w:sz w:val="24"/>
          <w:szCs w:val="24"/>
        </w:rPr>
        <w:t xml:space="preserve"> art. 150 ust. 1 pkt 11a </w:t>
      </w:r>
      <w:r w:rsidRPr="00D92FC1">
        <w:rPr>
          <w:rFonts w:ascii="Times New Roman" w:hAnsi="Times New Roman" w:cs="Times New Roman"/>
          <w:sz w:val="24"/>
          <w:szCs w:val="24"/>
        </w:rPr>
        <w:t>nie naruszy tajemnicy zawodowej przekazywanie informacji stanowiących tajemnicę przez Krajowy Depozyt Papierów Wartościowych SA lub spółkę, której przekazał on wykonywanie czynności z zakresu zadań, o których mowa w art. 48 ust. 1 pkt 1–6, a także przez uczestników Krajowego Depozytu Papierów Wartościowych S.A. (lub tej spółki) spółce, której zarząd podjął uchwałę o przyznaniu akcji na zasadach określonych w warunkach emisji obligacji kapitałowych, w przypadku i zakresie określonym w art. 454</w:t>
      </w:r>
      <w:r w:rsidRPr="00D92FC1">
        <w:rPr>
          <w:rFonts w:ascii="Times New Roman" w:hAnsi="Times New Roman" w:cs="Times New Roman"/>
          <w:sz w:val="24"/>
          <w:szCs w:val="24"/>
          <w:vertAlign w:val="superscript"/>
        </w:rPr>
        <w:t>5</w:t>
      </w:r>
      <w:r w:rsidRPr="00D92FC1">
        <w:rPr>
          <w:rFonts w:ascii="Times New Roman" w:hAnsi="Times New Roman" w:cs="Times New Roman"/>
          <w:sz w:val="24"/>
          <w:szCs w:val="24"/>
        </w:rPr>
        <w:t xml:space="preserve"> Kodeksu spółek handlowych. Przepis ma na celu wyłączenie zastosowania tajemnicy zawodowej w przypadku, gdy nastąpi przekazanie określonych w przepisie informacji.</w:t>
      </w:r>
    </w:p>
    <w:p w14:paraId="1AD06CBC" w14:textId="48E833D3" w:rsidR="009832D0" w:rsidRDefault="00AB1420" w:rsidP="005E5395">
      <w:pPr>
        <w:autoSpaceDE w:val="0"/>
        <w:autoSpaceDN w:val="0"/>
        <w:adjustRightInd w:val="0"/>
        <w:spacing w:line="360" w:lineRule="auto"/>
        <w:jc w:val="both"/>
        <w:rPr>
          <w:rFonts w:ascii="Times New Roman" w:eastAsia="Calibri" w:hAnsi="Times New Roman" w:cs="Times New Roman"/>
          <w:sz w:val="24"/>
          <w:szCs w:val="24"/>
        </w:rPr>
      </w:pPr>
      <w:r w:rsidRPr="00D92FC1">
        <w:rPr>
          <w:rFonts w:ascii="Times New Roman" w:eastAsia="Calibri" w:hAnsi="Times New Roman" w:cs="Times New Roman"/>
          <w:sz w:val="24"/>
          <w:szCs w:val="24"/>
        </w:rPr>
        <w:t xml:space="preserve">Zmiany w </w:t>
      </w:r>
      <w:r w:rsidRPr="004F5B6D">
        <w:rPr>
          <w:rFonts w:ascii="Times New Roman" w:eastAsia="Calibri" w:hAnsi="Times New Roman" w:cs="Times New Roman"/>
          <w:sz w:val="24"/>
          <w:szCs w:val="24"/>
        </w:rPr>
        <w:t>ust. 1</w:t>
      </w:r>
      <w:r w:rsidRPr="00D92FC1">
        <w:rPr>
          <w:rFonts w:ascii="Times New Roman" w:eastAsia="Calibri" w:hAnsi="Times New Roman" w:cs="Times New Roman"/>
          <w:b/>
          <w:sz w:val="24"/>
          <w:szCs w:val="24"/>
        </w:rPr>
        <w:t xml:space="preserve"> pkt 15 i 21 </w:t>
      </w:r>
      <w:r w:rsidRPr="00D92FC1">
        <w:rPr>
          <w:rFonts w:ascii="Times New Roman" w:eastAsia="Calibri" w:hAnsi="Times New Roman" w:cs="Times New Roman"/>
          <w:sz w:val="24"/>
          <w:szCs w:val="24"/>
        </w:rPr>
        <w:t xml:space="preserve">mają charakter porządkowy </w:t>
      </w:r>
      <w:r>
        <w:rPr>
          <w:rFonts w:ascii="Times New Roman" w:eastAsia="Calibri" w:hAnsi="Times New Roman" w:cs="Times New Roman"/>
          <w:sz w:val="24"/>
          <w:szCs w:val="24"/>
        </w:rPr>
        <w:t xml:space="preserve">– ich uzupełnienie wynika z konieczności uwzględnienia </w:t>
      </w:r>
      <w:r w:rsidRPr="00D92FC1">
        <w:rPr>
          <w:rFonts w:ascii="Times New Roman" w:eastAsia="Calibri" w:hAnsi="Times New Roman" w:cs="Times New Roman"/>
          <w:sz w:val="24"/>
          <w:szCs w:val="24"/>
        </w:rPr>
        <w:t>ustanowienia organu właściwego do spraw restrukturyzacji i uporządkowanej likwidacji CCP.</w:t>
      </w:r>
    </w:p>
    <w:p w14:paraId="72F7BBDD" w14:textId="5610C348" w:rsidR="0062586F" w:rsidRPr="005F7CE5" w:rsidRDefault="004035A4" w:rsidP="005E5395">
      <w:pPr>
        <w:autoSpaceDE w:val="0"/>
        <w:autoSpaceDN w:val="0"/>
        <w:adjustRightInd w:val="0"/>
        <w:spacing w:after="120" w:line="360" w:lineRule="auto"/>
        <w:jc w:val="both"/>
        <w:rPr>
          <w:rFonts w:ascii="Times New Roman" w:hAnsi="Times New Roman" w:cs="Times New Roman"/>
          <w:sz w:val="24"/>
          <w:szCs w:val="24"/>
        </w:rPr>
      </w:pPr>
      <w:r w:rsidRPr="004035A4">
        <w:rPr>
          <w:rFonts w:ascii="Times New Roman" w:eastAsia="Calibri" w:hAnsi="Times New Roman" w:cs="Times New Roman"/>
          <w:sz w:val="24"/>
          <w:szCs w:val="24"/>
        </w:rPr>
        <w:t xml:space="preserve">Ze względu na międzysektorowy charakter obligacji kapitałowej, która może być emitowana przez ściśle określony krąg podmiotów nadzorowanych, konieczne jest </w:t>
      </w:r>
      <w:r w:rsidR="00491834">
        <w:rPr>
          <w:rFonts w:ascii="Times New Roman" w:eastAsia="Calibri" w:hAnsi="Times New Roman" w:cs="Times New Roman"/>
          <w:sz w:val="24"/>
          <w:szCs w:val="24"/>
        </w:rPr>
        <w:t xml:space="preserve">(analogicznie jak w przypadku </w:t>
      </w:r>
      <w:r w:rsidR="00491834" w:rsidRPr="00491834">
        <w:rPr>
          <w:rFonts w:ascii="Times New Roman" w:hAnsi="Times New Roman" w:cs="Times New Roman"/>
          <w:sz w:val="24"/>
          <w:szCs w:val="24"/>
        </w:rPr>
        <w:t xml:space="preserve">art. 138 ust. 7f i 7g </w:t>
      </w:r>
      <w:r w:rsidR="005F7CE5">
        <w:rPr>
          <w:rFonts w:ascii="Times New Roman" w:hAnsi="Times New Roman" w:cs="Times New Roman"/>
          <w:sz w:val="24"/>
          <w:szCs w:val="24"/>
        </w:rPr>
        <w:t xml:space="preserve">ustawy – </w:t>
      </w:r>
      <w:r w:rsidR="00491834" w:rsidRPr="00491834">
        <w:rPr>
          <w:rFonts w:ascii="Times New Roman" w:hAnsi="Times New Roman" w:cs="Times New Roman"/>
          <w:sz w:val="24"/>
          <w:szCs w:val="24"/>
        </w:rPr>
        <w:t>Praw</w:t>
      </w:r>
      <w:r w:rsidR="005F7CE5">
        <w:rPr>
          <w:rFonts w:ascii="Times New Roman" w:hAnsi="Times New Roman" w:cs="Times New Roman"/>
          <w:sz w:val="24"/>
          <w:szCs w:val="24"/>
        </w:rPr>
        <w:t>o</w:t>
      </w:r>
      <w:r w:rsidR="00491834" w:rsidRPr="00491834">
        <w:rPr>
          <w:rFonts w:ascii="Times New Roman" w:hAnsi="Times New Roman" w:cs="Times New Roman"/>
          <w:sz w:val="24"/>
          <w:szCs w:val="24"/>
        </w:rPr>
        <w:t xml:space="preserve"> bankowe) </w:t>
      </w:r>
      <w:r w:rsidRPr="00491834">
        <w:rPr>
          <w:rFonts w:ascii="Times New Roman" w:eastAsia="Calibri" w:hAnsi="Times New Roman" w:cs="Times New Roman"/>
          <w:sz w:val="24"/>
          <w:szCs w:val="24"/>
        </w:rPr>
        <w:t>zamieszczenie</w:t>
      </w:r>
      <w:r w:rsidRPr="004035A4">
        <w:rPr>
          <w:rFonts w:ascii="Times New Roman" w:eastAsia="Calibri" w:hAnsi="Times New Roman" w:cs="Times New Roman"/>
          <w:sz w:val="24"/>
          <w:szCs w:val="24"/>
        </w:rPr>
        <w:t xml:space="preserve"> przepisu określającego środki nadzorcze, które mogą być stosowane przez KNF w przypadku oferowania obligacji kapitałowych inwestorom inni niż inwestorzy (klienci) profesjonalni.</w:t>
      </w:r>
      <w:r w:rsidR="0067244E">
        <w:rPr>
          <w:rFonts w:ascii="Times New Roman" w:eastAsia="Calibri" w:hAnsi="Times New Roman" w:cs="Times New Roman"/>
          <w:sz w:val="24"/>
          <w:szCs w:val="24"/>
        </w:rPr>
        <w:t xml:space="preserve"> </w:t>
      </w:r>
      <w:r w:rsidR="00491834">
        <w:rPr>
          <w:rFonts w:ascii="Times New Roman" w:eastAsia="Calibri" w:hAnsi="Times New Roman" w:cs="Times New Roman"/>
          <w:sz w:val="24"/>
          <w:szCs w:val="24"/>
        </w:rPr>
        <w:t xml:space="preserve">W związku z tym </w:t>
      </w:r>
      <w:r w:rsidR="0067244E" w:rsidRPr="0067244E">
        <w:rPr>
          <w:rFonts w:ascii="Times New Roman" w:eastAsia="Calibri" w:hAnsi="Times New Roman" w:cs="Times New Roman"/>
          <w:sz w:val="24"/>
          <w:szCs w:val="24"/>
        </w:rPr>
        <w:t xml:space="preserve">w  </w:t>
      </w:r>
      <w:r w:rsidR="0067244E" w:rsidRPr="00491834">
        <w:rPr>
          <w:rFonts w:ascii="Times New Roman" w:eastAsia="Calibri" w:hAnsi="Times New Roman" w:cs="Times New Roman"/>
          <w:b/>
          <w:sz w:val="24"/>
          <w:szCs w:val="24"/>
        </w:rPr>
        <w:t>art. 169ba</w:t>
      </w:r>
      <w:r w:rsidR="0067244E" w:rsidRPr="0067244E">
        <w:rPr>
          <w:rFonts w:ascii="Times New Roman" w:eastAsia="Calibri" w:hAnsi="Times New Roman" w:cs="Times New Roman"/>
          <w:sz w:val="24"/>
          <w:szCs w:val="24"/>
        </w:rPr>
        <w:t xml:space="preserve"> </w:t>
      </w:r>
      <w:r w:rsidR="00491834">
        <w:rPr>
          <w:rFonts w:ascii="Times New Roman" w:eastAsia="Calibri" w:hAnsi="Times New Roman" w:cs="Times New Roman"/>
          <w:sz w:val="24"/>
          <w:szCs w:val="24"/>
        </w:rPr>
        <w:t xml:space="preserve">przewidziano, że </w:t>
      </w:r>
      <w:r w:rsidR="0067244E" w:rsidRPr="0067244E">
        <w:rPr>
          <w:rFonts w:ascii="Times New Roman" w:eastAsia="Calibri" w:hAnsi="Times New Roman" w:cs="Times New Roman"/>
          <w:sz w:val="24"/>
          <w:szCs w:val="24"/>
        </w:rPr>
        <w:t xml:space="preserve">w przypadku naruszenia art. 110ec ust. 1 przez osobę inną niż dom maklerski </w:t>
      </w:r>
      <w:r w:rsidR="00491834">
        <w:rPr>
          <w:rFonts w:ascii="Times New Roman" w:eastAsia="Calibri" w:hAnsi="Times New Roman" w:cs="Times New Roman"/>
          <w:sz w:val="24"/>
          <w:szCs w:val="24"/>
        </w:rPr>
        <w:t xml:space="preserve">KNF będzie mógł, </w:t>
      </w:r>
      <w:r w:rsidR="0067244E" w:rsidRPr="0067244E">
        <w:rPr>
          <w:rFonts w:ascii="Times New Roman" w:eastAsia="Calibri" w:hAnsi="Times New Roman" w:cs="Times New Roman"/>
          <w:sz w:val="24"/>
          <w:szCs w:val="24"/>
        </w:rPr>
        <w:t>w drodze decyzji</w:t>
      </w:r>
      <w:r w:rsidR="005F7CE5">
        <w:rPr>
          <w:rFonts w:ascii="Times New Roman" w:eastAsia="Calibri" w:hAnsi="Times New Roman" w:cs="Times New Roman"/>
          <w:sz w:val="24"/>
          <w:szCs w:val="24"/>
        </w:rPr>
        <w:t>,</w:t>
      </w:r>
      <w:r w:rsidR="0067244E" w:rsidRPr="0067244E">
        <w:rPr>
          <w:rFonts w:ascii="Times New Roman" w:eastAsia="Calibri" w:hAnsi="Times New Roman" w:cs="Times New Roman"/>
          <w:sz w:val="24"/>
          <w:szCs w:val="24"/>
        </w:rPr>
        <w:t xml:space="preserve"> nakazać osobie oferującej zawarcie umowy pożyczki podporządkowanej</w:t>
      </w:r>
      <w:r w:rsidR="00491834">
        <w:rPr>
          <w:rFonts w:ascii="Times New Roman" w:eastAsia="Calibri" w:hAnsi="Times New Roman" w:cs="Times New Roman"/>
          <w:sz w:val="24"/>
          <w:szCs w:val="24"/>
        </w:rPr>
        <w:t xml:space="preserve"> podmiotowi nieuprawnionemu </w:t>
      </w:r>
      <w:r w:rsidR="0067244E" w:rsidRPr="0067244E">
        <w:rPr>
          <w:rFonts w:ascii="Times New Roman" w:eastAsia="Calibri" w:hAnsi="Times New Roman" w:cs="Times New Roman"/>
          <w:sz w:val="24"/>
          <w:szCs w:val="24"/>
        </w:rPr>
        <w:t xml:space="preserve">zaprzestanie działań skutkujących naruszeniem art. 110ec ust. 1 lub powstrzymanie się od takich działań w przyszłości lub nałożyć na </w:t>
      </w:r>
      <w:r w:rsidR="00491834">
        <w:rPr>
          <w:rFonts w:ascii="Times New Roman" w:eastAsia="Calibri" w:hAnsi="Times New Roman" w:cs="Times New Roman"/>
          <w:sz w:val="24"/>
          <w:szCs w:val="24"/>
        </w:rPr>
        <w:t xml:space="preserve">taką </w:t>
      </w:r>
      <w:r w:rsidR="0067244E" w:rsidRPr="0067244E">
        <w:rPr>
          <w:rFonts w:ascii="Times New Roman" w:eastAsia="Calibri" w:hAnsi="Times New Roman" w:cs="Times New Roman"/>
          <w:sz w:val="24"/>
          <w:szCs w:val="24"/>
        </w:rPr>
        <w:t xml:space="preserve">osobę karę pieniężną wysokości określonej w </w:t>
      </w:r>
      <w:r w:rsidR="00491834">
        <w:rPr>
          <w:rFonts w:ascii="Times New Roman" w:eastAsia="Calibri" w:hAnsi="Times New Roman" w:cs="Times New Roman"/>
          <w:sz w:val="24"/>
          <w:szCs w:val="24"/>
        </w:rPr>
        <w:t xml:space="preserve">tym </w:t>
      </w:r>
      <w:r w:rsidR="0067244E" w:rsidRPr="0067244E">
        <w:rPr>
          <w:rFonts w:ascii="Times New Roman" w:eastAsia="Calibri" w:hAnsi="Times New Roman" w:cs="Times New Roman"/>
          <w:sz w:val="24"/>
          <w:szCs w:val="24"/>
        </w:rPr>
        <w:t>przepis</w:t>
      </w:r>
      <w:r w:rsidR="005F7CE5">
        <w:rPr>
          <w:rFonts w:ascii="Times New Roman" w:eastAsia="Calibri" w:hAnsi="Times New Roman" w:cs="Times New Roman"/>
          <w:sz w:val="24"/>
          <w:szCs w:val="24"/>
        </w:rPr>
        <w:t>ie.</w:t>
      </w:r>
    </w:p>
    <w:p w14:paraId="58C67B81" w14:textId="1917F2E2" w:rsidR="009832D0" w:rsidRPr="009832D0" w:rsidRDefault="009832D0" w:rsidP="005E5395">
      <w:pPr>
        <w:autoSpaceDE w:val="0"/>
        <w:autoSpaceDN w:val="0"/>
        <w:adjustRightInd w:val="0"/>
        <w:spacing w:after="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Dodawany </w:t>
      </w:r>
      <w:r w:rsidRPr="0069297C">
        <w:rPr>
          <w:rFonts w:ascii="Times New Roman" w:eastAsia="Calibri" w:hAnsi="Times New Roman" w:cs="Times New Roman"/>
          <w:sz w:val="24"/>
          <w:szCs w:val="24"/>
        </w:rPr>
        <w:t xml:space="preserve">art. 173e i </w:t>
      </w:r>
      <w:r w:rsidR="005D2D37" w:rsidRPr="0069297C">
        <w:rPr>
          <w:rFonts w:ascii="Times New Roman" w:eastAsia="Calibri" w:hAnsi="Times New Roman" w:cs="Times New Roman"/>
          <w:sz w:val="24"/>
          <w:szCs w:val="24"/>
        </w:rPr>
        <w:t xml:space="preserve">art. </w:t>
      </w:r>
      <w:r w:rsidRPr="0069297C">
        <w:rPr>
          <w:rFonts w:ascii="Times New Roman" w:eastAsia="Calibri" w:hAnsi="Times New Roman" w:cs="Times New Roman"/>
          <w:sz w:val="24"/>
          <w:szCs w:val="24"/>
        </w:rPr>
        <w:t>173f</w:t>
      </w:r>
      <w:r>
        <w:rPr>
          <w:rFonts w:ascii="Times New Roman" w:eastAsia="Calibri" w:hAnsi="Times New Roman" w:cs="Times New Roman"/>
          <w:sz w:val="24"/>
          <w:szCs w:val="24"/>
        </w:rPr>
        <w:t xml:space="preserve"> są analogiczne </w:t>
      </w:r>
      <w:r w:rsidR="00326732">
        <w:rPr>
          <w:rFonts w:ascii="Times New Roman" w:eastAsia="Calibri" w:hAnsi="Times New Roman" w:cs="Times New Roman"/>
          <w:sz w:val="24"/>
          <w:szCs w:val="24"/>
        </w:rPr>
        <w:t xml:space="preserve">do </w:t>
      </w:r>
      <w:r>
        <w:rPr>
          <w:rFonts w:ascii="Times New Roman" w:eastAsia="Calibri" w:hAnsi="Times New Roman" w:cs="Times New Roman"/>
          <w:sz w:val="24"/>
          <w:szCs w:val="24"/>
        </w:rPr>
        <w:t xml:space="preserve">zaproponowanych </w:t>
      </w:r>
      <w:r w:rsidR="005D2D37">
        <w:rPr>
          <w:rFonts w:ascii="Times New Roman" w:eastAsia="Calibri" w:hAnsi="Times New Roman" w:cs="Times New Roman"/>
          <w:sz w:val="24"/>
          <w:szCs w:val="24"/>
        </w:rPr>
        <w:t xml:space="preserve">przepisów </w:t>
      </w:r>
      <w:r>
        <w:rPr>
          <w:rFonts w:ascii="Times New Roman" w:eastAsia="Calibri" w:hAnsi="Times New Roman" w:cs="Times New Roman"/>
          <w:sz w:val="24"/>
          <w:szCs w:val="24"/>
        </w:rPr>
        <w:t>art. 340a i 340b ustaw</w:t>
      </w:r>
      <w:r w:rsidR="00436211">
        <w:rPr>
          <w:rFonts w:ascii="Times New Roman" w:eastAsia="Calibri" w:hAnsi="Times New Roman" w:cs="Times New Roman"/>
          <w:sz w:val="24"/>
          <w:szCs w:val="24"/>
        </w:rPr>
        <w:t>y</w:t>
      </w:r>
      <w:r>
        <w:rPr>
          <w:rFonts w:ascii="Times New Roman" w:eastAsia="Calibri" w:hAnsi="Times New Roman" w:cs="Times New Roman"/>
          <w:sz w:val="24"/>
          <w:szCs w:val="24"/>
        </w:rPr>
        <w:t xml:space="preserve"> o BFG. Określają </w:t>
      </w:r>
      <w:r w:rsidRPr="009832D0">
        <w:rPr>
          <w:rFonts w:ascii="Times New Roman" w:eastAsia="Calibri" w:hAnsi="Times New Roman" w:cs="Times New Roman"/>
          <w:sz w:val="24"/>
          <w:szCs w:val="24"/>
        </w:rPr>
        <w:t>katalog kar oraz podmiotów, na które mogą zostać one nałożone,</w:t>
      </w:r>
      <w:r>
        <w:rPr>
          <w:rFonts w:ascii="Times New Roman" w:eastAsia="Calibri" w:hAnsi="Times New Roman" w:cs="Times New Roman"/>
          <w:sz w:val="24"/>
          <w:szCs w:val="24"/>
        </w:rPr>
        <w:t xml:space="preserve"> co</w:t>
      </w:r>
      <w:r w:rsidRPr="009832D0">
        <w:rPr>
          <w:rFonts w:ascii="Times New Roman" w:eastAsia="Calibri" w:hAnsi="Times New Roman" w:cs="Times New Roman"/>
          <w:sz w:val="24"/>
          <w:szCs w:val="24"/>
        </w:rPr>
        <w:t xml:space="preserve"> odpowiada </w:t>
      </w:r>
      <w:r>
        <w:rPr>
          <w:rFonts w:ascii="Times New Roman" w:eastAsia="Calibri" w:hAnsi="Times New Roman" w:cs="Times New Roman"/>
          <w:sz w:val="24"/>
          <w:szCs w:val="24"/>
        </w:rPr>
        <w:t xml:space="preserve">treści </w:t>
      </w:r>
      <w:r w:rsidRPr="009832D0">
        <w:rPr>
          <w:rFonts w:ascii="Times New Roman" w:eastAsia="Calibri" w:hAnsi="Times New Roman" w:cs="Times New Roman"/>
          <w:sz w:val="24"/>
          <w:szCs w:val="24"/>
        </w:rPr>
        <w:t>art. 82 ust. 2 lit. a i art</w:t>
      </w:r>
      <w:r w:rsidR="005F7CE5">
        <w:rPr>
          <w:rFonts w:ascii="Times New Roman" w:eastAsia="Calibri" w:hAnsi="Times New Roman" w:cs="Times New Roman"/>
          <w:sz w:val="24"/>
          <w:szCs w:val="24"/>
        </w:rPr>
        <w:t>. 82 ust. 2 lit. a–g rozporządze</w:t>
      </w:r>
      <w:r w:rsidRPr="009832D0">
        <w:rPr>
          <w:rFonts w:ascii="Times New Roman" w:eastAsia="Calibri" w:hAnsi="Times New Roman" w:cs="Times New Roman"/>
          <w:sz w:val="24"/>
          <w:szCs w:val="24"/>
        </w:rPr>
        <w:t xml:space="preserve">nia nr 2021/23. Ponadto uwzględniono treść art. 82 ust. 2 lit. e tego rozporządzenia, który przewiduje, że w przypadku osoby fizycznej administracyjne kary pieniężne ustala się do maksymalnej wysokości 5 000 000 euro lub, w państwach członkowskich, w których euro nie jest oficjalną walutą, równowartość tej kwoty w walucie krajowej na dzień 11 lutego 2021 r. W związku z tym przejęto maksymalną wysokość kary pieniężnej, którą KNF </w:t>
      </w:r>
      <w:r>
        <w:rPr>
          <w:rFonts w:ascii="Times New Roman" w:eastAsia="Calibri" w:hAnsi="Times New Roman" w:cs="Times New Roman"/>
          <w:sz w:val="24"/>
          <w:szCs w:val="24"/>
        </w:rPr>
        <w:t xml:space="preserve">będzie </w:t>
      </w:r>
      <w:r w:rsidR="005D2D37">
        <w:rPr>
          <w:rFonts w:ascii="Times New Roman" w:eastAsia="Calibri" w:hAnsi="Times New Roman" w:cs="Times New Roman"/>
          <w:sz w:val="24"/>
          <w:szCs w:val="24"/>
        </w:rPr>
        <w:t xml:space="preserve">mógł </w:t>
      </w:r>
      <w:r w:rsidRPr="009832D0">
        <w:rPr>
          <w:rFonts w:ascii="Times New Roman" w:eastAsia="Calibri" w:hAnsi="Times New Roman" w:cs="Times New Roman"/>
          <w:sz w:val="24"/>
          <w:szCs w:val="24"/>
        </w:rPr>
        <w:t xml:space="preserve">nałożyć na podmioty odpowiedzialne za naruszenia przepisów, na tym właśnie poziomie, jako równowartość kwoty w euro, zgodnie z informacją o kursie wymiany euro opracowaną przez Europejski Bank </w:t>
      </w:r>
      <w:r w:rsidRPr="009832D0">
        <w:rPr>
          <w:rFonts w:ascii="Times New Roman" w:eastAsia="Calibri" w:hAnsi="Times New Roman" w:cs="Times New Roman"/>
          <w:sz w:val="24"/>
          <w:szCs w:val="24"/>
        </w:rPr>
        <w:lastRenderedPageBreak/>
        <w:t>Centralny (</w:t>
      </w:r>
      <w:r w:rsidRPr="008E2C89">
        <w:rPr>
          <w:rFonts w:ascii="Times New Roman" w:eastAsia="Calibri" w:hAnsi="Times New Roman" w:cs="Times New Roman"/>
          <w:i/>
          <w:sz w:val="24"/>
          <w:szCs w:val="24"/>
        </w:rPr>
        <w:t>Euro Foreign Exchange Reference Rates, 11 February 2021</w:t>
      </w:r>
      <w:r w:rsidRPr="009832D0">
        <w:rPr>
          <w:rFonts w:ascii="Times New Roman" w:eastAsia="Calibri" w:hAnsi="Times New Roman" w:cs="Times New Roman"/>
          <w:sz w:val="24"/>
          <w:szCs w:val="24"/>
        </w:rPr>
        <w:t>, http://www.ecb.europa.eu/stats/eurofxref).</w:t>
      </w:r>
    </w:p>
    <w:p w14:paraId="3E592CBE" w14:textId="46CD7CB3" w:rsidR="00E02019" w:rsidRPr="00007BC6" w:rsidRDefault="009832D0" w:rsidP="005E5395">
      <w:pPr>
        <w:autoSpaceDE w:val="0"/>
        <w:autoSpaceDN w:val="0"/>
        <w:adjustRightInd w:val="0"/>
        <w:spacing w:after="0" w:line="360" w:lineRule="auto"/>
        <w:jc w:val="both"/>
        <w:rPr>
          <w:rFonts w:ascii="Times New Roman" w:eastAsia="Calibri" w:hAnsi="Times New Roman" w:cs="Times New Roman"/>
          <w:sz w:val="24"/>
          <w:szCs w:val="24"/>
        </w:rPr>
      </w:pPr>
      <w:r w:rsidRPr="009832D0">
        <w:rPr>
          <w:rFonts w:ascii="Times New Roman" w:eastAsia="Calibri" w:hAnsi="Times New Roman" w:cs="Times New Roman"/>
          <w:sz w:val="24"/>
          <w:szCs w:val="24"/>
        </w:rPr>
        <w:t xml:space="preserve">Przepisy </w:t>
      </w:r>
      <w:r w:rsidRPr="00AF7BA5">
        <w:rPr>
          <w:rFonts w:ascii="Times New Roman" w:eastAsia="Calibri" w:hAnsi="Times New Roman" w:cs="Times New Roman"/>
          <w:b/>
          <w:sz w:val="24"/>
          <w:szCs w:val="24"/>
        </w:rPr>
        <w:t>art. 173e ust. 2 i 3</w:t>
      </w:r>
      <w:r>
        <w:rPr>
          <w:rFonts w:ascii="Times New Roman" w:eastAsia="Calibri" w:hAnsi="Times New Roman" w:cs="Times New Roman"/>
          <w:sz w:val="24"/>
          <w:szCs w:val="24"/>
        </w:rPr>
        <w:t xml:space="preserve"> </w:t>
      </w:r>
      <w:r w:rsidRPr="009832D0">
        <w:rPr>
          <w:rFonts w:ascii="Times New Roman" w:eastAsia="Calibri" w:hAnsi="Times New Roman" w:cs="Times New Roman"/>
          <w:sz w:val="24"/>
          <w:szCs w:val="24"/>
        </w:rPr>
        <w:t>służą  stosowaniu art. 83 i art. 85 rozporządzenia nr 2021/23, które dotyczą  nakładania kar administracyjnych i innych środków administracyjnych oraz ich skutecznego stosowania przez właściwy organ nadzoru (KNF)</w:t>
      </w:r>
      <w:r>
        <w:rPr>
          <w:rFonts w:ascii="Times New Roman" w:eastAsia="Calibri" w:hAnsi="Times New Roman" w:cs="Times New Roman"/>
          <w:sz w:val="24"/>
          <w:szCs w:val="24"/>
        </w:rPr>
        <w:t xml:space="preserve"> – w tym przypadku</w:t>
      </w:r>
      <w:r w:rsidRPr="009832D0">
        <w:rPr>
          <w:rFonts w:ascii="Times New Roman" w:eastAsia="Calibri" w:hAnsi="Times New Roman" w:cs="Times New Roman"/>
          <w:sz w:val="24"/>
          <w:szCs w:val="24"/>
        </w:rPr>
        <w:t xml:space="preserve"> oraz  organ ds. restrukturyzacji i uporządkowanej likwidacji CCP (BFG)</w:t>
      </w:r>
      <w:r>
        <w:rPr>
          <w:rFonts w:ascii="Times New Roman" w:eastAsia="Calibri" w:hAnsi="Times New Roman" w:cs="Times New Roman"/>
          <w:sz w:val="24"/>
          <w:szCs w:val="24"/>
        </w:rPr>
        <w:t xml:space="preserve"> – w przypadku analogicznych przepisów w ustawie o BFG</w:t>
      </w:r>
      <w:r w:rsidRPr="009832D0">
        <w:rPr>
          <w:rFonts w:ascii="Times New Roman" w:eastAsia="Calibri" w:hAnsi="Times New Roman" w:cs="Times New Roman"/>
          <w:sz w:val="24"/>
          <w:szCs w:val="24"/>
        </w:rPr>
        <w:t xml:space="preserve"> oraz kwestii publikacji tych kar administracyjnych lub tych innych środków administracyjnych. </w:t>
      </w:r>
      <w:r w:rsidRPr="005D2D37">
        <w:rPr>
          <w:rFonts w:ascii="Times New Roman" w:eastAsia="Calibri" w:hAnsi="Times New Roman" w:cs="Times New Roman"/>
          <w:sz w:val="24"/>
          <w:szCs w:val="24"/>
        </w:rPr>
        <w:t xml:space="preserve">W </w:t>
      </w:r>
      <w:r w:rsidRPr="005D2D37">
        <w:rPr>
          <w:rFonts w:ascii="Times New Roman" w:eastAsia="Calibri" w:hAnsi="Times New Roman" w:cs="Times New Roman"/>
          <w:b/>
          <w:sz w:val="24"/>
          <w:szCs w:val="24"/>
        </w:rPr>
        <w:t>ust. 4</w:t>
      </w:r>
      <w:r w:rsidRPr="005D2D37">
        <w:rPr>
          <w:rFonts w:ascii="Times New Roman" w:eastAsia="Calibri" w:hAnsi="Times New Roman" w:cs="Times New Roman"/>
          <w:sz w:val="24"/>
          <w:szCs w:val="24"/>
        </w:rPr>
        <w:t xml:space="preserve"> przewidziano stosowanie przepisów o postępowaniu egzekucyjnym w administracji do decyzji BFG o nałożeniu kary pieniężnej. </w:t>
      </w:r>
    </w:p>
    <w:p w14:paraId="333ED767" w14:textId="6A7DD252" w:rsidR="005D2D37" w:rsidRDefault="005D2D37" w:rsidP="005E5395">
      <w:pPr>
        <w:suppressAutoHyphens/>
        <w:spacing w:after="0" w:line="360" w:lineRule="auto"/>
        <w:jc w:val="both"/>
        <w:rPr>
          <w:rFonts w:ascii="Times New Roman" w:hAnsi="Times New Roman" w:cs="Times New Roman"/>
          <w:sz w:val="24"/>
          <w:szCs w:val="24"/>
        </w:rPr>
      </w:pPr>
      <w:r w:rsidRPr="00007BC6">
        <w:rPr>
          <w:rFonts w:ascii="Times New Roman" w:eastAsia="Calibri" w:hAnsi="Times New Roman" w:cs="Times New Roman"/>
          <w:sz w:val="24"/>
          <w:szCs w:val="24"/>
        </w:rPr>
        <w:t xml:space="preserve">Zgodnie z </w:t>
      </w:r>
      <w:r w:rsidRPr="00AF7BA5">
        <w:rPr>
          <w:rFonts w:ascii="Times New Roman" w:eastAsia="Calibri" w:hAnsi="Times New Roman" w:cs="Times New Roman"/>
          <w:b/>
          <w:sz w:val="24"/>
          <w:szCs w:val="24"/>
        </w:rPr>
        <w:t>art. 173f</w:t>
      </w:r>
      <w:r w:rsidRPr="00AF7BA5">
        <w:rPr>
          <w:rFonts w:ascii="Times New Roman" w:hAnsi="Times New Roman" w:cs="Times New Roman"/>
          <w:sz w:val="24"/>
          <w:szCs w:val="24"/>
        </w:rPr>
        <w:t xml:space="preserve"> , w przypadku, o którym mowa w art. 173e ust. 1, KNF będzie podawać do publicznej wiadomości, w szczególności przez publikację na swoich stronach internetowych, informację o treści rozstrzygnięcia oraz o rodzaju i charakterze naruszenia, imieniu i nazwisku osoby fizycznej lub o firmie (nazwie) podmiotu, na który została nałożona sankcja zgodnie z art. 83 rozporządzenia nr 2021/23.</w:t>
      </w:r>
    </w:p>
    <w:p w14:paraId="4F6EA416" w14:textId="77777777" w:rsidR="00436211" w:rsidRPr="00AF7BA5" w:rsidRDefault="00436211" w:rsidP="005E5395">
      <w:pPr>
        <w:suppressAutoHyphens/>
        <w:spacing w:after="0" w:line="360" w:lineRule="auto"/>
        <w:jc w:val="both"/>
        <w:rPr>
          <w:rFonts w:ascii="Times New Roman" w:hAnsi="Times New Roman" w:cs="Times New Roman"/>
          <w:sz w:val="24"/>
          <w:szCs w:val="24"/>
        </w:rPr>
      </w:pPr>
    </w:p>
    <w:p w14:paraId="19F8194C" w14:textId="2B07D0A1" w:rsidR="001D00B2" w:rsidRDefault="001D00B2" w:rsidP="005E5395">
      <w:pPr>
        <w:autoSpaceDE w:val="0"/>
        <w:autoSpaceDN w:val="0"/>
        <w:adjustRightInd w:val="0"/>
        <w:spacing w:line="360" w:lineRule="auto"/>
        <w:jc w:val="both"/>
        <w:rPr>
          <w:rFonts w:ascii="Times New Roman" w:eastAsia="Calibri" w:hAnsi="Times New Roman" w:cs="Times New Roman"/>
          <w:b/>
          <w:sz w:val="24"/>
          <w:szCs w:val="24"/>
          <w:u w:val="single"/>
        </w:rPr>
      </w:pPr>
      <w:r w:rsidRPr="008E2C89">
        <w:rPr>
          <w:rFonts w:ascii="Times New Roman" w:eastAsia="Calibri" w:hAnsi="Times New Roman" w:cs="Times New Roman"/>
          <w:b/>
          <w:sz w:val="24"/>
          <w:szCs w:val="24"/>
          <w:u w:val="single"/>
        </w:rPr>
        <w:t xml:space="preserve">Art. </w:t>
      </w:r>
      <w:r w:rsidR="00682672">
        <w:rPr>
          <w:rFonts w:ascii="Times New Roman" w:eastAsia="Calibri" w:hAnsi="Times New Roman" w:cs="Times New Roman"/>
          <w:b/>
          <w:sz w:val="24"/>
          <w:szCs w:val="24"/>
          <w:u w:val="single"/>
        </w:rPr>
        <w:t>9</w:t>
      </w:r>
      <w:r w:rsidRPr="008E2C89">
        <w:rPr>
          <w:rFonts w:ascii="Times New Roman" w:eastAsia="Calibri" w:hAnsi="Times New Roman" w:cs="Times New Roman"/>
          <w:b/>
          <w:sz w:val="24"/>
          <w:szCs w:val="24"/>
          <w:u w:val="single"/>
        </w:rPr>
        <w:t xml:space="preserve"> projektu – zmiany w ustawie o ofercie publicznej i warunkach wprowadzania instrumentów finansowych do zorganizowanego systemu obrotu oraz o spółkach publicznych</w:t>
      </w:r>
    </w:p>
    <w:p w14:paraId="39C83D38" w14:textId="1013BC08" w:rsidR="001D00B2" w:rsidRDefault="001D00B2" w:rsidP="005E5395">
      <w:pPr>
        <w:autoSpaceDE w:val="0"/>
        <w:autoSpaceDN w:val="0"/>
        <w:adjustRightInd w:val="0"/>
        <w:spacing w:after="0" w:line="360" w:lineRule="auto"/>
        <w:jc w:val="both"/>
        <w:rPr>
          <w:rFonts w:ascii="Times New Roman" w:eastAsia="Calibri" w:hAnsi="Times New Roman" w:cs="Times New Roman"/>
          <w:sz w:val="24"/>
          <w:szCs w:val="24"/>
        </w:rPr>
      </w:pPr>
      <w:r w:rsidRPr="0069297C">
        <w:rPr>
          <w:rFonts w:ascii="Times New Roman" w:eastAsia="Calibri" w:hAnsi="Times New Roman" w:cs="Times New Roman"/>
          <w:sz w:val="24"/>
          <w:szCs w:val="24"/>
        </w:rPr>
        <w:t xml:space="preserve">Zgodnie z </w:t>
      </w:r>
      <w:r w:rsidR="005D2D37">
        <w:rPr>
          <w:rFonts w:ascii="Times New Roman" w:eastAsia="Calibri" w:hAnsi="Times New Roman" w:cs="Times New Roman"/>
          <w:sz w:val="24"/>
          <w:szCs w:val="24"/>
        </w:rPr>
        <w:t xml:space="preserve">proponowanym </w:t>
      </w:r>
      <w:r w:rsidR="005D2D37" w:rsidRPr="00DD4041">
        <w:rPr>
          <w:rFonts w:ascii="Times New Roman" w:eastAsia="Calibri" w:hAnsi="Times New Roman" w:cs="Times New Roman"/>
          <w:b/>
          <w:sz w:val="24"/>
          <w:szCs w:val="24"/>
        </w:rPr>
        <w:t>art. 73 ust. 3a</w:t>
      </w:r>
      <w:r w:rsidR="005D2D37">
        <w:rPr>
          <w:rFonts w:ascii="Times New Roman" w:eastAsia="Calibri" w:hAnsi="Times New Roman" w:cs="Times New Roman"/>
          <w:sz w:val="24"/>
          <w:szCs w:val="24"/>
        </w:rPr>
        <w:t xml:space="preserve">, </w:t>
      </w:r>
      <w:r w:rsidRPr="0069297C">
        <w:rPr>
          <w:rFonts w:ascii="Times New Roman" w:eastAsia="Calibri" w:hAnsi="Times New Roman" w:cs="Times New Roman"/>
          <w:sz w:val="24"/>
          <w:szCs w:val="24"/>
        </w:rPr>
        <w:t xml:space="preserve">jeżeli przekroczenie progu ogólnej liczby głosów w spółce publicznej, nastąpiło w wyniku zamiany obligacji kapitałowych, o których mowa w art. 27a ustawy o obligacjach, na akcje emitenta, obowiązek, o którym mowa w </w:t>
      </w:r>
      <w:r w:rsidR="00570C06">
        <w:rPr>
          <w:rFonts w:ascii="Times New Roman" w:eastAsia="Calibri" w:hAnsi="Times New Roman" w:cs="Times New Roman"/>
          <w:sz w:val="24"/>
          <w:szCs w:val="24"/>
        </w:rPr>
        <w:t xml:space="preserve">art. 73 </w:t>
      </w:r>
      <w:r w:rsidRPr="0069297C">
        <w:rPr>
          <w:rFonts w:ascii="Times New Roman" w:eastAsia="Calibri" w:hAnsi="Times New Roman" w:cs="Times New Roman"/>
          <w:sz w:val="24"/>
          <w:szCs w:val="24"/>
        </w:rPr>
        <w:t>ust. 1 tej ustawy, ma zastosowanie w przypadku, gdy po takim nabyciu akcji udział w ogólnej liczbie głosów uległ dalszemu zwiększeniu. Termin wykonania tego obowiązku liczy się od dnia, w którym nastąpiło zdarzenie powodujące dalsze zwiększenie udziału w ogólnej liczbie głosów.</w:t>
      </w:r>
    </w:p>
    <w:p w14:paraId="6299CBAA" w14:textId="77777777" w:rsidR="00436211" w:rsidRPr="0069297C" w:rsidRDefault="00436211" w:rsidP="005E5395">
      <w:pPr>
        <w:autoSpaceDE w:val="0"/>
        <w:autoSpaceDN w:val="0"/>
        <w:adjustRightInd w:val="0"/>
        <w:spacing w:after="0" w:line="360" w:lineRule="auto"/>
        <w:jc w:val="both"/>
        <w:rPr>
          <w:rFonts w:ascii="Times New Roman" w:eastAsia="Calibri" w:hAnsi="Times New Roman" w:cs="Times New Roman"/>
          <w:sz w:val="24"/>
          <w:szCs w:val="24"/>
        </w:rPr>
      </w:pPr>
    </w:p>
    <w:p w14:paraId="7E16474B" w14:textId="53F7B808" w:rsidR="00E02019" w:rsidRDefault="00AB1420" w:rsidP="005E5395">
      <w:pPr>
        <w:spacing w:after="120" w:line="360" w:lineRule="auto"/>
        <w:jc w:val="both"/>
        <w:rPr>
          <w:rFonts w:ascii="Times New Roman" w:hAnsi="Times New Roman" w:cs="Times New Roman"/>
          <w:b/>
          <w:sz w:val="24"/>
          <w:szCs w:val="24"/>
          <w:u w:val="single"/>
        </w:rPr>
      </w:pPr>
      <w:r w:rsidRPr="00D92FC1">
        <w:rPr>
          <w:rFonts w:ascii="Times New Roman" w:hAnsi="Times New Roman" w:cs="Times New Roman"/>
          <w:b/>
          <w:sz w:val="24"/>
          <w:szCs w:val="24"/>
          <w:u w:val="single"/>
        </w:rPr>
        <w:t xml:space="preserve">Art. </w:t>
      </w:r>
      <w:r w:rsidR="00682672">
        <w:rPr>
          <w:rFonts w:ascii="Times New Roman" w:hAnsi="Times New Roman" w:cs="Times New Roman"/>
          <w:b/>
          <w:sz w:val="24"/>
          <w:szCs w:val="24"/>
          <w:u w:val="single"/>
        </w:rPr>
        <w:t>10</w:t>
      </w:r>
      <w:r w:rsidR="003A2428" w:rsidRPr="00D92FC1">
        <w:rPr>
          <w:rFonts w:ascii="Times New Roman" w:hAnsi="Times New Roman" w:cs="Times New Roman"/>
          <w:b/>
          <w:sz w:val="24"/>
          <w:szCs w:val="24"/>
          <w:u w:val="single"/>
        </w:rPr>
        <w:t xml:space="preserve"> </w:t>
      </w:r>
      <w:r w:rsidRPr="00D92FC1">
        <w:rPr>
          <w:rFonts w:ascii="Times New Roman" w:hAnsi="Times New Roman" w:cs="Times New Roman"/>
          <w:b/>
          <w:sz w:val="24"/>
          <w:szCs w:val="24"/>
          <w:u w:val="single"/>
        </w:rPr>
        <w:t>projektu – zmiany w ustawie o nadzorze nad rynkiem finansowym</w:t>
      </w:r>
    </w:p>
    <w:p w14:paraId="37B9F305" w14:textId="77777777" w:rsidR="00AB1420" w:rsidRDefault="00AB1420" w:rsidP="005E5395">
      <w:pPr>
        <w:spacing w:after="120" w:line="360" w:lineRule="auto"/>
        <w:jc w:val="both"/>
        <w:rPr>
          <w:rFonts w:ascii="Times New Roman" w:eastAsia="Calibri" w:hAnsi="Times New Roman" w:cs="Times New Roman"/>
          <w:sz w:val="24"/>
          <w:szCs w:val="24"/>
        </w:rPr>
      </w:pPr>
      <w:r w:rsidRPr="00D92FC1">
        <w:rPr>
          <w:rFonts w:ascii="Times New Roman" w:eastAsia="Calibri" w:hAnsi="Times New Roman" w:cs="Times New Roman"/>
          <w:sz w:val="24"/>
          <w:szCs w:val="24"/>
        </w:rPr>
        <w:t>Zmiana w</w:t>
      </w:r>
      <w:r w:rsidRPr="00D92FC1">
        <w:rPr>
          <w:rFonts w:ascii="Times New Roman" w:eastAsia="Calibri" w:hAnsi="Times New Roman" w:cs="Times New Roman"/>
          <w:b/>
          <w:sz w:val="24"/>
          <w:szCs w:val="24"/>
        </w:rPr>
        <w:t xml:space="preserve"> art. 1 ust. 2 pkt 4 </w:t>
      </w:r>
      <w:r w:rsidRPr="00D92FC1">
        <w:rPr>
          <w:rFonts w:ascii="Times New Roman" w:eastAsia="Calibri" w:hAnsi="Times New Roman" w:cs="Times New Roman"/>
          <w:sz w:val="24"/>
          <w:szCs w:val="24"/>
        </w:rPr>
        <w:t xml:space="preserve">ma charakter porządkowy </w:t>
      </w:r>
      <w:r>
        <w:rPr>
          <w:rFonts w:ascii="Times New Roman" w:eastAsia="Calibri" w:hAnsi="Times New Roman" w:cs="Times New Roman"/>
          <w:sz w:val="24"/>
          <w:szCs w:val="24"/>
        </w:rPr>
        <w:t xml:space="preserve">– </w:t>
      </w:r>
      <w:r w:rsidRPr="00D92FC1">
        <w:rPr>
          <w:rFonts w:ascii="Times New Roman" w:eastAsia="Calibri" w:hAnsi="Times New Roman" w:cs="Times New Roman"/>
          <w:sz w:val="24"/>
          <w:szCs w:val="24"/>
        </w:rPr>
        <w:t>wskazuj</w:t>
      </w:r>
      <w:r>
        <w:rPr>
          <w:rFonts w:ascii="Times New Roman" w:eastAsia="Calibri" w:hAnsi="Times New Roman" w:cs="Times New Roman"/>
          <w:sz w:val="24"/>
          <w:szCs w:val="24"/>
        </w:rPr>
        <w:t>e</w:t>
      </w:r>
      <w:r w:rsidRPr="00D92FC1">
        <w:rPr>
          <w:rFonts w:ascii="Times New Roman" w:eastAsia="Calibri" w:hAnsi="Times New Roman" w:cs="Times New Roman"/>
          <w:sz w:val="24"/>
          <w:szCs w:val="24"/>
        </w:rPr>
        <w:t>, że KNF sprawuj</w:t>
      </w:r>
      <w:r>
        <w:rPr>
          <w:rFonts w:ascii="Times New Roman" w:eastAsia="Calibri" w:hAnsi="Times New Roman" w:cs="Times New Roman"/>
          <w:sz w:val="24"/>
          <w:szCs w:val="24"/>
        </w:rPr>
        <w:t xml:space="preserve">e </w:t>
      </w:r>
      <w:r w:rsidRPr="00D92FC1">
        <w:rPr>
          <w:rFonts w:ascii="Times New Roman" w:eastAsia="Calibri" w:hAnsi="Times New Roman" w:cs="Times New Roman"/>
          <w:sz w:val="24"/>
          <w:szCs w:val="24"/>
        </w:rPr>
        <w:t xml:space="preserve"> nadzór nad rynkiem kapitałowym</w:t>
      </w:r>
      <w:r>
        <w:rPr>
          <w:rFonts w:ascii="Times New Roman" w:eastAsia="Calibri" w:hAnsi="Times New Roman" w:cs="Times New Roman"/>
          <w:sz w:val="24"/>
          <w:szCs w:val="24"/>
        </w:rPr>
        <w:t xml:space="preserve"> </w:t>
      </w:r>
      <w:r w:rsidRPr="00D92FC1">
        <w:rPr>
          <w:rFonts w:ascii="Times New Roman" w:eastAsia="Calibri" w:hAnsi="Times New Roman" w:cs="Times New Roman"/>
          <w:sz w:val="24"/>
          <w:szCs w:val="24"/>
        </w:rPr>
        <w:t>także w zakresie rozporządzenia nr 2021/23.</w:t>
      </w:r>
    </w:p>
    <w:p w14:paraId="598E945A" w14:textId="64CEAB94" w:rsidR="005D2D37" w:rsidRDefault="003A2428" w:rsidP="005E5395">
      <w:pPr>
        <w:spacing w:after="0" w:line="360" w:lineRule="auto"/>
        <w:jc w:val="both"/>
        <w:rPr>
          <w:rFonts w:ascii="Times New Roman" w:hAnsi="Times New Roman" w:cs="Times New Roman"/>
          <w:sz w:val="24"/>
          <w:szCs w:val="24"/>
        </w:rPr>
      </w:pPr>
      <w:r w:rsidRPr="0069297C">
        <w:rPr>
          <w:rFonts w:ascii="Times New Roman" w:hAnsi="Times New Roman" w:cs="Times New Roman"/>
          <w:sz w:val="24"/>
          <w:szCs w:val="24"/>
        </w:rPr>
        <w:t>Ze względu na międzysektorowy charakter obligacji kapitałowej, która może być emitowana przez ściśle</w:t>
      </w:r>
      <w:r w:rsidR="000A0A8B">
        <w:rPr>
          <w:rFonts w:ascii="Times New Roman" w:hAnsi="Times New Roman" w:cs="Times New Roman"/>
          <w:sz w:val="24"/>
          <w:szCs w:val="24"/>
        </w:rPr>
        <w:t xml:space="preserve"> określony </w:t>
      </w:r>
      <w:r w:rsidRPr="0069297C">
        <w:rPr>
          <w:rFonts w:ascii="Times New Roman" w:hAnsi="Times New Roman" w:cs="Times New Roman"/>
          <w:sz w:val="24"/>
          <w:szCs w:val="24"/>
        </w:rPr>
        <w:t>krąg podmiotów nadzorowanych</w:t>
      </w:r>
      <w:r w:rsidR="00B65E26" w:rsidRPr="0069297C">
        <w:rPr>
          <w:rFonts w:ascii="Times New Roman" w:hAnsi="Times New Roman" w:cs="Times New Roman"/>
          <w:sz w:val="24"/>
          <w:szCs w:val="24"/>
        </w:rPr>
        <w:t xml:space="preserve">, </w:t>
      </w:r>
      <w:r w:rsidR="00491834">
        <w:rPr>
          <w:rFonts w:ascii="Times New Roman" w:hAnsi="Times New Roman" w:cs="Times New Roman"/>
          <w:sz w:val="24"/>
          <w:szCs w:val="24"/>
        </w:rPr>
        <w:t xml:space="preserve">także w tym przypadku (tak jak </w:t>
      </w:r>
      <w:r w:rsidR="00415BFE">
        <w:rPr>
          <w:rFonts w:ascii="Times New Roman" w:hAnsi="Times New Roman" w:cs="Times New Roman"/>
          <w:sz w:val="24"/>
          <w:szCs w:val="24"/>
        </w:rPr>
        <w:t xml:space="preserve">pozostałych wskazanych wyżej przypadkach) </w:t>
      </w:r>
      <w:r w:rsidR="00B65E26" w:rsidRPr="0069297C">
        <w:rPr>
          <w:rFonts w:ascii="Times New Roman" w:hAnsi="Times New Roman" w:cs="Times New Roman"/>
          <w:sz w:val="24"/>
          <w:szCs w:val="24"/>
        </w:rPr>
        <w:t>konieczne jest</w:t>
      </w:r>
      <w:r w:rsidRPr="0069297C">
        <w:rPr>
          <w:rFonts w:ascii="Times New Roman" w:hAnsi="Times New Roman" w:cs="Times New Roman"/>
          <w:sz w:val="24"/>
          <w:szCs w:val="24"/>
        </w:rPr>
        <w:t xml:space="preserve"> zamieszczenie przepisu </w:t>
      </w:r>
      <w:r w:rsidRPr="0069297C">
        <w:rPr>
          <w:rFonts w:ascii="Times New Roman" w:hAnsi="Times New Roman" w:cs="Times New Roman"/>
          <w:sz w:val="24"/>
          <w:szCs w:val="24"/>
        </w:rPr>
        <w:lastRenderedPageBreak/>
        <w:t>określającego środki nadzorcze</w:t>
      </w:r>
      <w:r w:rsidR="000A0A8B">
        <w:rPr>
          <w:rFonts w:ascii="Times New Roman" w:hAnsi="Times New Roman" w:cs="Times New Roman"/>
          <w:sz w:val="24"/>
          <w:szCs w:val="24"/>
        </w:rPr>
        <w:t xml:space="preserve">, które mogą być stosowane przez </w:t>
      </w:r>
      <w:r w:rsidRPr="0069297C">
        <w:rPr>
          <w:rFonts w:ascii="Times New Roman" w:hAnsi="Times New Roman" w:cs="Times New Roman"/>
          <w:sz w:val="24"/>
          <w:szCs w:val="24"/>
        </w:rPr>
        <w:t xml:space="preserve">KNF </w:t>
      </w:r>
      <w:r w:rsidR="000A0A8B">
        <w:rPr>
          <w:rFonts w:ascii="Times New Roman" w:hAnsi="Times New Roman" w:cs="Times New Roman"/>
          <w:sz w:val="24"/>
          <w:szCs w:val="24"/>
        </w:rPr>
        <w:t xml:space="preserve">w przypadku </w:t>
      </w:r>
      <w:r w:rsidRPr="0069297C">
        <w:rPr>
          <w:rFonts w:ascii="Times New Roman" w:hAnsi="Times New Roman" w:cs="Times New Roman"/>
          <w:sz w:val="24"/>
          <w:szCs w:val="24"/>
        </w:rPr>
        <w:t xml:space="preserve">oferowania obligacji kapitałowych inwestorom inni niż </w:t>
      </w:r>
      <w:r w:rsidR="000A0A8B">
        <w:rPr>
          <w:rFonts w:ascii="Times New Roman" w:hAnsi="Times New Roman" w:cs="Times New Roman"/>
          <w:sz w:val="24"/>
          <w:szCs w:val="24"/>
        </w:rPr>
        <w:t xml:space="preserve">inwestorzy (klienci) </w:t>
      </w:r>
      <w:r w:rsidRPr="0069297C">
        <w:rPr>
          <w:rFonts w:ascii="Times New Roman" w:hAnsi="Times New Roman" w:cs="Times New Roman"/>
          <w:sz w:val="24"/>
          <w:szCs w:val="24"/>
        </w:rPr>
        <w:t>profesjonalni</w:t>
      </w:r>
      <w:r w:rsidR="00415BFE">
        <w:rPr>
          <w:rFonts w:ascii="Times New Roman" w:hAnsi="Times New Roman" w:cs="Times New Roman"/>
          <w:sz w:val="24"/>
          <w:szCs w:val="24"/>
        </w:rPr>
        <w:t xml:space="preserve">. </w:t>
      </w:r>
    </w:p>
    <w:p w14:paraId="30E2CF94" w14:textId="5C964188" w:rsidR="003A2428" w:rsidRPr="00AF7BA5" w:rsidRDefault="00B65E26" w:rsidP="005E5395">
      <w:pPr>
        <w:spacing w:after="120" w:line="360" w:lineRule="auto"/>
        <w:jc w:val="both"/>
      </w:pPr>
      <w:r w:rsidRPr="0069297C">
        <w:rPr>
          <w:rFonts w:ascii="Times New Roman" w:hAnsi="Times New Roman" w:cs="Times New Roman"/>
          <w:sz w:val="24"/>
          <w:szCs w:val="24"/>
        </w:rPr>
        <w:t xml:space="preserve">Proponowany </w:t>
      </w:r>
      <w:r w:rsidRPr="0069297C">
        <w:rPr>
          <w:rFonts w:ascii="Times New Roman" w:hAnsi="Times New Roman" w:cs="Times New Roman"/>
          <w:b/>
          <w:sz w:val="24"/>
          <w:szCs w:val="24"/>
        </w:rPr>
        <w:t>art. 3h</w:t>
      </w:r>
      <w:r w:rsidR="00302BEB" w:rsidRPr="0069297C">
        <w:rPr>
          <w:rFonts w:ascii="Times New Roman" w:hAnsi="Times New Roman" w:cs="Times New Roman"/>
          <w:b/>
          <w:sz w:val="24"/>
          <w:szCs w:val="24"/>
        </w:rPr>
        <w:t>a</w:t>
      </w:r>
      <w:r w:rsidRPr="0069297C">
        <w:rPr>
          <w:rFonts w:ascii="Times New Roman" w:hAnsi="Times New Roman" w:cs="Times New Roman"/>
          <w:b/>
          <w:sz w:val="24"/>
          <w:szCs w:val="24"/>
        </w:rPr>
        <w:t xml:space="preserve"> </w:t>
      </w:r>
      <w:r w:rsidR="002C65BB" w:rsidRPr="00491834">
        <w:rPr>
          <w:rFonts w:ascii="Times New Roman" w:hAnsi="Times New Roman" w:cs="Times New Roman"/>
          <w:sz w:val="24"/>
          <w:szCs w:val="24"/>
        </w:rPr>
        <w:t>zawiera katalog sankcji</w:t>
      </w:r>
      <w:r w:rsidR="00415BFE">
        <w:rPr>
          <w:rFonts w:ascii="Times New Roman" w:hAnsi="Times New Roman" w:cs="Times New Roman"/>
          <w:sz w:val="24"/>
          <w:szCs w:val="24"/>
        </w:rPr>
        <w:t xml:space="preserve">, które </w:t>
      </w:r>
      <w:r w:rsidR="002C65BB" w:rsidRPr="00491834">
        <w:rPr>
          <w:rFonts w:ascii="Times New Roman" w:hAnsi="Times New Roman" w:cs="Times New Roman"/>
          <w:sz w:val="24"/>
          <w:szCs w:val="24"/>
        </w:rPr>
        <w:t xml:space="preserve">KNF </w:t>
      </w:r>
      <w:r w:rsidR="00415BFE">
        <w:rPr>
          <w:rFonts w:ascii="Times New Roman" w:hAnsi="Times New Roman" w:cs="Times New Roman"/>
          <w:sz w:val="24"/>
          <w:szCs w:val="24"/>
        </w:rPr>
        <w:t>może</w:t>
      </w:r>
      <w:r w:rsidR="00FD577A">
        <w:rPr>
          <w:rFonts w:ascii="Times New Roman" w:hAnsi="Times New Roman" w:cs="Times New Roman"/>
          <w:sz w:val="24"/>
          <w:szCs w:val="24"/>
        </w:rPr>
        <w:t xml:space="preserve"> nałożyć, w drodze decyzji, </w:t>
      </w:r>
      <w:r w:rsidR="002C65BB" w:rsidRPr="00491834">
        <w:rPr>
          <w:rFonts w:ascii="Times New Roman" w:hAnsi="Times New Roman" w:cs="Times New Roman"/>
          <w:sz w:val="24"/>
          <w:szCs w:val="24"/>
        </w:rPr>
        <w:t>w przypadku naruszenia przepisu art. 27c ustawy o obligacjach</w:t>
      </w:r>
      <w:r w:rsidR="00FD577A">
        <w:rPr>
          <w:rFonts w:ascii="Times New Roman" w:hAnsi="Times New Roman" w:cs="Times New Roman"/>
          <w:sz w:val="24"/>
          <w:szCs w:val="24"/>
        </w:rPr>
        <w:t xml:space="preserve">, tj. zakazu </w:t>
      </w:r>
      <w:r w:rsidR="002C65BB" w:rsidRPr="00491834">
        <w:rPr>
          <w:rFonts w:ascii="Times New Roman" w:hAnsi="Times New Roman" w:cs="Times New Roman"/>
          <w:sz w:val="24"/>
          <w:szCs w:val="24"/>
        </w:rPr>
        <w:t>zaw</w:t>
      </w:r>
      <w:r w:rsidR="00FD577A">
        <w:rPr>
          <w:rFonts w:ascii="Times New Roman" w:hAnsi="Times New Roman" w:cs="Times New Roman"/>
          <w:sz w:val="24"/>
          <w:szCs w:val="24"/>
        </w:rPr>
        <w:t xml:space="preserve">ierania umów, </w:t>
      </w:r>
      <w:r w:rsidR="002C65BB" w:rsidRPr="00491834">
        <w:rPr>
          <w:rFonts w:ascii="Times New Roman" w:hAnsi="Times New Roman" w:cs="Times New Roman"/>
          <w:sz w:val="24"/>
          <w:szCs w:val="24"/>
        </w:rPr>
        <w:t>któr</w:t>
      </w:r>
      <w:r w:rsidR="00FD577A">
        <w:rPr>
          <w:rFonts w:ascii="Times New Roman" w:hAnsi="Times New Roman" w:cs="Times New Roman"/>
          <w:sz w:val="24"/>
          <w:szCs w:val="24"/>
        </w:rPr>
        <w:t xml:space="preserve">ych </w:t>
      </w:r>
      <w:r w:rsidR="002C65BB" w:rsidRPr="00491834">
        <w:rPr>
          <w:rFonts w:ascii="Times New Roman" w:hAnsi="Times New Roman" w:cs="Times New Roman"/>
          <w:sz w:val="24"/>
          <w:szCs w:val="24"/>
        </w:rPr>
        <w:t xml:space="preserve">przedmiotem </w:t>
      </w:r>
      <w:r w:rsidR="00FD577A">
        <w:rPr>
          <w:rFonts w:ascii="Times New Roman" w:hAnsi="Times New Roman" w:cs="Times New Roman"/>
          <w:sz w:val="24"/>
          <w:szCs w:val="24"/>
        </w:rPr>
        <w:t xml:space="preserve">są </w:t>
      </w:r>
      <w:r w:rsidR="002C65BB" w:rsidRPr="00491834">
        <w:rPr>
          <w:rFonts w:ascii="Times New Roman" w:hAnsi="Times New Roman" w:cs="Times New Roman"/>
          <w:sz w:val="24"/>
          <w:szCs w:val="24"/>
        </w:rPr>
        <w:t>obligacj</w:t>
      </w:r>
      <w:r w:rsidR="00FD577A">
        <w:rPr>
          <w:rFonts w:ascii="Times New Roman" w:hAnsi="Times New Roman" w:cs="Times New Roman"/>
          <w:sz w:val="24"/>
          <w:szCs w:val="24"/>
        </w:rPr>
        <w:t xml:space="preserve">e </w:t>
      </w:r>
      <w:r w:rsidR="002C65BB" w:rsidRPr="00491834">
        <w:rPr>
          <w:rFonts w:ascii="Times New Roman" w:hAnsi="Times New Roman" w:cs="Times New Roman"/>
          <w:sz w:val="24"/>
          <w:szCs w:val="24"/>
        </w:rPr>
        <w:t>kapitałow</w:t>
      </w:r>
      <w:r w:rsidR="00FD577A">
        <w:rPr>
          <w:rFonts w:ascii="Times New Roman" w:hAnsi="Times New Roman" w:cs="Times New Roman"/>
          <w:sz w:val="24"/>
          <w:szCs w:val="24"/>
        </w:rPr>
        <w:t xml:space="preserve">e, z inwestorem innym niż inwestor (klient) profesjonalny; zakaz dotyczy także </w:t>
      </w:r>
      <w:r w:rsidR="002C65BB" w:rsidRPr="00491834">
        <w:rPr>
          <w:rFonts w:ascii="Times New Roman" w:hAnsi="Times New Roman" w:cs="Times New Roman"/>
          <w:sz w:val="24"/>
          <w:szCs w:val="24"/>
        </w:rPr>
        <w:t>pośrednictw</w:t>
      </w:r>
      <w:r w:rsidR="00FD577A">
        <w:rPr>
          <w:rFonts w:ascii="Times New Roman" w:hAnsi="Times New Roman" w:cs="Times New Roman"/>
          <w:sz w:val="24"/>
          <w:szCs w:val="24"/>
        </w:rPr>
        <w:t xml:space="preserve">a w zawarciu takiej umowy. Decyzja KNF będzie </w:t>
      </w:r>
      <w:r w:rsidR="003A2428" w:rsidRPr="0069297C">
        <w:rPr>
          <w:rFonts w:ascii="Times New Roman" w:hAnsi="Times New Roman" w:cs="Times New Roman"/>
          <w:sz w:val="24"/>
          <w:szCs w:val="24"/>
        </w:rPr>
        <w:t>natychmiast</w:t>
      </w:r>
      <w:r w:rsidR="00FD577A">
        <w:rPr>
          <w:rFonts w:ascii="Times New Roman" w:hAnsi="Times New Roman" w:cs="Times New Roman"/>
          <w:sz w:val="24"/>
          <w:szCs w:val="24"/>
        </w:rPr>
        <w:t xml:space="preserve"> </w:t>
      </w:r>
      <w:r w:rsidR="003A2428" w:rsidRPr="0069297C">
        <w:rPr>
          <w:rFonts w:ascii="Times New Roman" w:hAnsi="Times New Roman" w:cs="Times New Roman"/>
          <w:sz w:val="24"/>
          <w:szCs w:val="24"/>
        </w:rPr>
        <w:t>wykonaln</w:t>
      </w:r>
      <w:r w:rsidR="00FD577A">
        <w:rPr>
          <w:rFonts w:ascii="Times New Roman" w:hAnsi="Times New Roman" w:cs="Times New Roman"/>
          <w:sz w:val="24"/>
          <w:szCs w:val="24"/>
        </w:rPr>
        <w:t>a, a informacje</w:t>
      </w:r>
      <w:r w:rsidR="003A2428" w:rsidRPr="0069297C">
        <w:rPr>
          <w:rFonts w:ascii="Times New Roman" w:hAnsi="Times New Roman" w:cs="Times New Roman"/>
          <w:sz w:val="24"/>
          <w:szCs w:val="24"/>
        </w:rPr>
        <w:t xml:space="preserve"> o rozstrzygnięciu </w:t>
      </w:r>
      <w:r w:rsidR="00AF7BA5">
        <w:rPr>
          <w:rFonts w:ascii="Times New Roman" w:hAnsi="Times New Roman" w:cs="Times New Roman"/>
          <w:sz w:val="24"/>
          <w:szCs w:val="24"/>
        </w:rPr>
        <w:t xml:space="preserve">i </w:t>
      </w:r>
      <w:r w:rsidR="003A2428" w:rsidRPr="0069297C">
        <w:rPr>
          <w:rFonts w:ascii="Times New Roman" w:hAnsi="Times New Roman" w:cs="Times New Roman"/>
          <w:sz w:val="24"/>
          <w:szCs w:val="24"/>
        </w:rPr>
        <w:t xml:space="preserve"> danych ukaranych podmiotów</w:t>
      </w:r>
      <w:r w:rsidR="00FD577A">
        <w:rPr>
          <w:rFonts w:ascii="Times New Roman" w:hAnsi="Times New Roman" w:cs="Times New Roman"/>
          <w:sz w:val="24"/>
          <w:szCs w:val="24"/>
        </w:rPr>
        <w:t xml:space="preserve"> będą podawane przez KNF do publicznej wiadomości. </w:t>
      </w:r>
    </w:p>
    <w:p w14:paraId="73ACDA82" w14:textId="77777777" w:rsidR="00AB1420" w:rsidRPr="00D92FC1" w:rsidRDefault="00AB1420" w:rsidP="005E5395">
      <w:pPr>
        <w:spacing w:after="120" w:line="360" w:lineRule="auto"/>
        <w:jc w:val="both"/>
        <w:rPr>
          <w:rFonts w:ascii="Times New Roman" w:eastAsia="Calibri" w:hAnsi="Times New Roman" w:cs="Times New Roman"/>
          <w:sz w:val="24"/>
          <w:szCs w:val="24"/>
        </w:rPr>
      </w:pPr>
      <w:r w:rsidRPr="00D92FC1">
        <w:rPr>
          <w:rFonts w:ascii="Times New Roman" w:eastAsia="Calibri" w:hAnsi="Times New Roman" w:cs="Times New Roman"/>
          <w:sz w:val="24"/>
          <w:szCs w:val="24"/>
        </w:rPr>
        <w:t xml:space="preserve">Zmiana w </w:t>
      </w:r>
      <w:r w:rsidRPr="00D92FC1">
        <w:rPr>
          <w:rFonts w:ascii="Times New Roman" w:eastAsia="Calibri" w:hAnsi="Times New Roman" w:cs="Times New Roman"/>
          <w:b/>
          <w:sz w:val="24"/>
          <w:szCs w:val="24"/>
        </w:rPr>
        <w:t xml:space="preserve">art. 12 ust. 2 lit. za </w:t>
      </w:r>
      <w:r w:rsidRPr="00D92FC1">
        <w:rPr>
          <w:rFonts w:ascii="Times New Roman" w:eastAsia="Calibri" w:hAnsi="Times New Roman" w:cs="Times New Roman"/>
          <w:sz w:val="24"/>
          <w:szCs w:val="24"/>
        </w:rPr>
        <w:t xml:space="preserve">ma </w:t>
      </w:r>
      <w:r>
        <w:rPr>
          <w:rFonts w:ascii="Times New Roman" w:eastAsia="Calibri" w:hAnsi="Times New Roman" w:cs="Times New Roman"/>
          <w:sz w:val="24"/>
          <w:szCs w:val="24"/>
        </w:rPr>
        <w:t xml:space="preserve">charakter </w:t>
      </w:r>
      <w:r w:rsidRPr="00D92FC1">
        <w:rPr>
          <w:rFonts w:ascii="Times New Roman" w:eastAsia="Calibri" w:hAnsi="Times New Roman" w:cs="Times New Roman"/>
          <w:sz w:val="24"/>
          <w:szCs w:val="24"/>
        </w:rPr>
        <w:t xml:space="preserve"> redakcyjn</w:t>
      </w:r>
      <w:r>
        <w:rPr>
          <w:rFonts w:ascii="Times New Roman" w:eastAsia="Calibri" w:hAnsi="Times New Roman" w:cs="Times New Roman"/>
          <w:sz w:val="24"/>
          <w:szCs w:val="24"/>
        </w:rPr>
        <w:t xml:space="preserve">y – jest konsekwencją zmiany brzmienia </w:t>
      </w:r>
      <w:r w:rsidRPr="00D92FC1">
        <w:rPr>
          <w:rFonts w:ascii="Times New Roman" w:eastAsia="Calibri" w:hAnsi="Times New Roman" w:cs="Times New Roman"/>
          <w:sz w:val="24"/>
          <w:szCs w:val="24"/>
        </w:rPr>
        <w:t xml:space="preserve">  art. 1 i art. 12.</w:t>
      </w:r>
    </w:p>
    <w:p w14:paraId="4F927EC6" w14:textId="092CC589" w:rsidR="00D829F4" w:rsidRDefault="00D829F4" w:rsidP="005E5395">
      <w:pPr>
        <w:spacing w:after="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Zmieniany </w:t>
      </w:r>
      <w:r w:rsidR="00AB1420" w:rsidRPr="00D92FC1">
        <w:rPr>
          <w:rFonts w:ascii="Times New Roman" w:eastAsia="Calibri" w:hAnsi="Times New Roman" w:cs="Times New Roman"/>
          <w:b/>
          <w:sz w:val="24"/>
          <w:szCs w:val="24"/>
        </w:rPr>
        <w:t xml:space="preserve"> art. 19e ust. 1</w:t>
      </w:r>
      <w:r w:rsidR="00AB1420" w:rsidRPr="00D92FC1">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przewiduje, że </w:t>
      </w:r>
      <w:r w:rsidR="00AB1420" w:rsidRPr="00D92FC1">
        <w:rPr>
          <w:rFonts w:ascii="Times New Roman" w:eastAsia="Calibri" w:hAnsi="Times New Roman" w:cs="Times New Roman"/>
          <w:sz w:val="24"/>
          <w:szCs w:val="24"/>
        </w:rPr>
        <w:t>wpływ</w:t>
      </w:r>
      <w:r w:rsidR="000B71D3">
        <w:rPr>
          <w:rFonts w:ascii="Times New Roman" w:eastAsia="Calibri" w:hAnsi="Times New Roman" w:cs="Times New Roman"/>
          <w:sz w:val="24"/>
          <w:szCs w:val="24"/>
        </w:rPr>
        <w:t>y</w:t>
      </w:r>
      <w:r w:rsidR="00AB1420" w:rsidRPr="00D92FC1">
        <w:rPr>
          <w:rFonts w:ascii="Times New Roman" w:eastAsia="Calibri" w:hAnsi="Times New Roman" w:cs="Times New Roman"/>
          <w:sz w:val="24"/>
          <w:szCs w:val="24"/>
        </w:rPr>
        <w:t xml:space="preserve"> z tytułu kar pieniężnych nakładanych przez KNF</w:t>
      </w:r>
      <w:r w:rsidR="004E73C7">
        <w:rPr>
          <w:rFonts w:ascii="Times New Roman" w:eastAsia="Calibri" w:hAnsi="Times New Roman" w:cs="Times New Roman"/>
          <w:sz w:val="24"/>
          <w:szCs w:val="24"/>
        </w:rPr>
        <w:t xml:space="preserve"> na podstawie art. 3ha ust. 1 pkt 2 ustawy o nadzorze nad rynkiem finansowym oraz na p</w:t>
      </w:r>
      <w:r w:rsidR="004E73C7" w:rsidRPr="004E73C7">
        <w:rPr>
          <w:rFonts w:ascii="Times New Roman" w:eastAsia="Calibri" w:hAnsi="Times New Roman" w:cs="Times New Roman"/>
          <w:sz w:val="24"/>
          <w:szCs w:val="24"/>
        </w:rPr>
        <w:t>odstawie ustaw, o których mowa w art. 1 ust. 2</w:t>
      </w:r>
      <w:r w:rsidR="004E73C7">
        <w:rPr>
          <w:rFonts w:ascii="Times New Roman" w:eastAsia="Calibri" w:hAnsi="Times New Roman" w:cs="Times New Roman"/>
          <w:sz w:val="24"/>
          <w:szCs w:val="24"/>
        </w:rPr>
        <w:t xml:space="preserve"> tej ustawy (w tym</w:t>
      </w:r>
      <w:r w:rsidR="000B71D3" w:rsidRPr="000B71D3">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 </w:t>
      </w:r>
      <w:r w:rsidR="000B71D3" w:rsidRPr="000B71D3">
        <w:rPr>
          <w:rFonts w:ascii="Times New Roman" w:eastAsia="Calibri" w:hAnsi="Times New Roman" w:cs="Times New Roman"/>
          <w:sz w:val="24"/>
          <w:szCs w:val="24"/>
        </w:rPr>
        <w:t xml:space="preserve">na podstawie </w:t>
      </w:r>
      <w:r w:rsidR="004E73C7">
        <w:rPr>
          <w:rFonts w:ascii="Times New Roman" w:eastAsia="Calibri" w:hAnsi="Times New Roman" w:cs="Times New Roman"/>
          <w:sz w:val="24"/>
          <w:szCs w:val="24"/>
        </w:rPr>
        <w:t>dodawanego</w:t>
      </w:r>
      <w:r w:rsidR="004E73C7" w:rsidRPr="000B71D3">
        <w:rPr>
          <w:rFonts w:ascii="Times New Roman" w:eastAsia="Calibri" w:hAnsi="Times New Roman" w:cs="Times New Roman"/>
          <w:sz w:val="24"/>
          <w:szCs w:val="24"/>
        </w:rPr>
        <w:t xml:space="preserve"> </w:t>
      </w:r>
      <w:r w:rsidR="000B71D3" w:rsidRPr="000B71D3">
        <w:rPr>
          <w:rFonts w:ascii="Times New Roman" w:eastAsia="Calibri" w:hAnsi="Times New Roman" w:cs="Times New Roman"/>
          <w:sz w:val="24"/>
          <w:szCs w:val="24"/>
        </w:rPr>
        <w:t>art.173e  ustawy o obrocie instrumentami finansowymi</w:t>
      </w:r>
      <w:r w:rsidR="004E73C7">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r w:rsidR="00AB1420" w:rsidRPr="00D92FC1">
        <w:rPr>
          <w:rFonts w:ascii="Times New Roman" w:eastAsia="Calibri" w:hAnsi="Times New Roman" w:cs="Times New Roman"/>
          <w:sz w:val="24"/>
          <w:szCs w:val="24"/>
        </w:rPr>
        <w:t xml:space="preserve">zasilą Fundusz Edukacji Finansowej, </w:t>
      </w:r>
      <w:r w:rsidR="00AB1420">
        <w:rPr>
          <w:rFonts w:ascii="Times New Roman" w:eastAsia="Calibri" w:hAnsi="Times New Roman" w:cs="Times New Roman"/>
          <w:sz w:val="24"/>
          <w:szCs w:val="24"/>
        </w:rPr>
        <w:t xml:space="preserve">tak </w:t>
      </w:r>
      <w:r w:rsidR="00AB1420" w:rsidRPr="00D92FC1">
        <w:rPr>
          <w:rFonts w:ascii="Times New Roman" w:eastAsia="Calibri" w:hAnsi="Times New Roman" w:cs="Times New Roman"/>
          <w:sz w:val="24"/>
          <w:szCs w:val="24"/>
        </w:rPr>
        <w:t xml:space="preserve">jak inne kary nakładane przez KNF. </w:t>
      </w:r>
    </w:p>
    <w:p w14:paraId="68C6E2CE" w14:textId="323FBB00" w:rsidR="00DD4041" w:rsidRPr="00D829F4" w:rsidRDefault="007B4153" w:rsidP="005E5395">
      <w:pPr>
        <w:spacing w:after="12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W </w:t>
      </w:r>
      <w:r w:rsidR="00D829F4">
        <w:rPr>
          <w:rFonts w:ascii="Times New Roman" w:eastAsia="Calibri" w:hAnsi="Times New Roman" w:cs="Times New Roman"/>
          <w:sz w:val="24"/>
          <w:szCs w:val="24"/>
        </w:rPr>
        <w:t xml:space="preserve">związku z tym </w:t>
      </w:r>
      <w:r>
        <w:rPr>
          <w:rFonts w:ascii="Times New Roman" w:eastAsia="Calibri" w:hAnsi="Times New Roman" w:cs="Times New Roman"/>
          <w:sz w:val="24"/>
          <w:szCs w:val="24"/>
        </w:rPr>
        <w:t xml:space="preserve">niezbędne jest uzupełnienie katalogu kar pieniężnych nakładanych przez KNF, do których </w:t>
      </w:r>
      <w:r w:rsidRPr="007B4153">
        <w:rPr>
          <w:rFonts w:ascii="Times New Roman" w:eastAsia="Calibri" w:hAnsi="Times New Roman" w:cs="Times New Roman"/>
          <w:sz w:val="24"/>
          <w:szCs w:val="24"/>
        </w:rPr>
        <w:t xml:space="preserve">stosuje się odpowiednio przepisy działu III ustawy z dnia 29 sierpnia 1997 r. </w:t>
      </w:r>
      <w:r w:rsidR="00D829F4">
        <w:rPr>
          <w:rFonts w:ascii="Times New Roman" w:eastAsia="Calibri" w:hAnsi="Times New Roman" w:cs="Times New Roman"/>
          <w:sz w:val="24"/>
          <w:szCs w:val="24"/>
        </w:rPr>
        <w:t>–</w:t>
      </w:r>
      <w:r w:rsidRPr="007B4153">
        <w:rPr>
          <w:rFonts w:ascii="Times New Roman" w:eastAsia="Calibri" w:hAnsi="Times New Roman" w:cs="Times New Roman"/>
          <w:sz w:val="24"/>
          <w:szCs w:val="24"/>
        </w:rPr>
        <w:t xml:space="preserve"> Ordynacja podatkowa</w:t>
      </w:r>
      <w:r w:rsidR="00D829F4">
        <w:rPr>
          <w:rFonts w:ascii="Times New Roman" w:eastAsia="Calibri" w:hAnsi="Times New Roman" w:cs="Times New Roman"/>
          <w:sz w:val="24"/>
          <w:szCs w:val="24"/>
        </w:rPr>
        <w:t xml:space="preserve"> (</w:t>
      </w:r>
      <w:hyperlink r:id="rId10" w:history="1">
        <w:r w:rsidR="004035A4" w:rsidRPr="00491834">
          <w:rPr>
            <w:rFonts w:ascii="Times New Roman" w:eastAsia="Calibri" w:hAnsi="Times New Roman" w:cs="Times New Roman"/>
            <w:sz w:val="24"/>
            <w:szCs w:val="24"/>
          </w:rPr>
          <w:t>Dz.</w:t>
        </w:r>
        <w:r w:rsidR="004035A4">
          <w:rPr>
            <w:rFonts w:ascii="Times New Roman" w:eastAsia="Calibri" w:hAnsi="Times New Roman" w:cs="Times New Roman"/>
            <w:sz w:val="24"/>
            <w:szCs w:val="24"/>
          </w:rPr>
          <w:t xml:space="preserve"> </w:t>
        </w:r>
        <w:r w:rsidR="004035A4" w:rsidRPr="00491834">
          <w:rPr>
            <w:rFonts w:ascii="Times New Roman" w:eastAsia="Calibri" w:hAnsi="Times New Roman" w:cs="Times New Roman"/>
            <w:sz w:val="24"/>
            <w:szCs w:val="24"/>
          </w:rPr>
          <w:t>U. 2022 r. poz. 2651</w:t>
        </w:r>
      </w:hyperlink>
      <w:r w:rsidR="00D829F4">
        <w:rPr>
          <w:rFonts w:ascii="Times New Roman" w:eastAsia="Calibri" w:hAnsi="Times New Roman" w:cs="Times New Roman"/>
          <w:sz w:val="24"/>
          <w:szCs w:val="24"/>
        </w:rPr>
        <w:t xml:space="preserve">) </w:t>
      </w:r>
      <w:r w:rsidRPr="007B4153">
        <w:rPr>
          <w:rFonts w:ascii="Times New Roman" w:eastAsia="Calibri" w:hAnsi="Times New Roman" w:cs="Times New Roman"/>
          <w:sz w:val="24"/>
          <w:szCs w:val="24"/>
        </w:rPr>
        <w:t xml:space="preserve"> oraz przepisy ustawy z dnia 17 czerwca 1966 r. o postępowaniu egzekucyjnym w administracji</w:t>
      </w:r>
      <w:r w:rsidR="00D829F4">
        <w:rPr>
          <w:rFonts w:ascii="Times New Roman" w:eastAsia="Calibri" w:hAnsi="Times New Roman" w:cs="Times New Roman"/>
          <w:sz w:val="24"/>
          <w:szCs w:val="24"/>
        </w:rPr>
        <w:t xml:space="preserve"> (Dz. U. </w:t>
      </w:r>
      <w:r w:rsidR="004035A4">
        <w:rPr>
          <w:rFonts w:ascii="Times New Roman" w:eastAsia="Calibri" w:hAnsi="Times New Roman" w:cs="Times New Roman"/>
          <w:sz w:val="24"/>
          <w:szCs w:val="24"/>
        </w:rPr>
        <w:t>2022 r. poz. 479, z późn. zm.</w:t>
      </w:r>
      <w:r w:rsidR="00D829F4">
        <w:rPr>
          <w:rFonts w:ascii="Times New Roman" w:eastAsia="Calibri" w:hAnsi="Times New Roman" w:cs="Times New Roman"/>
          <w:sz w:val="24"/>
          <w:szCs w:val="24"/>
        </w:rPr>
        <w:t>)</w:t>
      </w:r>
      <w:r>
        <w:rPr>
          <w:rFonts w:ascii="Times New Roman" w:eastAsia="Calibri" w:hAnsi="Times New Roman" w:cs="Times New Roman"/>
          <w:sz w:val="24"/>
          <w:szCs w:val="24"/>
        </w:rPr>
        <w:t xml:space="preserve">, o kary nadkładane na podstawie </w:t>
      </w:r>
      <w:r w:rsidRPr="007B4153">
        <w:rPr>
          <w:rFonts w:ascii="Times New Roman" w:eastAsia="Calibri" w:hAnsi="Times New Roman" w:cs="Times New Roman"/>
          <w:sz w:val="24"/>
          <w:szCs w:val="24"/>
        </w:rPr>
        <w:t>art. 3ha ust. 1 pkt 2 ustawy o na</w:t>
      </w:r>
      <w:r>
        <w:rPr>
          <w:rFonts w:ascii="Times New Roman" w:eastAsia="Calibri" w:hAnsi="Times New Roman" w:cs="Times New Roman"/>
          <w:sz w:val="24"/>
          <w:szCs w:val="24"/>
        </w:rPr>
        <w:t xml:space="preserve">dzorze nad rynkiem finansowym </w:t>
      </w:r>
      <w:r w:rsidRPr="00D829F4">
        <w:rPr>
          <w:rFonts w:ascii="Times New Roman" w:eastAsia="Calibri" w:hAnsi="Times New Roman" w:cs="Times New Roman"/>
          <w:sz w:val="24"/>
          <w:szCs w:val="24"/>
        </w:rPr>
        <w:t>(</w:t>
      </w:r>
      <w:r w:rsidRPr="0069297C">
        <w:rPr>
          <w:rFonts w:ascii="Times New Roman" w:eastAsia="Calibri" w:hAnsi="Times New Roman" w:cs="Times New Roman"/>
          <w:b/>
          <w:sz w:val="24"/>
          <w:szCs w:val="24"/>
        </w:rPr>
        <w:t>ust. 2</w:t>
      </w:r>
      <w:r w:rsidRPr="00D829F4">
        <w:rPr>
          <w:rFonts w:ascii="Times New Roman" w:eastAsia="Calibri" w:hAnsi="Times New Roman" w:cs="Times New Roman"/>
          <w:sz w:val="24"/>
          <w:szCs w:val="24"/>
        </w:rPr>
        <w:t>).</w:t>
      </w:r>
      <w:r w:rsidR="00DD4041" w:rsidRPr="00D829F4">
        <w:rPr>
          <w:rFonts w:ascii="Times New Roman" w:eastAsia="Calibri" w:hAnsi="Times New Roman" w:cs="Times New Roman"/>
          <w:sz w:val="24"/>
          <w:szCs w:val="24"/>
        </w:rPr>
        <w:t xml:space="preserve"> </w:t>
      </w:r>
    </w:p>
    <w:p w14:paraId="5D370DBF" w14:textId="30F7EA94" w:rsidR="00AB1420" w:rsidRDefault="00AB1420" w:rsidP="005E5395">
      <w:pPr>
        <w:spacing w:after="120" w:line="360" w:lineRule="auto"/>
        <w:jc w:val="both"/>
        <w:rPr>
          <w:rFonts w:ascii="Times New Roman" w:eastAsia="Calibri" w:hAnsi="Times New Roman" w:cs="Times New Roman"/>
          <w:sz w:val="24"/>
          <w:szCs w:val="24"/>
        </w:rPr>
      </w:pPr>
      <w:r w:rsidRPr="00D92FC1">
        <w:rPr>
          <w:rFonts w:ascii="Times New Roman" w:eastAsia="Calibri" w:hAnsi="Times New Roman" w:cs="Times New Roman"/>
          <w:sz w:val="24"/>
          <w:szCs w:val="24"/>
        </w:rPr>
        <w:t xml:space="preserve">Dodanie </w:t>
      </w:r>
      <w:r w:rsidRPr="00D92FC1">
        <w:rPr>
          <w:rFonts w:ascii="Times New Roman" w:eastAsia="Calibri" w:hAnsi="Times New Roman" w:cs="Times New Roman"/>
          <w:b/>
          <w:sz w:val="24"/>
          <w:szCs w:val="24"/>
        </w:rPr>
        <w:t>art. 20c</w:t>
      </w:r>
      <w:r w:rsidRPr="00D92FC1">
        <w:rPr>
          <w:rFonts w:ascii="Times New Roman" w:eastAsia="Calibri" w:hAnsi="Times New Roman" w:cs="Times New Roman"/>
          <w:sz w:val="24"/>
          <w:szCs w:val="24"/>
        </w:rPr>
        <w:t xml:space="preserve"> ma na celu wprowadzenie sankcji karnej dla osób odpowiedzialnych za informacje zawarte w kluczowych informacjach, które podają nieprawdziwe lub zatają prawdziwe dane wpływające w istotny sposób na treść informacji. Przepis ten wzorowany jest na art. 288a ustawy o funduszach inwestycyjnych, dzięki czemu zostanie zachowana analogiczna odpowiedzialność karna za podawanie nieprawdziwych lub zatajanie prawdziwych danych zawartych w analogicznych dokumentach.</w:t>
      </w:r>
    </w:p>
    <w:p w14:paraId="24172E42" w14:textId="77777777" w:rsidR="00E02019" w:rsidRPr="00D92FC1" w:rsidRDefault="00E02019" w:rsidP="005E5395">
      <w:pPr>
        <w:spacing w:after="0" w:line="360" w:lineRule="auto"/>
        <w:jc w:val="both"/>
        <w:rPr>
          <w:rFonts w:ascii="Times New Roman" w:hAnsi="Times New Roman" w:cs="Times New Roman"/>
          <w:b/>
          <w:sz w:val="24"/>
          <w:szCs w:val="24"/>
          <w:u w:val="single"/>
        </w:rPr>
      </w:pPr>
    </w:p>
    <w:p w14:paraId="28565399" w14:textId="615BE2A5" w:rsidR="00AB1420" w:rsidRPr="00D92FC1" w:rsidRDefault="00AB1420" w:rsidP="005E5395">
      <w:pPr>
        <w:spacing w:after="120" w:line="360" w:lineRule="auto"/>
        <w:jc w:val="both"/>
        <w:rPr>
          <w:rFonts w:ascii="Times New Roman" w:hAnsi="Times New Roman" w:cs="Times New Roman"/>
          <w:b/>
          <w:sz w:val="24"/>
          <w:szCs w:val="24"/>
          <w:u w:val="single"/>
        </w:rPr>
      </w:pPr>
      <w:r w:rsidRPr="00D92FC1">
        <w:rPr>
          <w:rFonts w:ascii="Times New Roman" w:hAnsi="Times New Roman" w:cs="Times New Roman"/>
          <w:b/>
          <w:sz w:val="24"/>
          <w:szCs w:val="24"/>
          <w:u w:val="single"/>
        </w:rPr>
        <w:t xml:space="preserve">Art. </w:t>
      </w:r>
      <w:r w:rsidR="000F2C75">
        <w:rPr>
          <w:rFonts w:ascii="Times New Roman" w:hAnsi="Times New Roman" w:cs="Times New Roman"/>
          <w:b/>
          <w:sz w:val="24"/>
          <w:szCs w:val="24"/>
          <w:u w:val="single"/>
        </w:rPr>
        <w:t>1</w:t>
      </w:r>
      <w:r w:rsidR="00682672">
        <w:rPr>
          <w:rFonts w:ascii="Times New Roman" w:hAnsi="Times New Roman" w:cs="Times New Roman"/>
          <w:b/>
          <w:sz w:val="24"/>
          <w:szCs w:val="24"/>
          <w:u w:val="single"/>
        </w:rPr>
        <w:t>1</w:t>
      </w:r>
      <w:r w:rsidR="000F2C75" w:rsidRPr="00D92FC1">
        <w:rPr>
          <w:rFonts w:ascii="Times New Roman" w:hAnsi="Times New Roman" w:cs="Times New Roman"/>
          <w:b/>
          <w:sz w:val="24"/>
          <w:szCs w:val="24"/>
          <w:u w:val="single"/>
        </w:rPr>
        <w:t xml:space="preserve"> </w:t>
      </w:r>
      <w:r w:rsidRPr="00D92FC1">
        <w:rPr>
          <w:rFonts w:ascii="Times New Roman" w:hAnsi="Times New Roman" w:cs="Times New Roman"/>
          <w:b/>
          <w:sz w:val="24"/>
          <w:szCs w:val="24"/>
          <w:u w:val="single"/>
        </w:rPr>
        <w:t>projektu – zmiany w ustawie o rekapitalizacji niektórych instytucji oraz o rządowych instrumentach stabilizacji finansowej</w:t>
      </w:r>
    </w:p>
    <w:p w14:paraId="12D1E236" w14:textId="77777777" w:rsidR="00AB1420" w:rsidRPr="00D92FC1" w:rsidRDefault="00AB1420" w:rsidP="005E5395">
      <w:pPr>
        <w:spacing w:after="120" w:line="360" w:lineRule="auto"/>
        <w:jc w:val="both"/>
        <w:rPr>
          <w:rFonts w:ascii="Times New Roman" w:hAnsi="Times New Roman" w:cs="Times New Roman"/>
          <w:bCs/>
          <w:sz w:val="24"/>
          <w:szCs w:val="24"/>
        </w:rPr>
      </w:pPr>
      <w:r w:rsidRPr="00D92FC1">
        <w:rPr>
          <w:rFonts w:ascii="Times New Roman" w:hAnsi="Times New Roman" w:cs="Times New Roman"/>
          <w:sz w:val="24"/>
          <w:szCs w:val="24"/>
        </w:rPr>
        <w:t xml:space="preserve">Proponuje się wprowadzenie instrumentu rekapitalizacji, o którym mowa w art. 32 ust. 4 lit. d dyrektywy BRRD, tj. pokrycie niedoborów kapitału przez zasilenie przez Skarb Państwa </w:t>
      </w:r>
      <w:r w:rsidRPr="00D92FC1">
        <w:rPr>
          <w:rFonts w:ascii="Times New Roman" w:hAnsi="Times New Roman" w:cs="Times New Roman"/>
          <w:sz w:val="24"/>
          <w:szCs w:val="24"/>
        </w:rPr>
        <w:lastRenderedPageBreak/>
        <w:t>funduszy własnych lub nabycie instrumentów kapitałowych instytucji. Będzie ono</w:t>
      </w:r>
      <w:r w:rsidRPr="00D92FC1">
        <w:rPr>
          <w:rFonts w:ascii="Times New Roman" w:hAnsi="Times New Roman" w:cs="Times New Roman"/>
          <w:bCs/>
          <w:sz w:val="24"/>
          <w:szCs w:val="24"/>
        </w:rPr>
        <w:t xml:space="preserve"> polegać na objęciu lub nabyciu przez Skarb Państwa instrumentów w kapitale podstawowym </w:t>
      </w:r>
      <w:r w:rsidRPr="00D92FC1">
        <w:rPr>
          <w:rFonts w:ascii="Times New Roman" w:hAnsi="Times New Roman" w:cs="Times New Roman"/>
          <w:bCs/>
          <w:i/>
          <w:sz w:val="24"/>
          <w:szCs w:val="24"/>
        </w:rPr>
        <w:t>Tier I</w:t>
      </w:r>
      <w:r w:rsidRPr="00D92FC1">
        <w:rPr>
          <w:rFonts w:ascii="Times New Roman" w:hAnsi="Times New Roman" w:cs="Times New Roman"/>
          <w:bCs/>
          <w:sz w:val="24"/>
          <w:szCs w:val="24"/>
        </w:rPr>
        <w:t xml:space="preserve"> lub instrumentów dodatkowych w kapitale </w:t>
      </w:r>
      <w:r w:rsidRPr="00D92FC1">
        <w:rPr>
          <w:rFonts w:ascii="Times New Roman" w:hAnsi="Times New Roman" w:cs="Times New Roman"/>
          <w:bCs/>
          <w:i/>
          <w:sz w:val="24"/>
          <w:szCs w:val="24"/>
        </w:rPr>
        <w:t>Tier I</w:t>
      </w:r>
      <w:r w:rsidRPr="00D92FC1">
        <w:rPr>
          <w:rFonts w:ascii="Times New Roman" w:hAnsi="Times New Roman" w:cs="Times New Roman"/>
          <w:bCs/>
          <w:sz w:val="24"/>
          <w:szCs w:val="24"/>
        </w:rPr>
        <w:t xml:space="preserve">, lub instrumentów w kapitale </w:t>
      </w:r>
      <w:r w:rsidRPr="00D92FC1">
        <w:rPr>
          <w:rFonts w:ascii="Times New Roman" w:hAnsi="Times New Roman" w:cs="Times New Roman"/>
          <w:bCs/>
          <w:i/>
          <w:sz w:val="24"/>
          <w:szCs w:val="24"/>
        </w:rPr>
        <w:t>Tier II</w:t>
      </w:r>
      <w:r w:rsidRPr="00D92FC1">
        <w:rPr>
          <w:rFonts w:ascii="Times New Roman" w:hAnsi="Times New Roman" w:cs="Times New Roman"/>
          <w:bCs/>
          <w:sz w:val="24"/>
          <w:szCs w:val="24"/>
        </w:rPr>
        <w:t xml:space="preserve">, na warunkach nieodbiegających od przeciętnych warunków rynkowych. Będzie mogło być zastosowane na wniosek instytucji, jeżeli spełni ona określone warunki oraz złoży plan pokrycia niedoborów kapitałowych, do którego stosowania będzie zobowiązana. </w:t>
      </w:r>
    </w:p>
    <w:p w14:paraId="18DFEBFD" w14:textId="77777777" w:rsidR="00AB1420" w:rsidRPr="00D92FC1" w:rsidRDefault="00AB1420" w:rsidP="005E5395">
      <w:pPr>
        <w:spacing w:after="0" w:line="360" w:lineRule="auto"/>
        <w:jc w:val="both"/>
        <w:rPr>
          <w:rFonts w:ascii="Times New Roman" w:hAnsi="Times New Roman" w:cs="Times New Roman"/>
          <w:sz w:val="24"/>
          <w:szCs w:val="24"/>
        </w:rPr>
      </w:pPr>
      <w:r w:rsidRPr="00D92FC1">
        <w:rPr>
          <w:rFonts w:ascii="Times New Roman" w:hAnsi="Times New Roman" w:cs="Times New Roman"/>
          <w:sz w:val="24"/>
          <w:szCs w:val="24"/>
        </w:rPr>
        <w:t>Zmiany</w:t>
      </w:r>
      <w:r w:rsidRPr="00D92FC1">
        <w:rPr>
          <w:rFonts w:ascii="Times New Roman" w:hAnsi="Times New Roman" w:cs="Times New Roman"/>
          <w:b/>
          <w:sz w:val="24"/>
          <w:szCs w:val="24"/>
        </w:rPr>
        <w:t xml:space="preserve"> art. 1 ust. 2 </w:t>
      </w:r>
      <w:r w:rsidRPr="00D92FC1">
        <w:rPr>
          <w:rFonts w:ascii="Times New Roman" w:hAnsi="Times New Roman" w:cs="Times New Roman"/>
          <w:sz w:val="24"/>
          <w:szCs w:val="24"/>
        </w:rPr>
        <w:t>i</w:t>
      </w:r>
      <w:r w:rsidRPr="00D92FC1">
        <w:rPr>
          <w:rFonts w:ascii="Times New Roman" w:hAnsi="Times New Roman" w:cs="Times New Roman"/>
          <w:b/>
          <w:sz w:val="24"/>
          <w:szCs w:val="24"/>
        </w:rPr>
        <w:t xml:space="preserve"> art. 2a ust. 1 </w:t>
      </w:r>
      <w:r w:rsidRPr="00D92FC1">
        <w:rPr>
          <w:rFonts w:ascii="Times New Roman" w:hAnsi="Times New Roman" w:cs="Times New Roman"/>
          <w:sz w:val="24"/>
          <w:szCs w:val="24"/>
        </w:rPr>
        <w:t xml:space="preserve">mają na celu rozszerzenie obecnych rozwiązań o instrument w postaci pokrycia niedoborów kapitałowych przez Skarb Państwa. </w:t>
      </w:r>
    </w:p>
    <w:p w14:paraId="616D0F7E" w14:textId="77777777" w:rsidR="00AB1420" w:rsidRDefault="00AB1420" w:rsidP="005E5395">
      <w:pPr>
        <w:spacing w:after="120" w:line="360" w:lineRule="auto"/>
        <w:jc w:val="both"/>
        <w:rPr>
          <w:rFonts w:ascii="Times New Roman" w:hAnsi="Times New Roman" w:cs="Times New Roman"/>
          <w:sz w:val="24"/>
          <w:szCs w:val="24"/>
        </w:rPr>
      </w:pPr>
      <w:r w:rsidRPr="00D92FC1">
        <w:rPr>
          <w:rFonts w:ascii="Times New Roman" w:hAnsi="Times New Roman" w:cs="Times New Roman"/>
          <w:sz w:val="24"/>
          <w:szCs w:val="24"/>
        </w:rPr>
        <w:t>Dodawany</w:t>
      </w:r>
      <w:r w:rsidRPr="00D92FC1">
        <w:rPr>
          <w:rFonts w:ascii="Times New Roman" w:hAnsi="Times New Roman" w:cs="Times New Roman"/>
          <w:b/>
          <w:sz w:val="24"/>
          <w:szCs w:val="24"/>
        </w:rPr>
        <w:t xml:space="preserve"> </w:t>
      </w:r>
      <w:r w:rsidRPr="00DD4041">
        <w:rPr>
          <w:rFonts w:ascii="Times New Roman" w:hAnsi="Times New Roman" w:cs="Times New Roman"/>
          <w:b/>
          <w:sz w:val="24"/>
          <w:szCs w:val="24"/>
        </w:rPr>
        <w:t>art. 2a</w:t>
      </w:r>
      <w:r>
        <w:rPr>
          <w:rFonts w:ascii="Times New Roman" w:hAnsi="Times New Roman" w:cs="Times New Roman"/>
          <w:b/>
          <w:sz w:val="24"/>
          <w:szCs w:val="24"/>
        </w:rPr>
        <w:t xml:space="preserve"> </w:t>
      </w:r>
      <w:r w:rsidRPr="00D92FC1">
        <w:rPr>
          <w:rFonts w:ascii="Times New Roman" w:hAnsi="Times New Roman" w:cs="Times New Roman"/>
          <w:b/>
          <w:sz w:val="24"/>
          <w:szCs w:val="24"/>
        </w:rPr>
        <w:t xml:space="preserve">ust. 1a </w:t>
      </w:r>
      <w:r w:rsidRPr="00D92FC1">
        <w:rPr>
          <w:rFonts w:ascii="Times New Roman" w:hAnsi="Times New Roman" w:cs="Times New Roman"/>
          <w:sz w:val="24"/>
          <w:szCs w:val="24"/>
        </w:rPr>
        <w:t>przewiduje</w:t>
      </w:r>
      <w:r>
        <w:rPr>
          <w:rFonts w:ascii="Times New Roman" w:hAnsi="Times New Roman" w:cs="Times New Roman"/>
          <w:sz w:val="24"/>
          <w:szCs w:val="24"/>
        </w:rPr>
        <w:t xml:space="preserve"> ponadto</w:t>
      </w:r>
      <w:r w:rsidRPr="00D92FC1">
        <w:rPr>
          <w:rFonts w:ascii="Times New Roman" w:hAnsi="Times New Roman" w:cs="Times New Roman"/>
          <w:sz w:val="24"/>
          <w:szCs w:val="24"/>
        </w:rPr>
        <w:t>, że</w:t>
      </w:r>
      <w:r w:rsidRPr="00D92FC1">
        <w:rPr>
          <w:rFonts w:ascii="Times New Roman" w:hAnsi="Times New Roman" w:cs="Times New Roman"/>
          <w:b/>
          <w:sz w:val="24"/>
          <w:szCs w:val="24"/>
        </w:rPr>
        <w:t xml:space="preserve"> </w:t>
      </w:r>
      <w:r w:rsidRPr="00D92FC1">
        <w:rPr>
          <w:rFonts w:ascii="Times New Roman" w:hAnsi="Times New Roman" w:cs="Times New Roman"/>
          <w:sz w:val="24"/>
          <w:szCs w:val="24"/>
        </w:rPr>
        <w:t>gwarancja ostrożnościowa lub pokrycie niedoborów kapitałowych będą mogły być zastosowane wyłącznie w celu zapobieżenia poważnym zaburzeniom w gospodarce, o ile jest to proporcjonalne do skali zagrożenia, ma charakter zapobiegawczy i czasowy, a także nie służy pokryciu strat, które podmiot poniósł lub może ponieść w bliskiej przyszłości.</w:t>
      </w:r>
    </w:p>
    <w:p w14:paraId="2FF832A9" w14:textId="56266D22" w:rsidR="00AB1420" w:rsidRPr="00D92FC1" w:rsidRDefault="00AB1420" w:rsidP="005E5395">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Tytuł rozdziału 2 otrzyma nowe brzmienie „Instrumenty rekapitalizacji”, co w sposób odpowiedni odzwierciedli zmienion</w:t>
      </w:r>
      <w:r w:rsidR="003F6D81">
        <w:rPr>
          <w:rFonts w:ascii="Times New Roman" w:hAnsi="Times New Roman" w:cs="Times New Roman"/>
          <w:sz w:val="24"/>
          <w:szCs w:val="24"/>
        </w:rPr>
        <w:t>ą</w:t>
      </w:r>
      <w:r>
        <w:rPr>
          <w:rFonts w:ascii="Times New Roman" w:hAnsi="Times New Roman" w:cs="Times New Roman"/>
          <w:sz w:val="24"/>
          <w:szCs w:val="24"/>
        </w:rPr>
        <w:t xml:space="preserve"> treść przepisów. </w:t>
      </w:r>
    </w:p>
    <w:p w14:paraId="5FBC47B9" w14:textId="7B645278" w:rsidR="00AB1420" w:rsidRPr="00D92FC1" w:rsidRDefault="00AB1420" w:rsidP="005E5395">
      <w:pPr>
        <w:spacing w:after="0" w:line="360" w:lineRule="auto"/>
        <w:jc w:val="both"/>
        <w:rPr>
          <w:rFonts w:ascii="Times New Roman" w:hAnsi="Times New Roman" w:cs="Times New Roman"/>
          <w:sz w:val="24"/>
          <w:szCs w:val="24"/>
        </w:rPr>
      </w:pPr>
      <w:r w:rsidRPr="00D92FC1">
        <w:rPr>
          <w:rFonts w:ascii="Times New Roman" w:hAnsi="Times New Roman" w:cs="Times New Roman"/>
          <w:sz w:val="24"/>
          <w:szCs w:val="24"/>
        </w:rPr>
        <w:t xml:space="preserve">Zmieniany </w:t>
      </w:r>
      <w:r w:rsidRPr="00D92FC1">
        <w:rPr>
          <w:rFonts w:ascii="Times New Roman" w:hAnsi="Times New Roman" w:cs="Times New Roman"/>
          <w:b/>
          <w:sz w:val="24"/>
          <w:szCs w:val="24"/>
        </w:rPr>
        <w:t>art. 3 ust. 1</w:t>
      </w:r>
      <w:r w:rsidRPr="00D92FC1">
        <w:rPr>
          <w:rFonts w:ascii="Times New Roman" w:hAnsi="Times New Roman" w:cs="Times New Roman"/>
          <w:sz w:val="24"/>
          <w:szCs w:val="24"/>
        </w:rPr>
        <w:t xml:space="preserve"> ma na celu aktualizację przepisów w związku z implementacją art. 104b dyrektywy CRD V, który określa wytyczne dotyczące dodatkowych funduszy własnych. Należy zauważyć, że zmiana dyrektywy CRD V nie pociągnęła za sobą zmian w dyrektywie BRRD, w tym w art. 32 ust. 5 lit. d, który umożliwia przyznanie nadzwyczajnego publicznego wsparcia finansowego</w:t>
      </w:r>
      <w:r w:rsidRPr="00D92FC1">
        <w:rPr>
          <w:rStyle w:val="Odwoaniedokomentarza"/>
          <w:rFonts w:ascii="Times New Roman" w:hAnsi="Times New Roman" w:cs="Times New Roman"/>
          <w:sz w:val="24"/>
          <w:szCs w:val="24"/>
        </w:rPr>
        <w:t>.</w:t>
      </w:r>
      <w:r w:rsidRPr="00D92FC1">
        <w:rPr>
          <w:rFonts w:ascii="Times New Roman" w:hAnsi="Times New Roman" w:cs="Times New Roman"/>
          <w:sz w:val="24"/>
          <w:szCs w:val="24"/>
        </w:rPr>
        <w:t xml:space="preserve"> </w:t>
      </w:r>
      <w:r w:rsidR="00B3454B">
        <w:rPr>
          <w:rFonts w:ascii="Times New Roman" w:hAnsi="Times New Roman" w:cs="Times New Roman"/>
          <w:sz w:val="24"/>
          <w:szCs w:val="24"/>
        </w:rPr>
        <w:t xml:space="preserve"> Przepis ten wskazuje, że instrumenty rekapitalizacji</w:t>
      </w:r>
      <w:r w:rsidRPr="00D92FC1">
        <w:rPr>
          <w:rFonts w:ascii="Times New Roman" w:hAnsi="Times New Roman" w:cs="Times New Roman"/>
          <w:sz w:val="24"/>
          <w:szCs w:val="24"/>
        </w:rPr>
        <w:t xml:space="preserve"> mo</w:t>
      </w:r>
      <w:r w:rsidR="00B3454B">
        <w:rPr>
          <w:rFonts w:ascii="Times New Roman" w:hAnsi="Times New Roman" w:cs="Times New Roman"/>
          <w:sz w:val="24"/>
          <w:szCs w:val="24"/>
        </w:rPr>
        <w:t xml:space="preserve">gą być </w:t>
      </w:r>
      <w:r w:rsidRPr="00D92FC1">
        <w:rPr>
          <w:rFonts w:ascii="Times New Roman" w:hAnsi="Times New Roman" w:cs="Times New Roman"/>
          <w:sz w:val="24"/>
          <w:szCs w:val="24"/>
        </w:rPr>
        <w:t xml:space="preserve"> </w:t>
      </w:r>
      <w:r w:rsidR="00E965AC">
        <w:rPr>
          <w:rFonts w:ascii="Times New Roman" w:hAnsi="Times New Roman" w:cs="Times New Roman"/>
          <w:sz w:val="24"/>
          <w:szCs w:val="24"/>
        </w:rPr>
        <w:t>zastosowane</w:t>
      </w:r>
      <w:r w:rsidR="00E965AC" w:rsidRPr="00D92FC1">
        <w:rPr>
          <w:rFonts w:ascii="Times New Roman" w:hAnsi="Times New Roman" w:cs="Times New Roman"/>
          <w:sz w:val="24"/>
          <w:szCs w:val="24"/>
        </w:rPr>
        <w:t xml:space="preserve"> </w:t>
      </w:r>
      <w:r w:rsidRPr="00D92FC1">
        <w:rPr>
          <w:rFonts w:ascii="Times New Roman" w:hAnsi="Times New Roman" w:cs="Times New Roman"/>
          <w:sz w:val="24"/>
          <w:szCs w:val="24"/>
        </w:rPr>
        <w:t>dopiero w przypadku gdy</w:t>
      </w:r>
      <w:r w:rsidR="00E965AC">
        <w:rPr>
          <w:rFonts w:ascii="Times New Roman" w:hAnsi="Times New Roman" w:cs="Times New Roman"/>
          <w:sz w:val="24"/>
          <w:szCs w:val="24"/>
        </w:rPr>
        <w:t xml:space="preserve"> </w:t>
      </w:r>
      <w:r w:rsidR="00646598">
        <w:rPr>
          <w:rFonts w:ascii="Times New Roman" w:hAnsi="Times New Roman" w:cs="Times New Roman"/>
          <w:sz w:val="24"/>
          <w:szCs w:val="24"/>
        </w:rPr>
        <w:t xml:space="preserve">KNF </w:t>
      </w:r>
      <w:r w:rsidR="00B3454B">
        <w:rPr>
          <w:rFonts w:ascii="Times New Roman" w:hAnsi="Times New Roman" w:cs="Times New Roman"/>
          <w:sz w:val="24"/>
          <w:szCs w:val="24"/>
        </w:rPr>
        <w:t xml:space="preserve">nakaże bankowi </w:t>
      </w:r>
      <w:r w:rsidR="00B3454B" w:rsidRPr="00B3454B">
        <w:rPr>
          <w:rFonts w:ascii="Times New Roman" w:hAnsi="Times New Roman" w:cs="Times New Roman"/>
          <w:sz w:val="24"/>
          <w:szCs w:val="24"/>
        </w:rPr>
        <w:t xml:space="preserve">przestrzeganie dodatkowego wymogu </w:t>
      </w:r>
      <w:r w:rsidR="00B3454B">
        <w:rPr>
          <w:rFonts w:ascii="Times New Roman" w:hAnsi="Times New Roman" w:cs="Times New Roman"/>
          <w:sz w:val="24"/>
          <w:szCs w:val="24"/>
        </w:rPr>
        <w:t>w zakresie</w:t>
      </w:r>
      <w:r w:rsidR="00E965AC" w:rsidRPr="00D92FC1">
        <w:rPr>
          <w:rFonts w:ascii="Times New Roman" w:hAnsi="Times New Roman" w:cs="Times New Roman"/>
          <w:sz w:val="24"/>
          <w:szCs w:val="24"/>
        </w:rPr>
        <w:t xml:space="preserve"> funduszy własnych </w:t>
      </w:r>
      <w:r w:rsidR="00E965AC" w:rsidRPr="00E965AC">
        <w:rPr>
          <w:rFonts w:ascii="Times New Roman" w:hAnsi="Times New Roman" w:cs="Times New Roman"/>
          <w:sz w:val="24"/>
          <w:szCs w:val="24"/>
        </w:rPr>
        <w:t>na podstawie art. 138</w:t>
      </w:r>
      <w:r w:rsidR="00E965AC">
        <w:rPr>
          <w:rFonts w:ascii="Times New Roman" w:hAnsi="Times New Roman" w:cs="Times New Roman"/>
          <w:sz w:val="24"/>
          <w:szCs w:val="24"/>
        </w:rPr>
        <w:t xml:space="preserve"> ust. 2 pkt 2</w:t>
      </w:r>
      <w:r w:rsidR="00E965AC" w:rsidRPr="00E965AC">
        <w:rPr>
          <w:rFonts w:ascii="Times New Roman" w:hAnsi="Times New Roman" w:cs="Times New Roman"/>
          <w:sz w:val="24"/>
          <w:szCs w:val="24"/>
        </w:rPr>
        <w:t xml:space="preserve"> </w:t>
      </w:r>
      <w:r w:rsidR="00345722">
        <w:rPr>
          <w:rFonts w:ascii="Times New Roman" w:hAnsi="Times New Roman" w:cs="Times New Roman"/>
          <w:sz w:val="24"/>
          <w:szCs w:val="24"/>
        </w:rPr>
        <w:t xml:space="preserve">ustawy – </w:t>
      </w:r>
      <w:r w:rsidR="00313D9B">
        <w:rPr>
          <w:rFonts w:ascii="Times New Roman" w:hAnsi="Times New Roman" w:cs="Times New Roman"/>
          <w:sz w:val="24"/>
          <w:szCs w:val="24"/>
        </w:rPr>
        <w:t>Praw</w:t>
      </w:r>
      <w:r w:rsidR="00345722">
        <w:rPr>
          <w:rFonts w:ascii="Times New Roman" w:hAnsi="Times New Roman" w:cs="Times New Roman"/>
          <w:sz w:val="24"/>
          <w:szCs w:val="24"/>
        </w:rPr>
        <w:t>o</w:t>
      </w:r>
      <w:r w:rsidR="00313D9B" w:rsidRPr="00D92FC1">
        <w:rPr>
          <w:rFonts w:ascii="Times New Roman" w:hAnsi="Times New Roman" w:cs="Times New Roman"/>
          <w:sz w:val="24"/>
          <w:szCs w:val="24"/>
        </w:rPr>
        <w:t xml:space="preserve"> bankowe</w:t>
      </w:r>
      <w:r w:rsidR="00313D9B">
        <w:rPr>
          <w:rFonts w:ascii="Times New Roman" w:hAnsi="Times New Roman" w:cs="Times New Roman"/>
          <w:sz w:val="24"/>
          <w:szCs w:val="24"/>
        </w:rPr>
        <w:t>.</w:t>
      </w:r>
      <w:r w:rsidR="00313D9B" w:rsidRPr="00D92FC1">
        <w:rPr>
          <w:rFonts w:ascii="Times New Roman" w:hAnsi="Times New Roman" w:cs="Times New Roman"/>
          <w:sz w:val="24"/>
          <w:szCs w:val="24"/>
        </w:rPr>
        <w:t xml:space="preserve"> </w:t>
      </w:r>
    </w:p>
    <w:p w14:paraId="5518653D" w14:textId="77777777" w:rsidR="00AB1420" w:rsidRPr="00D92FC1" w:rsidRDefault="00AB1420" w:rsidP="005E5395">
      <w:pPr>
        <w:spacing w:after="0" w:line="360" w:lineRule="auto"/>
        <w:jc w:val="both"/>
        <w:rPr>
          <w:rFonts w:ascii="Times New Roman" w:hAnsi="Times New Roman" w:cs="Times New Roman"/>
          <w:sz w:val="24"/>
          <w:szCs w:val="24"/>
        </w:rPr>
      </w:pPr>
      <w:r w:rsidRPr="00D92FC1">
        <w:rPr>
          <w:rFonts w:ascii="Times New Roman" w:hAnsi="Times New Roman" w:cs="Times New Roman"/>
          <w:sz w:val="24"/>
          <w:szCs w:val="24"/>
        </w:rPr>
        <w:t>Dodawany</w:t>
      </w:r>
      <w:r w:rsidRPr="00D92FC1">
        <w:rPr>
          <w:rFonts w:ascii="Times New Roman" w:hAnsi="Times New Roman" w:cs="Times New Roman"/>
          <w:b/>
          <w:sz w:val="24"/>
          <w:szCs w:val="24"/>
        </w:rPr>
        <w:t xml:space="preserve"> ust. 5</w:t>
      </w:r>
      <w:r w:rsidRPr="00D92FC1">
        <w:rPr>
          <w:rFonts w:ascii="Times New Roman" w:hAnsi="Times New Roman" w:cs="Times New Roman"/>
          <w:sz w:val="24"/>
          <w:szCs w:val="24"/>
        </w:rPr>
        <w:t xml:space="preserve"> wskazuje moment nabycia lub objęcia instrumentów</w:t>
      </w:r>
      <w:r w:rsidRPr="00D92FC1">
        <w:rPr>
          <w:rFonts w:ascii="Times New Roman" w:eastAsiaTheme="minorEastAsia" w:hAnsi="Times New Roman" w:cs="Times New Roman"/>
          <w:sz w:val="24"/>
          <w:szCs w:val="24"/>
          <w:lang w:eastAsia="pl-PL"/>
        </w:rPr>
        <w:t xml:space="preserve"> </w:t>
      </w:r>
      <w:r w:rsidRPr="00D92FC1">
        <w:rPr>
          <w:rFonts w:ascii="Times New Roman" w:hAnsi="Times New Roman" w:cs="Times New Roman"/>
          <w:sz w:val="24"/>
          <w:szCs w:val="24"/>
        </w:rPr>
        <w:t xml:space="preserve">w kapitale podstawowym </w:t>
      </w:r>
      <w:r w:rsidRPr="00D92FC1">
        <w:rPr>
          <w:rFonts w:ascii="Times New Roman" w:hAnsi="Times New Roman" w:cs="Times New Roman"/>
          <w:i/>
          <w:sz w:val="24"/>
          <w:szCs w:val="24"/>
        </w:rPr>
        <w:t>Tier I</w:t>
      </w:r>
      <w:r w:rsidRPr="00D92FC1">
        <w:rPr>
          <w:rFonts w:ascii="Times New Roman" w:hAnsi="Times New Roman" w:cs="Times New Roman"/>
          <w:sz w:val="24"/>
          <w:szCs w:val="24"/>
        </w:rPr>
        <w:t xml:space="preserve"> lub dodatkowe w </w:t>
      </w:r>
      <w:r w:rsidRPr="00D92FC1">
        <w:rPr>
          <w:rFonts w:ascii="Times New Roman" w:hAnsi="Times New Roman" w:cs="Times New Roman"/>
          <w:i/>
          <w:sz w:val="24"/>
          <w:szCs w:val="24"/>
        </w:rPr>
        <w:t>Tier I</w:t>
      </w:r>
      <w:r w:rsidRPr="00D92FC1">
        <w:rPr>
          <w:rFonts w:ascii="Times New Roman" w:hAnsi="Times New Roman" w:cs="Times New Roman"/>
          <w:sz w:val="24"/>
          <w:szCs w:val="24"/>
        </w:rPr>
        <w:t xml:space="preserve">, o których mowa w art. 52 rozporządzenia nr 575/2013, oraz instrumenty w </w:t>
      </w:r>
      <w:r w:rsidRPr="00D92FC1">
        <w:rPr>
          <w:rFonts w:ascii="Times New Roman" w:hAnsi="Times New Roman" w:cs="Times New Roman"/>
          <w:i/>
          <w:sz w:val="24"/>
          <w:szCs w:val="24"/>
        </w:rPr>
        <w:t>Tier II</w:t>
      </w:r>
      <w:r w:rsidRPr="00D92FC1">
        <w:rPr>
          <w:rFonts w:ascii="Times New Roman" w:hAnsi="Times New Roman" w:cs="Times New Roman"/>
          <w:sz w:val="24"/>
          <w:szCs w:val="24"/>
        </w:rPr>
        <w:t>, o których mowa w art. 63 tego rozporządzenia, w ramach pokrycia niedoborów kapitałowych. Określa również maksymalną wysokość pokrycia niedoborów kapitałowych i uzależnia ją od kwoty wskazanej przez KNF zgodnie z ust. 1.</w:t>
      </w:r>
    </w:p>
    <w:p w14:paraId="23F0B79E" w14:textId="77777777" w:rsidR="00AB1420" w:rsidRPr="00D92FC1" w:rsidRDefault="00AB1420" w:rsidP="005E5395">
      <w:pPr>
        <w:spacing w:after="0" w:line="360" w:lineRule="auto"/>
        <w:jc w:val="both"/>
        <w:rPr>
          <w:rFonts w:ascii="Times New Roman" w:hAnsi="Times New Roman" w:cs="Times New Roman"/>
          <w:sz w:val="24"/>
          <w:szCs w:val="24"/>
        </w:rPr>
      </w:pPr>
      <w:r w:rsidRPr="00D92FC1">
        <w:rPr>
          <w:rFonts w:ascii="Times New Roman" w:hAnsi="Times New Roman" w:cs="Times New Roman"/>
          <w:sz w:val="24"/>
          <w:szCs w:val="24"/>
        </w:rPr>
        <w:t xml:space="preserve">Przepis </w:t>
      </w:r>
      <w:r w:rsidRPr="00D92FC1">
        <w:rPr>
          <w:rFonts w:ascii="Times New Roman" w:hAnsi="Times New Roman" w:cs="Times New Roman"/>
          <w:b/>
          <w:sz w:val="24"/>
          <w:szCs w:val="24"/>
        </w:rPr>
        <w:t>ust. 6</w:t>
      </w:r>
      <w:r w:rsidRPr="00D92FC1">
        <w:rPr>
          <w:rFonts w:ascii="Times New Roman" w:hAnsi="Times New Roman" w:cs="Times New Roman"/>
          <w:sz w:val="24"/>
          <w:szCs w:val="24"/>
        </w:rPr>
        <w:t xml:space="preserve"> przewiduje zakwalifikowanie akcji lub obligacji nabytych lub objętych zgodnie z ust. 5 w kapitale podstawowym </w:t>
      </w:r>
      <w:r w:rsidRPr="00D92FC1">
        <w:rPr>
          <w:rFonts w:ascii="Times New Roman" w:hAnsi="Times New Roman" w:cs="Times New Roman"/>
          <w:i/>
          <w:sz w:val="24"/>
          <w:szCs w:val="24"/>
        </w:rPr>
        <w:t>Tier</w:t>
      </w:r>
      <w:r w:rsidRPr="00D92FC1">
        <w:rPr>
          <w:rFonts w:ascii="Times New Roman" w:hAnsi="Times New Roman" w:cs="Times New Roman"/>
          <w:sz w:val="24"/>
          <w:szCs w:val="24"/>
        </w:rPr>
        <w:t xml:space="preserve"> I albo jako instrumenty dodatkowe w kapitale </w:t>
      </w:r>
      <w:r w:rsidRPr="00D92FC1">
        <w:rPr>
          <w:rFonts w:ascii="Times New Roman" w:hAnsi="Times New Roman" w:cs="Times New Roman"/>
          <w:i/>
          <w:sz w:val="24"/>
          <w:szCs w:val="24"/>
        </w:rPr>
        <w:t>Tier I</w:t>
      </w:r>
      <w:r w:rsidRPr="00D92FC1">
        <w:rPr>
          <w:rFonts w:ascii="Times New Roman" w:hAnsi="Times New Roman" w:cs="Times New Roman"/>
          <w:sz w:val="24"/>
          <w:szCs w:val="24"/>
        </w:rPr>
        <w:t xml:space="preserve"> albo instrumenty w kapitale </w:t>
      </w:r>
      <w:r w:rsidRPr="00D92FC1">
        <w:rPr>
          <w:rFonts w:ascii="Times New Roman" w:hAnsi="Times New Roman" w:cs="Times New Roman"/>
          <w:i/>
          <w:sz w:val="24"/>
          <w:szCs w:val="24"/>
        </w:rPr>
        <w:t>Tier II</w:t>
      </w:r>
      <w:r w:rsidRPr="00D92FC1">
        <w:rPr>
          <w:rFonts w:ascii="Times New Roman" w:hAnsi="Times New Roman" w:cs="Times New Roman"/>
          <w:sz w:val="24"/>
          <w:szCs w:val="24"/>
        </w:rPr>
        <w:t xml:space="preserve">, po uzyskaniu zgody KNF, o której mowa w art. 127 ustawy – Prawo bankowe. </w:t>
      </w:r>
    </w:p>
    <w:p w14:paraId="64C0F5CC" w14:textId="77777777" w:rsidR="00AB1420" w:rsidRPr="00D92FC1" w:rsidRDefault="00AB1420" w:rsidP="005E5395">
      <w:pPr>
        <w:spacing w:after="120" w:line="360" w:lineRule="auto"/>
        <w:jc w:val="both"/>
        <w:rPr>
          <w:rFonts w:ascii="Times New Roman" w:hAnsi="Times New Roman" w:cs="Times New Roman"/>
          <w:bCs/>
          <w:sz w:val="24"/>
          <w:szCs w:val="24"/>
        </w:rPr>
      </w:pPr>
      <w:r w:rsidRPr="00D92FC1">
        <w:rPr>
          <w:rFonts w:ascii="Times New Roman" w:hAnsi="Times New Roman" w:cs="Times New Roman"/>
          <w:sz w:val="24"/>
          <w:szCs w:val="24"/>
        </w:rPr>
        <w:lastRenderedPageBreak/>
        <w:t xml:space="preserve">Dodawany </w:t>
      </w:r>
      <w:r w:rsidRPr="00D92FC1">
        <w:rPr>
          <w:rFonts w:ascii="Times New Roman" w:hAnsi="Times New Roman" w:cs="Times New Roman"/>
          <w:b/>
          <w:sz w:val="24"/>
          <w:szCs w:val="24"/>
        </w:rPr>
        <w:t>ust. 7</w:t>
      </w:r>
      <w:r w:rsidRPr="00D92FC1">
        <w:rPr>
          <w:rFonts w:ascii="Times New Roman" w:hAnsi="Times New Roman" w:cs="Times New Roman"/>
          <w:sz w:val="24"/>
          <w:szCs w:val="24"/>
        </w:rPr>
        <w:t xml:space="preserve"> określa sposób </w:t>
      </w:r>
      <w:r w:rsidRPr="00D92FC1">
        <w:rPr>
          <w:rFonts w:ascii="Times New Roman" w:hAnsi="Times New Roman" w:cs="Times New Roman"/>
          <w:bCs/>
          <w:sz w:val="24"/>
          <w:szCs w:val="24"/>
        </w:rPr>
        <w:t xml:space="preserve">pokrycia niedoborów kapitałowych w bankach spółdzielczych – będzie ono możliwe wyłącznie przez nabycie lub objęcie przez Skarb Państwa obligacji wyemitowanych przez ten bank. </w:t>
      </w:r>
    </w:p>
    <w:p w14:paraId="59A2854D" w14:textId="21D81C0F" w:rsidR="00AB1420" w:rsidRPr="00D92FC1" w:rsidRDefault="00AB1420" w:rsidP="005E5395">
      <w:pPr>
        <w:spacing w:after="0" w:line="360" w:lineRule="auto"/>
        <w:jc w:val="both"/>
        <w:rPr>
          <w:rFonts w:ascii="Times New Roman" w:hAnsi="Times New Roman" w:cs="Times New Roman"/>
          <w:sz w:val="24"/>
          <w:szCs w:val="24"/>
        </w:rPr>
      </w:pPr>
      <w:r w:rsidRPr="00D92FC1">
        <w:rPr>
          <w:rFonts w:ascii="Times New Roman" w:hAnsi="Times New Roman" w:cs="Times New Roman"/>
          <w:sz w:val="24"/>
          <w:szCs w:val="24"/>
        </w:rPr>
        <w:t>Zmieniany</w:t>
      </w:r>
      <w:r w:rsidRPr="00D92FC1">
        <w:rPr>
          <w:rFonts w:ascii="Times New Roman" w:hAnsi="Times New Roman" w:cs="Times New Roman"/>
          <w:b/>
          <w:sz w:val="24"/>
          <w:szCs w:val="24"/>
        </w:rPr>
        <w:t xml:space="preserve"> art. 4 ust. 1</w:t>
      </w:r>
      <w:r w:rsidRPr="00D92FC1">
        <w:rPr>
          <w:rFonts w:ascii="Times New Roman" w:hAnsi="Times New Roman" w:cs="Times New Roman"/>
          <w:sz w:val="24"/>
          <w:szCs w:val="24"/>
        </w:rPr>
        <w:t xml:space="preserve"> stanowi,</w:t>
      </w:r>
      <w:r w:rsidRPr="00D92FC1">
        <w:rPr>
          <w:rFonts w:ascii="Times New Roman" w:hAnsi="Times New Roman" w:cs="Times New Roman"/>
          <w:b/>
          <w:sz w:val="24"/>
          <w:szCs w:val="24"/>
        </w:rPr>
        <w:t xml:space="preserve"> </w:t>
      </w:r>
      <w:r w:rsidRPr="00D92FC1">
        <w:rPr>
          <w:rFonts w:ascii="Times New Roman" w:hAnsi="Times New Roman" w:cs="Times New Roman"/>
          <w:sz w:val="24"/>
          <w:szCs w:val="24"/>
        </w:rPr>
        <w:t>że instrumenty rekapitalizacji</w:t>
      </w:r>
      <w:r w:rsidRPr="00D92FC1">
        <w:rPr>
          <w:rFonts w:ascii="Times New Roman" w:hAnsi="Times New Roman" w:cs="Times New Roman"/>
          <w:b/>
          <w:sz w:val="24"/>
          <w:szCs w:val="24"/>
        </w:rPr>
        <w:t xml:space="preserve"> </w:t>
      </w:r>
      <w:r w:rsidRPr="00D92FC1">
        <w:rPr>
          <w:rFonts w:ascii="Times New Roman" w:hAnsi="Times New Roman" w:cs="Times New Roman"/>
          <w:sz w:val="24"/>
          <w:szCs w:val="24"/>
        </w:rPr>
        <w:t>będą stosowane</w:t>
      </w:r>
      <w:r w:rsidRPr="00D92FC1">
        <w:rPr>
          <w:rFonts w:ascii="Times New Roman" w:hAnsi="Times New Roman" w:cs="Times New Roman"/>
          <w:b/>
          <w:sz w:val="24"/>
          <w:szCs w:val="24"/>
        </w:rPr>
        <w:t xml:space="preserve"> </w:t>
      </w:r>
      <w:r w:rsidRPr="00D92FC1">
        <w:rPr>
          <w:rFonts w:ascii="Times New Roman" w:hAnsi="Times New Roman" w:cs="Times New Roman"/>
          <w:sz w:val="24"/>
          <w:szCs w:val="24"/>
        </w:rPr>
        <w:t>wyłącznie w przypadku instytucji wypłacalnej, jeżeli w chwili ich zastosowania nie zachodzą przesłanki, na podstawie których</w:t>
      </w:r>
      <w:r w:rsidRPr="00D92FC1">
        <w:rPr>
          <w:rFonts w:ascii="Times New Roman" w:hAnsi="Times New Roman" w:cs="Times New Roman"/>
          <w:color w:val="000000"/>
          <w:sz w:val="24"/>
          <w:szCs w:val="24"/>
        </w:rPr>
        <w:t xml:space="preserve"> </w:t>
      </w:r>
      <w:r w:rsidRPr="00D92FC1">
        <w:rPr>
          <w:rFonts w:ascii="Times New Roman" w:hAnsi="Times New Roman" w:cs="Times New Roman"/>
          <w:sz w:val="24"/>
          <w:szCs w:val="24"/>
        </w:rPr>
        <w:t>podmiot uznaje się za zagrożony upadłością, tj. przesłanki określone w art. 70 ust. 2 lub art. 101 ust. 3 pkt 1</w:t>
      </w:r>
      <w:r w:rsidRPr="00D92FC1">
        <w:rPr>
          <w:rFonts w:ascii="Times New Roman" w:hAnsi="Times New Roman" w:cs="Times New Roman"/>
          <w:b/>
          <w:sz w:val="24"/>
          <w:szCs w:val="24"/>
        </w:rPr>
        <w:t>–</w:t>
      </w:r>
      <w:r w:rsidRPr="00D92FC1">
        <w:rPr>
          <w:rFonts w:ascii="Times New Roman" w:hAnsi="Times New Roman" w:cs="Times New Roman"/>
          <w:sz w:val="24"/>
          <w:szCs w:val="24"/>
        </w:rPr>
        <w:t xml:space="preserve">3 ustawy o </w:t>
      </w:r>
      <w:r w:rsidR="00C277D4">
        <w:rPr>
          <w:rFonts w:ascii="Times New Roman" w:hAnsi="Times New Roman" w:cs="Times New Roman"/>
          <w:sz w:val="24"/>
          <w:szCs w:val="24"/>
        </w:rPr>
        <w:t>BFG</w:t>
      </w:r>
      <w:r w:rsidRPr="00D92FC1">
        <w:rPr>
          <w:rFonts w:ascii="Times New Roman" w:hAnsi="Times New Roman" w:cs="Times New Roman"/>
          <w:sz w:val="24"/>
          <w:szCs w:val="24"/>
        </w:rPr>
        <w:t xml:space="preserve">, a w stosunku do akcjonariuszy lub udziałowców oraz wierzycieli podporządkowanych instytucji zostały zastosowane środki podziału obciążeń zgodnie z rozporządzeniem ministra właściwego do spraw instytucji finansowych wydanym na podstawie art. 4 ust. 4 tej ustawy określającym szczegółowe warunki podziału obciążeń przez akcjonariuszy, udziałowców i wierzycieli podporządkowanych. </w:t>
      </w:r>
    </w:p>
    <w:p w14:paraId="4AE0ADEB" w14:textId="77777777" w:rsidR="00AB1420" w:rsidRPr="00D92FC1" w:rsidRDefault="00AB1420" w:rsidP="005E5395">
      <w:pPr>
        <w:spacing w:after="120" w:line="360" w:lineRule="auto"/>
        <w:jc w:val="both"/>
        <w:rPr>
          <w:rFonts w:ascii="Times New Roman" w:hAnsi="Times New Roman" w:cs="Times New Roman"/>
          <w:sz w:val="24"/>
          <w:szCs w:val="24"/>
        </w:rPr>
      </w:pPr>
      <w:r w:rsidRPr="00D92FC1">
        <w:rPr>
          <w:rFonts w:ascii="Times New Roman" w:hAnsi="Times New Roman" w:cs="Times New Roman"/>
          <w:sz w:val="24"/>
          <w:szCs w:val="24"/>
        </w:rPr>
        <w:t xml:space="preserve">Zgodnie z </w:t>
      </w:r>
      <w:r w:rsidRPr="00D92FC1">
        <w:rPr>
          <w:rFonts w:ascii="Times New Roman" w:hAnsi="Times New Roman" w:cs="Times New Roman"/>
          <w:b/>
          <w:sz w:val="24"/>
          <w:szCs w:val="24"/>
        </w:rPr>
        <w:t>ust. 4</w:t>
      </w:r>
      <w:r w:rsidRPr="00D92FC1">
        <w:rPr>
          <w:rFonts w:ascii="Times New Roman" w:hAnsi="Times New Roman" w:cs="Times New Roman"/>
          <w:sz w:val="24"/>
          <w:szCs w:val="24"/>
        </w:rPr>
        <w:t xml:space="preserve"> warunki podziału obciążeń będą dotyczyć również udziałowców, ponieważ pokrycie niedoborów kapitałowych będzie mogło być zastosowane również w bankach spółdzielczych.</w:t>
      </w:r>
    </w:p>
    <w:p w14:paraId="287CED22" w14:textId="77777777" w:rsidR="00AB1420" w:rsidRPr="00D92FC1" w:rsidRDefault="00AB1420" w:rsidP="005E5395">
      <w:pPr>
        <w:spacing w:after="0" w:line="360" w:lineRule="auto"/>
        <w:jc w:val="both"/>
        <w:rPr>
          <w:rFonts w:ascii="Times New Roman" w:hAnsi="Times New Roman" w:cs="Times New Roman"/>
          <w:sz w:val="24"/>
          <w:szCs w:val="24"/>
        </w:rPr>
      </w:pPr>
      <w:r w:rsidRPr="00D92FC1">
        <w:rPr>
          <w:rFonts w:ascii="Times New Roman" w:hAnsi="Times New Roman" w:cs="Times New Roman"/>
          <w:sz w:val="24"/>
          <w:szCs w:val="24"/>
        </w:rPr>
        <w:t>W</w:t>
      </w:r>
      <w:r w:rsidRPr="00D92FC1">
        <w:rPr>
          <w:rFonts w:ascii="Times New Roman" w:hAnsi="Times New Roman" w:cs="Times New Roman"/>
          <w:b/>
          <w:sz w:val="24"/>
          <w:szCs w:val="24"/>
        </w:rPr>
        <w:t xml:space="preserve"> art. 6 ust. 1a </w:t>
      </w:r>
      <w:r w:rsidRPr="00D92FC1">
        <w:rPr>
          <w:rFonts w:ascii="Times New Roman" w:hAnsi="Times New Roman" w:cs="Times New Roman"/>
          <w:sz w:val="24"/>
          <w:szCs w:val="24"/>
        </w:rPr>
        <w:t xml:space="preserve">wskazuje ministra właściwego do spraw instytucji finansowych jako organu właściwego do stosowania instrumentu pokrycia niedoborów kapitałowych w imieniu Skarbu Państwa, na wniosek instytucji. </w:t>
      </w:r>
    </w:p>
    <w:p w14:paraId="5BA2063E" w14:textId="77777777" w:rsidR="00AB1420" w:rsidRPr="00D92FC1" w:rsidRDefault="00AB1420" w:rsidP="005E5395">
      <w:pPr>
        <w:spacing w:after="0" w:line="360" w:lineRule="auto"/>
        <w:jc w:val="both"/>
        <w:rPr>
          <w:rFonts w:ascii="Times New Roman" w:hAnsi="Times New Roman" w:cs="Times New Roman"/>
          <w:sz w:val="24"/>
          <w:szCs w:val="24"/>
        </w:rPr>
      </w:pPr>
      <w:r w:rsidRPr="00D92FC1">
        <w:rPr>
          <w:rFonts w:ascii="Times New Roman" w:hAnsi="Times New Roman" w:cs="Times New Roman"/>
          <w:sz w:val="24"/>
          <w:szCs w:val="24"/>
        </w:rPr>
        <w:t xml:space="preserve">Zmieniany </w:t>
      </w:r>
      <w:r w:rsidRPr="00D92FC1">
        <w:rPr>
          <w:rFonts w:ascii="Times New Roman" w:hAnsi="Times New Roman" w:cs="Times New Roman"/>
          <w:b/>
          <w:sz w:val="24"/>
          <w:szCs w:val="24"/>
        </w:rPr>
        <w:t>ust. 2</w:t>
      </w:r>
      <w:r w:rsidRPr="00D92FC1">
        <w:rPr>
          <w:rFonts w:ascii="Times New Roman" w:hAnsi="Times New Roman" w:cs="Times New Roman"/>
          <w:sz w:val="24"/>
          <w:szCs w:val="24"/>
        </w:rPr>
        <w:t xml:space="preserve"> doprecyzowuje zakres wniosku o zastosowanie gwarancji ostrożnościowej.</w:t>
      </w:r>
    </w:p>
    <w:p w14:paraId="71D67101" w14:textId="77777777" w:rsidR="00AB1420" w:rsidRPr="00D92FC1" w:rsidRDefault="00AB1420" w:rsidP="005E5395">
      <w:pPr>
        <w:spacing w:after="0" w:line="360" w:lineRule="auto"/>
        <w:jc w:val="both"/>
        <w:rPr>
          <w:rFonts w:ascii="Times New Roman" w:hAnsi="Times New Roman" w:cs="Times New Roman"/>
          <w:sz w:val="24"/>
          <w:szCs w:val="24"/>
        </w:rPr>
      </w:pPr>
      <w:r w:rsidRPr="00D92FC1">
        <w:rPr>
          <w:rFonts w:ascii="Times New Roman" w:hAnsi="Times New Roman" w:cs="Times New Roman"/>
          <w:sz w:val="24"/>
          <w:szCs w:val="24"/>
        </w:rPr>
        <w:t xml:space="preserve">Dodawany </w:t>
      </w:r>
      <w:r w:rsidRPr="00D92FC1">
        <w:rPr>
          <w:rFonts w:ascii="Times New Roman" w:hAnsi="Times New Roman" w:cs="Times New Roman"/>
          <w:b/>
          <w:sz w:val="24"/>
          <w:szCs w:val="24"/>
        </w:rPr>
        <w:t>ust. 2a</w:t>
      </w:r>
      <w:r w:rsidRPr="00D92FC1">
        <w:rPr>
          <w:rFonts w:ascii="Times New Roman" w:hAnsi="Times New Roman" w:cs="Times New Roman"/>
          <w:sz w:val="24"/>
          <w:szCs w:val="24"/>
        </w:rPr>
        <w:t xml:space="preserve"> określa zakres wniosku o pokrycie niedoborów kapitałowych i plan niedoborów kapitałowych. Zakres planu pokrycia niedoborów kapitałowych ma przedstawiać możliwości sanacji przedsiębiorstwa oraz pokrycie niedoborów kapitałowych zgodnie z przedstawionym harmonogramem. Przedstawiony plan jest wzorowany na prawie restrukturyzacyjnym. </w:t>
      </w:r>
    </w:p>
    <w:p w14:paraId="4ABA3690" w14:textId="77777777" w:rsidR="00AB1420" w:rsidRPr="00D92FC1" w:rsidRDefault="00AB1420" w:rsidP="005E5395">
      <w:pPr>
        <w:spacing w:after="0" w:line="360" w:lineRule="auto"/>
        <w:jc w:val="both"/>
        <w:rPr>
          <w:rFonts w:ascii="Times New Roman" w:hAnsi="Times New Roman" w:cs="Times New Roman"/>
          <w:sz w:val="24"/>
          <w:szCs w:val="24"/>
        </w:rPr>
      </w:pPr>
      <w:r w:rsidRPr="00D92FC1">
        <w:rPr>
          <w:rFonts w:ascii="Times New Roman" w:hAnsi="Times New Roman" w:cs="Times New Roman"/>
          <w:sz w:val="24"/>
          <w:szCs w:val="24"/>
        </w:rPr>
        <w:t xml:space="preserve">Zmieniany </w:t>
      </w:r>
      <w:r w:rsidRPr="00D92FC1">
        <w:rPr>
          <w:rFonts w:ascii="Times New Roman" w:hAnsi="Times New Roman" w:cs="Times New Roman"/>
          <w:b/>
          <w:sz w:val="24"/>
          <w:szCs w:val="24"/>
        </w:rPr>
        <w:t>ust. 3</w:t>
      </w:r>
      <w:r w:rsidRPr="00D92FC1">
        <w:rPr>
          <w:rFonts w:ascii="Times New Roman" w:hAnsi="Times New Roman" w:cs="Times New Roman"/>
          <w:sz w:val="24"/>
          <w:szCs w:val="24"/>
        </w:rPr>
        <w:t xml:space="preserve"> przewiduje uzyskanie przez ministra właściwego do spraw instytucji finansowych opinii Przewodniczącego KNF, Prezesa NBP oraz BFG przed udzieleniem gwarancji ostrożnościowej. </w:t>
      </w:r>
    </w:p>
    <w:p w14:paraId="64CC0E3F" w14:textId="77777777" w:rsidR="00AB1420" w:rsidRPr="00D92FC1" w:rsidRDefault="00AB1420" w:rsidP="005E5395">
      <w:pPr>
        <w:spacing w:after="0" w:line="360" w:lineRule="auto"/>
        <w:jc w:val="both"/>
        <w:rPr>
          <w:rFonts w:ascii="Times New Roman" w:eastAsia="Times New Roman" w:hAnsi="Times New Roman" w:cs="Times New Roman"/>
          <w:sz w:val="24"/>
          <w:szCs w:val="24"/>
          <w:lang w:eastAsia="pl-PL"/>
        </w:rPr>
      </w:pPr>
      <w:r w:rsidRPr="00D92FC1">
        <w:rPr>
          <w:rFonts w:ascii="Times New Roman" w:hAnsi="Times New Roman" w:cs="Times New Roman"/>
          <w:sz w:val="24"/>
          <w:szCs w:val="24"/>
        </w:rPr>
        <w:t xml:space="preserve">Dodawany </w:t>
      </w:r>
      <w:r w:rsidRPr="00D92FC1">
        <w:rPr>
          <w:rFonts w:ascii="Times New Roman" w:hAnsi="Times New Roman" w:cs="Times New Roman"/>
          <w:b/>
          <w:sz w:val="24"/>
          <w:szCs w:val="24"/>
        </w:rPr>
        <w:t>ust. 3a</w:t>
      </w:r>
      <w:r w:rsidRPr="00D92FC1">
        <w:rPr>
          <w:rFonts w:ascii="Times New Roman" w:hAnsi="Times New Roman" w:cs="Times New Roman"/>
          <w:sz w:val="24"/>
          <w:szCs w:val="24"/>
        </w:rPr>
        <w:t xml:space="preserve"> przewiduje </w:t>
      </w:r>
      <w:r w:rsidRPr="00D92FC1">
        <w:rPr>
          <w:rFonts w:ascii="Times New Roman" w:eastAsia="Times New Roman" w:hAnsi="Times New Roman" w:cs="Times New Roman"/>
          <w:sz w:val="24"/>
          <w:szCs w:val="24"/>
          <w:lang w:eastAsia="pl-PL"/>
        </w:rPr>
        <w:t xml:space="preserve">uzyskanie opinii Przewodniczącego KNF, Prezesa NBP oraz BFG przez podmiot do pokrycia niedoborów kapitałowych na podstawie planu pokrycia niedoborów kapitałowych. </w:t>
      </w:r>
    </w:p>
    <w:p w14:paraId="034B8239" w14:textId="77777777" w:rsidR="00AB1420" w:rsidRPr="00D92FC1" w:rsidRDefault="00AB1420" w:rsidP="005E5395">
      <w:pPr>
        <w:spacing w:after="120" w:line="360" w:lineRule="auto"/>
        <w:jc w:val="both"/>
        <w:rPr>
          <w:rFonts w:ascii="Times New Roman" w:hAnsi="Times New Roman" w:cs="Times New Roman"/>
          <w:sz w:val="24"/>
          <w:szCs w:val="24"/>
        </w:rPr>
      </w:pPr>
      <w:r w:rsidRPr="00D92FC1">
        <w:rPr>
          <w:rFonts w:ascii="Times New Roman" w:hAnsi="Times New Roman" w:cs="Times New Roman"/>
          <w:sz w:val="24"/>
          <w:szCs w:val="24"/>
        </w:rPr>
        <w:t xml:space="preserve">Zmieniany </w:t>
      </w:r>
      <w:r w:rsidRPr="00D92FC1">
        <w:rPr>
          <w:rFonts w:ascii="Times New Roman" w:hAnsi="Times New Roman" w:cs="Times New Roman"/>
          <w:b/>
          <w:sz w:val="24"/>
          <w:szCs w:val="24"/>
        </w:rPr>
        <w:t>ust. 7</w:t>
      </w:r>
      <w:r w:rsidRPr="00D92FC1">
        <w:rPr>
          <w:rFonts w:ascii="Times New Roman" w:hAnsi="Times New Roman" w:cs="Times New Roman"/>
          <w:sz w:val="24"/>
          <w:szCs w:val="24"/>
        </w:rPr>
        <w:t xml:space="preserve"> wyłącza odpowiedzialność Skarbu Państwa w przypadku odmowy udzielenia gwarancji ostrożnościowej lub pokrycia niedoborów kapitałowych.</w:t>
      </w:r>
    </w:p>
    <w:p w14:paraId="02CF7770" w14:textId="77777777" w:rsidR="00AB1420" w:rsidRPr="00D92FC1" w:rsidRDefault="00AB1420" w:rsidP="005E5395">
      <w:pPr>
        <w:spacing w:after="0" w:line="360" w:lineRule="auto"/>
        <w:jc w:val="both"/>
        <w:rPr>
          <w:rFonts w:ascii="Times New Roman" w:hAnsi="Times New Roman" w:cs="Times New Roman"/>
          <w:sz w:val="24"/>
          <w:szCs w:val="24"/>
        </w:rPr>
      </w:pPr>
      <w:r w:rsidRPr="00D92FC1">
        <w:rPr>
          <w:rFonts w:ascii="Times New Roman" w:hAnsi="Times New Roman" w:cs="Times New Roman"/>
          <w:sz w:val="24"/>
          <w:szCs w:val="24"/>
        </w:rPr>
        <w:t>Dodawany</w:t>
      </w:r>
      <w:r w:rsidRPr="00D92FC1">
        <w:rPr>
          <w:rFonts w:ascii="Times New Roman" w:hAnsi="Times New Roman" w:cs="Times New Roman"/>
          <w:b/>
          <w:sz w:val="24"/>
          <w:szCs w:val="24"/>
        </w:rPr>
        <w:t xml:space="preserve"> art. 7 ust. 1a</w:t>
      </w:r>
      <w:r w:rsidRPr="00D92FC1">
        <w:rPr>
          <w:rFonts w:ascii="Times New Roman" w:hAnsi="Times New Roman" w:cs="Times New Roman"/>
          <w:sz w:val="24"/>
          <w:szCs w:val="24"/>
        </w:rPr>
        <w:t xml:space="preserve"> wskazuje, że pokrycie niedoborów kapitałowych następuje z dniem nabycia lub objęcia akcji lub obligacji przez Skarb Państwa jako instrumentów w kapitale </w:t>
      </w:r>
      <w:r w:rsidRPr="00D92FC1">
        <w:rPr>
          <w:rFonts w:ascii="Times New Roman" w:hAnsi="Times New Roman" w:cs="Times New Roman"/>
          <w:sz w:val="24"/>
          <w:szCs w:val="24"/>
        </w:rPr>
        <w:lastRenderedPageBreak/>
        <w:t xml:space="preserve">podstawowym </w:t>
      </w:r>
      <w:r w:rsidRPr="00D92FC1">
        <w:rPr>
          <w:rFonts w:ascii="Times New Roman" w:hAnsi="Times New Roman" w:cs="Times New Roman"/>
          <w:i/>
          <w:sz w:val="24"/>
          <w:szCs w:val="24"/>
        </w:rPr>
        <w:t>Tier I</w:t>
      </w:r>
      <w:r w:rsidRPr="00D92FC1">
        <w:rPr>
          <w:rFonts w:ascii="Times New Roman" w:hAnsi="Times New Roman" w:cs="Times New Roman"/>
          <w:sz w:val="24"/>
          <w:szCs w:val="24"/>
        </w:rPr>
        <w:t xml:space="preserve"> lub instrumentów dodatkowych w kapitale </w:t>
      </w:r>
      <w:r w:rsidRPr="00D92FC1">
        <w:rPr>
          <w:rFonts w:ascii="Times New Roman" w:hAnsi="Times New Roman" w:cs="Times New Roman"/>
          <w:i/>
          <w:sz w:val="24"/>
          <w:szCs w:val="24"/>
        </w:rPr>
        <w:t>Tier I</w:t>
      </w:r>
      <w:r w:rsidRPr="00D92FC1">
        <w:rPr>
          <w:rFonts w:ascii="Times New Roman" w:hAnsi="Times New Roman" w:cs="Times New Roman"/>
          <w:sz w:val="24"/>
          <w:szCs w:val="24"/>
        </w:rPr>
        <w:t xml:space="preserve"> albo instrumentów w kapitale </w:t>
      </w:r>
      <w:r w:rsidRPr="00D92FC1">
        <w:rPr>
          <w:rFonts w:ascii="Times New Roman" w:hAnsi="Times New Roman" w:cs="Times New Roman"/>
          <w:i/>
          <w:sz w:val="24"/>
          <w:szCs w:val="24"/>
        </w:rPr>
        <w:t>Tier II</w:t>
      </w:r>
      <w:r w:rsidRPr="00D92FC1">
        <w:rPr>
          <w:rFonts w:ascii="Times New Roman" w:hAnsi="Times New Roman" w:cs="Times New Roman"/>
          <w:sz w:val="24"/>
          <w:szCs w:val="24"/>
        </w:rPr>
        <w:t>.”</w:t>
      </w:r>
    </w:p>
    <w:p w14:paraId="6C25B60A" w14:textId="74A994E6" w:rsidR="00AB1420" w:rsidRDefault="00AB1420" w:rsidP="005E5395">
      <w:pPr>
        <w:spacing w:after="0" w:line="360" w:lineRule="auto"/>
        <w:jc w:val="both"/>
        <w:rPr>
          <w:rFonts w:ascii="Times New Roman" w:hAnsi="Times New Roman" w:cs="Times New Roman"/>
          <w:sz w:val="24"/>
          <w:szCs w:val="24"/>
        </w:rPr>
      </w:pPr>
      <w:r w:rsidRPr="00D92FC1">
        <w:rPr>
          <w:rFonts w:ascii="Times New Roman" w:hAnsi="Times New Roman" w:cs="Times New Roman"/>
          <w:sz w:val="24"/>
          <w:szCs w:val="24"/>
        </w:rPr>
        <w:t xml:space="preserve">Zmieniany </w:t>
      </w:r>
      <w:r w:rsidRPr="00D92FC1">
        <w:rPr>
          <w:rFonts w:ascii="Times New Roman" w:hAnsi="Times New Roman" w:cs="Times New Roman"/>
          <w:b/>
          <w:sz w:val="24"/>
          <w:szCs w:val="24"/>
        </w:rPr>
        <w:t>ust. 3</w:t>
      </w:r>
      <w:r w:rsidRPr="00D92FC1">
        <w:rPr>
          <w:rFonts w:ascii="Times New Roman" w:hAnsi="Times New Roman" w:cs="Times New Roman"/>
          <w:sz w:val="24"/>
          <w:szCs w:val="24"/>
        </w:rPr>
        <w:t xml:space="preserve"> </w:t>
      </w:r>
      <w:r w:rsidR="00DA0837" w:rsidRPr="00DA0837">
        <w:rPr>
          <w:rFonts w:ascii="Times New Roman" w:hAnsi="Times New Roman" w:cs="Times New Roman"/>
          <w:sz w:val="24"/>
          <w:szCs w:val="24"/>
        </w:rPr>
        <w:t>dodaje do obecnego brzmienia przepisu instrument pokrycia niedoborów kapitałowych i dlatego została wprowadzone do przepisu nazwa instrumenty rekapitalizacji, która odnosi się do gwarancji ostrożnościowej i pokrycia niedoborów kapitałowych</w:t>
      </w:r>
      <w:r w:rsidRPr="00D92FC1">
        <w:rPr>
          <w:rFonts w:ascii="Times New Roman" w:hAnsi="Times New Roman" w:cs="Times New Roman"/>
          <w:sz w:val="24"/>
          <w:szCs w:val="24"/>
        </w:rPr>
        <w:t>.</w:t>
      </w:r>
    </w:p>
    <w:p w14:paraId="7DC590DD" w14:textId="77777777" w:rsidR="00AB1420" w:rsidRPr="00D92FC1" w:rsidRDefault="00AB1420" w:rsidP="005E5395">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Dodawany </w:t>
      </w:r>
      <w:r w:rsidRPr="00A77D70">
        <w:rPr>
          <w:rFonts w:ascii="Times New Roman" w:hAnsi="Times New Roman" w:cs="Times New Roman"/>
          <w:b/>
          <w:sz w:val="24"/>
          <w:szCs w:val="24"/>
        </w:rPr>
        <w:t>ust. 4</w:t>
      </w:r>
      <w:r>
        <w:rPr>
          <w:rFonts w:ascii="Times New Roman" w:hAnsi="Times New Roman" w:cs="Times New Roman"/>
          <w:sz w:val="24"/>
          <w:szCs w:val="24"/>
        </w:rPr>
        <w:t xml:space="preserve"> wyłącza – w przypadku objęcia akcji instytucji przez Skarb Państwa w wyniku zastosowania instrumentów rekapitalizacji – stosowanie przepisów szczególnych dotyczących obejmowania akcji banków i innych instytucji finansowych. Ma to na celu uniknięcie wątpliwości co do konieczności zawiadamiania KNF przez podmiot, który obejmie akcje, o zamiarze przekroczenia określonego procentu </w:t>
      </w:r>
      <w:r w:rsidRPr="00803C7C">
        <w:rPr>
          <w:rFonts w:ascii="Times New Roman" w:hAnsi="Times New Roman" w:cs="Times New Roman"/>
          <w:color w:val="333333"/>
          <w:sz w:val="24"/>
          <w:szCs w:val="24"/>
          <w:shd w:val="clear" w:color="auto" w:fill="FFFFFF"/>
        </w:rPr>
        <w:t>ogólnej liczby głosów na walnym zgromadzeniu lub udziału w kapitale zakładowym</w:t>
      </w:r>
      <w:r w:rsidRPr="00803C7C">
        <w:rPr>
          <w:rFonts w:ascii="Times New Roman" w:hAnsi="Times New Roman" w:cs="Times New Roman"/>
          <w:sz w:val="24"/>
          <w:szCs w:val="24"/>
        </w:rPr>
        <w:t xml:space="preserve"> czy przestrzegania innych</w:t>
      </w:r>
      <w:r>
        <w:rPr>
          <w:rFonts w:ascii="Times New Roman" w:hAnsi="Times New Roman" w:cs="Times New Roman"/>
          <w:sz w:val="24"/>
          <w:szCs w:val="24"/>
        </w:rPr>
        <w:t xml:space="preserve"> wymogów – byłoby to sprzeczne z celem, jakiemu służy skorzystanie z instrumentów rekapitalizacji.</w:t>
      </w:r>
    </w:p>
    <w:p w14:paraId="1F5374EF" w14:textId="77777777" w:rsidR="00AB1420" w:rsidRPr="00D92FC1" w:rsidRDefault="00AB1420" w:rsidP="005E5395">
      <w:pPr>
        <w:spacing w:after="120" w:line="360" w:lineRule="auto"/>
        <w:jc w:val="both"/>
        <w:rPr>
          <w:rFonts w:ascii="Times New Roman" w:hAnsi="Times New Roman" w:cs="Times New Roman"/>
          <w:sz w:val="24"/>
          <w:szCs w:val="24"/>
        </w:rPr>
      </w:pPr>
      <w:r w:rsidRPr="00D92FC1">
        <w:rPr>
          <w:rFonts w:ascii="Times New Roman" w:hAnsi="Times New Roman" w:cs="Times New Roman"/>
          <w:sz w:val="24"/>
          <w:szCs w:val="24"/>
        </w:rPr>
        <w:t>Dodawany</w:t>
      </w:r>
      <w:r w:rsidRPr="00D92FC1">
        <w:rPr>
          <w:rFonts w:ascii="Times New Roman" w:hAnsi="Times New Roman" w:cs="Times New Roman"/>
          <w:b/>
          <w:sz w:val="24"/>
          <w:szCs w:val="24"/>
        </w:rPr>
        <w:t xml:space="preserve"> art. 7a</w:t>
      </w:r>
      <w:r w:rsidRPr="00D92FC1">
        <w:rPr>
          <w:rFonts w:ascii="Times New Roman" w:hAnsi="Times New Roman" w:cs="Times New Roman"/>
          <w:sz w:val="24"/>
          <w:szCs w:val="24"/>
        </w:rPr>
        <w:t xml:space="preserve"> nadaje uprawnienia KNF do nadzorowania planu pokrycia niedoborów kapitałowych oraz umowy o gwarancję ostrożnościową. </w:t>
      </w:r>
    </w:p>
    <w:p w14:paraId="5FB9B809" w14:textId="3B2B594D" w:rsidR="00AB1420" w:rsidRPr="00D92FC1" w:rsidRDefault="00AB1420" w:rsidP="005E5395">
      <w:pPr>
        <w:spacing w:after="0" w:line="360" w:lineRule="auto"/>
        <w:jc w:val="both"/>
        <w:rPr>
          <w:rFonts w:ascii="Times New Roman" w:hAnsi="Times New Roman" w:cs="Times New Roman"/>
          <w:bCs/>
          <w:sz w:val="24"/>
          <w:szCs w:val="24"/>
        </w:rPr>
      </w:pPr>
      <w:r w:rsidRPr="00D92FC1">
        <w:rPr>
          <w:rFonts w:ascii="Times New Roman" w:hAnsi="Times New Roman" w:cs="Times New Roman"/>
          <w:sz w:val="24"/>
          <w:szCs w:val="24"/>
        </w:rPr>
        <w:t>Zmieniany</w:t>
      </w:r>
      <w:r w:rsidRPr="00D92FC1">
        <w:rPr>
          <w:rFonts w:ascii="Times New Roman" w:hAnsi="Times New Roman" w:cs="Times New Roman"/>
          <w:b/>
          <w:sz w:val="24"/>
          <w:szCs w:val="24"/>
        </w:rPr>
        <w:t xml:space="preserve"> art. 9 ust. 1</w:t>
      </w:r>
      <w:r w:rsidRPr="00D92FC1">
        <w:rPr>
          <w:rFonts w:ascii="Times New Roman" w:hAnsi="Times New Roman" w:cs="Times New Roman"/>
          <w:sz w:val="24"/>
          <w:szCs w:val="24"/>
        </w:rPr>
        <w:t xml:space="preserve"> określa środki prawne przysługujące KNF z tytułu nadzoru nad planem pokrycia niedoborów kapitałowych i umową gwarancji ostrożnościowej. KNF może zastosować </w:t>
      </w:r>
      <w:r w:rsidRPr="00D92FC1">
        <w:rPr>
          <w:rFonts w:ascii="Times New Roman" w:hAnsi="Times New Roman" w:cs="Times New Roman"/>
          <w:bCs/>
          <w:sz w:val="24"/>
          <w:szCs w:val="24"/>
        </w:rPr>
        <w:t>środki określone w art. 138 ustawy</w:t>
      </w:r>
      <w:r w:rsidR="003A1DB1">
        <w:rPr>
          <w:rFonts w:ascii="Times New Roman" w:hAnsi="Times New Roman" w:cs="Times New Roman"/>
          <w:bCs/>
          <w:sz w:val="24"/>
          <w:szCs w:val="24"/>
        </w:rPr>
        <w:t xml:space="preserve"> </w:t>
      </w:r>
      <w:r w:rsidRPr="00D92FC1">
        <w:rPr>
          <w:rFonts w:ascii="Times New Roman" w:hAnsi="Times New Roman" w:cs="Times New Roman"/>
          <w:bCs/>
          <w:sz w:val="24"/>
          <w:szCs w:val="24"/>
        </w:rPr>
        <w:t xml:space="preserve">– Prawo bankowe albo art. 110y ustawy o obrocie instrumentami finansowymi lub </w:t>
      </w:r>
      <w:r w:rsidRPr="00D92FC1">
        <w:rPr>
          <w:rFonts w:ascii="Times New Roman" w:hAnsi="Times New Roman" w:cs="Times New Roman"/>
          <w:sz w:val="24"/>
          <w:szCs w:val="24"/>
        </w:rPr>
        <w:t xml:space="preserve">złożyć do ministra właściwego do spraw instytucji finansowych wniosek w sprawie umorzenia akcji objętych </w:t>
      </w:r>
      <w:r w:rsidR="00DA0837">
        <w:rPr>
          <w:rFonts w:ascii="Times New Roman" w:hAnsi="Times New Roman" w:cs="Times New Roman"/>
          <w:sz w:val="24"/>
          <w:szCs w:val="24"/>
        </w:rPr>
        <w:t xml:space="preserve">lub nabytych </w:t>
      </w:r>
      <w:r w:rsidRPr="00D92FC1">
        <w:rPr>
          <w:rFonts w:ascii="Times New Roman" w:hAnsi="Times New Roman" w:cs="Times New Roman"/>
          <w:sz w:val="24"/>
          <w:szCs w:val="24"/>
        </w:rPr>
        <w:t xml:space="preserve">przez tę instytucję w ramach </w:t>
      </w:r>
      <w:r w:rsidR="00DA0837" w:rsidRPr="00DA0837">
        <w:rPr>
          <w:rFonts w:ascii="Times New Roman" w:hAnsi="Times New Roman" w:cs="Times New Roman"/>
          <w:sz w:val="24"/>
          <w:szCs w:val="24"/>
        </w:rPr>
        <w:t>instrumentów rekapitalizacji</w:t>
      </w:r>
      <w:r w:rsidRPr="00D92FC1">
        <w:rPr>
          <w:rFonts w:ascii="Times New Roman" w:hAnsi="Times New Roman" w:cs="Times New Roman"/>
          <w:sz w:val="24"/>
          <w:szCs w:val="24"/>
        </w:rPr>
        <w:t xml:space="preserve">. </w:t>
      </w:r>
    </w:p>
    <w:p w14:paraId="72D6087C" w14:textId="090DAC74" w:rsidR="00AB1420" w:rsidRPr="00D92FC1" w:rsidRDefault="00AB1420" w:rsidP="005E5395">
      <w:pPr>
        <w:spacing w:after="0" w:line="360" w:lineRule="auto"/>
        <w:jc w:val="both"/>
        <w:rPr>
          <w:rFonts w:ascii="Times New Roman" w:hAnsi="Times New Roman" w:cs="Times New Roman"/>
          <w:bCs/>
          <w:sz w:val="24"/>
          <w:szCs w:val="24"/>
        </w:rPr>
      </w:pPr>
      <w:r w:rsidRPr="00D92FC1">
        <w:rPr>
          <w:rFonts w:ascii="Times New Roman" w:hAnsi="Times New Roman" w:cs="Times New Roman"/>
          <w:sz w:val="24"/>
          <w:szCs w:val="24"/>
        </w:rPr>
        <w:t xml:space="preserve">Dodawany </w:t>
      </w:r>
      <w:r w:rsidRPr="00D92FC1">
        <w:rPr>
          <w:rFonts w:ascii="Times New Roman" w:hAnsi="Times New Roman" w:cs="Times New Roman"/>
          <w:b/>
          <w:sz w:val="24"/>
          <w:szCs w:val="24"/>
        </w:rPr>
        <w:t>ust. 1a</w:t>
      </w:r>
      <w:r w:rsidRPr="00D92FC1">
        <w:rPr>
          <w:rFonts w:ascii="Times New Roman" w:hAnsi="Times New Roman" w:cs="Times New Roman"/>
          <w:bCs/>
          <w:sz w:val="24"/>
          <w:szCs w:val="24"/>
        </w:rPr>
        <w:t xml:space="preserve"> daje uprawnienia ministrowi właściwemu do spraw instytucji finansowych</w:t>
      </w:r>
      <w:r w:rsidRPr="00D92FC1">
        <w:rPr>
          <w:rFonts w:ascii="Times New Roman" w:hAnsi="Times New Roman" w:cs="Times New Roman"/>
          <w:sz w:val="24"/>
          <w:szCs w:val="24"/>
        </w:rPr>
        <w:t xml:space="preserve"> do </w:t>
      </w:r>
      <w:r w:rsidRPr="00D92FC1">
        <w:rPr>
          <w:rFonts w:ascii="Times New Roman" w:hAnsi="Times New Roman" w:cs="Times New Roman"/>
          <w:bCs/>
          <w:sz w:val="24"/>
          <w:szCs w:val="24"/>
        </w:rPr>
        <w:t xml:space="preserve">przekazania wniosku o umorzenie akcji do zarządu instytucji, wobec której zastosowane zostało pokrycie niedoborów kapitałowych. </w:t>
      </w:r>
    </w:p>
    <w:p w14:paraId="1810675F" w14:textId="6C9D8A92" w:rsidR="00AB1420" w:rsidRPr="00D92FC1" w:rsidRDefault="00AB1420" w:rsidP="005E5395">
      <w:pPr>
        <w:spacing w:after="0" w:line="360" w:lineRule="auto"/>
        <w:jc w:val="both"/>
        <w:rPr>
          <w:rFonts w:ascii="Times New Roman" w:hAnsi="Times New Roman" w:cs="Times New Roman"/>
          <w:bCs/>
          <w:sz w:val="24"/>
          <w:szCs w:val="24"/>
        </w:rPr>
      </w:pPr>
      <w:r w:rsidRPr="00D92FC1">
        <w:rPr>
          <w:rFonts w:ascii="Times New Roman" w:hAnsi="Times New Roman" w:cs="Times New Roman"/>
          <w:bCs/>
          <w:sz w:val="24"/>
          <w:szCs w:val="24"/>
        </w:rPr>
        <w:t xml:space="preserve">W </w:t>
      </w:r>
      <w:r w:rsidRPr="00D92FC1">
        <w:rPr>
          <w:rFonts w:ascii="Times New Roman" w:hAnsi="Times New Roman" w:cs="Times New Roman"/>
          <w:b/>
          <w:bCs/>
          <w:sz w:val="24"/>
          <w:szCs w:val="24"/>
        </w:rPr>
        <w:t>ust. 2</w:t>
      </w:r>
      <w:r w:rsidRPr="00D92FC1">
        <w:rPr>
          <w:rFonts w:ascii="Times New Roman" w:hAnsi="Times New Roman" w:cs="Times New Roman"/>
          <w:bCs/>
          <w:sz w:val="24"/>
          <w:szCs w:val="24"/>
        </w:rPr>
        <w:t xml:space="preserve"> przewidziano, że umorzenie akcji następuje za wynagrodzeniem. </w:t>
      </w:r>
    </w:p>
    <w:p w14:paraId="485A77C2" w14:textId="72D9F839" w:rsidR="00AB1420" w:rsidRPr="00D92FC1" w:rsidRDefault="00AB1420" w:rsidP="005E5395">
      <w:pPr>
        <w:spacing w:after="120" w:line="360" w:lineRule="auto"/>
        <w:jc w:val="both"/>
        <w:rPr>
          <w:rFonts w:ascii="Times New Roman" w:hAnsi="Times New Roman" w:cs="Times New Roman"/>
          <w:bCs/>
          <w:sz w:val="24"/>
          <w:szCs w:val="24"/>
        </w:rPr>
      </w:pPr>
      <w:r w:rsidRPr="00D92FC1">
        <w:rPr>
          <w:rFonts w:ascii="Times New Roman" w:hAnsi="Times New Roman" w:cs="Times New Roman"/>
          <w:bCs/>
          <w:sz w:val="24"/>
          <w:szCs w:val="24"/>
        </w:rPr>
        <w:t xml:space="preserve">Zmieniany </w:t>
      </w:r>
      <w:r w:rsidRPr="00D92FC1">
        <w:rPr>
          <w:rFonts w:ascii="Times New Roman" w:hAnsi="Times New Roman" w:cs="Times New Roman"/>
          <w:b/>
          <w:bCs/>
          <w:sz w:val="24"/>
          <w:szCs w:val="24"/>
        </w:rPr>
        <w:t>ust. 3</w:t>
      </w:r>
      <w:r w:rsidRPr="00D92FC1">
        <w:rPr>
          <w:rFonts w:ascii="Times New Roman" w:hAnsi="Times New Roman" w:cs="Times New Roman"/>
          <w:bCs/>
          <w:sz w:val="24"/>
          <w:szCs w:val="24"/>
        </w:rPr>
        <w:t xml:space="preserve"> wydłuża termin na umorzenie akcji przez zarząd instytucji do 60 dni od dnia otrzymania wniosku. </w:t>
      </w:r>
    </w:p>
    <w:p w14:paraId="51B13BEC" w14:textId="77777777" w:rsidR="00AB1420" w:rsidRPr="00D92FC1" w:rsidRDefault="00AB1420" w:rsidP="005E5395">
      <w:pPr>
        <w:spacing w:after="0" w:line="360" w:lineRule="auto"/>
        <w:jc w:val="both"/>
        <w:rPr>
          <w:rFonts w:ascii="Times New Roman" w:hAnsi="Times New Roman" w:cs="Times New Roman"/>
          <w:bCs/>
          <w:sz w:val="24"/>
          <w:szCs w:val="24"/>
        </w:rPr>
      </w:pPr>
      <w:r w:rsidRPr="00D92FC1">
        <w:rPr>
          <w:rFonts w:ascii="Times New Roman" w:hAnsi="Times New Roman" w:cs="Times New Roman"/>
          <w:sz w:val="24"/>
          <w:szCs w:val="24"/>
        </w:rPr>
        <w:t xml:space="preserve">Zmieniany </w:t>
      </w:r>
      <w:r w:rsidRPr="00D92FC1">
        <w:rPr>
          <w:rFonts w:ascii="Times New Roman" w:hAnsi="Times New Roman" w:cs="Times New Roman"/>
          <w:b/>
          <w:sz w:val="24"/>
          <w:szCs w:val="24"/>
        </w:rPr>
        <w:t>art. 10 ust. 1 i 2</w:t>
      </w:r>
      <w:r w:rsidRPr="00D92FC1">
        <w:rPr>
          <w:rFonts w:ascii="Times New Roman" w:hAnsi="Times New Roman" w:cs="Times New Roman"/>
          <w:sz w:val="24"/>
          <w:szCs w:val="24"/>
        </w:rPr>
        <w:t xml:space="preserve"> rozszerzają obecne brzmienie przepisów o przypadek pokrycia niedoborów kapitałowych przez Skarb Państwa.</w:t>
      </w:r>
    </w:p>
    <w:p w14:paraId="17549C89" w14:textId="463910B3" w:rsidR="00AB1420" w:rsidRPr="00D92FC1" w:rsidRDefault="00AB1420" w:rsidP="005E5395">
      <w:pPr>
        <w:spacing w:after="120" w:line="360" w:lineRule="auto"/>
        <w:jc w:val="both"/>
        <w:rPr>
          <w:rFonts w:ascii="Times New Roman" w:hAnsi="Times New Roman" w:cs="Times New Roman"/>
          <w:bCs/>
          <w:sz w:val="24"/>
          <w:szCs w:val="24"/>
        </w:rPr>
      </w:pPr>
      <w:r w:rsidRPr="00D92FC1">
        <w:rPr>
          <w:rFonts w:ascii="Times New Roman" w:hAnsi="Times New Roman" w:cs="Times New Roman"/>
          <w:sz w:val="24"/>
          <w:szCs w:val="24"/>
        </w:rPr>
        <w:t xml:space="preserve">Dodawany </w:t>
      </w:r>
      <w:r w:rsidRPr="00D92FC1">
        <w:rPr>
          <w:rFonts w:ascii="Times New Roman" w:hAnsi="Times New Roman" w:cs="Times New Roman"/>
          <w:b/>
          <w:sz w:val="24"/>
          <w:szCs w:val="24"/>
        </w:rPr>
        <w:t>ust. 5</w:t>
      </w:r>
      <w:r w:rsidRPr="00D92FC1">
        <w:rPr>
          <w:rFonts w:ascii="Times New Roman" w:hAnsi="Times New Roman" w:cs="Times New Roman"/>
          <w:sz w:val="24"/>
          <w:szCs w:val="24"/>
        </w:rPr>
        <w:t xml:space="preserve"> dotyczy </w:t>
      </w:r>
      <w:r w:rsidR="00DA0837">
        <w:rPr>
          <w:rFonts w:ascii="Times New Roman" w:hAnsi="Times New Roman" w:cs="Times New Roman"/>
          <w:bCs/>
          <w:sz w:val="24"/>
          <w:szCs w:val="24"/>
        </w:rPr>
        <w:t>wykupu</w:t>
      </w:r>
      <w:r w:rsidR="00DA0837" w:rsidRPr="00D92FC1">
        <w:rPr>
          <w:rFonts w:ascii="Times New Roman" w:hAnsi="Times New Roman" w:cs="Times New Roman"/>
          <w:bCs/>
          <w:sz w:val="24"/>
          <w:szCs w:val="24"/>
        </w:rPr>
        <w:t xml:space="preserve"> </w:t>
      </w:r>
      <w:r w:rsidRPr="00D92FC1">
        <w:rPr>
          <w:rFonts w:ascii="Times New Roman" w:hAnsi="Times New Roman" w:cs="Times New Roman"/>
          <w:bCs/>
          <w:sz w:val="24"/>
          <w:szCs w:val="24"/>
        </w:rPr>
        <w:t xml:space="preserve">obligacji objętych lub nabytych w ramach pokrycia niedoborów kapitałowych – w tym zakresie odsyła do warunków emisji tych obligacji. </w:t>
      </w:r>
      <w:r w:rsidR="00DA0837">
        <w:rPr>
          <w:rFonts w:ascii="Times New Roman" w:hAnsi="Times New Roman" w:cs="Times New Roman"/>
          <w:bCs/>
          <w:sz w:val="24"/>
          <w:szCs w:val="24"/>
        </w:rPr>
        <w:t>Wykup</w:t>
      </w:r>
      <w:r w:rsidR="00DA0837" w:rsidRPr="00D92FC1">
        <w:rPr>
          <w:rFonts w:ascii="Times New Roman" w:hAnsi="Times New Roman" w:cs="Times New Roman"/>
          <w:bCs/>
          <w:sz w:val="24"/>
          <w:szCs w:val="24"/>
        </w:rPr>
        <w:t xml:space="preserve"> </w:t>
      </w:r>
      <w:r w:rsidRPr="00D92FC1">
        <w:rPr>
          <w:rFonts w:ascii="Times New Roman" w:hAnsi="Times New Roman" w:cs="Times New Roman"/>
          <w:bCs/>
          <w:sz w:val="24"/>
          <w:szCs w:val="24"/>
        </w:rPr>
        <w:t xml:space="preserve">obligacji nastąpi w przypadku złożenia wniosku przez </w:t>
      </w:r>
      <w:r w:rsidR="00345722">
        <w:rPr>
          <w:rFonts w:ascii="Times New Roman" w:hAnsi="Times New Roman" w:cs="Times New Roman"/>
          <w:bCs/>
          <w:sz w:val="24"/>
          <w:szCs w:val="24"/>
        </w:rPr>
        <w:t>KNF</w:t>
      </w:r>
      <w:r w:rsidRPr="00D92FC1">
        <w:rPr>
          <w:rFonts w:ascii="Times New Roman" w:hAnsi="Times New Roman" w:cs="Times New Roman"/>
          <w:bCs/>
          <w:sz w:val="24"/>
          <w:szCs w:val="24"/>
        </w:rPr>
        <w:t xml:space="preserve"> do ministra właściwego do spraw instytucji finansowych </w:t>
      </w:r>
      <w:r w:rsidR="00DA0837">
        <w:rPr>
          <w:rFonts w:ascii="Times New Roman" w:hAnsi="Times New Roman" w:cs="Times New Roman"/>
          <w:bCs/>
          <w:sz w:val="24"/>
          <w:szCs w:val="24"/>
        </w:rPr>
        <w:t>po zrealizowaniu planu pokrycia niedoborów kapitałowych.</w:t>
      </w:r>
    </w:p>
    <w:p w14:paraId="2405F868" w14:textId="17FAD860" w:rsidR="00AB1420" w:rsidRDefault="00AB1420" w:rsidP="005E5395">
      <w:pPr>
        <w:spacing w:after="0" w:line="360" w:lineRule="auto"/>
        <w:jc w:val="both"/>
        <w:rPr>
          <w:rFonts w:ascii="Times New Roman" w:hAnsi="Times New Roman" w:cs="Times New Roman"/>
          <w:sz w:val="24"/>
          <w:szCs w:val="24"/>
        </w:rPr>
      </w:pPr>
      <w:r w:rsidRPr="00D92FC1">
        <w:rPr>
          <w:rFonts w:ascii="Times New Roman" w:hAnsi="Times New Roman" w:cs="Times New Roman"/>
          <w:sz w:val="24"/>
          <w:szCs w:val="24"/>
        </w:rPr>
        <w:lastRenderedPageBreak/>
        <w:t xml:space="preserve">Dodawany </w:t>
      </w:r>
      <w:r w:rsidRPr="00D92FC1">
        <w:rPr>
          <w:rFonts w:ascii="Times New Roman" w:hAnsi="Times New Roman" w:cs="Times New Roman"/>
          <w:b/>
          <w:sz w:val="24"/>
          <w:szCs w:val="24"/>
        </w:rPr>
        <w:t>art. 10a</w:t>
      </w:r>
      <w:r w:rsidRPr="00D92FC1">
        <w:rPr>
          <w:rFonts w:ascii="Times New Roman" w:hAnsi="Times New Roman" w:cs="Times New Roman"/>
          <w:sz w:val="24"/>
          <w:szCs w:val="24"/>
        </w:rPr>
        <w:t xml:space="preserve"> </w:t>
      </w:r>
      <w:r w:rsidRPr="00D92FC1">
        <w:rPr>
          <w:rFonts w:ascii="Times New Roman" w:hAnsi="Times New Roman" w:cs="Times New Roman"/>
          <w:b/>
          <w:sz w:val="24"/>
          <w:szCs w:val="24"/>
        </w:rPr>
        <w:t>ust. 1</w:t>
      </w:r>
      <w:r w:rsidRPr="00D92FC1">
        <w:rPr>
          <w:rFonts w:ascii="Times New Roman" w:hAnsi="Times New Roman" w:cs="Times New Roman"/>
          <w:sz w:val="24"/>
          <w:szCs w:val="24"/>
        </w:rPr>
        <w:t xml:space="preserve"> przewiduje, że zbycie akcji lub obligacji objętych lub nabytych w ramach pokrycia niedoborów kapitałowych następuje </w:t>
      </w:r>
      <w:r w:rsidR="003A1DB1">
        <w:rPr>
          <w:rFonts w:ascii="Times New Roman" w:hAnsi="Times New Roman" w:cs="Times New Roman"/>
          <w:sz w:val="24"/>
          <w:szCs w:val="24"/>
        </w:rPr>
        <w:t xml:space="preserve">na wniosek KNF, </w:t>
      </w:r>
      <w:r w:rsidRPr="00D92FC1">
        <w:rPr>
          <w:rFonts w:ascii="Times New Roman" w:hAnsi="Times New Roman" w:cs="Times New Roman"/>
          <w:sz w:val="24"/>
          <w:szCs w:val="24"/>
        </w:rPr>
        <w:t>po zakończeniu realizacji planu pokrycia niedoborów kapitałowych. Zastosowanie tego instrumentu ma charakter zapobiegawczy i tymczasowy, proporcjonalny do cel</w:t>
      </w:r>
      <w:r w:rsidR="003A1DB1">
        <w:rPr>
          <w:rFonts w:ascii="Times New Roman" w:hAnsi="Times New Roman" w:cs="Times New Roman"/>
          <w:sz w:val="24"/>
          <w:szCs w:val="24"/>
        </w:rPr>
        <w:t xml:space="preserve">u, jakim jest ograniczenie skutków poważnych zakłóceń. </w:t>
      </w:r>
    </w:p>
    <w:p w14:paraId="14176FF2" w14:textId="25C9EA08" w:rsidR="00AB1420" w:rsidRDefault="00E72212" w:rsidP="005E5395">
      <w:pPr>
        <w:spacing w:after="0" w:line="360" w:lineRule="auto"/>
        <w:jc w:val="both"/>
        <w:rPr>
          <w:rFonts w:ascii="Times New Roman" w:hAnsi="Times New Roman" w:cs="Times New Roman"/>
          <w:sz w:val="24"/>
          <w:szCs w:val="24"/>
        </w:rPr>
      </w:pPr>
      <w:r w:rsidRPr="00E72212">
        <w:rPr>
          <w:rFonts w:ascii="Times New Roman" w:hAnsi="Times New Roman" w:cs="Times New Roman"/>
          <w:sz w:val="24"/>
          <w:szCs w:val="24"/>
        </w:rPr>
        <w:t xml:space="preserve">Projektowane przepisy zakładają, że przed wystąpieniem </w:t>
      </w:r>
      <w:r w:rsidR="003A1DB1">
        <w:rPr>
          <w:rFonts w:ascii="Times New Roman" w:hAnsi="Times New Roman" w:cs="Times New Roman"/>
          <w:sz w:val="24"/>
          <w:szCs w:val="24"/>
        </w:rPr>
        <w:t xml:space="preserve">z wnioskiem </w:t>
      </w:r>
      <w:r w:rsidRPr="00E72212">
        <w:rPr>
          <w:rFonts w:ascii="Times New Roman" w:hAnsi="Times New Roman" w:cs="Times New Roman"/>
          <w:sz w:val="24"/>
          <w:szCs w:val="24"/>
        </w:rPr>
        <w:t xml:space="preserve">do ministra właściwego do spraw instytucji finansowych </w:t>
      </w:r>
      <w:r w:rsidR="003A1DB1">
        <w:rPr>
          <w:rFonts w:ascii="Times New Roman" w:hAnsi="Times New Roman" w:cs="Times New Roman"/>
          <w:sz w:val="24"/>
          <w:szCs w:val="24"/>
        </w:rPr>
        <w:t>KNF zasi</w:t>
      </w:r>
      <w:r w:rsidRPr="00E72212">
        <w:rPr>
          <w:rFonts w:ascii="Times New Roman" w:hAnsi="Times New Roman" w:cs="Times New Roman"/>
          <w:sz w:val="24"/>
          <w:szCs w:val="24"/>
        </w:rPr>
        <w:t xml:space="preserve">ęga opinii Prezesa </w:t>
      </w:r>
      <w:r w:rsidR="003A1DB1">
        <w:rPr>
          <w:rFonts w:ascii="Times New Roman" w:hAnsi="Times New Roman" w:cs="Times New Roman"/>
          <w:sz w:val="24"/>
          <w:szCs w:val="24"/>
        </w:rPr>
        <w:t xml:space="preserve">NBP </w:t>
      </w:r>
      <w:r w:rsidRPr="00E72212">
        <w:rPr>
          <w:rFonts w:ascii="Times New Roman" w:hAnsi="Times New Roman" w:cs="Times New Roman"/>
          <w:sz w:val="24"/>
          <w:szCs w:val="24"/>
        </w:rPr>
        <w:t xml:space="preserve">oraz Prezesa </w:t>
      </w:r>
      <w:r w:rsidR="003A1DB1">
        <w:rPr>
          <w:rFonts w:ascii="Times New Roman" w:hAnsi="Times New Roman" w:cs="Times New Roman"/>
          <w:sz w:val="24"/>
          <w:szCs w:val="24"/>
        </w:rPr>
        <w:t xml:space="preserve">BFG; ich </w:t>
      </w:r>
      <w:r w:rsidRPr="00E72212">
        <w:rPr>
          <w:rFonts w:ascii="Times New Roman" w:hAnsi="Times New Roman" w:cs="Times New Roman"/>
          <w:sz w:val="24"/>
          <w:szCs w:val="24"/>
        </w:rPr>
        <w:t xml:space="preserve"> opinie stanowią załącznik do wniosku. Jednocześnie właściwym organem do zbycia </w:t>
      </w:r>
      <w:r w:rsidR="003A1DB1">
        <w:rPr>
          <w:rFonts w:ascii="Times New Roman" w:hAnsi="Times New Roman" w:cs="Times New Roman"/>
          <w:sz w:val="24"/>
          <w:szCs w:val="24"/>
        </w:rPr>
        <w:t xml:space="preserve">akcji lub obligacji, o których mowa w art. 10a ust. 1, </w:t>
      </w:r>
      <w:r w:rsidRPr="00E72212">
        <w:rPr>
          <w:rFonts w:ascii="Times New Roman" w:hAnsi="Times New Roman" w:cs="Times New Roman"/>
          <w:sz w:val="24"/>
          <w:szCs w:val="24"/>
        </w:rPr>
        <w:t>jest minister właściwy d</w:t>
      </w:r>
      <w:r w:rsidR="003A1DB1">
        <w:rPr>
          <w:rFonts w:ascii="Times New Roman" w:hAnsi="Times New Roman" w:cs="Times New Roman"/>
          <w:sz w:val="24"/>
          <w:szCs w:val="24"/>
        </w:rPr>
        <w:t xml:space="preserve">o </w:t>
      </w:r>
      <w:r w:rsidRPr="00E72212">
        <w:rPr>
          <w:rFonts w:ascii="Times New Roman" w:hAnsi="Times New Roman" w:cs="Times New Roman"/>
          <w:sz w:val="24"/>
          <w:szCs w:val="24"/>
        </w:rPr>
        <w:t>s</w:t>
      </w:r>
      <w:r w:rsidR="003A1DB1">
        <w:rPr>
          <w:rFonts w:ascii="Times New Roman" w:hAnsi="Times New Roman" w:cs="Times New Roman"/>
          <w:sz w:val="24"/>
          <w:szCs w:val="24"/>
        </w:rPr>
        <w:t xml:space="preserve">praw </w:t>
      </w:r>
      <w:r w:rsidRPr="00E72212">
        <w:rPr>
          <w:rFonts w:ascii="Times New Roman" w:hAnsi="Times New Roman" w:cs="Times New Roman"/>
          <w:sz w:val="24"/>
          <w:szCs w:val="24"/>
        </w:rPr>
        <w:t xml:space="preserve">instytucji finansowych. </w:t>
      </w:r>
      <w:r w:rsidR="000240D3">
        <w:rPr>
          <w:rFonts w:ascii="Times New Roman" w:hAnsi="Times New Roman" w:cs="Times New Roman"/>
          <w:sz w:val="24"/>
          <w:szCs w:val="24"/>
        </w:rPr>
        <w:t>Rekapitalizacja w formule pokrycia</w:t>
      </w:r>
      <w:r w:rsidR="000240D3" w:rsidRPr="000240D3">
        <w:rPr>
          <w:rFonts w:ascii="Times New Roman" w:hAnsi="Times New Roman" w:cs="Times New Roman"/>
          <w:sz w:val="24"/>
          <w:szCs w:val="24"/>
        </w:rPr>
        <w:t xml:space="preserve"> przez Skarb Państwa niedoborów kapitałowych instytucji </w:t>
      </w:r>
      <w:r w:rsidR="000240D3">
        <w:rPr>
          <w:rFonts w:ascii="Times New Roman" w:hAnsi="Times New Roman" w:cs="Times New Roman"/>
          <w:sz w:val="24"/>
          <w:szCs w:val="24"/>
        </w:rPr>
        <w:t xml:space="preserve">jest </w:t>
      </w:r>
      <w:r w:rsidRPr="000240D3">
        <w:rPr>
          <w:rFonts w:ascii="Times New Roman" w:hAnsi="Times New Roman" w:cs="Times New Roman"/>
          <w:sz w:val="24"/>
          <w:szCs w:val="24"/>
        </w:rPr>
        <w:t>instrument</w:t>
      </w:r>
      <w:r w:rsidR="000240D3">
        <w:rPr>
          <w:rFonts w:ascii="Times New Roman" w:hAnsi="Times New Roman" w:cs="Times New Roman"/>
          <w:sz w:val="24"/>
          <w:szCs w:val="24"/>
        </w:rPr>
        <w:t xml:space="preserve">em </w:t>
      </w:r>
      <w:r w:rsidRPr="000240D3">
        <w:rPr>
          <w:rFonts w:ascii="Times New Roman" w:hAnsi="Times New Roman" w:cs="Times New Roman"/>
          <w:sz w:val="24"/>
          <w:szCs w:val="24"/>
        </w:rPr>
        <w:t>stosowan</w:t>
      </w:r>
      <w:r w:rsidR="000240D3">
        <w:rPr>
          <w:rFonts w:ascii="Times New Roman" w:hAnsi="Times New Roman" w:cs="Times New Roman"/>
          <w:sz w:val="24"/>
          <w:szCs w:val="24"/>
        </w:rPr>
        <w:t xml:space="preserve">ym </w:t>
      </w:r>
      <w:r w:rsidRPr="000240D3">
        <w:rPr>
          <w:rFonts w:ascii="Times New Roman" w:hAnsi="Times New Roman" w:cs="Times New Roman"/>
          <w:sz w:val="24"/>
          <w:szCs w:val="24"/>
        </w:rPr>
        <w:t>w celu utrzymania stabilności</w:t>
      </w:r>
      <w:r w:rsidRPr="00E72212">
        <w:rPr>
          <w:rFonts w:ascii="Times New Roman" w:hAnsi="Times New Roman" w:cs="Times New Roman"/>
          <w:sz w:val="24"/>
          <w:szCs w:val="24"/>
        </w:rPr>
        <w:t xml:space="preserve"> finansowej</w:t>
      </w:r>
      <w:r w:rsidR="000240D3">
        <w:rPr>
          <w:rFonts w:ascii="Times New Roman" w:hAnsi="Times New Roman" w:cs="Times New Roman"/>
          <w:sz w:val="24"/>
          <w:szCs w:val="24"/>
        </w:rPr>
        <w:t xml:space="preserve"> – w </w:t>
      </w:r>
      <w:r w:rsidRPr="00E72212">
        <w:rPr>
          <w:rFonts w:ascii="Times New Roman" w:hAnsi="Times New Roman" w:cs="Times New Roman"/>
          <w:sz w:val="24"/>
          <w:szCs w:val="24"/>
        </w:rPr>
        <w:t>proces</w:t>
      </w:r>
      <w:r w:rsidR="000240D3">
        <w:rPr>
          <w:rFonts w:ascii="Times New Roman" w:hAnsi="Times New Roman" w:cs="Times New Roman"/>
          <w:sz w:val="24"/>
          <w:szCs w:val="24"/>
        </w:rPr>
        <w:t xml:space="preserve"> jego </w:t>
      </w:r>
      <w:r w:rsidRPr="00E72212">
        <w:rPr>
          <w:rFonts w:ascii="Times New Roman" w:hAnsi="Times New Roman" w:cs="Times New Roman"/>
          <w:sz w:val="24"/>
          <w:szCs w:val="24"/>
        </w:rPr>
        <w:t xml:space="preserve">zastosowania </w:t>
      </w:r>
      <w:r w:rsidR="000240D3">
        <w:rPr>
          <w:rFonts w:ascii="Times New Roman" w:hAnsi="Times New Roman" w:cs="Times New Roman"/>
          <w:sz w:val="24"/>
          <w:szCs w:val="24"/>
        </w:rPr>
        <w:t xml:space="preserve">są </w:t>
      </w:r>
      <w:r w:rsidRPr="00E72212">
        <w:rPr>
          <w:rFonts w:ascii="Times New Roman" w:hAnsi="Times New Roman" w:cs="Times New Roman"/>
          <w:sz w:val="24"/>
          <w:szCs w:val="24"/>
        </w:rPr>
        <w:t xml:space="preserve">zaangażowane instytucje sieci bezpieczeństwa finansowego, tj. </w:t>
      </w:r>
      <w:r w:rsidR="00117DD7" w:rsidRPr="00E72212">
        <w:rPr>
          <w:rFonts w:ascii="Times New Roman" w:hAnsi="Times New Roman" w:cs="Times New Roman"/>
          <w:sz w:val="24"/>
          <w:szCs w:val="24"/>
        </w:rPr>
        <w:t>minister właściwy d</w:t>
      </w:r>
      <w:r w:rsidR="00117DD7">
        <w:rPr>
          <w:rFonts w:ascii="Times New Roman" w:hAnsi="Times New Roman" w:cs="Times New Roman"/>
          <w:sz w:val="24"/>
          <w:szCs w:val="24"/>
        </w:rPr>
        <w:t xml:space="preserve">o </w:t>
      </w:r>
      <w:r w:rsidR="00117DD7" w:rsidRPr="00E72212">
        <w:rPr>
          <w:rFonts w:ascii="Times New Roman" w:hAnsi="Times New Roman" w:cs="Times New Roman"/>
          <w:sz w:val="24"/>
          <w:szCs w:val="24"/>
        </w:rPr>
        <w:t>s</w:t>
      </w:r>
      <w:r w:rsidR="00117DD7">
        <w:rPr>
          <w:rFonts w:ascii="Times New Roman" w:hAnsi="Times New Roman" w:cs="Times New Roman"/>
          <w:sz w:val="24"/>
          <w:szCs w:val="24"/>
        </w:rPr>
        <w:t xml:space="preserve">praw </w:t>
      </w:r>
      <w:r w:rsidR="00117DD7" w:rsidRPr="00E72212">
        <w:rPr>
          <w:rFonts w:ascii="Times New Roman" w:hAnsi="Times New Roman" w:cs="Times New Roman"/>
          <w:sz w:val="24"/>
          <w:szCs w:val="24"/>
        </w:rPr>
        <w:t>instytucji finansowych</w:t>
      </w:r>
      <w:r w:rsidRPr="00E72212">
        <w:rPr>
          <w:rFonts w:ascii="Times New Roman" w:hAnsi="Times New Roman" w:cs="Times New Roman"/>
          <w:sz w:val="24"/>
          <w:szCs w:val="24"/>
        </w:rPr>
        <w:t xml:space="preserve">, </w:t>
      </w:r>
      <w:r w:rsidR="000240D3">
        <w:rPr>
          <w:rFonts w:ascii="Times New Roman" w:hAnsi="Times New Roman" w:cs="Times New Roman"/>
          <w:sz w:val="24"/>
          <w:szCs w:val="24"/>
        </w:rPr>
        <w:t>NBP, KNF i BFG.</w:t>
      </w:r>
      <w:r w:rsidRPr="00E72212">
        <w:rPr>
          <w:rFonts w:ascii="Times New Roman" w:hAnsi="Times New Roman" w:cs="Times New Roman"/>
          <w:sz w:val="24"/>
          <w:szCs w:val="24"/>
        </w:rPr>
        <w:t xml:space="preserve"> Z tego też względu zasadne jest, aby w </w:t>
      </w:r>
      <w:r w:rsidR="000240D3">
        <w:rPr>
          <w:rFonts w:ascii="Times New Roman" w:hAnsi="Times New Roman" w:cs="Times New Roman"/>
          <w:sz w:val="24"/>
          <w:szCs w:val="24"/>
        </w:rPr>
        <w:t xml:space="preserve">uczestniczyły one także w </w:t>
      </w:r>
      <w:r w:rsidRPr="00E72212">
        <w:rPr>
          <w:rFonts w:ascii="Times New Roman" w:hAnsi="Times New Roman" w:cs="Times New Roman"/>
          <w:sz w:val="24"/>
          <w:szCs w:val="24"/>
        </w:rPr>
        <w:t xml:space="preserve">procesie zakończenia </w:t>
      </w:r>
      <w:r w:rsidR="000240D3">
        <w:rPr>
          <w:rFonts w:ascii="Times New Roman" w:hAnsi="Times New Roman" w:cs="Times New Roman"/>
          <w:sz w:val="24"/>
          <w:szCs w:val="24"/>
        </w:rPr>
        <w:t xml:space="preserve">jego </w:t>
      </w:r>
      <w:r w:rsidRPr="00E72212">
        <w:rPr>
          <w:rFonts w:ascii="Times New Roman" w:hAnsi="Times New Roman" w:cs="Times New Roman"/>
          <w:sz w:val="24"/>
          <w:szCs w:val="24"/>
        </w:rPr>
        <w:t xml:space="preserve">stosowania </w:t>
      </w:r>
      <w:r w:rsidR="00AB1420">
        <w:rPr>
          <w:rFonts w:ascii="Times New Roman" w:hAnsi="Times New Roman" w:cs="Times New Roman"/>
          <w:sz w:val="24"/>
          <w:szCs w:val="24"/>
        </w:rPr>
        <w:t>(</w:t>
      </w:r>
      <w:r w:rsidR="00AB1420" w:rsidRPr="006C3757">
        <w:rPr>
          <w:rFonts w:ascii="Times New Roman" w:hAnsi="Times New Roman" w:cs="Times New Roman"/>
          <w:b/>
          <w:sz w:val="24"/>
          <w:szCs w:val="24"/>
        </w:rPr>
        <w:t>ust. 2</w:t>
      </w:r>
      <w:r>
        <w:rPr>
          <w:rFonts w:ascii="Times New Roman" w:hAnsi="Times New Roman" w:cs="Times New Roman"/>
          <w:b/>
          <w:sz w:val="24"/>
          <w:szCs w:val="24"/>
        </w:rPr>
        <w:t xml:space="preserve"> i 3</w:t>
      </w:r>
      <w:r w:rsidR="00AB1420">
        <w:rPr>
          <w:rFonts w:ascii="Times New Roman" w:hAnsi="Times New Roman" w:cs="Times New Roman"/>
          <w:sz w:val="24"/>
          <w:szCs w:val="24"/>
        </w:rPr>
        <w:t>)</w:t>
      </w:r>
      <w:r w:rsidR="00AB1420" w:rsidRPr="00D92FC1">
        <w:rPr>
          <w:rFonts w:ascii="Times New Roman" w:hAnsi="Times New Roman" w:cs="Times New Roman"/>
          <w:sz w:val="24"/>
          <w:szCs w:val="24"/>
        </w:rPr>
        <w:t xml:space="preserve">. </w:t>
      </w:r>
    </w:p>
    <w:p w14:paraId="622E594C" w14:textId="77777777" w:rsidR="00E02019" w:rsidRDefault="00E02019" w:rsidP="005E5395">
      <w:pPr>
        <w:spacing w:after="0" w:line="360" w:lineRule="auto"/>
        <w:jc w:val="both"/>
        <w:rPr>
          <w:rFonts w:ascii="Times New Roman" w:hAnsi="Times New Roman" w:cs="Times New Roman"/>
          <w:sz w:val="24"/>
          <w:szCs w:val="24"/>
        </w:rPr>
      </w:pPr>
    </w:p>
    <w:p w14:paraId="7BF127E7" w14:textId="16FC1F71" w:rsidR="00AB1420" w:rsidRPr="00D92FC1" w:rsidRDefault="00AB1420" w:rsidP="005E5395">
      <w:pPr>
        <w:spacing w:after="120" w:line="360" w:lineRule="auto"/>
        <w:jc w:val="both"/>
        <w:rPr>
          <w:rFonts w:ascii="Times New Roman" w:eastAsia="Calibri" w:hAnsi="Times New Roman" w:cs="Times New Roman"/>
          <w:b/>
          <w:sz w:val="24"/>
          <w:szCs w:val="24"/>
          <w:u w:val="single"/>
        </w:rPr>
      </w:pPr>
      <w:r w:rsidRPr="00D92FC1">
        <w:rPr>
          <w:rFonts w:ascii="Times New Roman" w:eastAsia="Calibri" w:hAnsi="Times New Roman" w:cs="Times New Roman"/>
          <w:b/>
          <w:sz w:val="24"/>
          <w:szCs w:val="24"/>
          <w:u w:val="single"/>
        </w:rPr>
        <w:t xml:space="preserve">Art. </w:t>
      </w:r>
      <w:r w:rsidR="000F2C75" w:rsidRPr="00D92FC1">
        <w:rPr>
          <w:rFonts w:ascii="Times New Roman" w:eastAsia="Calibri" w:hAnsi="Times New Roman" w:cs="Times New Roman"/>
          <w:b/>
          <w:sz w:val="24"/>
          <w:szCs w:val="24"/>
          <w:u w:val="single"/>
        </w:rPr>
        <w:t>1</w:t>
      </w:r>
      <w:r w:rsidR="00682672">
        <w:rPr>
          <w:rFonts w:ascii="Times New Roman" w:eastAsia="Calibri" w:hAnsi="Times New Roman" w:cs="Times New Roman"/>
          <w:b/>
          <w:sz w:val="24"/>
          <w:szCs w:val="24"/>
          <w:u w:val="single"/>
        </w:rPr>
        <w:t>2</w:t>
      </w:r>
      <w:r w:rsidR="000F2C75" w:rsidRPr="00D92FC1">
        <w:rPr>
          <w:rFonts w:ascii="Times New Roman" w:eastAsia="Calibri" w:hAnsi="Times New Roman" w:cs="Times New Roman"/>
          <w:b/>
          <w:sz w:val="24"/>
          <w:szCs w:val="24"/>
          <w:u w:val="single"/>
        </w:rPr>
        <w:t xml:space="preserve"> </w:t>
      </w:r>
      <w:r w:rsidRPr="00D92FC1">
        <w:rPr>
          <w:rFonts w:ascii="Times New Roman" w:eastAsia="Calibri" w:hAnsi="Times New Roman" w:cs="Times New Roman"/>
          <w:b/>
          <w:sz w:val="24"/>
          <w:szCs w:val="24"/>
          <w:u w:val="single"/>
        </w:rPr>
        <w:t>projektu – zmiana w ustawie o rozpatrywaniu reklamacji przez podmioty rynku finansowego</w:t>
      </w:r>
      <w:r w:rsidR="00C938F3">
        <w:rPr>
          <w:rFonts w:ascii="Times New Roman" w:eastAsia="Calibri" w:hAnsi="Times New Roman" w:cs="Times New Roman"/>
          <w:b/>
          <w:sz w:val="24"/>
          <w:szCs w:val="24"/>
          <w:u w:val="single"/>
        </w:rPr>
        <w:t>,</w:t>
      </w:r>
      <w:r w:rsidRPr="00D92FC1">
        <w:rPr>
          <w:rFonts w:ascii="Times New Roman" w:eastAsia="Calibri" w:hAnsi="Times New Roman" w:cs="Times New Roman"/>
          <w:b/>
          <w:sz w:val="24"/>
          <w:szCs w:val="24"/>
          <w:u w:val="single"/>
        </w:rPr>
        <w:t xml:space="preserve"> o Rzeczniku Finansowym</w:t>
      </w:r>
      <w:r w:rsidR="00C938F3">
        <w:rPr>
          <w:rFonts w:ascii="Times New Roman" w:eastAsia="Calibri" w:hAnsi="Times New Roman" w:cs="Times New Roman"/>
          <w:b/>
          <w:sz w:val="24"/>
          <w:szCs w:val="24"/>
          <w:u w:val="single"/>
        </w:rPr>
        <w:t xml:space="preserve"> i o Funduszu Edukacji Finansowej</w:t>
      </w:r>
    </w:p>
    <w:p w14:paraId="7C4E461C" w14:textId="3EA6F4EA" w:rsidR="00AB1420" w:rsidRDefault="00AB1420" w:rsidP="005E5395">
      <w:pPr>
        <w:spacing w:after="0" w:line="360" w:lineRule="auto"/>
        <w:jc w:val="both"/>
        <w:rPr>
          <w:rFonts w:ascii="Times New Roman" w:eastAsia="Calibri" w:hAnsi="Times New Roman" w:cs="Times New Roman"/>
          <w:sz w:val="24"/>
          <w:szCs w:val="24"/>
        </w:rPr>
      </w:pPr>
      <w:r w:rsidRPr="00D92FC1">
        <w:rPr>
          <w:rFonts w:ascii="Times New Roman" w:eastAsia="Calibri" w:hAnsi="Times New Roman" w:cs="Times New Roman"/>
          <w:sz w:val="24"/>
          <w:szCs w:val="24"/>
        </w:rPr>
        <w:t xml:space="preserve">Zmiana w </w:t>
      </w:r>
      <w:r w:rsidRPr="00D92FC1">
        <w:rPr>
          <w:rFonts w:ascii="Times New Roman" w:eastAsia="Calibri" w:hAnsi="Times New Roman" w:cs="Times New Roman"/>
          <w:b/>
          <w:sz w:val="24"/>
          <w:szCs w:val="24"/>
        </w:rPr>
        <w:t xml:space="preserve">art. </w:t>
      </w:r>
      <w:r w:rsidR="00CB3E5D" w:rsidRPr="00D92FC1">
        <w:rPr>
          <w:rFonts w:ascii="Times New Roman" w:eastAsia="Calibri" w:hAnsi="Times New Roman" w:cs="Times New Roman"/>
          <w:b/>
          <w:sz w:val="24"/>
          <w:szCs w:val="24"/>
        </w:rPr>
        <w:t>43</w:t>
      </w:r>
      <w:r w:rsidR="00CB3E5D">
        <w:rPr>
          <w:rFonts w:ascii="Times New Roman" w:eastAsia="Calibri" w:hAnsi="Times New Roman" w:cs="Times New Roman"/>
          <w:b/>
          <w:sz w:val="24"/>
          <w:szCs w:val="24"/>
        </w:rPr>
        <w:t>g</w:t>
      </w:r>
      <w:r w:rsidR="00CB3E5D" w:rsidRPr="00D92FC1">
        <w:rPr>
          <w:rFonts w:ascii="Times New Roman" w:eastAsia="Calibri" w:hAnsi="Times New Roman" w:cs="Times New Roman"/>
          <w:b/>
          <w:sz w:val="24"/>
          <w:szCs w:val="24"/>
        </w:rPr>
        <w:t xml:space="preserve"> </w:t>
      </w:r>
      <w:r w:rsidRPr="00D92FC1">
        <w:rPr>
          <w:rFonts w:ascii="Times New Roman" w:eastAsia="Calibri" w:hAnsi="Times New Roman" w:cs="Times New Roman"/>
          <w:b/>
          <w:sz w:val="24"/>
          <w:szCs w:val="24"/>
        </w:rPr>
        <w:t>pkt 1</w:t>
      </w:r>
      <w:r w:rsidRPr="00D92FC1">
        <w:rPr>
          <w:rFonts w:ascii="Times New Roman" w:eastAsia="Calibri" w:hAnsi="Times New Roman" w:cs="Times New Roman"/>
          <w:sz w:val="24"/>
          <w:szCs w:val="24"/>
        </w:rPr>
        <w:t xml:space="preserve"> </w:t>
      </w:r>
      <w:r w:rsidR="00EE7372">
        <w:rPr>
          <w:rFonts w:ascii="Times New Roman" w:eastAsia="Calibri" w:hAnsi="Times New Roman" w:cs="Times New Roman"/>
          <w:sz w:val="24"/>
          <w:szCs w:val="24"/>
        </w:rPr>
        <w:t xml:space="preserve">jest związana </w:t>
      </w:r>
      <w:r w:rsidR="004E73C7">
        <w:rPr>
          <w:rFonts w:ascii="Times New Roman" w:hAnsi="Times New Roman" w:cs="Times New Roman"/>
          <w:sz w:val="24"/>
          <w:szCs w:val="24"/>
        </w:rPr>
        <w:t xml:space="preserve">z </w:t>
      </w:r>
      <w:r w:rsidR="004E73C7" w:rsidRPr="00D92FC1">
        <w:rPr>
          <w:rFonts w:ascii="Times New Roman" w:eastAsia="Calibri" w:hAnsi="Times New Roman" w:cs="Times New Roman"/>
          <w:sz w:val="24"/>
          <w:szCs w:val="24"/>
        </w:rPr>
        <w:t>art. 19e ust. 1 ustaw</w:t>
      </w:r>
      <w:r w:rsidR="004E73C7">
        <w:rPr>
          <w:rFonts w:ascii="Times New Roman" w:eastAsia="Calibri" w:hAnsi="Times New Roman" w:cs="Times New Roman"/>
          <w:sz w:val="24"/>
          <w:szCs w:val="24"/>
        </w:rPr>
        <w:t xml:space="preserve">y </w:t>
      </w:r>
      <w:r w:rsidR="004E73C7" w:rsidRPr="00D92FC1">
        <w:rPr>
          <w:rFonts w:ascii="Times New Roman" w:eastAsia="Calibri" w:hAnsi="Times New Roman" w:cs="Times New Roman"/>
          <w:sz w:val="24"/>
          <w:szCs w:val="24"/>
        </w:rPr>
        <w:t>o nadzorze nad rynkiem finansowym</w:t>
      </w:r>
      <w:r w:rsidR="004E73C7">
        <w:rPr>
          <w:rFonts w:ascii="Times New Roman" w:eastAsia="Calibri" w:hAnsi="Times New Roman" w:cs="Times New Roman"/>
          <w:sz w:val="24"/>
          <w:szCs w:val="24"/>
        </w:rPr>
        <w:t xml:space="preserve"> (art. 10 pkt 4 projektu) określającym, które  </w:t>
      </w:r>
      <w:r w:rsidR="004E73C7" w:rsidRPr="00D92FC1">
        <w:rPr>
          <w:rFonts w:ascii="Times New Roman" w:eastAsia="Calibri" w:hAnsi="Times New Roman" w:cs="Times New Roman"/>
          <w:sz w:val="24"/>
          <w:szCs w:val="24"/>
        </w:rPr>
        <w:t>kar</w:t>
      </w:r>
      <w:r w:rsidR="004E73C7">
        <w:rPr>
          <w:rFonts w:ascii="Times New Roman" w:eastAsia="Calibri" w:hAnsi="Times New Roman" w:cs="Times New Roman"/>
          <w:sz w:val="24"/>
          <w:szCs w:val="24"/>
        </w:rPr>
        <w:t>y</w:t>
      </w:r>
      <w:r w:rsidR="004E73C7" w:rsidRPr="00D92FC1">
        <w:rPr>
          <w:rFonts w:ascii="Times New Roman" w:eastAsia="Calibri" w:hAnsi="Times New Roman" w:cs="Times New Roman"/>
          <w:sz w:val="24"/>
          <w:szCs w:val="24"/>
        </w:rPr>
        <w:t xml:space="preserve"> pieniężn</w:t>
      </w:r>
      <w:r w:rsidR="004E73C7">
        <w:rPr>
          <w:rFonts w:ascii="Times New Roman" w:eastAsia="Calibri" w:hAnsi="Times New Roman" w:cs="Times New Roman"/>
          <w:sz w:val="24"/>
          <w:szCs w:val="24"/>
        </w:rPr>
        <w:t>e</w:t>
      </w:r>
      <w:r w:rsidR="004E73C7" w:rsidRPr="00D92FC1">
        <w:rPr>
          <w:rFonts w:ascii="Times New Roman" w:eastAsia="Calibri" w:hAnsi="Times New Roman" w:cs="Times New Roman"/>
          <w:sz w:val="24"/>
          <w:szCs w:val="24"/>
        </w:rPr>
        <w:t xml:space="preserve"> nakładan</w:t>
      </w:r>
      <w:r w:rsidR="004E73C7">
        <w:rPr>
          <w:rFonts w:ascii="Times New Roman" w:eastAsia="Calibri" w:hAnsi="Times New Roman" w:cs="Times New Roman"/>
          <w:sz w:val="24"/>
          <w:szCs w:val="24"/>
        </w:rPr>
        <w:t>e</w:t>
      </w:r>
      <w:r w:rsidR="004E73C7" w:rsidRPr="00D92FC1">
        <w:rPr>
          <w:rFonts w:ascii="Times New Roman" w:eastAsia="Calibri" w:hAnsi="Times New Roman" w:cs="Times New Roman"/>
          <w:sz w:val="24"/>
          <w:szCs w:val="24"/>
        </w:rPr>
        <w:t xml:space="preserve"> przez KNF</w:t>
      </w:r>
      <w:r w:rsidR="004E73C7">
        <w:rPr>
          <w:rFonts w:ascii="Times New Roman" w:eastAsia="Calibri" w:hAnsi="Times New Roman" w:cs="Times New Roman"/>
          <w:sz w:val="24"/>
          <w:szCs w:val="24"/>
        </w:rPr>
        <w:t xml:space="preserve"> </w:t>
      </w:r>
      <w:r w:rsidR="00293DCE">
        <w:rPr>
          <w:rFonts w:ascii="Times New Roman" w:eastAsia="Calibri" w:hAnsi="Times New Roman" w:cs="Times New Roman"/>
          <w:sz w:val="24"/>
          <w:szCs w:val="24"/>
        </w:rPr>
        <w:t xml:space="preserve">stanowią </w:t>
      </w:r>
      <w:r w:rsidR="00CB3E5D">
        <w:rPr>
          <w:rFonts w:ascii="Times New Roman" w:eastAsia="Calibri" w:hAnsi="Times New Roman" w:cs="Times New Roman"/>
          <w:sz w:val="24"/>
          <w:szCs w:val="24"/>
        </w:rPr>
        <w:t xml:space="preserve">przychód </w:t>
      </w:r>
      <w:r w:rsidR="00293DCE">
        <w:rPr>
          <w:rFonts w:ascii="Times New Roman" w:eastAsia="Calibri" w:hAnsi="Times New Roman" w:cs="Times New Roman"/>
          <w:sz w:val="24"/>
          <w:szCs w:val="24"/>
        </w:rPr>
        <w:t>Funduszu Edukacji Finansowej</w:t>
      </w:r>
      <w:r w:rsidR="00EE7372">
        <w:rPr>
          <w:rFonts w:ascii="Times New Roman" w:eastAsia="Calibri" w:hAnsi="Times New Roman" w:cs="Times New Roman"/>
          <w:sz w:val="24"/>
          <w:szCs w:val="24"/>
        </w:rPr>
        <w:t xml:space="preserve"> – proponowany przepis  określa </w:t>
      </w:r>
      <w:r w:rsidR="00293DCE">
        <w:rPr>
          <w:rFonts w:ascii="Times New Roman" w:eastAsia="Calibri" w:hAnsi="Times New Roman" w:cs="Times New Roman"/>
          <w:sz w:val="24"/>
          <w:szCs w:val="24"/>
        </w:rPr>
        <w:t xml:space="preserve">wykaz źródeł pochodzenia </w:t>
      </w:r>
      <w:r w:rsidR="00CB3E5D">
        <w:rPr>
          <w:rFonts w:ascii="Times New Roman" w:eastAsia="Calibri" w:hAnsi="Times New Roman" w:cs="Times New Roman"/>
          <w:sz w:val="24"/>
          <w:szCs w:val="24"/>
        </w:rPr>
        <w:t xml:space="preserve">przychodów </w:t>
      </w:r>
      <w:r w:rsidR="00293DCE">
        <w:rPr>
          <w:rFonts w:ascii="Times New Roman" w:eastAsia="Calibri" w:hAnsi="Times New Roman" w:cs="Times New Roman"/>
          <w:sz w:val="24"/>
          <w:szCs w:val="24"/>
        </w:rPr>
        <w:t>Funduszu Edukacji Finansowej.</w:t>
      </w:r>
      <w:r w:rsidR="00293DCE" w:rsidRPr="00D92FC1" w:rsidDel="00293DCE">
        <w:rPr>
          <w:rFonts w:ascii="Times New Roman" w:eastAsia="Calibri" w:hAnsi="Times New Roman" w:cs="Times New Roman"/>
          <w:sz w:val="24"/>
          <w:szCs w:val="24"/>
        </w:rPr>
        <w:t xml:space="preserve"> </w:t>
      </w:r>
      <w:r w:rsidR="0009445E">
        <w:rPr>
          <w:rFonts w:ascii="Times New Roman" w:hAnsi="Times New Roman" w:cs="Times New Roman"/>
          <w:sz w:val="24"/>
          <w:szCs w:val="24"/>
        </w:rPr>
        <w:t xml:space="preserve"> </w:t>
      </w:r>
    </w:p>
    <w:p w14:paraId="61E4AA90" w14:textId="77777777" w:rsidR="00E02019" w:rsidRPr="00D92FC1" w:rsidRDefault="00E02019" w:rsidP="005E5395">
      <w:pPr>
        <w:spacing w:after="0" w:line="360" w:lineRule="auto"/>
        <w:jc w:val="both"/>
        <w:rPr>
          <w:rFonts w:ascii="Times New Roman" w:eastAsia="Calibri" w:hAnsi="Times New Roman" w:cs="Times New Roman"/>
          <w:b/>
          <w:sz w:val="24"/>
          <w:szCs w:val="24"/>
          <w:u w:val="single"/>
        </w:rPr>
      </w:pPr>
    </w:p>
    <w:p w14:paraId="1C704309" w14:textId="1249A4F7" w:rsidR="00AB1420" w:rsidRPr="00D92FC1" w:rsidRDefault="00AB1420" w:rsidP="005E5395">
      <w:pPr>
        <w:spacing w:after="120" w:line="360" w:lineRule="auto"/>
        <w:jc w:val="both"/>
        <w:rPr>
          <w:rFonts w:ascii="Times New Roman" w:eastAsia="Calibri" w:hAnsi="Times New Roman" w:cs="Times New Roman"/>
          <w:b/>
          <w:sz w:val="24"/>
          <w:szCs w:val="24"/>
          <w:u w:val="single"/>
        </w:rPr>
      </w:pPr>
      <w:r w:rsidRPr="00D92FC1">
        <w:rPr>
          <w:rFonts w:ascii="Times New Roman" w:eastAsia="Calibri" w:hAnsi="Times New Roman" w:cs="Times New Roman"/>
          <w:b/>
          <w:sz w:val="24"/>
          <w:szCs w:val="24"/>
          <w:u w:val="single"/>
        </w:rPr>
        <w:t xml:space="preserve">Art. </w:t>
      </w:r>
      <w:r w:rsidR="00DE6AD6" w:rsidRPr="00D92FC1">
        <w:rPr>
          <w:rFonts w:ascii="Times New Roman" w:eastAsia="Calibri" w:hAnsi="Times New Roman" w:cs="Times New Roman"/>
          <w:b/>
          <w:sz w:val="24"/>
          <w:szCs w:val="24"/>
          <w:u w:val="single"/>
        </w:rPr>
        <w:t>1</w:t>
      </w:r>
      <w:r w:rsidR="00682672">
        <w:rPr>
          <w:rFonts w:ascii="Times New Roman" w:eastAsia="Calibri" w:hAnsi="Times New Roman" w:cs="Times New Roman"/>
          <w:b/>
          <w:sz w:val="24"/>
          <w:szCs w:val="24"/>
          <w:u w:val="single"/>
        </w:rPr>
        <w:t>3</w:t>
      </w:r>
      <w:r w:rsidR="00DE6AD6" w:rsidRPr="00D92FC1">
        <w:rPr>
          <w:rFonts w:ascii="Times New Roman" w:eastAsia="Calibri" w:hAnsi="Times New Roman" w:cs="Times New Roman"/>
          <w:b/>
          <w:sz w:val="24"/>
          <w:szCs w:val="24"/>
          <w:u w:val="single"/>
        </w:rPr>
        <w:t xml:space="preserve"> </w:t>
      </w:r>
      <w:r w:rsidRPr="00D92FC1">
        <w:rPr>
          <w:rFonts w:ascii="Times New Roman" w:eastAsia="Calibri" w:hAnsi="Times New Roman" w:cs="Times New Roman"/>
          <w:b/>
          <w:sz w:val="24"/>
          <w:szCs w:val="24"/>
          <w:u w:val="single"/>
        </w:rPr>
        <w:t>projektu – zmiany w ustawie o działalności ubezpieczeniowej i reasekuracyjnej</w:t>
      </w:r>
    </w:p>
    <w:p w14:paraId="19C87941" w14:textId="77777777" w:rsidR="00AB1420" w:rsidRPr="00D92FC1" w:rsidRDefault="00AB1420" w:rsidP="005E5395">
      <w:pPr>
        <w:spacing w:after="0" w:line="360" w:lineRule="auto"/>
        <w:jc w:val="both"/>
        <w:rPr>
          <w:rFonts w:ascii="Times New Roman" w:hAnsi="Times New Roman" w:cs="Times New Roman"/>
          <w:sz w:val="24"/>
          <w:szCs w:val="24"/>
        </w:rPr>
      </w:pPr>
      <w:r w:rsidRPr="00D92FC1">
        <w:rPr>
          <w:rFonts w:ascii="Times New Roman" w:eastAsia="Calibri" w:hAnsi="Times New Roman" w:cs="Times New Roman"/>
          <w:sz w:val="24"/>
          <w:szCs w:val="24"/>
        </w:rPr>
        <w:t xml:space="preserve">Dodawane przepisy mają charakter doprecyzowujący. </w:t>
      </w:r>
      <w:r w:rsidRPr="00D92FC1">
        <w:rPr>
          <w:rFonts w:ascii="Times New Roman" w:hAnsi="Times New Roman" w:cs="Times New Roman"/>
          <w:sz w:val="24"/>
          <w:szCs w:val="24"/>
        </w:rPr>
        <w:t>Obowiązujące przepisy nie stwarzają istotnych barier w odniesieniu do zawierania przez zakłady ubezpieczeń i zakłady reasekuracji umów pożyczek podporządkowanych w celu ich zakwalifikowania ich do środków własnych jako pozycji środków własnych kategorii 1, kategorii 2 albo kategorii 3. Możliwość zawierania umów pożyczek podporządkowanych wynika z przepisów zmienianej ustawy oraz przepisów rozporządzenia delegowanego Komisji (UE) 2015/35, dotyczących środków własnych odnoszących się do zobowiązań podporządkowanych.</w:t>
      </w:r>
    </w:p>
    <w:p w14:paraId="3AE062F1" w14:textId="1D1FEF0D" w:rsidR="00AB1420" w:rsidRPr="00D92FC1" w:rsidRDefault="00AB1420" w:rsidP="005E5395">
      <w:pPr>
        <w:spacing w:after="120" w:line="360" w:lineRule="auto"/>
        <w:jc w:val="both"/>
        <w:rPr>
          <w:rFonts w:ascii="Times New Roman" w:hAnsi="Times New Roman" w:cs="Times New Roman"/>
          <w:sz w:val="24"/>
          <w:szCs w:val="24"/>
        </w:rPr>
      </w:pPr>
      <w:r w:rsidRPr="00D92FC1">
        <w:rPr>
          <w:rFonts w:ascii="Times New Roman" w:hAnsi="Times New Roman" w:cs="Times New Roman"/>
          <w:sz w:val="24"/>
          <w:szCs w:val="24"/>
        </w:rPr>
        <w:t xml:space="preserve">Raporty Urzędu </w:t>
      </w:r>
      <w:r w:rsidR="00866C1A">
        <w:rPr>
          <w:rFonts w:ascii="Times New Roman" w:hAnsi="Times New Roman" w:cs="Times New Roman"/>
          <w:sz w:val="24"/>
          <w:szCs w:val="24"/>
        </w:rPr>
        <w:t xml:space="preserve">KNF </w:t>
      </w:r>
      <w:r w:rsidRPr="00D92FC1">
        <w:rPr>
          <w:rFonts w:ascii="Times New Roman" w:hAnsi="Times New Roman" w:cs="Times New Roman"/>
          <w:sz w:val="24"/>
          <w:szCs w:val="24"/>
        </w:rPr>
        <w:t xml:space="preserve">oraz podlegające badaniom przez firmy audytorskie sprawozdania o wypłacalności i kondycji finansowej zakładów ubezpieczeń działu II (pozostałe ubezpieczenia </w:t>
      </w:r>
      <w:r w:rsidRPr="00D92FC1">
        <w:rPr>
          <w:rFonts w:ascii="Times New Roman" w:hAnsi="Times New Roman" w:cs="Times New Roman"/>
          <w:sz w:val="24"/>
          <w:szCs w:val="24"/>
        </w:rPr>
        <w:lastRenderedPageBreak/>
        <w:t>osobowe i ubezpieczenia majątkowe) wskazują, że zakłady ubezpieczeń działu II zawierają umowy pożyczek podporządkowanych w celu zakwalifikowania ich do środków własnych jako pozycji środków własnych kategorii 2 albo kategorii 3. W związku z tym proponuje się jedynie uzupełnienie regulacji dotyczących pożyczek poporządkowanych.</w:t>
      </w:r>
    </w:p>
    <w:p w14:paraId="4D409775" w14:textId="77777777" w:rsidR="00AB1420" w:rsidRPr="00D92FC1" w:rsidRDefault="00AB1420" w:rsidP="005E5395">
      <w:pPr>
        <w:suppressAutoHyphens/>
        <w:spacing w:after="120" w:line="360" w:lineRule="auto"/>
        <w:jc w:val="both"/>
        <w:rPr>
          <w:rFonts w:ascii="Times New Roman" w:hAnsi="Times New Roman" w:cs="Times New Roman"/>
          <w:sz w:val="24"/>
          <w:szCs w:val="24"/>
        </w:rPr>
      </w:pPr>
      <w:r w:rsidRPr="00D92FC1">
        <w:rPr>
          <w:rFonts w:ascii="Times New Roman" w:eastAsia="Calibri" w:hAnsi="Times New Roman" w:cs="Times New Roman"/>
          <w:sz w:val="24"/>
          <w:szCs w:val="24"/>
        </w:rPr>
        <w:t xml:space="preserve">Dodawany </w:t>
      </w:r>
      <w:r w:rsidRPr="00D92FC1">
        <w:rPr>
          <w:rFonts w:ascii="Times New Roman" w:eastAsia="Calibri" w:hAnsi="Times New Roman" w:cs="Times New Roman"/>
          <w:b/>
          <w:sz w:val="24"/>
          <w:szCs w:val="24"/>
        </w:rPr>
        <w:t xml:space="preserve">art. 82 </w:t>
      </w:r>
      <w:r w:rsidRPr="00441630">
        <w:rPr>
          <w:rFonts w:ascii="Times New Roman" w:eastAsia="Calibri" w:hAnsi="Times New Roman" w:cs="Times New Roman"/>
          <w:b/>
          <w:sz w:val="24"/>
          <w:szCs w:val="24"/>
        </w:rPr>
        <w:t>ust. 4 pkt 3</w:t>
      </w:r>
      <w:r w:rsidRPr="00D92FC1">
        <w:rPr>
          <w:rFonts w:ascii="Times New Roman" w:eastAsia="Calibri" w:hAnsi="Times New Roman" w:cs="Times New Roman"/>
          <w:sz w:val="24"/>
          <w:szCs w:val="24"/>
        </w:rPr>
        <w:t xml:space="preserve"> określi obowiązki nabywcy akcji zakładu ubezpieczeń lub zakładu reasekuracji w wyniku zamiany obligacji kapitałowych na akcje. </w:t>
      </w:r>
      <w:r w:rsidRPr="00D92FC1">
        <w:rPr>
          <w:rFonts w:ascii="Times New Roman" w:hAnsi="Times New Roman" w:cs="Times New Roman"/>
          <w:sz w:val="24"/>
          <w:szCs w:val="24"/>
        </w:rPr>
        <w:t>Jest to rozwiązanie analogiczne do art. 25 ust. 4 pkt 3 ustawy – Prawo bankowe i art. 106 ustawy o obrocie instrumentami finansowymi.</w:t>
      </w:r>
    </w:p>
    <w:p w14:paraId="41FF5086" w14:textId="77777777" w:rsidR="00AB1420" w:rsidRPr="00D92FC1" w:rsidRDefault="00AB1420" w:rsidP="005E5395">
      <w:pPr>
        <w:suppressAutoHyphens/>
        <w:spacing w:after="0" w:line="360" w:lineRule="auto"/>
        <w:jc w:val="both"/>
        <w:rPr>
          <w:rFonts w:ascii="Times New Roman" w:eastAsiaTheme="minorEastAsia" w:hAnsi="Times New Roman" w:cs="Times New Roman"/>
          <w:sz w:val="24"/>
          <w:szCs w:val="24"/>
        </w:rPr>
      </w:pPr>
      <w:r w:rsidRPr="00D92FC1">
        <w:rPr>
          <w:rFonts w:ascii="Times New Roman" w:eastAsiaTheme="minorEastAsia" w:hAnsi="Times New Roman" w:cs="Times New Roman"/>
          <w:sz w:val="24"/>
          <w:szCs w:val="24"/>
        </w:rPr>
        <w:t xml:space="preserve">Dodawane </w:t>
      </w:r>
      <w:r w:rsidRPr="00D92FC1">
        <w:rPr>
          <w:rFonts w:ascii="Times New Roman" w:eastAsiaTheme="minorEastAsia" w:hAnsi="Times New Roman" w:cs="Times New Roman"/>
          <w:b/>
          <w:sz w:val="24"/>
          <w:szCs w:val="24"/>
        </w:rPr>
        <w:t>art. 247a–247e</w:t>
      </w:r>
      <w:r w:rsidRPr="00D92FC1">
        <w:rPr>
          <w:rFonts w:ascii="Times New Roman" w:eastAsiaTheme="minorEastAsia" w:hAnsi="Times New Roman" w:cs="Times New Roman"/>
          <w:sz w:val="24"/>
          <w:szCs w:val="24"/>
        </w:rPr>
        <w:t xml:space="preserve"> wprowadzają regulacje dotyczące pożyczki podporządkowanej. Jest to rozwiązanie analogiczne do art. 127a–127f ustawy – Prawo bankowe oraz art. 110eb–110eg</w:t>
      </w:r>
      <w:r w:rsidRPr="00D92FC1">
        <w:rPr>
          <w:rFonts w:ascii="Times New Roman" w:eastAsiaTheme="minorEastAsia" w:hAnsi="Times New Roman" w:cs="Times New Roman"/>
          <w:b/>
          <w:sz w:val="24"/>
          <w:szCs w:val="24"/>
        </w:rPr>
        <w:t xml:space="preserve"> </w:t>
      </w:r>
      <w:r w:rsidRPr="00D92FC1">
        <w:rPr>
          <w:rFonts w:ascii="Times New Roman" w:eastAsiaTheme="minorEastAsia" w:hAnsi="Times New Roman" w:cs="Times New Roman"/>
          <w:sz w:val="24"/>
          <w:szCs w:val="24"/>
        </w:rPr>
        <w:t xml:space="preserve">ustawy o obrocie instrumentami finansowymi. </w:t>
      </w:r>
    </w:p>
    <w:p w14:paraId="7AC10988" w14:textId="77777777" w:rsidR="00AB1420" w:rsidRPr="00D92FC1" w:rsidRDefault="00AB1420" w:rsidP="005E5395">
      <w:pPr>
        <w:suppressAutoHyphens/>
        <w:spacing w:after="0" w:line="360" w:lineRule="auto"/>
        <w:jc w:val="both"/>
        <w:rPr>
          <w:rFonts w:ascii="Times New Roman" w:eastAsiaTheme="minorEastAsia" w:hAnsi="Times New Roman" w:cs="Times New Roman"/>
          <w:sz w:val="24"/>
          <w:szCs w:val="24"/>
        </w:rPr>
      </w:pPr>
      <w:r w:rsidRPr="00D92FC1">
        <w:rPr>
          <w:rFonts w:ascii="Times New Roman" w:eastAsiaTheme="minorEastAsia" w:hAnsi="Times New Roman" w:cs="Times New Roman"/>
          <w:sz w:val="24"/>
          <w:szCs w:val="24"/>
        </w:rPr>
        <w:t xml:space="preserve">Jak wskazano wyżej, rozwiązania w zakresie kwalifikowania przez zakłady ubezpieczeń i zakłady reasekuracji instrumentów kapitałowych (obligacji kapitałowych i pożyczek podporządkowanych) do środków własnych wynikają z przepisów dyrektywy Wypłacalność II oraz przepisów rozporządzenia delegowanego Komisji (UE) 2015/35, które określają zasady oceny i klasyfikacji pozycji podstawowych środków własnych przez zakłady ubezpieczeń i zakłady reasekuracji do kategorii 1, 2 albo 3, co odzwierciedla art. 246 ust. 5 ustawy o działalności ubezpieczeniowej i reasekuracyjnej. </w:t>
      </w:r>
    </w:p>
    <w:p w14:paraId="5A9792FA" w14:textId="77777777" w:rsidR="00AB1420" w:rsidRPr="00D92FC1" w:rsidRDefault="00AB1420" w:rsidP="005E5395">
      <w:pPr>
        <w:suppressAutoHyphens/>
        <w:spacing w:after="0" w:line="360" w:lineRule="auto"/>
        <w:jc w:val="both"/>
        <w:rPr>
          <w:rFonts w:ascii="Times New Roman" w:eastAsiaTheme="minorEastAsia" w:hAnsi="Times New Roman" w:cs="Times New Roman"/>
          <w:sz w:val="24"/>
          <w:szCs w:val="24"/>
        </w:rPr>
      </w:pPr>
      <w:r w:rsidRPr="00D92FC1">
        <w:rPr>
          <w:rFonts w:ascii="Times New Roman" w:eastAsiaTheme="minorEastAsia" w:hAnsi="Times New Roman" w:cs="Times New Roman"/>
          <w:sz w:val="24"/>
          <w:szCs w:val="24"/>
        </w:rPr>
        <w:t xml:space="preserve">W celu klasyfikacji pozycji podstawowych środków własnych zakłady stosują wykaz podstawowych środków własnych zgodny z art. 69, art. 72 i art. 76 rozporządzenia delegowanego Komisji (UE) 2015/35 – przepisy te określają, odpowiednio, wykaz pozycji podstawowych środków własnych kategorii 1, 2 i 3 oraz obejmują zobowiązania podporządkowane wycenione w wartości godziwej. </w:t>
      </w:r>
    </w:p>
    <w:p w14:paraId="03EE624E" w14:textId="5FEFFB9C" w:rsidR="00AB1420" w:rsidRDefault="00AB1420" w:rsidP="005E5395">
      <w:pPr>
        <w:suppressAutoHyphens/>
        <w:spacing w:after="120" w:line="360" w:lineRule="auto"/>
        <w:jc w:val="both"/>
        <w:rPr>
          <w:rFonts w:ascii="Times New Roman" w:eastAsiaTheme="minorEastAsia" w:hAnsi="Times New Roman" w:cs="Times New Roman"/>
          <w:sz w:val="24"/>
          <w:szCs w:val="24"/>
        </w:rPr>
      </w:pPr>
      <w:r w:rsidRPr="00D92FC1">
        <w:rPr>
          <w:rFonts w:ascii="Times New Roman" w:eastAsiaTheme="minorEastAsia" w:hAnsi="Times New Roman" w:cs="Times New Roman"/>
          <w:sz w:val="24"/>
          <w:szCs w:val="24"/>
        </w:rPr>
        <w:t xml:space="preserve">Przepis art. 79 ust. 2 i 3 rozporządzenia delegowanego Komisji (UE) 2015/35 określa zasady zatwierdzania przez organy nadzoru oceny i klasyfikacji tych pozycji, dokonanych przez zakłady ubezpieczeń i zakłady reasekuracji. W tym przypadku nie jest zatem wymagane zatwierdzenie przez organ nadzoru w drodze decyzji administracyjnej – wymóg taki dotyczy wyłącznie pozycji nieujętych w wykazach określonych w przepisach </w:t>
      </w:r>
      <w:r w:rsidR="00983BCD">
        <w:rPr>
          <w:rFonts w:ascii="Times New Roman" w:eastAsiaTheme="minorEastAsia" w:hAnsi="Times New Roman" w:cs="Times New Roman"/>
          <w:sz w:val="24"/>
          <w:szCs w:val="24"/>
        </w:rPr>
        <w:t xml:space="preserve">tego </w:t>
      </w:r>
      <w:r w:rsidRPr="00D92FC1">
        <w:rPr>
          <w:rFonts w:ascii="Times New Roman" w:eastAsiaTheme="minorEastAsia" w:hAnsi="Times New Roman" w:cs="Times New Roman"/>
          <w:sz w:val="24"/>
          <w:szCs w:val="24"/>
        </w:rPr>
        <w:t xml:space="preserve">rozporządzenia. </w:t>
      </w:r>
    </w:p>
    <w:p w14:paraId="27C1E2E0" w14:textId="77777777" w:rsidR="006F3D09" w:rsidRDefault="00B25882" w:rsidP="005E5395">
      <w:pPr>
        <w:suppressAutoHyphens/>
        <w:spacing w:after="0" w:line="360" w:lineRule="auto"/>
        <w:jc w:val="both"/>
        <w:rPr>
          <w:rFonts w:ascii="Times New Roman" w:eastAsiaTheme="minorEastAsia" w:hAnsi="Times New Roman" w:cs="Times New Roman"/>
          <w:sz w:val="24"/>
          <w:szCs w:val="24"/>
        </w:rPr>
      </w:pPr>
      <w:r w:rsidRPr="00B25882">
        <w:rPr>
          <w:rFonts w:ascii="Times New Roman" w:eastAsiaTheme="minorEastAsia" w:hAnsi="Times New Roman" w:cs="Times New Roman"/>
          <w:sz w:val="24"/>
          <w:szCs w:val="24"/>
        </w:rPr>
        <w:t>Ze względu na międzysektorowy charakter obligacji kapitałowej, która może być emitowana przez ściśle określony krąg podmiotów nadzorowanych, konieczne jest zamieszczenie przepisu określającego środki nadzorcze, które mogą być stosowane przez KNF w przypadku oferowania obligacji kapitałowych inwestorom inni niż inwestorzy (klienci) profesjonalni</w:t>
      </w:r>
      <w:r w:rsidR="00EE7372">
        <w:rPr>
          <w:rFonts w:ascii="Times New Roman" w:eastAsiaTheme="minorEastAsia" w:hAnsi="Times New Roman" w:cs="Times New Roman"/>
          <w:sz w:val="24"/>
          <w:szCs w:val="24"/>
        </w:rPr>
        <w:t xml:space="preserve"> – tak jak w pozostałych wskazanych wyżej przypadkach. </w:t>
      </w:r>
    </w:p>
    <w:p w14:paraId="7E966178" w14:textId="5429619F" w:rsidR="00B25882" w:rsidRPr="00B25882" w:rsidRDefault="00B25882" w:rsidP="005E5395">
      <w:pPr>
        <w:suppressAutoHyphens/>
        <w:spacing w:after="0" w:line="360" w:lineRule="auto"/>
        <w:jc w:val="both"/>
        <w:rPr>
          <w:rFonts w:ascii="Times New Roman" w:eastAsiaTheme="minorEastAsia" w:hAnsi="Times New Roman" w:cs="Times New Roman"/>
          <w:sz w:val="24"/>
          <w:szCs w:val="24"/>
        </w:rPr>
      </w:pPr>
      <w:r w:rsidRPr="00B25882">
        <w:rPr>
          <w:rFonts w:ascii="Times New Roman" w:eastAsiaTheme="minorEastAsia" w:hAnsi="Times New Roman" w:cs="Times New Roman"/>
          <w:sz w:val="24"/>
          <w:szCs w:val="24"/>
        </w:rPr>
        <w:lastRenderedPageBreak/>
        <w:t xml:space="preserve">Zgodnie z </w:t>
      </w:r>
      <w:r w:rsidRPr="00EE7372">
        <w:rPr>
          <w:rFonts w:ascii="Times New Roman" w:eastAsiaTheme="minorEastAsia" w:hAnsi="Times New Roman" w:cs="Times New Roman"/>
          <w:b/>
          <w:sz w:val="24"/>
          <w:szCs w:val="24"/>
        </w:rPr>
        <w:t>art. 362a</w:t>
      </w:r>
      <w:r w:rsidRPr="00B25882">
        <w:rPr>
          <w:rFonts w:ascii="Times New Roman" w:eastAsiaTheme="minorEastAsia" w:hAnsi="Times New Roman" w:cs="Times New Roman"/>
          <w:sz w:val="24"/>
          <w:szCs w:val="24"/>
        </w:rPr>
        <w:t xml:space="preserve"> </w:t>
      </w:r>
      <w:r w:rsidR="006F3D09">
        <w:rPr>
          <w:rFonts w:ascii="Times New Roman" w:eastAsiaTheme="minorEastAsia" w:hAnsi="Times New Roman" w:cs="Times New Roman"/>
          <w:sz w:val="24"/>
          <w:szCs w:val="24"/>
        </w:rPr>
        <w:t xml:space="preserve">– </w:t>
      </w:r>
      <w:r w:rsidRPr="00B25882">
        <w:rPr>
          <w:rFonts w:ascii="Times New Roman" w:eastAsiaTheme="minorEastAsia" w:hAnsi="Times New Roman" w:cs="Times New Roman"/>
          <w:sz w:val="24"/>
          <w:szCs w:val="24"/>
        </w:rPr>
        <w:t xml:space="preserve">w przypadku naruszenia art. 247b ust. 1 </w:t>
      </w:r>
      <w:r w:rsidR="006F3D09">
        <w:rPr>
          <w:rFonts w:ascii="Times New Roman" w:eastAsiaTheme="minorEastAsia" w:hAnsi="Times New Roman" w:cs="Times New Roman"/>
          <w:sz w:val="24"/>
          <w:szCs w:val="24"/>
        </w:rPr>
        <w:t xml:space="preserve">– </w:t>
      </w:r>
      <w:r w:rsidR="00EE7372">
        <w:rPr>
          <w:rFonts w:ascii="Times New Roman" w:eastAsiaTheme="minorEastAsia" w:hAnsi="Times New Roman" w:cs="Times New Roman"/>
          <w:sz w:val="24"/>
          <w:szCs w:val="24"/>
        </w:rPr>
        <w:t xml:space="preserve">KNF będzie mógł, </w:t>
      </w:r>
      <w:r w:rsidRPr="00B25882">
        <w:rPr>
          <w:rFonts w:ascii="Times New Roman" w:eastAsiaTheme="minorEastAsia" w:hAnsi="Times New Roman" w:cs="Times New Roman"/>
          <w:sz w:val="24"/>
          <w:szCs w:val="24"/>
        </w:rPr>
        <w:t>w drodze decyzji</w:t>
      </w:r>
      <w:r w:rsidR="00EE7372">
        <w:rPr>
          <w:rFonts w:ascii="Times New Roman" w:eastAsiaTheme="minorEastAsia" w:hAnsi="Times New Roman" w:cs="Times New Roman"/>
          <w:sz w:val="24"/>
          <w:szCs w:val="24"/>
        </w:rPr>
        <w:t xml:space="preserve">, </w:t>
      </w:r>
      <w:r w:rsidRPr="00B25882">
        <w:rPr>
          <w:rFonts w:ascii="Times New Roman" w:eastAsiaTheme="minorEastAsia" w:hAnsi="Times New Roman" w:cs="Times New Roman"/>
          <w:sz w:val="24"/>
          <w:szCs w:val="24"/>
        </w:rPr>
        <w:t>nakazać zakładowi ubezpieczeń lub zakładowi reasekuracji zaprzestani</w:t>
      </w:r>
      <w:r w:rsidR="00EE7372">
        <w:rPr>
          <w:rFonts w:ascii="Times New Roman" w:eastAsiaTheme="minorEastAsia" w:hAnsi="Times New Roman" w:cs="Times New Roman"/>
          <w:sz w:val="24"/>
          <w:szCs w:val="24"/>
        </w:rPr>
        <w:t>e</w:t>
      </w:r>
      <w:r w:rsidRPr="00B25882">
        <w:rPr>
          <w:rFonts w:ascii="Times New Roman" w:eastAsiaTheme="minorEastAsia" w:hAnsi="Times New Roman" w:cs="Times New Roman"/>
          <w:sz w:val="24"/>
          <w:szCs w:val="24"/>
        </w:rPr>
        <w:t xml:space="preserve"> działań skutkujących naruszeniem lub powstrzymanie się od takich działań w przyszłości</w:t>
      </w:r>
      <w:r w:rsidR="00EE7372">
        <w:rPr>
          <w:rFonts w:ascii="Times New Roman" w:eastAsiaTheme="minorEastAsia" w:hAnsi="Times New Roman" w:cs="Times New Roman"/>
          <w:sz w:val="24"/>
          <w:szCs w:val="24"/>
        </w:rPr>
        <w:t xml:space="preserve"> lub </w:t>
      </w:r>
      <w:r w:rsidRPr="00B25882">
        <w:rPr>
          <w:rFonts w:ascii="Times New Roman" w:eastAsiaTheme="minorEastAsia" w:hAnsi="Times New Roman" w:cs="Times New Roman"/>
          <w:sz w:val="24"/>
          <w:szCs w:val="24"/>
        </w:rPr>
        <w:t xml:space="preserve">nałożyć </w:t>
      </w:r>
      <w:r w:rsidR="00EE7372">
        <w:rPr>
          <w:rFonts w:ascii="Times New Roman" w:eastAsiaTheme="minorEastAsia" w:hAnsi="Times New Roman" w:cs="Times New Roman"/>
          <w:sz w:val="24"/>
          <w:szCs w:val="24"/>
        </w:rPr>
        <w:t>karę pieniężn</w:t>
      </w:r>
      <w:r w:rsidR="006042DA">
        <w:rPr>
          <w:rFonts w:ascii="Times New Roman" w:eastAsiaTheme="minorEastAsia" w:hAnsi="Times New Roman" w:cs="Times New Roman"/>
          <w:sz w:val="24"/>
          <w:szCs w:val="24"/>
        </w:rPr>
        <w:t>ą</w:t>
      </w:r>
      <w:r w:rsidR="00EE7372">
        <w:rPr>
          <w:rFonts w:ascii="Times New Roman" w:eastAsiaTheme="minorEastAsia" w:hAnsi="Times New Roman" w:cs="Times New Roman"/>
          <w:sz w:val="24"/>
          <w:szCs w:val="24"/>
        </w:rPr>
        <w:t xml:space="preserve"> </w:t>
      </w:r>
      <w:r w:rsidRPr="00B25882">
        <w:rPr>
          <w:rFonts w:ascii="Times New Roman" w:eastAsiaTheme="minorEastAsia" w:hAnsi="Times New Roman" w:cs="Times New Roman"/>
          <w:sz w:val="24"/>
          <w:szCs w:val="24"/>
        </w:rPr>
        <w:t xml:space="preserve">na zakład ubezpieczeń lub na zakład reasekuracji </w:t>
      </w:r>
      <w:r w:rsidR="00EE7372">
        <w:rPr>
          <w:rFonts w:ascii="Times New Roman" w:eastAsiaTheme="minorEastAsia" w:hAnsi="Times New Roman" w:cs="Times New Roman"/>
          <w:sz w:val="24"/>
          <w:szCs w:val="24"/>
        </w:rPr>
        <w:t xml:space="preserve">lub </w:t>
      </w:r>
      <w:r w:rsidR="006F3D09">
        <w:rPr>
          <w:rFonts w:ascii="Times New Roman" w:eastAsiaTheme="minorEastAsia" w:hAnsi="Times New Roman" w:cs="Times New Roman"/>
          <w:sz w:val="24"/>
          <w:szCs w:val="24"/>
        </w:rPr>
        <w:t xml:space="preserve">na </w:t>
      </w:r>
      <w:r w:rsidR="00EE7372">
        <w:rPr>
          <w:rFonts w:ascii="Times New Roman" w:eastAsiaTheme="minorEastAsia" w:hAnsi="Times New Roman" w:cs="Times New Roman"/>
          <w:sz w:val="24"/>
          <w:szCs w:val="24"/>
        </w:rPr>
        <w:t>o</w:t>
      </w:r>
      <w:r w:rsidR="006042DA">
        <w:rPr>
          <w:rFonts w:ascii="Times New Roman" w:eastAsiaTheme="minorEastAsia" w:hAnsi="Times New Roman" w:cs="Times New Roman"/>
          <w:sz w:val="24"/>
          <w:szCs w:val="24"/>
        </w:rPr>
        <w:t xml:space="preserve">sobę </w:t>
      </w:r>
      <w:r w:rsidR="00EE7372">
        <w:rPr>
          <w:rFonts w:ascii="Times New Roman" w:eastAsiaTheme="minorEastAsia" w:hAnsi="Times New Roman" w:cs="Times New Roman"/>
          <w:sz w:val="24"/>
          <w:szCs w:val="24"/>
        </w:rPr>
        <w:t>odpowiedzialn</w:t>
      </w:r>
      <w:r w:rsidR="006042DA">
        <w:rPr>
          <w:rFonts w:ascii="Times New Roman" w:eastAsiaTheme="minorEastAsia" w:hAnsi="Times New Roman" w:cs="Times New Roman"/>
          <w:sz w:val="24"/>
          <w:szCs w:val="24"/>
        </w:rPr>
        <w:t>ą</w:t>
      </w:r>
      <w:r w:rsidR="00EE7372">
        <w:rPr>
          <w:rFonts w:ascii="Times New Roman" w:eastAsiaTheme="minorEastAsia" w:hAnsi="Times New Roman" w:cs="Times New Roman"/>
          <w:sz w:val="24"/>
          <w:szCs w:val="24"/>
        </w:rPr>
        <w:t xml:space="preserve"> za naruszenie</w:t>
      </w:r>
      <w:r w:rsidR="006F3D09">
        <w:rPr>
          <w:rFonts w:ascii="Times New Roman" w:eastAsiaTheme="minorEastAsia" w:hAnsi="Times New Roman" w:cs="Times New Roman"/>
          <w:sz w:val="24"/>
          <w:szCs w:val="24"/>
        </w:rPr>
        <w:t>,</w:t>
      </w:r>
      <w:r w:rsidR="006042DA">
        <w:rPr>
          <w:rFonts w:ascii="Times New Roman" w:eastAsiaTheme="minorEastAsia" w:hAnsi="Times New Roman" w:cs="Times New Roman"/>
          <w:sz w:val="24"/>
          <w:szCs w:val="24"/>
        </w:rPr>
        <w:t xml:space="preserve"> </w:t>
      </w:r>
      <w:r w:rsidRPr="00B25882">
        <w:rPr>
          <w:rFonts w:ascii="Times New Roman" w:eastAsiaTheme="minorEastAsia" w:hAnsi="Times New Roman" w:cs="Times New Roman"/>
          <w:sz w:val="24"/>
          <w:szCs w:val="24"/>
        </w:rPr>
        <w:t>która w tym okresie pełniła obowiązki członka zarządu.</w:t>
      </w:r>
    </w:p>
    <w:p w14:paraId="590168F9" w14:textId="0F50B347" w:rsidR="00B25882" w:rsidRPr="00B25882" w:rsidRDefault="00B25882" w:rsidP="005E5395">
      <w:pPr>
        <w:suppressAutoHyphens/>
        <w:spacing w:after="0" w:line="360" w:lineRule="auto"/>
        <w:jc w:val="both"/>
        <w:rPr>
          <w:rFonts w:ascii="Times New Roman" w:eastAsiaTheme="minorEastAsia" w:hAnsi="Times New Roman" w:cs="Times New Roman"/>
          <w:sz w:val="24"/>
          <w:szCs w:val="24"/>
        </w:rPr>
      </w:pPr>
      <w:r w:rsidRPr="00B25882">
        <w:rPr>
          <w:rFonts w:ascii="Times New Roman" w:eastAsiaTheme="minorEastAsia" w:hAnsi="Times New Roman" w:cs="Times New Roman"/>
          <w:sz w:val="24"/>
          <w:szCs w:val="24"/>
        </w:rPr>
        <w:t>Przepis</w:t>
      </w:r>
      <w:r w:rsidR="00EE7372">
        <w:rPr>
          <w:rFonts w:ascii="Times New Roman" w:eastAsiaTheme="minorEastAsia" w:hAnsi="Times New Roman" w:cs="Times New Roman"/>
          <w:sz w:val="24"/>
          <w:szCs w:val="24"/>
        </w:rPr>
        <w:t xml:space="preserve"> będzie miał zastosowanie także do </w:t>
      </w:r>
      <w:r w:rsidRPr="00B25882">
        <w:rPr>
          <w:rFonts w:ascii="Times New Roman" w:eastAsiaTheme="minorEastAsia" w:hAnsi="Times New Roman" w:cs="Times New Roman"/>
          <w:sz w:val="24"/>
          <w:szCs w:val="24"/>
        </w:rPr>
        <w:t>członków rady administrującej w przypadku wykonywania działalności ubezpieczeniowej lub działalności reasekuracyjnej w formie spółki europejskiej, w której przyjęto system monistyczny.</w:t>
      </w:r>
    </w:p>
    <w:p w14:paraId="0F0FFFD2" w14:textId="2EDB7B2C" w:rsidR="00BC2742" w:rsidRDefault="00B25882" w:rsidP="005E5395">
      <w:pPr>
        <w:suppressAutoHyphens/>
        <w:spacing w:after="0" w:line="360" w:lineRule="auto"/>
        <w:jc w:val="both"/>
        <w:rPr>
          <w:rFonts w:ascii="Times New Roman" w:eastAsiaTheme="minorEastAsia" w:hAnsi="Times New Roman" w:cs="Times New Roman"/>
          <w:sz w:val="24"/>
          <w:szCs w:val="24"/>
        </w:rPr>
      </w:pPr>
      <w:r w:rsidRPr="00B25882">
        <w:rPr>
          <w:rFonts w:ascii="Times New Roman" w:eastAsiaTheme="minorEastAsia" w:hAnsi="Times New Roman" w:cs="Times New Roman"/>
          <w:sz w:val="24"/>
          <w:szCs w:val="24"/>
        </w:rPr>
        <w:t xml:space="preserve">Decyzje wydawane przez </w:t>
      </w:r>
      <w:r w:rsidR="00EE7372">
        <w:rPr>
          <w:rFonts w:ascii="Times New Roman" w:eastAsiaTheme="minorEastAsia" w:hAnsi="Times New Roman" w:cs="Times New Roman"/>
          <w:sz w:val="24"/>
          <w:szCs w:val="24"/>
        </w:rPr>
        <w:t xml:space="preserve">KNF będą </w:t>
      </w:r>
      <w:r w:rsidRPr="00B25882">
        <w:rPr>
          <w:rFonts w:ascii="Times New Roman" w:eastAsiaTheme="minorEastAsia" w:hAnsi="Times New Roman" w:cs="Times New Roman"/>
          <w:sz w:val="24"/>
          <w:szCs w:val="24"/>
        </w:rPr>
        <w:t>natychmiast wykonalne</w:t>
      </w:r>
      <w:r w:rsidR="00EE7372">
        <w:rPr>
          <w:rFonts w:ascii="Times New Roman" w:eastAsiaTheme="minorEastAsia" w:hAnsi="Times New Roman" w:cs="Times New Roman"/>
          <w:sz w:val="24"/>
          <w:szCs w:val="24"/>
        </w:rPr>
        <w:t xml:space="preserve">, a </w:t>
      </w:r>
      <w:r w:rsidRPr="00B25882">
        <w:rPr>
          <w:rFonts w:ascii="Times New Roman" w:eastAsiaTheme="minorEastAsia" w:hAnsi="Times New Roman" w:cs="Times New Roman"/>
          <w:sz w:val="24"/>
          <w:szCs w:val="24"/>
        </w:rPr>
        <w:t>informacje o treści rozstrzygnięcia, rodzaju i charakterze naruszenia, imieniu i nazwisku osoby fizycznej lub firmie (nazwie) podmiotu, na który została nałożona sankcja</w:t>
      </w:r>
      <w:r w:rsidR="00C37754">
        <w:rPr>
          <w:rFonts w:ascii="Times New Roman" w:eastAsiaTheme="minorEastAsia" w:hAnsi="Times New Roman" w:cs="Times New Roman"/>
          <w:sz w:val="24"/>
          <w:szCs w:val="24"/>
        </w:rPr>
        <w:t>,</w:t>
      </w:r>
      <w:r w:rsidR="0088427C">
        <w:rPr>
          <w:rFonts w:ascii="Times New Roman" w:eastAsiaTheme="minorEastAsia" w:hAnsi="Times New Roman" w:cs="Times New Roman"/>
          <w:sz w:val="24"/>
          <w:szCs w:val="24"/>
        </w:rPr>
        <w:t xml:space="preserve"> będzie przez KNF podawana d</w:t>
      </w:r>
      <w:r w:rsidR="0088427C" w:rsidRPr="00B25882">
        <w:rPr>
          <w:rFonts w:ascii="Times New Roman" w:eastAsiaTheme="minorEastAsia" w:hAnsi="Times New Roman" w:cs="Times New Roman"/>
          <w:sz w:val="24"/>
          <w:szCs w:val="24"/>
        </w:rPr>
        <w:t>o publicznej wiadomości</w:t>
      </w:r>
      <w:r w:rsidRPr="00B25882">
        <w:rPr>
          <w:rFonts w:ascii="Times New Roman" w:eastAsiaTheme="minorEastAsia" w:hAnsi="Times New Roman" w:cs="Times New Roman"/>
          <w:sz w:val="24"/>
          <w:szCs w:val="24"/>
        </w:rPr>
        <w:t xml:space="preserve">. </w:t>
      </w:r>
    </w:p>
    <w:p w14:paraId="3BA90E85" w14:textId="01EADEB5" w:rsidR="00E02019" w:rsidRPr="00E02019" w:rsidRDefault="00E02019" w:rsidP="005E5395">
      <w:pPr>
        <w:spacing w:after="0" w:line="360" w:lineRule="auto"/>
        <w:jc w:val="both"/>
        <w:rPr>
          <w:rFonts w:ascii="Times New Roman" w:eastAsia="Calibri" w:hAnsi="Times New Roman" w:cs="Times New Roman"/>
          <w:sz w:val="24"/>
          <w:szCs w:val="24"/>
        </w:rPr>
      </w:pPr>
    </w:p>
    <w:p w14:paraId="5F9ED7EF" w14:textId="44CD26ED" w:rsidR="00AB1420" w:rsidRPr="00D92FC1" w:rsidRDefault="00AB1420" w:rsidP="005E5395">
      <w:pPr>
        <w:spacing w:after="120" w:line="360" w:lineRule="auto"/>
        <w:jc w:val="both"/>
        <w:rPr>
          <w:rFonts w:ascii="Times New Roman" w:eastAsia="Calibri" w:hAnsi="Times New Roman" w:cs="Times New Roman"/>
          <w:b/>
          <w:sz w:val="24"/>
          <w:szCs w:val="24"/>
          <w:u w:val="single"/>
        </w:rPr>
      </w:pPr>
      <w:r w:rsidRPr="00D92FC1">
        <w:rPr>
          <w:rFonts w:ascii="Times New Roman" w:eastAsia="Calibri" w:hAnsi="Times New Roman" w:cs="Times New Roman"/>
          <w:b/>
          <w:sz w:val="24"/>
          <w:szCs w:val="24"/>
          <w:u w:val="single"/>
        </w:rPr>
        <w:t xml:space="preserve">Art. </w:t>
      </w:r>
      <w:r w:rsidR="008C256A" w:rsidRPr="00D92FC1">
        <w:rPr>
          <w:rFonts w:ascii="Times New Roman" w:eastAsia="Calibri" w:hAnsi="Times New Roman" w:cs="Times New Roman"/>
          <w:b/>
          <w:sz w:val="24"/>
          <w:szCs w:val="24"/>
          <w:u w:val="single"/>
        </w:rPr>
        <w:t>1</w:t>
      </w:r>
      <w:r w:rsidR="008C256A">
        <w:rPr>
          <w:rFonts w:ascii="Times New Roman" w:eastAsia="Calibri" w:hAnsi="Times New Roman" w:cs="Times New Roman"/>
          <w:b/>
          <w:sz w:val="24"/>
          <w:szCs w:val="24"/>
          <w:u w:val="single"/>
        </w:rPr>
        <w:t>4</w:t>
      </w:r>
      <w:r w:rsidR="008C256A" w:rsidRPr="00D92FC1">
        <w:rPr>
          <w:rFonts w:ascii="Times New Roman" w:eastAsia="Calibri" w:hAnsi="Times New Roman" w:cs="Times New Roman"/>
          <w:b/>
          <w:sz w:val="24"/>
          <w:szCs w:val="24"/>
          <w:u w:val="single"/>
        </w:rPr>
        <w:t xml:space="preserve"> </w:t>
      </w:r>
      <w:r w:rsidRPr="00D92FC1">
        <w:rPr>
          <w:rFonts w:ascii="Times New Roman" w:eastAsia="Calibri" w:hAnsi="Times New Roman" w:cs="Times New Roman"/>
          <w:b/>
          <w:sz w:val="24"/>
          <w:szCs w:val="24"/>
          <w:u w:val="single"/>
        </w:rPr>
        <w:t>projektu – zmiana w ustawie prawo zamówień publicznych</w:t>
      </w:r>
    </w:p>
    <w:p w14:paraId="6BCEE0EF" w14:textId="77777777" w:rsidR="00AB1420" w:rsidRPr="00D92FC1" w:rsidRDefault="00AB1420" w:rsidP="005E5395">
      <w:pPr>
        <w:pStyle w:val="Tekstprzypisudolnego"/>
        <w:spacing w:line="360" w:lineRule="auto"/>
        <w:jc w:val="both"/>
        <w:rPr>
          <w:rFonts w:ascii="Times New Roman" w:eastAsia="Calibri" w:hAnsi="Times New Roman" w:cs="Times New Roman"/>
          <w:sz w:val="24"/>
          <w:szCs w:val="24"/>
        </w:rPr>
      </w:pPr>
      <w:r w:rsidRPr="00D92FC1">
        <w:rPr>
          <w:rFonts w:ascii="Times New Roman" w:eastAsia="Calibri" w:hAnsi="Times New Roman" w:cs="Times New Roman"/>
          <w:sz w:val="24"/>
          <w:szCs w:val="24"/>
        </w:rPr>
        <w:t xml:space="preserve">Zmieniany </w:t>
      </w:r>
      <w:r w:rsidRPr="00D92FC1">
        <w:rPr>
          <w:rFonts w:ascii="Times New Roman" w:eastAsia="Calibri" w:hAnsi="Times New Roman" w:cs="Times New Roman"/>
          <w:b/>
          <w:sz w:val="24"/>
          <w:szCs w:val="24"/>
        </w:rPr>
        <w:t>art. 11 ust. 5 pkt 11</w:t>
      </w:r>
      <w:r w:rsidRPr="00D92FC1">
        <w:rPr>
          <w:rFonts w:ascii="Times New Roman" w:eastAsia="Calibri" w:hAnsi="Times New Roman" w:cs="Times New Roman"/>
          <w:sz w:val="24"/>
          <w:szCs w:val="24"/>
        </w:rPr>
        <w:t xml:space="preserve"> rozszerza wyłączenia stosowania ustawy – Prawo zamówień publicznych poniżej progów unijnych wskazanych w art. 4 d</w:t>
      </w:r>
      <w:r w:rsidRPr="00D92FC1">
        <w:rPr>
          <w:rFonts w:ascii="Times New Roman" w:hAnsi="Times New Roman" w:cs="Times New Roman"/>
          <w:sz w:val="24"/>
          <w:szCs w:val="24"/>
        </w:rPr>
        <w:t>yrektywy Parlamentu Europejskiego i Rady 2014/24/UE z dnia 26 lutego 2014 r. w sprawie zamówień publicznych, uchylając</w:t>
      </w:r>
      <w:r>
        <w:rPr>
          <w:rFonts w:ascii="Times New Roman" w:hAnsi="Times New Roman" w:cs="Times New Roman"/>
          <w:sz w:val="24"/>
          <w:szCs w:val="24"/>
        </w:rPr>
        <w:t>ej</w:t>
      </w:r>
      <w:r w:rsidRPr="00D92FC1">
        <w:rPr>
          <w:rFonts w:ascii="Times New Roman" w:hAnsi="Times New Roman" w:cs="Times New Roman"/>
          <w:sz w:val="24"/>
          <w:szCs w:val="24"/>
        </w:rPr>
        <w:t xml:space="preserve"> dyrektywę 2004/18/WE (Dz. Urz. UE L 94 z 28.03.2014, str. 65, z późn. zm.) </w:t>
      </w:r>
      <w:r w:rsidRPr="00D92FC1">
        <w:rPr>
          <w:rFonts w:ascii="Times New Roman" w:eastAsia="Calibri" w:hAnsi="Times New Roman" w:cs="Times New Roman"/>
          <w:sz w:val="24"/>
          <w:szCs w:val="24"/>
        </w:rPr>
        <w:t xml:space="preserve">w zakresie dotyczącym czynności związanych z podejmowaniem działań w ramach restrukturyzacji i uporządkowanej likwidacji CCP. </w:t>
      </w:r>
    </w:p>
    <w:p w14:paraId="3B10D1B4" w14:textId="4EAB93A5" w:rsidR="00A54551" w:rsidRDefault="00AB1420" w:rsidP="005E5395">
      <w:pPr>
        <w:pStyle w:val="Tekstprzypisudolnego"/>
        <w:spacing w:line="360" w:lineRule="auto"/>
        <w:jc w:val="both"/>
        <w:rPr>
          <w:rFonts w:ascii="Times New Roman" w:eastAsia="Calibri" w:hAnsi="Times New Roman" w:cs="Times New Roman"/>
          <w:sz w:val="24"/>
          <w:szCs w:val="24"/>
        </w:rPr>
      </w:pPr>
      <w:r w:rsidRPr="00D92FC1">
        <w:rPr>
          <w:rFonts w:ascii="Times New Roman" w:eastAsia="Calibri" w:hAnsi="Times New Roman" w:cs="Times New Roman"/>
          <w:sz w:val="24"/>
          <w:szCs w:val="24"/>
        </w:rPr>
        <w:t>Wyłączenie to ma na celu zwiększenie bezpieczeństwa systemu finansowego oraz zapewnieni</w:t>
      </w:r>
      <w:r w:rsidR="006A10B6">
        <w:rPr>
          <w:rFonts w:ascii="Times New Roman" w:eastAsia="Calibri" w:hAnsi="Times New Roman" w:cs="Times New Roman"/>
          <w:sz w:val="24"/>
          <w:szCs w:val="24"/>
        </w:rPr>
        <w:t>e</w:t>
      </w:r>
      <w:r w:rsidRPr="00D92FC1">
        <w:rPr>
          <w:rFonts w:ascii="Times New Roman" w:eastAsia="Calibri" w:hAnsi="Times New Roman" w:cs="Times New Roman"/>
          <w:sz w:val="24"/>
          <w:szCs w:val="24"/>
        </w:rPr>
        <w:t xml:space="preserve"> wysokiej efektywności czasowej jako czynnika warunkującego skuteczność restrukturyzacji i uporządkowanej likwidacji CCP.</w:t>
      </w:r>
    </w:p>
    <w:p w14:paraId="0F49B18C" w14:textId="0DE80997" w:rsidR="008219B5" w:rsidRDefault="008219B5" w:rsidP="005E5395">
      <w:pPr>
        <w:pStyle w:val="Tekstprzypisudolnego"/>
        <w:spacing w:line="360" w:lineRule="auto"/>
        <w:jc w:val="both"/>
        <w:rPr>
          <w:rFonts w:ascii="Times New Roman" w:eastAsia="Calibri" w:hAnsi="Times New Roman" w:cs="Times New Roman"/>
          <w:sz w:val="24"/>
          <w:szCs w:val="24"/>
        </w:rPr>
      </w:pPr>
      <w:r w:rsidRPr="008219B5">
        <w:rPr>
          <w:rFonts w:ascii="Times New Roman" w:eastAsia="Calibri" w:hAnsi="Times New Roman" w:cs="Times New Roman"/>
          <w:sz w:val="24"/>
          <w:szCs w:val="24"/>
        </w:rPr>
        <w:t>Istotnym aspektem jest</w:t>
      </w:r>
      <w:r w:rsidR="00A54551">
        <w:rPr>
          <w:rFonts w:ascii="Times New Roman" w:eastAsia="Calibri" w:hAnsi="Times New Roman" w:cs="Times New Roman"/>
          <w:sz w:val="24"/>
          <w:szCs w:val="24"/>
        </w:rPr>
        <w:t xml:space="preserve"> również</w:t>
      </w:r>
      <w:r w:rsidRPr="008219B5">
        <w:rPr>
          <w:rFonts w:ascii="Times New Roman" w:eastAsia="Calibri" w:hAnsi="Times New Roman" w:cs="Times New Roman"/>
          <w:sz w:val="24"/>
          <w:szCs w:val="24"/>
        </w:rPr>
        <w:t xml:space="preserve"> fakt, </w:t>
      </w:r>
      <w:r w:rsidR="00E6295F">
        <w:rPr>
          <w:rFonts w:ascii="Times New Roman" w:eastAsia="Calibri" w:hAnsi="Times New Roman" w:cs="Times New Roman"/>
          <w:sz w:val="24"/>
          <w:szCs w:val="24"/>
        </w:rPr>
        <w:t xml:space="preserve"> że z</w:t>
      </w:r>
      <w:r w:rsidR="006A10B6">
        <w:rPr>
          <w:rFonts w:ascii="Times New Roman" w:eastAsia="Calibri" w:hAnsi="Times New Roman" w:cs="Times New Roman"/>
          <w:sz w:val="24"/>
          <w:szCs w:val="24"/>
        </w:rPr>
        <w:t xml:space="preserve">astosowanie przepisów </w:t>
      </w:r>
      <w:r w:rsidR="00E6295F">
        <w:rPr>
          <w:rFonts w:ascii="Times New Roman" w:eastAsia="Calibri" w:hAnsi="Times New Roman" w:cs="Times New Roman"/>
          <w:sz w:val="24"/>
          <w:szCs w:val="24"/>
        </w:rPr>
        <w:t xml:space="preserve">w tym przypadku </w:t>
      </w:r>
      <w:r w:rsidRPr="008219B5">
        <w:rPr>
          <w:rFonts w:ascii="Times New Roman" w:eastAsia="Calibri" w:hAnsi="Times New Roman" w:cs="Times New Roman"/>
          <w:sz w:val="24"/>
          <w:szCs w:val="24"/>
        </w:rPr>
        <w:t>ustawy</w:t>
      </w:r>
      <w:r w:rsidR="006A10B6">
        <w:rPr>
          <w:rFonts w:ascii="Times New Roman" w:eastAsia="Calibri" w:hAnsi="Times New Roman" w:cs="Times New Roman"/>
          <w:sz w:val="24"/>
          <w:szCs w:val="24"/>
        </w:rPr>
        <w:t xml:space="preserve"> </w:t>
      </w:r>
      <w:r w:rsidR="006A10B6" w:rsidRPr="00D92FC1">
        <w:rPr>
          <w:rFonts w:ascii="Times New Roman" w:eastAsia="Calibri" w:hAnsi="Times New Roman" w:cs="Times New Roman"/>
          <w:sz w:val="24"/>
          <w:szCs w:val="24"/>
        </w:rPr>
        <w:t>–</w:t>
      </w:r>
      <w:r w:rsidRPr="008219B5">
        <w:rPr>
          <w:rFonts w:ascii="Times New Roman" w:eastAsia="Calibri" w:hAnsi="Times New Roman" w:cs="Times New Roman"/>
          <w:sz w:val="24"/>
          <w:szCs w:val="24"/>
        </w:rPr>
        <w:t xml:space="preserve"> Prawo zamówień publicznych</w:t>
      </w:r>
      <w:r w:rsidR="00C90D37">
        <w:rPr>
          <w:rFonts w:ascii="Times New Roman" w:eastAsia="Calibri" w:hAnsi="Times New Roman" w:cs="Times New Roman"/>
          <w:sz w:val="24"/>
          <w:szCs w:val="24"/>
        </w:rPr>
        <w:t xml:space="preserve"> </w:t>
      </w:r>
      <w:r w:rsidRPr="008219B5">
        <w:rPr>
          <w:rFonts w:ascii="Times New Roman" w:eastAsia="Calibri" w:hAnsi="Times New Roman" w:cs="Times New Roman"/>
          <w:sz w:val="24"/>
          <w:szCs w:val="24"/>
        </w:rPr>
        <w:t>może spowodować upublicznienie informacji dotyczącej sytuacji finansowej podmiotu</w:t>
      </w:r>
      <w:r w:rsidR="00E6295F">
        <w:rPr>
          <w:rFonts w:ascii="Times New Roman" w:eastAsia="Calibri" w:hAnsi="Times New Roman" w:cs="Times New Roman"/>
          <w:sz w:val="24"/>
          <w:szCs w:val="24"/>
        </w:rPr>
        <w:t xml:space="preserve"> – w </w:t>
      </w:r>
      <w:r w:rsidRPr="008219B5">
        <w:rPr>
          <w:rFonts w:ascii="Times New Roman" w:eastAsia="Calibri" w:hAnsi="Times New Roman" w:cs="Times New Roman"/>
          <w:sz w:val="24"/>
          <w:szCs w:val="24"/>
        </w:rPr>
        <w:t xml:space="preserve">efekcie reakcje rynkowe, w szczególności </w:t>
      </w:r>
      <w:r w:rsidR="00E6295F">
        <w:rPr>
          <w:rFonts w:ascii="Times New Roman" w:eastAsia="Calibri" w:hAnsi="Times New Roman" w:cs="Times New Roman"/>
          <w:sz w:val="24"/>
          <w:szCs w:val="24"/>
        </w:rPr>
        <w:t xml:space="preserve">reakcje </w:t>
      </w:r>
      <w:r w:rsidRPr="008219B5">
        <w:rPr>
          <w:rFonts w:ascii="Times New Roman" w:eastAsia="Calibri" w:hAnsi="Times New Roman" w:cs="Times New Roman"/>
          <w:sz w:val="24"/>
          <w:szCs w:val="24"/>
        </w:rPr>
        <w:t xml:space="preserve">klientów </w:t>
      </w:r>
      <w:r w:rsidR="00E6295F">
        <w:rPr>
          <w:rFonts w:ascii="Times New Roman" w:eastAsia="Calibri" w:hAnsi="Times New Roman" w:cs="Times New Roman"/>
          <w:sz w:val="24"/>
          <w:szCs w:val="24"/>
        </w:rPr>
        <w:t>CCP</w:t>
      </w:r>
      <w:r w:rsidRPr="008219B5">
        <w:rPr>
          <w:rFonts w:ascii="Times New Roman" w:eastAsia="Calibri" w:hAnsi="Times New Roman" w:cs="Times New Roman"/>
          <w:sz w:val="24"/>
          <w:szCs w:val="24"/>
        </w:rPr>
        <w:t xml:space="preserve">, mogą w bardzo krótkim czasie spowodować dalsze bardzo istotne pogorszenie jego sytuacji finansowej.  </w:t>
      </w:r>
    </w:p>
    <w:p w14:paraId="6EC3F7A0" w14:textId="228C3D72" w:rsidR="00E02019" w:rsidRDefault="008219B5" w:rsidP="005E5395">
      <w:pPr>
        <w:pStyle w:val="Tekstprzypisudolnego"/>
        <w:spacing w:line="360" w:lineRule="auto"/>
        <w:jc w:val="both"/>
        <w:rPr>
          <w:rFonts w:ascii="Times New Roman" w:eastAsia="Calibri" w:hAnsi="Times New Roman" w:cs="Times New Roman"/>
          <w:sz w:val="24"/>
          <w:szCs w:val="24"/>
        </w:rPr>
      </w:pPr>
      <w:r w:rsidRPr="008219B5">
        <w:rPr>
          <w:rFonts w:ascii="Times New Roman" w:eastAsia="Calibri" w:hAnsi="Times New Roman" w:cs="Times New Roman"/>
          <w:sz w:val="24"/>
          <w:szCs w:val="24"/>
        </w:rPr>
        <w:t xml:space="preserve">Należy również podkreślić, że wprowadzone rozszerzenie odnosi się do zamówień </w:t>
      </w:r>
      <w:r w:rsidR="002C1307">
        <w:rPr>
          <w:rFonts w:ascii="Times New Roman" w:eastAsia="Calibri" w:hAnsi="Times New Roman" w:cs="Times New Roman"/>
          <w:sz w:val="24"/>
          <w:szCs w:val="24"/>
        </w:rPr>
        <w:t xml:space="preserve">poniżej </w:t>
      </w:r>
      <w:r w:rsidRPr="008219B5">
        <w:rPr>
          <w:rFonts w:ascii="Times New Roman" w:eastAsia="Calibri" w:hAnsi="Times New Roman" w:cs="Times New Roman"/>
          <w:sz w:val="24"/>
          <w:szCs w:val="24"/>
        </w:rPr>
        <w:t>prog</w:t>
      </w:r>
      <w:r w:rsidR="002C1307">
        <w:rPr>
          <w:rFonts w:ascii="Times New Roman" w:eastAsia="Calibri" w:hAnsi="Times New Roman" w:cs="Times New Roman"/>
          <w:sz w:val="24"/>
          <w:szCs w:val="24"/>
        </w:rPr>
        <w:t>ów</w:t>
      </w:r>
      <w:r w:rsidRPr="008219B5">
        <w:rPr>
          <w:rFonts w:ascii="Times New Roman" w:eastAsia="Calibri" w:hAnsi="Times New Roman" w:cs="Times New Roman"/>
          <w:sz w:val="24"/>
          <w:szCs w:val="24"/>
        </w:rPr>
        <w:t xml:space="preserve"> określonymi w </w:t>
      </w:r>
      <w:r w:rsidR="002C1307">
        <w:rPr>
          <w:rFonts w:ascii="Times New Roman" w:eastAsia="Calibri" w:hAnsi="Times New Roman" w:cs="Times New Roman"/>
          <w:sz w:val="24"/>
          <w:szCs w:val="24"/>
        </w:rPr>
        <w:t xml:space="preserve">ww. </w:t>
      </w:r>
      <w:r w:rsidRPr="008219B5">
        <w:rPr>
          <w:rFonts w:ascii="Times New Roman" w:eastAsia="Calibri" w:hAnsi="Times New Roman" w:cs="Times New Roman"/>
          <w:sz w:val="24"/>
          <w:szCs w:val="24"/>
        </w:rPr>
        <w:t xml:space="preserve">dyrektywie, a kształtowanie wyłączeń </w:t>
      </w:r>
      <w:r w:rsidR="002C1307">
        <w:rPr>
          <w:rFonts w:ascii="Times New Roman" w:eastAsia="Calibri" w:hAnsi="Times New Roman" w:cs="Times New Roman"/>
          <w:sz w:val="24"/>
          <w:szCs w:val="24"/>
        </w:rPr>
        <w:t xml:space="preserve">w tym zakresie należy do kompetencji </w:t>
      </w:r>
      <w:r w:rsidRPr="008219B5">
        <w:rPr>
          <w:rFonts w:ascii="Times New Roman" w:eastAsia="Calibri" w:hAnsi="Times New Roman" w:cs="Times New Roman"/>
          <w:sz w:val="24"/>
          <w:szCs w:val="24"/>
        </w:rPr>
        <w:t>państwa członkowskiego.</w:t>
      </w:r>
    </w:p>
    <w:p w14:paraId="629D0609" w14:textId="77777777" w:rsidR="00A54551" w:rsidRPr="00E02019" w:rsidRDefault="00A54551" w:rsidP="005E5395">
      <w:pPr>
        <w:pStyle w:val="Tekstprzypisudolnego"/>
        <w:spacing w:line="360" w:lineRule="auto"/>
        <w:jc w:val="both"/>
        <w:rPr>
          <w:rFonts w:ascii="Times New Roman" w:eastAsia="Calibri" w:hAnsi="Times New Roman" w:cs="Times New Roman"/>
          <w:sz w:val="24"/>
          <w:szCs w:val="24"/>
        </w:rPr>
      </w:pPr>
    </w:p>
    <w:p w14:paraId="3CFD7F9B" w14:textId="77777777" w:rsidR="00AB1420" w:rsidRPr="00D92FC1" w:rsidRDefault="00AB1420" w:rsidP="005E5395">
      <w:pPr>
        <w:spacing w:after="120" w:line="360" w:lineRule="auto"/>
        <w:jc w:val="both"/>
        <w:rPr>
          <w:rFonts w:ascii="Times New Roman" w:eastAsia="Calibri" w:hAnsi="Times New Roman" w:cs="Times New Roman"/>
          <w:b/>
          <w:sz w:val="24"/>
          <w:szCs w:val="24"/>
          <w:u w:val="single"/>
        </w:rPr>
      </w:pPr>
      <w:r w:rsidRPr="00D92FC1">
        <w:rPr>
          <w:rFonts w:ascii="Times New Roman" w:eastAsia="Calibri" w:hAnsi="Times New Roman" w:cs="Times New Roman"/>
          <w:b/>
          <w:sz w:val="24"/>
          <w:szCs w:val="24"/>
          <w:u w:val="single"/>
        </w:rPr>
        <w:t xml:space="preserve">Pozostałe przepisy </w:t>
      </w:r>
    </w:p>
    <w:p w14:paraId="136583AD" w14:textId="7867B7D2" w:rsidR="00AB1420" w:rsidRPr="00D92FC1" w:rsidRDefault="00AB1420" w:rsidP="005E5395">
      <w:pPr>
        <w:suppressAutoHyphens/>
        <w:autoSpaceDE w:val="0"/>
        <w:autoSpaceDN w:val="0"/>
        <w:adjustRightInd w:val="0"/>
        <w:spacing w:after="120" w:line="360" w:lineRule="auto"/>
        <w:jc w:val="both"/>
        <w:rPr>
          <w:rFonts w:ascii="Times New Roman" w:eastAsia="Times New Roman" w:hAnsi="Times New Roman" w:cs="Times New Roman"/>
          <w:bCs/>
          <w:sz w:val="24"/>
          <w:szCs w:val="24"/>
          <w:lang w:eastAsia="pl-PL"/>
        </w:rPr>
      </w:pPr>
      <w:r w:rsidRPr="00D92FC1">
        <w:rPr>
          <w:rFonts w:ascii="Times New Roman" w:eastAsia="Times New Roman" w:hAnsi="Times New Roman" w:cs="Times New Roman"/>
          <w:bCs/>
          <w:sz w:val="24"/>
          <w:szCs w:val="24"/>
          <w:lang w:eastAsia="pl-PL"/>
        </w:rPr>
        <w:lastRenderedPageBreak/>
        <w:t>Proponowany</w:t>
      </w:r>
      <w:r w:rsidRPr="00D92FC1">
        <w:rPr>
          <w:rFonts w:ascii="Times New Roman" w:eastAsia="Times New Roman" w:hAnsi="Times New Roman" w:cs="Times New Roman"/>
          <w:b/>
          <w:bCs/>
          <w:sz w:val="24"/>
          <w:szCs w:val="24"/>
          <w:lang w:eastAsia="pl-PL"/>
        </w:rPr>
        <w:t xml:space="preserve"> art. </w:t>
      </w:r>
      <w:r w:rsidR="00046EE2" w:rsidRPr="00D92FC1">
        <w:rPr>
          <w:rFonts w:ascii="Times New Roman" w:eastAsia="Times New Roman" w:hAnsi="Times New Roman" w:cs="Times New Roman"/>
          <w:b/>
          <w:bCs/>
          <w:sz w:val="24"/>
          <w:szCs w:val="24"/>
          <w:lang w:eastAsia="pl-PL"/>
        </w:rPr>
        <w:t>1</w:t>
      </w:r>
      <w:r w:rsidR="00046EE2">
        <w:rPr>
          <w:rFonts w:ascii="Times New Roman" w:eastAsia="Times New Roman" w:hAnsi="Times New Roman" w:cs="Times New Roman"/>
          <w:b/>
          <w:bCs/>
          <w:sz w:val="24"/>
          <w:szCs w:val="24"/>
          <w:lang w:eastAsia="pl-PL"/>
        </w:rPr>
        <w:t>5</w:t>
      </w:r>
      <w:r w:rsidR="00046EE2" w:rsidRPr="00D92FC1">
        <w:rPr>
          <w:rFonts w:ascii="Times New Roman" w:eastAsia="Times New Roman" w:hAnsi="Times New Roman" w:cs="Times New Roman"/>
          <w:b/>
          <w:bCs/>
          <w:sz w:val="24"/>
          <w:szCs w:val="24"/>
          <w:lang w:eastAsia="pl-PL"/>
        </w:rPr>
        <w:t xml:space="preserve"> </w:t>
      </w:r>
      <w:r w:rsidRPr="00D92FC1">
        <w:rPr>
          <w:rFonts w:ascii="Times New Roman" w:eastAsia="Times New Roman" w:hAnsi="Times New Roman" w:cs="Times New Roman"/>
          <w:b/>
          <w:bCs/>
          <w:sz w:val="24"/>
          <w:szCs w:val="24"/>
          <w:lang w:eastAsia="pl-PL"/>
        </w:rPr>
        <w:t>projektu</w:t>
      </w:r>
      <w:r w:rsidRPr="00D92FC1">
        <w:rPr>
          <w:rFonts w:ascii="Times New Roman" w:eastAsia="Times New Roman" w:hAnsi="Times New Roman" w:cs="Times New Roman"/>
          <w:bCs/>
          <w:sz w:val="24"/>
          <w:szCs w:val="24"/>
          <w:lang w:eastAsia="pl-PL"/>
        </w:rPr>
        <w:t xml:space="preserve"> przewiduje, że towarzystwa funduszy inwestycyjnych zarządzających funduszami inwestycyjnymi otwartymi oraz specjalistycznymi funduszami inwestycyjnymi otwartymi utworzonymi przed wejściem w życie zmian dotyczących sporządzania kluczowych informacji dla inwestora – nie będą miały obowiązku ich sporządzania i udostępniania inwestorom innym niż inwestorzy indywidualni, jeżeli w terminie 2 miesięcy od dnia wejścia w życie </w:t>
      </w:r>
      <w:r w:rsidR="007A73E9">
        <w:rPr>
          <w:rFonts w:ascii="Times New Roman" w:eastAsia="Times New Roman" w:hAnsi="Times New Roman" w:cs="Times New Roman"/>
          <w:bCs/>
          <w:sz w:val="24"/>
          <w:szCs w:val="24"/>
          <w:lang w:eastAsia="pl-PL"/>
        </w:rPr>
        <w:t xml:space="preserve">zmian w ustawie o funduszach inwestycyjnych przekażą KNF </w:t>
      </w:r>
      <w:r w:rsidRPr="00D92FC1">
        <w:rPr>
          <w:rFonts w:ascii="Times New Roman" w:eastAsia="Times New Roman" w:hAnsi="Times New Roman" w:cs="Times New Roman"/>
          <w:bCs/>
          <w:sz w:val="24"/>
          <w:szCs w:val="24"/>
          <w:lang w:eastAsia="pl-PL"/>
        </w:rPr>
        <w:t xml:space="preserve">oświadczenie, że towarzystwo sporządza kluczowe informacje w celu ich udostępniania przy zbywaniu jednostek uczestnictwa funduszu również inwestorom innymi niż inwestorzy indywidualni. </w:t>
      </w:r>
      <w:r>
        <w:rPr>
          <w:rFonts w:ascii="Times New Roman" w:eastAsia="Times New Roman" w:hAnsi="Times New Roman" w:cs="Times New Roman"/>
          <w:bCs/>
          <w:sz w:val="24"/>
          <w:szCs w:val="24"/>
          <w:lang w:eastAsia="pl-PL"/>
        </w:rPr>
        <w:t xml:space="preserve">Pozwoli </w:t>
      </w:r>
      <w:r w:rsidRPr="00D92FC1">
        <w:rPr>
          <w:rFonts w:ascii="Times New Roman" w:eastAsia="Times New Roman" w:hAnsi="Times New Roman" w:cs="Times New Roman"/>
          <w:bCs/>
          <w:sz w:val="24"/>
          <w:szCs w:val="24"/>
          <w:lang w:eastAsia="pl-PL"/>
        </w:rPr>
        <w:t xml:space="preserve">to </w:t>
      </w:r>
      <w:r>
        <w:rPr>
          <w:rFonts w:ascii="Times New Roman" w:eastAsia="Times New Roman" w:hAnsi="Times New Roman" w:cs="Times New Roman"/>
          <w:bCs/>
          <w:sz w:val="24"/>
          <w:szCs w:val="24"/>
          <w:lang w:eastAsia="pl-PL"/>
        </w:rPr>
        <w:t xml:space="preserve">na sprawne dostosowanie działań </w:t>
      </w:r>
      <w:r w:rsidRPr="00D92FC1">
        <w:rPr>
          <w:rFonts w:ascii="Times New Roman" w:eastAsia="Times New Roman" w:hAnsi="Times New Roman" w:cs="Times New Roman"/>
          <w:bCs/>
          <w:sz w:val="24"/>
          <w:szCs w:val="24"/>
          <w:lang w:eastAsia="pl-PL"/>
        </w:rPr>
        <w:t xml:space="preserve">towarzystw funduszy inwestycyjnych </w:t>
      </w:r>
      <w:r>
        <w:rPr>
          <w:rFonts w:ascii="Times New Roman" w:eastAsia="Times New Roman" w:hAnsi="Times New Roman" w:cs="Times New Roman"/>
          <w:bCs/>
          <w:sz w:val="24"/>
          <w:szCs w:val="24"/>
          <w:lang w:eastAsia="pl-PL"/>
        </w:rPr>
        <w:t xml:space="preserve">do regulacji dotyczących sporządzania i przekazywania inwestorom nowego rodzaju dokumentu, jakim są </w:t>
      </w:r>
      <w:r w:rsidRPr="00D92FC1">
        <w:rPr>
          <w:rFonts w:ascii="Times New Roman" w:eastAsia="Times New Roman" w:hAnsi="Times New Roman" w:cs="Times New Roman"/>
          <w:bCs/>
          <w:sz w:val="24"/>
          <w:szCs w:val="24"/>
          <w:lang w:eastAsia="pl-PL"/>
        </w:rPr>
        <w:t>kluczow</w:t>
      </w:r>
      <w:r>
        <w:rPr>
          <w:rFonts w:ascii="Times New Roman" w:eastAsia="Times New Roman" w:hAnsi="Times New Roman" w:cs="Times New Roman"/>
          <w:bCs/>
          <w:sz w:val="24"/>
          <w:szCs w:val="24"/>
          <w:lang w:eastAsia="pl-PL"/>
        </w:rPr>
        <w:t>e</w:t>
      </w:r>
      <w:r w:rsidRPr="00D92FC1">
        <w:rPr>
          <w:rFonts w:ascii="Times New Roman" w:eastAsia="Times New Roman" w:hAnsi="Times New Roman" w:cs="Times New Roman"/>
          <w:bCs/>
          <w:sz w:val="24"/>
          <w:szCs w:val="24"/>
          <w:lang w:eastAsia="pl-PL"/>
        </w:rPr>
        <w:t xml:space="preserve"> informacj</w:t>
      </w:r>
      <w:r>
        <w:rPr>
          <w:rFonts w:ascii="Times New Roman" w:eastAsia="Times New Roman" w:hAnsi="Times New Roman" w:cs="Times New Roman"/>
          <w:bCs/>
          <w:sz w:val="24"/>
          <w:szCs w:val="24"/>
          <w:lang w:eastAsia="pl-PL"/>
        </w:rPr>
        <w:t xml:space="preserve">e. </w:t>
      </w:r>
      <w:r w:rsidR="00345722">
        <w:rPr>
          <w:rFonts w:ascii="Times New Roman" w:eastAsia="Times New Roman" w:hAnsi="Times New Roman" w:cs="Times New Roman"/>
          <w:bCs/>
          <w:sz w:val="24"/>
          <w:szCs w:val="24"/>
          <w:lang w:eastAsia="pl-PL"/>
        </w:rPr>
        <w:t>KNF</w:t>
      </w:r>
      <w:r>
        <w:rPr>
          <w:rFonts w:ascii="Times New Roman" w:eastAsia="Times New Roman" w:hAnsi="Times New Roman" w:cs="Times New Roman"/>
          <w:bCs/>
          <w:sz w:val="24"/>
          <w:szCs w:val="24"/>
          <w:lang w:eastAsia="pl-PL"/>
        </w:rPr>
        <w:t xml:space="preserve"> uzyska w ten sposób </w:t>
      </w:r>
      <w:r w:rsidRPr="00D92FC1">
        <w:rPr>
          <w:rFonts w:ascii="Times New Roman" w:eastAsia="Times New Roman" w:hAnsi="Times New Roman" w:cs="Times New Roman"/>
          <w:bCs/>
          <w:sz w:val="24"/>
          <w:szCs w:val="24"/>
          <w:lang w:eastAsia="pl-PL"/>
        </w:rPr>
        <w:t xml:space="preserve">kompletne informacje </w:t>
      </w:r>
      <w:r>
        <w:rPr>
          <w:rFonts w:ascii="Times New Roman" w:eastAsia="Times New Roman" w:hAnsi="Times New Roman" w:cs="Times New Roman"/>
          <w:bCs/>
          <w:sz w:val="24"/>
          <w:szCs w:val="24"/>
          <w:lang w:eastAsia="pl-PL"/>
        </w:rPr>
        <w:t xml:space="preserve">o </w:t>
      </w:r>
      <w:r w:rsidRPr="00D92FC1">
        <w:rPr>
          <w:rFonts w:ascii="Times New Roman" w:eastAsia="Times New Roman" w:hAnsi="Times New Roman" w:cs="Times New Roman"/>
          <w:bCs/>
          <w:sz w:val="24"/>
          <w:szCs w:val="24"/>
          <w:lang w:eastAsia="pl-PL"/>
        </w:rPr>
        <w:t>rodzaj</w:t>
      </w:r>
      <w:r>
        <w:rPr>
          <w:rFonts w:ascii="Times New Roman" w:eastAsia="Times New Roman" w:hAnsi="Times New Roman" w:cs="Times New Roman"/>
          <w:bCs/>
          <w:sz w:val="24"/>
          <w:szCs w:val="24"/>
          <w:lang w:eastAsia="pl-PL"/>
        </w:rPr>
        <w:t xml:space="preserve">ach </w:t>
      </w:r>
      <w:r w:rsidRPr="00D92FC1">
        <w:rPr>
          <w:rFonts w:ascii="Times New Roman" w:eastAsia="Times New Roman" w:hAnsi="Times New Roman" w:cs="Times New Roman"/>
          <w:bCs/>
          <w:sz w:val="24"/>
          <w:szCs w:val="24"/>
          <w:lang w:eastAsia="pl-PL"/>
        </w:rPr>
        <w:t xml:space="preserve">dokumentów informacyjnych </w:t>
      </w:r>
      <w:r>
        <w:rPr>
          <w:rFonts w:ascii="Times New Roman" w:eastAsia="Times New Roman" w:hAnsi="Times New Roman" w:cs="Times New Roman"/>
          <w:bCs/>
          <w:sz w:val="24"/>
          <w:szCs w:val="24"/>
          <w:lang w:eastAsia="pl-PL"/>
        </w:rPr>
        <w:t xml:space="preserve">przeznaczonych </w:t>
      </w:r>
      <w:r w:rsidRPr="00D92FC1">
        <w:rPr>
          <w:rFonts w:ascii="Times New Roman" w:eastAsia="Times New Roman" w:hAnsi="Times New Roman" w:cs="Times New Roman"/>
          <w:bCs/>
          <w:sz w:val="24"/>
          <w:szCs w:val="24"/>
          <w:lang w:eastAsia="pl-PL"/>
        </w:rPr>
        <w:t>dla inwestorów poszczególnych funduszy inwestycyjnych.</w:t>
      </w:r>
    </w:p>
    <w:p w14:paraId="387941BD" w14:textId="3AB343AA" w:rsidR="00AB1420" w:rsidRPr="00D92FC1" w:rsidRDefault="00AB1420" w:rsidP="005E5395">
      <w:pPr>
        <w:suppressAutoHyphens/>
        <w:autoSpaceDE w:val="0"/>
        <w:autoSpaceDN w:val="0"/>
        <w:adjustRightInd w:val="0"/>
        <w:spacing w:after="120" w:line="360" w:lineRule="auto"/>
        <w:jc w:val="both"/>
        <w:rPr>
          <w:rFonts w:ascii="Times New Roman" w:eastAsia="Calibri" w:hAnsi="Times New Roman" w:cs="Times New Roman"/>
          <w:b/>
          <w:sz w:val="24"/>
          <w:szCs w:val="24"/>
        </w:rPr>
      </w:pPr>
      <w:r w:rsidRPr="00D92FC1">
        <w:rPr>
          <w:rFonts w:ascii="Times New Roman" w:eastAsia="Times New Roman" w:hAnsi="Times New Roman" w:cs="Times New Roman"/>
          <w:bCs/>
          <w:sz w:val="24"/>
          <w:szCs w:val="24"/>
          <w:lang w:eastAsia="pl-PL"/>
        </w:rPr>
        <w:t>Celem</w:t>
      </w:r>
      <w:r w:rsidRPr="00D92FC1">
        <w:rPr>
          <w:rFonts w:ascii="Times New Roman" w:eastAsia="Times New Roman" w:hAnsi="Times New Roman" w:cs="Times New Roman"/>
          <w:b/>
          <w:bCs/>
          <w:sz w:val="24"/>
          <w:szCs w:val="24"/>
          <w:lang w:eastAsia="pl-PL"/>
        </w:rPr>
        <w:t xml:space="preserve"> art. </w:t>
      </w:r>
      <w:r w:rsidR="00046EE2" w:rsidRPr="00D92FC1">
        <w:rPr>
          <w:rFonts w:ascii="Times New Roman" w:eastAsia="Times New Roman" w:hAnsi="Times New Roman" w:cs="Times New Roman"/>
          <w:b/>
          <w:bCs/>
          <w:sz w:val="24"/>
          <w:szCs w:val="24"/>
          <w:lang w:eastAsia="pl-PL"/>
        </w:rPr>
        <w:t>1</w:t>
      </w:r>
      <w:r w:rsidR="00046EE2">
        <w:rPr>
          <w:rFonts w:ascii="Times New Roman" w:eastAsia="Times New Roman" w:hAnsi="Times New Roman" w:cs="Times New Roman"/>
          <w:b/>
          <w:bCs/>
          <w:sz w:val="24"/>
          <w:szCs w:val="24"/>
          <w:lang w:eastAsia="pl-PL"/>
        </w:rPr>
        <w:t>6</w:t>
      </w:r>
      <w:r w:rsidR="00046EE2" w:rsidRPr="00D92FC1">
        <w:rPr>
          <w:rFonts w:ascii="Times New Roman" w:eastAsia="Times New Roman" w:hAnsi="Times New Roman" w:cs="Times New Roman"/>
          <w:b/>
          <w:bCs/>
          <w:sz w:val="24"/>
          <w:szCs w:val="24"/>
          <w:lang w:eastAsia="pl-PL"/>
        </w:rPr>
        <w:t xml:space="preserve"> </w:t>
      </w:r>
      <w:r w:rsidRPr="00D92FC1">
        <w:rPr>
          <w:rFonts w:ascii="Times New Roman" w:eastAsia="Times New Roman" w:hAnsi="Times New Roman" w:cs="Times New Roman"/>
          <w:b/>
          <w:bCs/>
          <w:sz w:val="24"/>
          <w:szCs w:val="24"/>
          <w:lang w:eastAsia="pl-PL"/>
        </w:rPr>
        <w:t>projektu</w:t>
      </w:r>
      <w:r w:rsidRPr="00D92FC1">
        <w:rPr>
          <w:rFonts w:ascii="Times New Roman" w:eastAsia="Times New Roman" w:hAnsi="Times New Roman" w:cs="Times New Roman"/>
          <w:bCs/>
          <w:sz w:val="24"/>
          <w:szCs w:val="24"/>
          <w:lang w:eastAsia="pl-PL"/>
        </w:rPr>
        <w:t xml:space="preserve"> jest umożliwienie towarzystwom funduszy inwestycyjnych</w:t>
      </w:r>
      <w:r>
        <w:rPr>
          <w:rFonts w:ascii="Times New Roman" w:eastAsia="Times New Roman" w:hAnsi="Times New Roman" w:cs="Times New Roman"/>
          <w:bCs/>
          <w:sz w:val="24"/>
          <w:szCs w:val="24"/>
          <w:lang w:eastAsia="pl-PL"/>
        </w:rPr>
        <w:t xml:space="preserve"> uzupełnienia </w:t>
      </w:r>
      <w:r w:rsidRPr="00D92FC1">
        <w:rPr>
          <w:rFonts w:ascii="Times New Roman" w:eastAsia="Times New Roman" w:hAnsi="Times New Roman" w:cs="Times New Roman"/>
          <w:bCs/>
          <w:sz w:val="24"/>
          <w:szCs w:val="24"/>
          <w:lang w:eastAsia="pl-PL"/>
        </w:rPr>
        <w:t>wniosk</w:t>
      </w:r>
      <w:r>
        <w:rPr>
          <w:rFonts w:ascii="Times New Roman" w:eastAsia="Times New Roman" w:hAnsi="Times New Roman" w:cs="Times New Roman"/>
          <w:bCs/>
          <w:sz w:val="24"/>
          <w:szCs w:val="24"/>
          <w:lang w:eastAsia="pl-PL"/>
        </w:rPr>
        <w:t xml:space="preserve">ów </w:t>
      </w:r>
      <w:r w:rsidRPr="00D92FC1">
        <w:rPr>
          <w:rFonts w:ascii="Times New Roman" w:eastAsia="Times New Roman" w:hAnsi="Times New Roman" w:cs="Times New Roman"/>
          <w:bCs/>
          <w:sz w:val="24"/>
          <w:szCs w:val="24"/>
          <w:lang w:eastAsia="pl-PL"/>
        </w:rPr>
        <w:t xml:space="preserve">o wydanie zezwolenia na utworzenie funduszu inwestycyjnego, </w:t>
      </w:r>
      <w:r>
        <w:rPr>
          <w:rFonts w:ascii="Times New Roman" w:eastAsia="Times New Roman" w:hAnsi="Times New Roman" w:cs="Times New Roman"/>
          <w:bCs/>
          <w:sz w:val="24"/>
          <w:szCs w:val="24"/>
          <w:lang w:eastAsia="pl-PL"/>
        </w:rPr>
        <w:t xml:space="preserve">o kluczowe informacje. Dotyczy to wniosków złożonych </w:t>
      </w:r>
      <w:r w:rsidR="007A73E9">
        <w:rPr>
          <w:rFonts w:ascii="Times New Roman" w:eastAsia="Times New Roman" w:hAnsi="Times New Roman" w:cs="Times New Roman"/>
          <w:bCs/>
          <w:sz w:val="24"/>
          <w:szCs w:val="24"/>
          <w:lang w:eastAsia="pl-PL"/>
        </w:rPr>
        <w:t xml:space="preserve">i nierozpatrzonych </w:t>
      </w:r>
      <w:r w:rsidRPr="00D92FC1">
        <w:rPr>
          <w:rFonts w:ascii="Times New Roman" w:eastAsia="Times New Roman" w:hAnsi="Times New Roman" w:cs="Times New Roman"/>
          <w:bCs/>
          <w:sz w:val="24"/>
          <w:szCs w:val="24"/>
          <w:lang w:eastAsia="pl-PL"/>
        </w:rPr>
        <w:t xml:space="preserve">przed dniem wejścia w życie </w:t>
      </w:r>
      <w:r w:rsidR="007A73E9">
        <w:rPr>
          <w:rFonts w:ascii="Times New Roman" w:eastAsia="Times New Roman" w:hAnsi="Times New Roman" w:cs="Times New Roman"/>
          <w:bCs/>
          <w:sz w:val="24"/>
          <w:szCs w:val="24"/>
          <w:lang w:eastAsia="pl-PL"/>
        </w:rPr>
        <w:t xml:space="preserve">zmian w ustawie o funduszach inwestycyjnych. </w:t>
      </w:r>
      <w:r w:rsidRPr="00D92FC1">
        <w:rPr>
          <w:rFonts w:ascii="Times New Roman" w:eastAsia="Times New Roman" w:hAnsi="Times New Roman" w:cs="Times New Roman"/>
          <w:bCs/>
          <w:sz w:val="24"/>
          <w:szCs w:val="24"/>
          <w:lang w:eastAsia="pl-PL"/>
        </w:rPr>
        <w:t xml:space="preserve">Dzięki takiemu rozwiązaniu dotychczasowe czynności dokonane w toku postępowania </w:t>
      </w:r>
      <w:r>
        <w:rPr>
          <w:rFonts w:ascii="Times New Roman" w:eastAsia="Times New Roman" w:hAnsi="Times New Roman" w:cs="Times New Roman"/>
          <w:bCs/>
          <w:sz w:val="24"/>
          <w:szCs w:val="24"/>
          <w:lang w:eastAsia="pl-PL"/>
        </w:rPr>
        <w:t xml:space="preserve">prowadzone przez </w:t>
      </w:r>
      <w:r w:rsidR="00345722">
        <w:rPr>
          <w:rFonts w:ascii="Times New Roman" w:eastAsia="Times New Roman" w:hAnsi="Times New Roman" w:cs="Times New Roman"/>
          <w:bCs/>
          <w:sz w:val="24"/>
          <w:szCs w:val="24"/>
          <w:lang w:eastAsia="pl-PL"/>
        </w:rPr>
        <w:t>KNF</w:t>
      </w:r>
      <w:r>
        <w:rPr>
          <w:rFonts w:ascii="Times New Roman" w:eastAsia="Times New Roman" w:hAnsi="Times New Roman" w:cs="Times New Roman"/>
          <w:bCs/>
          <w:sz w:val="24"/>
          <w:szCs w:val="24"/>
          <w:lang w:eastAsia="pl-PL"/>
        </w:rPr>
        <w:t xml:space="preserve"> </w:t>
      </w:r>
      <w:r w:rsidRPr="00D92FC1">
        <w:rPr>
          <w:rFonts w:ascii="Times New Roman" w:eastAsia="Times New Roman" w:hAnsi="Times New Roman" w:cs="Times New Roman"/>
          <w:bCs/>
          <w:sz w:val="24"/>
          <w:szCs w:val="24"/>
          <w:lang w:eastAsia="pl-PL"/>
        </w:rPr>
        <w:t>zachowają ważność</w:t>
      </w:r>
      <w:r>
        <w:rPr>
          <w:rFonts w:ascii="Times New Roman" w:eastAsia="Times New Roman" w:hAnsi="Times New Roman" w:cs="Times New Roman"/>
          <w:bCs/>
          <w:sz w:val="24"/>
          <w:szCs w:val="24"/>
          <w:lang w:eastAsia="pl-PL"/>
        </w:rPr>
        <w:t>. P</w:t>
      </w:r>
      <w:r w:rsidRPr="00D92FC1">
        <w:rPr>
          <w:rFonts w:ascii="Times New Roman" w:eastAsia="Times New Roman" w:hAnsi="Times New Roman" w:cs="Times New Roman"/>
          <w:bCs/>
          <w:sz w:val="24"/>
          <w:szCs w:val="24"/>
          <w:lang w:eastAsia="pl-PL"/>
        </w:rPr>
        <w:t xml:space="preserve">o stronie towarzystwa funduszy inwestycyjnych powstanie jedynie konieczność dostosowania wniosku do nowych wymogów ustawowych, w terminie </w:t>
      </w:r>
      <w:r w:rsidR="007A73E9">
        <w:rPr>
          <w:rFonts w:ascii="Times New Roman" w:eastAsia="Times New Roman" w:hAnsi="Times New Roman" w:cs="Times New Roman"/>
          <w:bCs/>
          <w:sz w:val="24"/>
          <w:szCs w:val="24"/>
          <w:lang w:eastAsia="pl-PL"/>
        </w:rPr>
        <w:t>miesiąca od dnia wejścia w życie zmian w ustawie o funduszach inwestycyjnych.</w:t>
      </w:r>
      <w:r>
        <w:rPr>
          <w:rFonts w:ascii="Times New Roman" w:eastAsia="Times New Roman" w:hAnsi="Times New Roman" w:cs="Times New Roman"/>
          <w:bCs/>
          <w:sz w:val="24"/>
          <w:szCs w:val="24"/>
          <w:lang w:eastAsia="pl-PL"/>
        </w:rPr>
        <w:t xml:space="preserve"> </w:t>
      </w:r>
      <w:r w:rsidRPr="00D92FC1">
        <w:rPr>
          <w:rFonts w:ascii="Times New Roman" w:eastAsia="Times New Roman" w:hAnsi="Times New Roman" w:cs="Times New Roman"/>
          <w:bCs/>
          <w:sz w:val="24"/>
          <w:szCs w:val="24"/>
          <w:lang w:eastAsia="pl-PL"/>
        </w:rPr>
        <w:t xml:space="preserve"> </w:t>
      </w:r>
    </w:p>
    <w:p w14:paraId="1EDBCADA" w14:textId="1184E4B1" w:rsidR="00AB1420" w:rsidRDefault="00AB1420" w:rsidP="005E5395">
      <w:pPr>
        <w:spacing w:after="120" w:line="360" w:lineRule="auto"/>
        <w:jc w:val="both"/>
        <w:rPr>
          <w:rFonts w:ascii="Times New Roman" w:eastAsia="Calibri" w:hAnsi="Times New Roman" w:cs="Times New Roman"/>
          <w:sz w:val="24"/>
          <w:szCs w:val="24"/>
        </w:rPr>
      </w:pPr>
      <w:r w:rsidRPr="00D92FC1">
        <w:rPr>
          <w:rFonts w:ascii="Times New Roman" w:eastAsia="Calibri" w:hAnsi="Times New Roman" w:cs="Times New Roman"/>
          <w:sz w:val="24"/>
          <w:szCs w:val="24"/>
        </w:rPr>
        <w:t>Przepis</w:t>
      </w:r>
      <w:r w:rsidRPr="00D92FC1">
        <w:rPr>
          <w:rFonts w:ascii="Times New Roman" w:eastAsia="Calibri" w:hAnsi="Times New Roman" w:cs="Times New Roman"/>
          <w:b/>
          <w:sz w:val="24"/>
          <w:szCs w:val="24"/>
        </w:rPr>
        <w:t xml:space="preserve"> art. </w:t>
      </w:r>
      <w:r w:rsidR="00046EE2">
        <w:rPr>
          <w:rFonts w:ascii="Times New Roman" w:eastAsia="Calibri" w:hAnsi="Times New Roman" w:cs="Times New Roman"/>
          <w:b/>
          <w:sz w:val="24"/>
          <w:szCs w:val="24"/>
        </w:rPr>
        <w:t>17</w:t>
      </w:r>
      <w:r w:rsidR="00046EE2" w:rsidRPr="00D92FC1">
        <w:rPr>
          <w:rFonts w:ascii="Times New Roman" w:eastAsia="Calibri" w:hAnsi="Times New Roman" w:cs="Times New Roman"/>
          <w:b/>
          <w:sz w:val="24"/>
          <w:szCs w:val="24"/>
        </w:rPr>
        <w:t xml:space="preserve"> </w:t>
      </w:r>
      <w:r w:rsidRPr="00D92FC1">
        <w:rPr>
          <w:rFonts w:ascii="Times New Roman" w:eastAsia="Calibri" w:hAnsi="Times New Roman" w:cs="Times New Roman"/>
          <w:b/>
          <w:sz w:val="24"/>
          <w:szCs w:val="24"/>
        </w:rPr>
        <w:t xml:space="preserve">projektu </w:t>
      </w:r>
      <w:r w:rsidRPr="00E075A3">
        <w:rPr>
          <w:rFonts w:ascii="Times New Roman" w:eastAsia="Calibri" w:hAnsi="Times New Roman" w:cs="Times New Roman"/>
          <w:sz w:val="24"/>
          <w:szCs w:val="24"/>
        </w:rPr>
        <w:t>przewiduje</w:t>
      </w:r>
      <w:r w:rsidRPr="00D92FC1">
        <w:rPr>
          <w:rFonts w:ascii="Times New Roman" w:eastAsia="Calibri" w:hAnsi="Times New Roman" w:cs="Times New Roman"/>
          <w:sz w:val="24"/>
          <w:szCs w:val="24"/>
        </w:rPr>
        <w:t xml:space="preserve">, że do umów pożyczek podporządkowanych zawartych przed dniem wejścia w życie ustawy przez banki, dom maklerski, zakład ubezpieczeń oraz krajowy zakład reasekuracji </w:t>
      </w:r>
      <w:r>
        <w:rPr>
          <w:rFonts w:ascii="Times New Roman" w:eastAsia="Calibri" w:hAnsi="Times New Roman" w:cs="Times New Roman"/>
          <w:sz w:val="24"/>
          <w:szCs w:val="24"/>
        </w:rPr>
        <w:t xml:space="preserve">będą miały </w:t>
      </w:r>
      <w:r w:rsidRPr="00D92FC1">
        <w:rPr>
          <w:rFonts w:ascii="Times New Roman" w:eastAsia="Calibri" w:hAnsi="Times New Roman" w:cs="Times New Roman"/>
          <w:sz w:val="24"/>
          <w:szCs w:val="24"/>
        </w:rPr>
        <w:t>zastosowanie przepisy dotychczasowe.</w:t>
      </w:r>
    </w:p>
    <w:p w14:paraId="242AC569" w14:textId="3CE3A181" w:rsidR="0003006E" w:rsidRDefault="006F3D09" w:rsidP="005E5395">
      <w:pPr>
        <w:spacing w:after="120" w:line="360" w:lineRule="auto"/>
        <w:jc w:val="both"/>
        <w:rPr>
          <w:rFonts w:ascii="Times New Roman" w:eastAsia="Calibri" w:hAnsi="Times New Roman" w:cs="Times New Roman"/>
          <w:sz w:val="24"/>
          <w:szCs w:val="24"/>
        </w:rPr>
      </w:pPr>
      <w:r w:rsidRPr="006F3D09">
        <w:rPr>
          <w:rFonts w:ascii="Times New Roman" w:eastAsia="Calibri" w:hAnsi="Times New Roman" w:cs="Times New Roman"/>
          <w:sz w:val="24"/>
          <w:szCs w:val="24"/>
        </w:rPr>
        <w:t>Przepis</w:t>
      </w:r>
      <w:r>
        <w:rPr>
          <w:rFonts w:ascii="Times New Roman" w:eastAsia="Calibri" w:hAnsi="Times New Roman" w:cs="Times New Roman"/>
          <w:b/>
          <w:sz w:val="24"/>
          <w:szCs w:val="24"/>
        </w:rPr>
        <w:t xml:space="preserve"> a</w:t>
      </w:r>
      <w:r w:rsidR="0003006E" w:rsidRPr="005941AC">
        <w:rPr>
          <w:rFonts w:ascii="Times New Roman" w:eastAsia="Calibri" w:hAnsi="Times New Roman" w:cs="Times New Roman"/>
          <w:b/>
          <w:sz w:val="24"/>
          <w:szCs w:val="24"/>
        </w:rPr>
        <w:t xml:space="preserve">rt. </w:t>
      </w:r>
      <w:r w:rsidR="00046EE2" w:rsidRPr="005941AC">
        <w:rPr>
          <w:rFonts w:ascii="Times New Roman" w:eastAsia="Calibri" w:hAnsi="Times New Roman" w:cs="Times New Roman"/>
          <w:b/>
          <w:sz w:val="24"/>
          <w:szCs w:val="24"/>
        </w:rPr>
        <w:t>1</w:t>
      </w:r>
      <w:r w:rsidR="00046EE2">
        <w:rPr>
          <w:rFonts w:ascii="Times New Roman" w:eastAsia="Calibri" w:hAnsi="Times New Roman" w:cs="Times New Roman"/>
          <w:b/>
          <w:sz w:val="24"/>
          <w:szCs w:val="24"/>
        </w:rPr>
        <w:t>8</w:t>
      </w:r>
      <w:r w:rsidR="00046EE2" w:rsidRPr="008C3D6F">
        <w:rPr>
          <w:rFonts w:ascii="Times New Roman" w:eastAsia="Calibri" w:hAnsi="Times New Roman" w:cs="Times New Roman"/>
          <w:sz w:val="24"/>
          <w:szCs w:val="24"/>
        </w:rPr>
        <w:t xml:space="preserve"> </w:t>
      </w:r>
      <w:r w:rsidR="00C72723" w:rsidRPr="00C72723">
        <w:rPr>
          <w:rFonts w:ascii="Times New Roman" w:eastAsia="Calibri" w:hAnsi="Times New Roman" w:cs="Times New Roman"/>
          <w:b/>
          <w:sz w:val="24"/>
          <w:szCs w:val="24"/>
        </w:rPr>
        <w:t xml:space="preserve">projektu </w:t>
      </w:r>
      <w:r w:rsidR="00D829F4">
        <w:rPr>
          <w:rFonts w:ascii="Times New Roman" w:eastAsia="Calibri" w:hAnsi="Times New Roman" w:cs="Times New Roman"/>
          <w:sz w:val="24"/>
          <w:szCs w:val="24"/>
        </w:rPr>
        <w:t xml:space="preserve">przewiduje, że </w:t>
      </w:r>
      <w:r w:rsidR="00C72723">
        <w:rPr>
          <w:rFonts w:ascii="Times New Roman" w:eastAsia="Calibri" w:hAnsi="Times New Roman" w:cs="Times New Roman"/>
          <w:sz w:val="24"/>
          <w:szCs w:val="24"/>
        </w:rPr>
        <w:t xml:space="preserve">nowe </w:t>
      </w:r>
      <w:r w:rsidR="0003006E" w:rsidRPr="008C3D6F">
        <w:rPr>
          <w:rFonts w:ascii="Times New Roman" w:eastAsia="Calibri" w:hAnsi="Times New Roman" w:cs="Times New Roman"/>
          <w:sz w:val="24"/>
          <w:szCs w:val="24"/>
        </w:rPr>
        <w:t xml:space="preserve">zasady </w:t>
      </w:r>
      <w:r w:rsidR="00D829F4">
        <w:rPr>
          <w:rFonts w:ascii="Times New Roman" w:eastAsia="Calibri" w:hAnsi="Times New Roman" w:cs="Times New Roman"/>
          <w:sz w:val="24"/>
          <w:szCs w:val="24"/>
        </w:rPr>
        <w:t xml:space="preserve">podziału zysku netto BFG </w:t>
      </w:r>
      <w:r w:rsidR="0003006E" w:rsidRPr="008C3D6F">
        <w:rPr>
          <w:rFonts w:ascii="Times New Roman" w:eastAsia="Calibri" w:hAnsi="Times New Roman" w:cs="Times New Roman"/>
          <w:sz w:val="24"/>
          <w:szCs w:val="24"/>
        </w:rPr>
        <w:t>będą miały zastosowanie także do podziału zysku netto BFG za rok 2022.</w:t>
      </w:r>
    </w:p>
    <w:p w14:paraId="2764FF18" w14:textId="372656DE" w:rsidR="00DE6AD6" w:rsidRPr="00D92FC1" w:rsidRDefault="008C3D6F" w:rsidP="005E5395">
      <w:pPr>
        <w:spacing w:after="120" w:line="360" w:lineRule="auto"/>
        <w:jc w:val="both"/>
        <w:rPr>
          <w:rFonts w:ascii="Times New Roman" w:eastAsia="Calibri" w:hAnsi="Times New Roman" w:cs="Times New Roman"/>
          <w:b/>
          <w:sz w:val="24"/>
          <w:szCs w:val="24"/>
        </w:rPr>
      </w:pPr>
      <w:r w:rsidRPr="00D829F4">
        <w:rPr>
          <w:rFonts w:ascii="Times New Roman" w:eastAsia="Calibri" w:hAnsi="Times New Roman" w:cs="Times New Roman"/>
          <w:sz w:val="24"/>
          <w:szCs w:val="24"/>
        </w:rPr>
        <w:t>Zgodnie z</w:t>
      </w:r>
      <w:r>
        <w:rPr>
          <w:rFonts w:ascii="Times New Roman" w:eastAsia="Calibri" w:hAnsi="Times New Roman" w:cs="Times New Roman"/>
          <w:b/>
          <w:sz w:val="24"/>
          <w:szCs w:val="24"/>
        </w:rPr>
        <w:t xml:space="preserve"> a</w:t>
      </w:r>
      <w:r w:rsidR="00DE6AD6" w:rsidRPr="00DE6AD6">
        <w:rPr>
          <w:rFonts w:ascii="Times New Roman" w:eastAsia="Calibri" w:hAnsi="Times New Roman" w:cs="Times New Roman"/>
          <w:b/>
          <w:sz w:val="24"/>
          <w:szCs w:val="24"/>
        </w:rPr>
        <w:t xml:space="preserve">rt. </w:t>
      </w:r>
      <w:r w:rsidR="00046EE2">
        <w:rPr>
          <w:rFonts w:ascii="Times New Roman" w:eastAsia="Calibri" w:hAnsi="Times New Roman" w:cs="Times New Roman"/>
          <w:b/>
          <w:sz w:val="24"/>
          <w:szCs w:val="24"/>
        </w:rPr>
        <w:t xml:space="preserve">19 </w:t>
      </w:r>
      <w:r w:rsidR="00C72723">
        <w:rPr>
          <w:rFonts w:ascii="Times New Roman" w:eastAsia="Calibri" w:hAnsi="Times New Roman" w:cs="Times New Roman"/>
          <w:b/>
          <w:sz w:val="24"/>
          <w:szCs w:val="24"/>
        </w:rPr>
        <w:t xml:space="preserve">projektu </w:t>
      </w:r>
      <w:r w:rsidRPr="00D829F4">
        <w:rPr>
          <w:rFonts w:ascii="Times New Roman" w:eastAsia="Calibri" w:hAnsi="Times New Roman" w:cs="Times New Roman"/>
          <w:sz w:val="24"/>
          <w:szCs w:val="24"/>
        </w:rPr>
        <w:t>d</w:t>
      </w:r>
      <w:r w:rsidR="00DE6AD6" w:rsidRPr="008E2C89">
        <w:rPr>
          <w:rFonts w:ascii="Times New Roman" w:eastAsia="Calibri" w:hAnsi="Times New Roman" w:cs="Times New Roman"/>
          <w:sz w:val="24"/>
          <w:szCs w:val="24"/>
        </w:rPr>
        <w:t xml:space="preserve">otychczasowe przepisy wykonawcze wydane na podstawie art. 4 ust. 4 ustawy zmienianej w art. </w:t>
      </w:r>
      <w:r w:rsidR="00A816F0">
        <w:rPr>
          <w:rFonts w:ascii="Times New Roman" w:eastAsia="Calibri" w:hAnsi="Times New Roman" w:cs="Times New Roman"/>
          <w:sz w:val="24"/>
          <w:szCs w:val="24"/>
        </w:rPr>
        <w:t>11</w:t>
      </w:r>
      <w:r w:rsidR="00DE6AD6" w:rsidRPr="008E2C89">
        <w:rPr>
          <w:rFonts w:ascii="Times New Roman" w:eastAsia="Calibri" w:hAnsi="Times New Roman" w:cs="Times New Roman"/>
          <w:sz w:val="24"/>
          <w:szCs w:val="24"/>
        </w:rPr>
        <w:t xml:space="preserve"> zachowują moc do dnia wejścia w życie przepisów wykonawczych wydanych na podstawie art. 4 ust. 4 ustawy zmienianej w art. </w:t>
      </w:r>
      <w:r w:rsidR="00A816F0">
        <w:rPr>
          <w:rFonts w:ascii="Times New Roman" w:eastAsia="Calibri" w:hAnsi="Times New Roman" w:cs="Times New Roman"/>
          <w:sz w:val="24"/>
          <w:szCs w:val="24"/>
        </w:rPr>
        <w:t>11</w:t>
      </w:r>
      <w:r w:rsidR="00DE6AD6" w:rsidRPr="008E2C89">
        <w:rPr>
          <w:rFonts w:ascii="Times New Roman" w:eastAsia="Calibri" w:hAnsi="Times New Roman" w:cs="Times New Roman"/>
          <w:sz w:val="24"/>
          <w:szCs w:val="24"/>
        </w:rPr>
        <w:t xml:space="preserve"> w brzmieniu nadanym niniejszą ustawą, nie dłużej jednak niż przez okres 6 miesięcy od dnia jej wejścia w życie.</w:t>
      </w:r>
    </w:p>
    <w:p w14:paraId="6B9CB467" w14:textId="6A7BF880" w:rsidR="00AB1420" w:rsidRPr="00BE7584" w:rsidRDefault="0088427C" w:rsidP="005E5395">
      <w:pPr>
        <w:spacing w:after="0" w:line="360" w:lineRule="auto"/>
        <w:jc w:val="both"/>
        <w:rPr>
          <w:rFonts w:ascii="Times New Roman" w:eastAsia="Calibri" w:hAnsi="Times New Roman" w:cs="Times New Roman"/>
          <w:sz w:val="24"/>
          <w:szCs w:val="24"/>
        </w:rPr>
      </w:pPr>
      <w:r w:rsidRPr="0045156C">
        <w:rPr>
          <w:rFonts w:ascii="Times New Roman" w:eastAsia="Calibri" w:hAnsi="Times New Roman" w:cs="Times New Roman"/>
          <w:sz w:val="24"/>
          <w:szCs w:val="24"/>
        </w:rPr>
        <w:lastRenderedPageBreak/>
        <w:t>Przepis</w:t>
      </w:r>
      <w:r>
        <w:rPr>
          <w:rFonts w:ascii="Times New Roman" w:eastAsia="Calibri" w:hAnsi="Times New Roman" w:cs="Times New Roman"/>
          <w:b/>
          <w:sz w:val="24"/>
          <w:szCs w:val="24"/>
        </w:rPr>
        <w:t xml:space="preserve"> a</w:t>
      </w:r>
      <w:r w:rsidR="00AB1420" w:rsidRPr="00D92FC1">
        <w:rPr>
          <w:rFonts w:ascii="Times New Roman" w:eastAsia="Calibri" w:hAnsi="Times New Roman" w:cs="Times New Roman"/>
          <w:b/>
          <w:sz w:val="24"/>
          <w:szCs w:val="24"/>
        </w:rPr>
        <w:t xml:space="preserve">rt. </w:t>
      </w:r>
      <w:r w:rsidR="00046EE2">
        <w:rPr>
          <w:rFonts w:ascii="Times New Roman" w:eastAsia="Calibri" w:hAnsi="Times New Roman" w:cs="Times New Roman"/>
          <w:b/>
          <w:sz w:val="24"/>
          <w:szCs w:val="24"/>
        </w:rPr>
        <w:t>20</w:t>
      </w:r>
      <w:r w:rsidR="00046EE2" w:rsidRPr="00D92FC1">
        <w:rPr>
          <w:rFonts w:ascii="Times New Roman" w:eastAsia="Calibri" w:hAnsi="Times New Roman" w:cs="Times New Roman"/>
          <w:b/>
          <w:sz w:val="24"/>
          <w:szCs w:val="24"/>
        </w:rPr>
        <w:t xml:space="preserve"> </w:t>
      </w:r>
      <w:r w:rsidR="00AB1420" w:rsidRPr="00D92FC1">
        <w:rPr>
          <w:rFonts w:ascii="Times New Roman" w:eastAsia="Calibri" w:hAnsi="Times New Roman" w:cs="Times New Roman"/>
          <w:b/>
          <w:sz w:val="24"/>
          <w:szCs w:val="24"/>
        </w:rPr>
        <w:t xml:space="preserve">projektu </w:t>
      </w:r>
      <w:r w:rsidR="00AB1420" w:rsidRPr="00D92FC1">
        <w:rPr>
          <w:rFonts w:ascii="Times New Roman" w:eastAsia="Calibri" w:hAnsi="Times New Roman" w:cs="Times New Roman"/>
          <w:sz w:val="24"/>
          <w:szCs w:val="24"/>
        </w:rPr>
        <w:t xml:space="preserve">przewiduje, że ustawa wejdzie w życie </w:t>
      </w:r>
      <w:r w:rsidR="0064019F">
        <w:rPr>
          <w:rFonts w:ascii="Times New Roman" w:eastAsia="Calibri" w:hAnsi="Times New Roman" w:cs="Times New Roman"/>
          <w:sz w:val="24"/>
          <w:szCs w:val="24"/>
        </w:rPr>
        <w:t>z dniem 1 października 2023 r</w:t>
      </w:r>
      <w:r w:rsidR="00AB1420" w:rsidRPr="00D92FC1">
        <w:rPr>
          <w:rFonts w:ascii="Times New Roman" w:eastAsia="Calibri" w:hAnsi="Times New Roman" w:cs="Times New Roman"/>
          <w:sz w:val="24"/>
          <w:szCs w:val="24"/>
        </w:rPr>
        <w:t>. Wyjątek stanowią</w:t>
      </w:r>
      <w:r w:rsidR="00E02019">
        <w:rPr>
          <w:rFonts w:ascii="Times New Roman" w:eastAsia="Calibri" w:hAnsi="Times New Roman" w:cs="Times New Roman"/>
          <w:sz w:val="24"/>
          <w:szCs w:val="24"/>
        </w:rPr>
        <w:t xml:space="preserve"> przepisy</w:t>
      </w:r>
      <w:r w:rsidR="00643581">
        <w:rPr>
          <w:rFonts w:ascii="Times New Roman" w:eastAsia="Calibri" w:hAnsi="Times New Roman" w:cs="Times New Roman"/>
          <w:sz w:val="24"/>
          <w:szCs w:val="24"/>
        </w:rPr>
        <w:t xml:space="preserve"> art. </w:t>
      </w:r>
      <w:r w:rsidR="00682672">
        <w:rPr>
          <w:rFonts w:ascii="Times New Roman" w:eastAsia="Calibri" w:hAnsi="Times New Roman" w:cs="Times New Roman"/>
          <w:sz w:val="24"/>
          <w:szCs w:val="24"/>
        </w:rPr>
        <w:t>2</w:t>
      </w:r>
      <w:r w:rsidR="00643581">
        <w:rPr>
          <w:rFonts w:ascii="Times New Roman" w:eastAsia="Calibri" w:hAnsi="Times New Roman" w:cs="Times New Roman"/>
          <w:sz w:val="24"/>
          <w:szCs w:val="24"/>
        </w:rPr>
        <w:t xml:space="preserve">, </w:t>
      </w:r>
      <w:r w:rsidR="00682672">
        <w:rPr>
          <w:rFonts w:ascii="Times New Roman" w:eastAsia="Calibri" w:hAnsi="Times New Roman" w:cs="Times New Roman"/>
          <w:sz w:val="24"/>
          <w:szCs w:val="24"/>
        </w:rPr>
        <w:t xml:space="preserve">art. 3, </w:t>
      </w:r>
      <w:r w:rsidR="00AB1420" w:rsidRPr="00D92FC1">
        <w:rPr>
          <w:rFonts w:ascii="Times New Roman" w:eastAsia="Calibri" w:hAnsi="Times New Roman" w:cs="Times New Roman"/>
          <w:sz w:val="24"/>
          <w:szCs w:val="24"/>
        </w:rPr>
        <w:t xml:space="preserve">art. </w:t>
      </w:r>
      <w:r w:rsidR="00682672">
        <w:rPr>
          <w:rFonts w:ascii="Times New Roman" w:eastAsia="Calibri" w:hAnsi="Times New Roman" w:cs="Times New Roman"/>
          <w:sz w:val="24"/>
          <w:szCs w:val="24"/>
        </w:rPr>
        <w:t>8</w:t>
      </w:r>
      <w:r w:rsidR="00AB1420" w:rsidRPr="00D92FC1">
        <w:rPr>
          <w:rFonts w:ascii="Times New Roman" w:eastAsia="Calibri" w:hAnsi="Times New Roman" w:cs="Times New Roman"/>
          <w:sz w:val="24"/>
          <w:szCs w:val="24"/>
        </w:rPr>
        <w:t xml:space="preserve"> pkt 1, </w:t>
      </w:r>
      <w:r w:rsidR="008C256A">
        <w:rPr>
          <w:rFonts w:ascii="Times New Roman" w:eastAsia="Calibri" w:hAnsi="Times New Roman" w:cs="Times New Roman"/>
          <w:sz w:val="24"/>
          <w:szCs w:val="24"/>
        </w:rPr>
        <w:t>2</w:t>
      </w:r>
      <w:r w:rsidR="008C256A" w:rsidRPr="00D92FC1">
        <w:rPr>
          <w:rFonts w:ascii="Times New Roman" w:eastAsia="Calibri" w:hAnsi="Times New Roman" w:cs="Times New Roman"/>
          <w:sz w:val="24"/>
          <w:szCs w:val="24"/>
        </w:rPr>
        <w:t xml:space="preserve"> </w:t>
      </w:r>
      <w:r w:rsidR="00AB1420" w:rsidRPr="00D92FC1">
        <w:rPr>
          <w:rFonts w:ascii="Times New Roman" w:eastAsia="Calibri" w:hAnsi="Times New Roman" w:cs="Times New Roman"/>
          <w:sz w:val="24"/>
          <w:szCs w:val="24"/>
        </w:rPr>
        <w:t xml:space="preserve">i </w:t>
      </w:r>
      <w:r w:rsidR="00682672">
        <w:rPr>
          <w:rFonts w:ascii="Times New Roman" w:eastAsia="Calibri" w:hAnsi="Times New Roman" w:cs="Times New Roman"/>
          <w:sz w:val="24"/>
          <w:szCs w:val="24"/>
        </w:rPr>
        <w:t>7</w:t>
      </w:r>
      <w:r w:rsidR="008C256A">
        <w:rPr>
          <w:rFonts w:ascii="Times New Roman" w:eastAsia="Calibri" w:hAnsi="Times New Roman" w:cs="Times New Roman"/>
          <w:sz w:val="24"/>
          <w:szCs w:val="24"/>
        </w:rPr>
        <w:t xml:space="preserve">, pkt 10 </w:t>
      </w:r>
      <w:r w:rsidR="00AB1420" w:rsidRPr="00D92FC1">
        <w:rPr>
          <w:rFonts w:ascii="Times New Roman" w:eastAsia="Calibri" w:hAnsi="Times New Roman" w:cs="Times New Roman"/>
          <w:sz w:val="24"/>
          <w:szCs w:val="24"/>
        </w:rPr>
        <w:t>lit. b i c</w:t>
      </w:r>
      <w:r w:rsidR="00946D05">
        <w:rPr>
          <w:rFonts w:ascii="Times New Roman" w:eastAsia="Calibri" w:hAnsi="Times New Roman" w:cs="Times New Roman"/>
          <w:sz w:val="24"/>
          <w:szCs w:val="24"/>
        </w:rPr>
        <w:t xml:space="preserve"> oraz pkt 12</w:t>
      </w:r>
      <w:r w:rsidR="00AB1420" w:rsidRPr="00D92FC1">
        <w:rPr>
          <w:rFonts w:ascii="Times New Roman" w:eastAsia="Calibri" w:hAnsi="Times New Roman" w:cs="Times New Roman"/>
          <w:sz w:val="24"/>
          <w:szCs w:val="24"/>
        </w:rPr>
        <w:t xml:space="preserve">, art. </w:t>
      </w:r>
      <w:r w:rsidR="00946D05">
        <w:rPr>
          <w:rFonts w:ascii="Times New Roman" w:eastAsia="Calibri" w:hAnsi="Times New Roman" w:cs="Times New Roman"/>
          <w:sz w:val="24"/>
          <w:szCs w:val="24"/>
        </w:rPr>
        <w:t xml:space="preserve">10 </w:t>
      </w:r>
      <w:r w:rsidR="008C256A">
        <w:rPr>
          <w:rFonts w:ascii="Times New Roman" w:eastAsia="Calibri" w:hAnsi="Times New Roman" w:cs="Times New Roman"/>
          <w:sz w:val="24"/>
          <w:szCs w:val="24"/>
        </w:rPr>
        <w:t xml:space="preserve">pkt </w:t>
      </w:r>
      <w:r w:rsidR="00A816F0">
        <w:rPr>
          <w:rFonts w:ascii="Times New Roman" w:eastAsia="Calibri" w:hAnsi="Times New Roman" w:cs="Times New Roman"/>
          <w:sz w:val="24"/>
          <w:szCs w:val="24"/>
        </w:rPr>
        <w:t xml:space="preserve">1 i </w:t>
      </w:r>
      <w:r w:rsidR="008C256A">
        <w:rPr>
          <w:rFonts w:ascii="Times New Roman" w:eastAsia="Calibri" w:hAnsi="Times New Roman" w:cs="Times New Roman"/>
          <w:sz w:val="24"/>
          <w:szCs w:val="24"/>
        </w:rPr>
        <w:t>5</w:t>
      </w:r>
      <w:r w:rsidR="00AB1420" w:rsidRPr="00D92FC1">
        <w:rPr>
          <w:rFonts w:ascii="Times New Roman" w:eastAsia="Calibri" w:hAnsi="Times New Roman" w:cs="Times New Roman"/>
          <w:sz w:val="24"/>
          <w:szCs w:val="24"/>
        </w:rPr>
        <w:t>,</w:t>
      </w:r>
      <w:r w:rsidR="00946D05">
        <w:rPr>
          <w:rFonts w:ascii="Times New Roman" w:eastAsia="Calibri" w:hAnsi="Times New Roman" w:cs="Times New Roman"/>
          <w:sz w:val="24"/>
          <w:szCs w:val="24"/>
        </w:rPr>
        <w:t xml:space="preserve"> </w:t>
      </w:r>
      <w:r w:rsidR="00AB1420" w:rsidRPr="00D92FC1">
        <w:rPr>
          <w:rFonts w:ascii="Times New Roman" w:eastAsia="Calibri" w:hAnsi="Times New Roman" w:cs="Times New Roman"/>
          <w:sz w:val="24"/>
          <w:szCs w:val="24"/>
        </w:rPr>
        <w:t xml:space="preserve">art. </w:t>
      </w:r>
      <w:r w:rsidR="008C256A" w:rsidRPr="00D92FC1">
        <w:rPr>
          <w:rFonts w:ascii="Times New Roman" w:eastAsia="Calibri" w:hAnsi="Times New Roman" w:cs="Times New Roman"/>
          <w:sz w:val="24"/>
          <w:szCs w:val="24"/>
        </w:rPr>
        <w:t>1</w:t>
      </w:r>
      <w:r w:rsidR="00946D05">
        <w:rPr>
          <w:rFonts w:ascii="Times New Roman" w:eastAsia="Calibri" w:hAnsi="Times New Roman" w:cs="Times New Roman"/>
          <w:sz w:val="24"/>
          <w:szCs w:val="24"/>
        </w:rPr>
        <w:t>4</w:t>
      </w:r>
      <w:r w:rsidR="003F6D81">
        <w:rPr>
          <w:rFonts w:ascii="Times New Roman" w:eastAsia="Calibri" w:hAnsi="Times New Roman" w:cs="Times New Roman"/>
          <w:sz w:val="24"/>
          <w:szCs w:val="24"/>
        </w:rPr>
        <w:t>–</w:t>
      </w:r>
      <w:r w:rsidR="00046EE2">
        <w:rPr>
          <w:rFonts w:ascii="Times New Roman" w:eastAsia="Calibri" w:hAnsi="Times New Roman" w:cs="Times New Roman"/>
          <w:sz w:val="24"/>
          <w:szCs w:val="24"/>
        </w:rPr>
        <w:t xml:space="preserve">16 </w:t>
      </w:r>
      <w:r w:rsidR="00946D05">
        <w:rPr>
          <w:rFonts w:ascii="Times New Roman" w:eastAsia="Calibri" w:hAnsi="Times New Roman" w:cs="Times New Roman"/>
          <w:sz w:val="24"/>
          <w:szCs w:val="24"/>
        </w:rPr>
        <w:t xml:space="preserve">oraz art. </w:t>
      </w:r>
      <w:r w:rsidR="00046EE2">
        <w:rPr>
          <w:rFonts w:ascii="Times New Roman" w:eastAsia="Calibri" w:hAnsi="Times New Roman" w:cs="Times New Roman"/>
          <w:sz w:val="24"/>
          <w:szCs w:val="24"/>
        </w:rPr>
        <w:t>18</w:t>
      </w:r>
      <w:r w:rsidR="00643581">
        <w:rPr>
          <w:rFonts w:ascii="Times New Roman" w:eastAsia="Calibri" w:hAnsi="Times New Roman" w:cs="Times New Roman"/>
          <w:sz w:val="24"/>
          <w:szCs w:val="24"/>
        </w:rPr>
        <w:t>,</w:t>
      </w:r>
      <w:r w:rsidR="00AB1420" w:rsidRPr="00D92FC1">
        <w:rPr>
          <w:rFonts w:ascii="Times New Roman" w:eastAsia="Calibri" w:hAnsi="Times New Roman" w:cs="Times New Roman"/>
          <w:sz w:val="24"/>
          <w:szCs w:val="24"/>
        </w:rPr>
        <w:t xml:space="preserve"> które wejdą w życie po upływie 14 dni od dnia</w:t>
      </w:r>
      <w:r w:rsidR="00AB1420">
        <w:rPr>
          <w:rFonts w:ascii="Times New Roman" w:eastAsia="Calibri" w:hAnsi="Times New Roman" w:cs="Times New Roman"/>
          <w:sz w:val="24"/>
          <w:szCs w:val="24"/>
        </w:rPr>
        <w:t xml:space="preserve"> </w:t>
      </w:r>
      <w:r w:rsidR="00AB1420" w:rsidRPr="00D92FC1">
        <w:rPr>
          <w:rFonts w:ascii="Times New Roman" w:eastAsia="Calibri" w:hAnsi="Times New Roman" w:cs="Times New Roman"/>
          <w:sz w:val="24"/>
          <w:szCs w:val="24"/>
        </w:rPr>
        <w:t>ogłoszenia</w:t>
      </w:r>
      <w:r w:rsidR="00AB1420">
        <w:rPr>
          <w:rFonts w:ascii="Times New Roman" w:eastAsia="Calibri" w:hAnsi="Times New Roman" w:cs="Times New Roman"/>
          <w:sz w:val="24"/>
          <w:szCs w:val="24"/>
        </w:rPr>
        <w:t xml:space="preserve"> – w tych przypadkach – z uwagi na zakres regulacji – </w:t>
      </w:r>
      <w:r w:rsidR="00AB1420" w:rsidRPr="00BE7584">
        <w:rPr>
          <w:rFonts w:ascii="Times New Roman" w:hAnsi="Times New Roman" w:cs="Times New Roman"/>
          <w:sz w:val="24"/>
          <w:szCs w:val="24"/>
        </w:rPr>
        <w:t xml:space="preserve"> nie </w:t>
      </w:r>
      <w:r w:rsidR="00AB1420">
        <w:rPr>
          <w:rFonts w:ascii="Times New Roman" w:hAnsi="Times New Roman" w:cs="Times New Roman"/>
          <w:sz w:val="24"/>
          <w:szCs w:val="24"/>
        </w:rPr>
        <w:t xml:space="preserve">istnieje </w:t>
      </w:r>
      <w:r w:rsidR="00AB1420" w:rsidRPr="00BE7584">
        <w:rPr>
          <w:rFonts w:ascii="Times New Roman" w:hAnsi="Times New Roman" w:cs="Times New Roman"/>
          <w:sz w:val="24"/>
          <w:szCs w:val="24"/>
        </w:rPr>
        <w:t>koniecznoś</w:t>
      </w:r>
      <w:r w:rsidR="00AB1420">
        <w:rPr>
          <w:rFonts w:ascii="Times New Roman" w:hAnsi="Times New Roman" w:cs="Times New Roman"/>
          <w:sz w:val="24"/>
          <w:szCs w:val="24"/>
        </w:rPr>
        <w:t xml:space="preserve">ć </w:t>
      </w:r>
      <w:r w:rsidR="00AB1420" w:rsidRPr="00BE7584">
        <w:rPr>
          <w:rFonts w:ascii="Times New Roman" w:hAnsi="Times New Roman" w:cs="Times New Roman"/>
          <w:sz w:val="24"/>
          <w:szCs w:val="24"/>
        </w:rPr>
        <w:t xml:space="preserve">przedłużania okresu </w:t>
      </w:r>
      <w:r w:rsidR="00AB1420" w:rsidRPr="00BE7584">
        <w:rPr>
          <w:rFonts w:ascii="Times New Roman" w:hAnsi="Times New Roman" w:cs="Times New Roman"/>
          <w:i/>
          <w:sz w:val="24"/>
          <w:szCs w:val="24"/>
        </w:rPr>
        <w:t>vacatio legis</w:t>
      </w:r>
      <w:r w:rsidR="00643581">
        <w:rPr>
          <w:rFonts w:ascii="Times New Roman" w:eastAsia="Calibri" w:hAnsi="Times New Roman" w:cs="Times New Roman"/>
          <w:sz w:val="24"/>
          <w:szCs w:val="24"/>
        </w:rPr>
        <w:t>.</w:t>
      </w:r>
    </w:p>
    <w:p w14:paraId="548CBE28" w14:textId="6315FAED" w:rsidR="00AA6A16" w:rsidRPr="00C72723" w:rsidRDefault="000F2C75" w:rsidP="005E5395">
      <w:pPr>
        <w:spacing w:after="0" w:line="360" w:lineRule="auto"/>
        <w:jc w:val="both"/>
        <w:rPr>
          <w:rFonts w:ascii="Times New Roman" w:hAnsi="Times New Roman" w:cs="Times New Roman"/>
          <w:sz w:val="24"/>
          <w:szCs w:val="24"/>
        </w:rPr>
      </w:pPr>
      <w:r w:rsidRPr="008E2C89">
        <w:rPr>
          <w:rFonts w:ascii="Times New Roman" w:eastAsia="Calibri" w:hAnsi="Times New Roman" w:cs="Times New Roman"/>
          <w:sz w:val="24"/>
          <w:szCs w:val="24"/>
        </w:rPr>
        <w:t xml:space="preserve">W odniesieniu do terminu wejścia w życie art. </w:t>
      </w:r>
      <w:r w:rsidR="00AA6A16">
        <w:rPr>
          <w:rFonts w:ascii="Times New Roman" w:eastAsia="Calibri" w:hAnsi="Times New Roman" w:cs="Times New Roman"/>
          <w:sz w:val="24"/>
          <w:szCs w:val="24"/>
        </w:rPr>
        <w:t>8</w:t>
      </w:r>
      <w:r w:rsidRPr="008E2C89">
        <w:rPr>
          <w:rFonts w:ascii="Times New Roman" w:eastAsia="Calibri" w:hAnsi="Times New Roman" w:cs="Times New Roman"/>
          <w:sz w:val="24"/>
          <w:szCs w:val="24"/>
        </w:rPr>
        <w:t xml:space="preserve"> pkt 1 </w:t>
      </w:r>
      <w:r w:rsidRPr="008E2C89">
        <w:rPr>
          <w:rFonts w:ascii="Times New Roman" w:hAnsi="Times New Roman" w:cs="Times New Roman"/>
          <w:sz w:val="24"/>
          <w:szCs w:val="24"/>
        </w:rPr>
        <w:t>wyjaśnienia wymaga, że zgodnie z art. 18 pkt 2 rozporządzenia DLT Pilot, zmieniając</w:t>
      </w:r>
      <w:r w:rsidR="00DD4041">
        <w:rPr>
          <w:rFonts w:ascii="Times New Roman" w:hAnsi="Times New Roman" w:cs="Times New Roman"/>
          <w:sz w:val="24"/>
          <w:szCs w:val="24"/>
        </w:rPr>
        <w:t xml:space="preserve">ego </w:t>
      </w:r>
      <w:r w:rsidRPr="008E2C89">
        <w:rPr>
          <w:rFonts w:ascii="Times New Roman" w:hAnsi="Times New Roman" w:cs="Times New Roman"/>
          <w:sz w:val="24"/>
          <w:szCs w:val="24"/>
        </w:rPr>
        <w:t xml:space="preserve">art. 93 ust. 3a dyrektywy MiFID II,  państwa członkowskie przyjmują i publikują </w:t>
      </w:r>
      <w:r w:rsidRPr="008E2C89">
        <w:rPr>
          <w:rFonts w:ascii="Times New Roman" w:hAnsi="Times New Roman" w:cs="Times New Roman"/>
          <w:color w:val="333333"/>
          <w:sz w:val="24"/>
          <w:szCs w:val="24"/>
        </w:rPr>
        <w:t xml:space="preserve">przepisy niezbędne do wykonania art. 4 ust. 1 pkt 15 tej dyrektywy, tj. przepisu zmieniającego definicję instrumentu finansowego, do dnia 23 marca 2023 r. </w:t>
      </w:r>
      <w:r w:rsidRPr="00C72723">
        <w:rPr>
          <w:rFonts w:ascii="Times New Roman" w:hAnsi="Times New Roman" w:cs="Times New Roman"/>
          <w:sz w:val="24"/>
          <w:szCs w:val="24"/>
        </w:rPr>
        <w:t xml:space="preserve">Niemniej </w:t>
      </w:r>
      <w:r w:rsidR="00DD4041" w:rsidRPr="00C72723">
        <w:rPr>
          <w:rFonts w:ascii="Times New Roman" w:hAnsi="Times New Roman" w:cs="Times New Roman"/>
          <w:sz w:val="24"/>
          <w:szCs w:val="24"/>
        </w:rPr>
        <w:t>„</w:t>
      </w:r>
      <w:r w:rsidRPr="00C72723">
        <w:rPr>
          <w:rFonts w:ascii="Times New Roman" w:eastAsia="Times New Roman" w:hAnsi="Times New Roman" w:cs="Times New Roman"/>
          <w:i/>
          <w:sz w:val="24"/>
          <w:szCs w:val="24"/>
          <w:lang w:eastAsia="pl-PL"/>
        </w:rPr>
        <w:t>państwa członkowskie, które nie są w stanie przyjąć przepisów niezbędnych do wykonania wskazanych przepisów do dnia 23 marca 2023 r., ponieważ ich krajowe procedury ustawodawcze zajmują więcej niż dziewięć miesięcy, korzystają z przedłużenia o maksymalnie sześć miesięcy od dnia 23 marca 2023 r., pod warunkiem że powiadomią Komisję o potrzebie skorzystania z tego przedłużenia do dnia 23 marca 2023 r.</w:t>
      </w:r>
      <w:r w:rsidR="00DD4041" w:rsidRPr="00C72723">
        <w:rPr>
          <w:rFonts w:ascii="Times New Roman" w:eastAsia="Times New Roman" w:hAnsi="Times New Roman" w:cs="Times New Roman"/>
          <w:i/>
          <w:sz w:val="24"/>
          <w:szCs w:val="24"/>
          <w:lang w:eastAsia="pl-PL"/>
        </w:rPr>
        <w:t>”.</w:t>
      </w:r>
      <w:r w:rsidRPr="00C72723">
        <w:rPr>
          <w:rFonts w:ascii="Times New Roman" w:eastAsia="Times New Roman" w:hAnsi="Times New Roman" w:cs="Times New Roman"/>
          <w:i/>
          <w:sz w:val="24"/>
          <w:szCs w:val="24"/>
          <w:lang w:eastAsia="pl-PL"/>
        </w:rPr>
        <w:t xml:space="preserve"> </w:t>
      </w:r>
      <w:r w:rsidRPr="00C72723">
        <w:rPr>
          <w:rFonts w:ascii="Times New Roman" w:hAnsi="Times New Roman" w:cs="Times New Roman"/>
          <w:sz w:val="24"/>
          <w:szCs w:val="24"/>
        </w:rPr>
        <w:t xml:space="preserve">Oznacza to, że </w:t>
      </w:r>
      <w:r w:rsidR="00AA6A16" w:rsidRPr="00C72723">
        <w:rPr>
          <w:rFonts w:ascii="Times New Roman" w:hAnsi="Times New Roman" w:cs="Times New Roman"/>
          <w:sz w:val="24"/>
          <w:szCs w:val="24"/>
        </w:rPr>
        <w:t xml:space="preserve">ostateczny </w:t>
      </w:r>
      <w:r w:rsidRPr="00C72723">
        <w:rPr>
          <w:rFonts w:ascii="Times New Roman" w:hAnsi="Times New Roman" w:cs="Times New Roman"/>
          <w:sz w:val="24"/>
          <w:szCs w:val="24"/>
        </w:rPr>
        <w:t xml:space="preserve">termin implementacji przypada na dzień 23 września 2023 r. </w:t>
      </w:r>
    </w:p>
    <w:p w14:paraId="346C0683" w14:textId="444A71A9" w:rsidR="000F2C75" w:rsidRPr="000F2C75" w:rsidRDefault="00DD4041" w:rsidP="005E5395">
      <w:pPr>
        <w:spacing w:after="0" w:line="360" w:lineRule="auto"/>
        <w:jc w:val="both"/>
        <w:rPr>
          <w:rFonts w:ascii="Times New Roman" w:hAnsi="Times New Roman" w:cs="Times New Roman"/>
          <w:sz w:val="24"/>
          <w:szCs w:val="24"/>
        </w:rPr>
      </w:pPr>
      <w:r>
        <w:rPr>
          <w:rFonts w:ascii="Times New Roman" w:hAnsi="Times New Roman" w:cs="Times New Roman"/>
          <w:sz w:val="24"/>
          <w:szCs w:val="24"/>
        </w:rPr>
        <w:t>Określenie</w:t>
      </w:r>
      <w:r w:rsidR="000F2C75" w:rsidRPr="00DD4041">
        <w:rPr>
          <w:rFonts w:ascii="Times New Roman" w:hAnsi="Times New Roman" w:cs="Times New Roman"/>
          <w:sz w:val="24"/>
          <w:szCs w:val="24"/>
        </w:rPr>
        <w:t xml:space="preserve"> daty wejścia w życie ustawy na dzień 1 października 2023 r. wynika z konieczności zapewnienia odpowiedniego czasu na dostosowanie systemów eKRS oraz KRZ</w:t>
      </w:r>
      <w:r w:rsidR="000F2C75" w:rsidRPr="000F2C75">
        <w:rPr>
          <w:rFonts w:ascii="Times New Roman" w:hAnsi="Times New Roman" w:cs="Times New Roman"/>
          <w:sz w:val="24"/>
          <w:szCs w:val="24"/>
        </w:rPr>
        <w:t xml:space="preserve"> –  minimalny czas niezbędny na dostosowanie systemów wynosi 6 miesięcy,  a zmiany wymagające zmian struktury rejestru są wdrażane z dniem 1 kwietnia i 1 października każdego roku. </w:t>
      </w:r>
    </w:p>
    <w:p w14:paraId="10D0AD1C" w14:textId="77777777" w:rsidR="006A10B6" w:rsidRDefault="006A10B6" w:rsidP="005E5395">
      <w:pPr>
        <w:spacing w:after="0" w:line="360" w:lineRule="auto"/>
        <w:jc w:val="both"/>
        <w:rPr>
          <w:rFonts w:ascii="Times New Roman" w:hAnsi="Times New Roman" w:cs="Times New Roman"/>
          <w:sz w:val="24"/>
          <w:szCs w:val="24"/>
        </w:rPr>
      </w:pPr>
    </w:p>
    <w:p w14:paraId="51497EA8" w14:textId="77777777" w:rsidR="00AB1420" w:rsidRPr="00D92FC1" w:rsidRDefault="00AB1420" w:rsidP="005E5395">
      <w:pPr>
        <w:spacing w:after="120" w:line="360" w:lineRule="auto"/>
        <w:jc w:val="both"/>
        <w:rPr>
          <w:rFonts w:ascii="Times New Roman" w:hAnsi="Times New Roman" w:cs="Times New Roman"/>
          <w:sz w:val="24"/>
          <w:szCs w:val="24"/>
        </w:rPr>
      </w:pPr>
      <w:r w:rsidRPr="00D92FC1">
        <w:rPr>
          <w:rFonts w:ascii="Times New Roman" w:hAnsi="Times New Roman" w:cs="Times New Roman"/>
          <w:sz w:val="24"/>
          <w:szCs w:val="24"/>
        </w:rPr>
        <w:t>Zawarte w projekcie regulacje nie stanowią przepisów technicznych w rozumieniu rozporządzenia Rady Ministrów z dnia 23 grudnia 2002 r. w sprawie sposobu funkcjonowania krajowego systemu notyfikacji norm i aktów prawnych (Dz. U. poz. 2039, z późn. zm.), dlatego projekt ustawy nie będzie podlegał procedurze notyfikacji.</w:t>
      </w:r>
      <w:r>
        <w:rPr>
          <w:rFonts w:ascii="Times New Roman" w:hAnsi="Times New Roman" w:cs="Times New Roman"/>
          <w:sz w:val="24"/>
          <w:szCs w:val="24"/>
        </w:rPr>
        <w:t xml:space="preserve"> </w:t>
      </w:r>
    </w:p>
    <w:p w14:paraId="513F07B4" w14:textId="3CB4489E" w:rsidR="00176288" w:rsidRDefault="00176288" w:rsidP="005E5395">
      <w:pPr>
        <w:spacing w:after="120" w:line="360" w:lineRule="auto"/>
        <w:jc w:val="both"/>
        <w:rPr>
          <w:rFonts w:ascii="Times New Roman" w:hAnsi="Times New Roman" w:cs="Times New Roman"/>
          <w:sz w:val="24"/>
          <w:szCs w:val="24"/>
        </w:rPr>
      </w:pPr>
      <w:r w:rsidRPr="00176288">
        <w:rPr>
          <w:rFonts w:ascii="Times New Roman" w:hAnsi="Times New Roman" w:cs="Times New Roman"/>
          <w:sz w:val="24"/>
          <w:szCs w:val="24"/>
        </w:rPr>
        <w:t xml:space="preserve">Projektowana ustawa nie wymaga przedstawiania organom i </w:t>
      </w:r>
      <w:r w:rsidR="00804920">
        <w:rPr>
          <w:rFonts w:ascii="Times New Roman" w:hAnsi="Times New Roman" w:cs="Times New Roman"/>
          <w:sz w:val="24"/>
          <w:szCs w:val="24"/>
        </w:rPr>
        <w:t>instytucjom Unii Europejskiej w </w:t>
      </w:r>
      <w:r w:rsidRPr="00176288">
        <w:rPr>
          <w:rFonts w:ascii="Times New Roman" w:hAnsi="Times New Roman" w:cs="Times New Roman"/>
          <w:sz w:val="24"/>
          <w:szCs w:val="24"/>
        </w:rPr>
        <w:t xml:space="preserve">celu uzyskania opinii, dokonania powiadomienia, </w:t>
      </w:r>
      <w:r w:rsidR="00804920">
        <w:rPr>
          <w:rFonts w:ascii="Times New Roman" w:hAnsi="Times New Roman" w:cs="Times New Roman"/>
          <w:sz w:val="24"/>
          <w:szCs w:val="24"/>
        </w:rPr>
        <w:t>konsultacji albo uzgodnienia. W </w:t>
      </w:r>
      <w:r w:rsidRPr="00176288">
        <w:rPr>
          <w:rFonts w:ascii="Times New Roman" w:hAnsi="Times New Roman" w:cs="Times New Roman"/>
          <w:sz w:val="24"/>
          <w:szCs w:val="24"/>
        </w:rPr>
        <w:t>szczególności, zgodnie z art. 2 ust. 1 decyzji Rady 98/415</w:t>
      </w:r>
      <w:r w:rsidR="00804920">
        <w:rPr>
          <w:rFonts w:ascii="Times New Roman" w:hAnsi="Times New Roman" w:cs="Times New Roman"/>
          <w:sz w:val="24"/>
          <w:szCs w:val="24"/>
        </w:rPr>
        <w:t xml:space="preserve">/WE z dnia 29 czerwca 1998 r. </w:t>
      </w:r>
      <w:r w:rsidR="00804920" w:rsidRPr="00804920">
        <w:rPr>
          <w:rFonts w:ascii="Times New Roman" w:hAnsi="Times New Roman" w:cs="Times New Roman"/>
          <w:sz w:val="24"/>
          <w:szCs w:val="24"/>
        </w:rPr>
        <w:t>w </w:t>
      </w:r>
      <w:r w:rsidRPr="00804920">
        <w:rPr>
          <w:rFonts w:ascii="Times New Roman" w:hAnsi="Times New Roman" w:cs="Times New Roman"/>
          <w:sz w:val="24"/>
          <w:szCs w:val="24"/>
        </w:rPr>
        <w:t>sprawie</w:t>
      </w:r>
      <w:r w:rsidRPr="00176288">
        <w:rPr>
          <w:rFonts w:ascii="Times New Roman" w:hAnsi="Times New Roman" w:cs="Times New Roman"/>
          <w:sz w:val="24"/>
          <w:szCs w:val="24"/>
        </w:rPr>
        <w:t xml:space="preserve"> konsultacji Europejskiego Banku Centralnego</w:t>
      </w:r>
      <w:r w:rsidR="00804920">
        <w:rPr>
          <w:rFonts w:ascii="Times New Roman" w:hAnsi="Times New Roman" w:cs="Times New Roman"/>
          <w:sz w:val="24"/>
          <w:szCs w:val="24"/>
        </w:rPr>
        <w:t xml:space="preserve"> udzielanych władzom krajowym w </w:t>
      </w:r>
      <w:r w:rsidRPr="00176288">
        <w:rPr>
          <w:rFonts w:ascii="Times New Roman" w:hAnsi="Times New Roman" w:cs="Times New Roman"/>
          <w:sz w:val="24"/>
          <w:szCs w:val="24"/>
        </w:rPr>
        <w:t>sprawie projektów przepisów prawnych (Dz. Urz. WE L 189 z 03.07.1998, str. 42), projekt ustawy nie podlega konsultacji z Europejskim Bankiem Centralnym.</w:t>
      </w:r>
    </w:p>
    <w:p w14:paraId="3473EEFC" w14:textId="77777777" w:rsidR="00E02019" w:rsidRDefault="00AB1420" w:rsidP="005E5395">
      <w:pPr>
        <w:spacing w:after="120" w:line="360" w:lineRule="auto"/>
        <w:jc w:val="both"/>
        <w:rPr>
          <w:rFonts w:ascii="Times New Roman" w:hAnsi="Times New Roman" w:cs="Times New Roman"/>
          <w:sz w:val="24"/>
          <w:szCs w:val="24"/>
        </w:rPr>
      </w:pPr>
      <w:r w:rsidRPr="00D92FC1">
        <w:rPr>
          <w:rFonts w:ascii="Times New Roman" w:hAnsi="Times New Roman" w:cs="Times New Roman"/>
          <w:sz w:val="24"/>
          <w:szCs w:val="24"/>
        </w:rPr>
        <w:t>Stosownie do art. 4 ustawy z dnia 7 lipca 2005 r. o działalności lobbingowej w procesie stanowienia prawa (Dz. U. z 2017 r. poz. 248) projekt został zamieszczony w wykazie prac legislacyjnych i programowych Rady Ministrów.</w:t>
      </w:r>
      <w:r w:rsidR="00E02019">
        <w:rPr>
          <w:rFonts w:ascii="Times New Roman" w:hAnsi="Times New Roman" w:cs="Times New Roman"/>
          <w:sz w:val="24"/>
          <w:szCs w:val="24"/>
        </w:rPr>
        <w:t xml:space="preserve"> </w:t>
      </w:r>
    </w:p>
    <w:p w14:paraId="5EA410C3" w14:textId="1EA446C7" w:rsidR="00E02019" w:rsidRDefault="00AB1420" w:rsidP="005E5395">
      <w:pPr>
        <w:spacing w:after="120" w:line="360" w:lineRule="auto"/>
        <w:jc w:val="both"/>
        <w:rPr>
          <w:rFonts w:ascii="Times New Roman" w:hAnsi="Times New Roman" w:cs="Times New Roman"/>
          <w:sz w:val="24"/>
          <w:szCs w:val="24"/>
        </w:rPr>
      </w:pPr>
      <w:r w:rsidRPr="00D92FC1">
        <w:rPr>
          <w:rFonts w:ascii="Times New Roman" w:hAnsi="Times New Roman" w:cs="Times New Roman"/>
          <w:sz w:val="24"/>
          <w:szCs w:val="24"/>
        </w:rPr>
        <w:lastRenderedPageBreak/>
        <w:t>Zgodnie z art. 5 ustawy z dnia 7 lipca 2005 r. o działalności lobbingowej w procesie stanowienia prawa oraz § 52 uchwały nr 190 Rady Ministrów z dnia 29 października 2013 r. – Regulamin pracy Rady Ministrów (M.P. z 2022 r. poz. 348) proje</w:t>
      </w:r>
      <w:r w:rsidR="005E5395">
        <w:rPr>
          <w:rFonts w:ascii="Times New Roman" w:hAnsi="Times New Roman" w:cs="Times New Roman"/>
          <w:sz w:val="24"/>
          <w:szCs w:val="24"/>
        </w:rPr>
        <w:t>kt ustawy został udostępniony w </w:t>
      </w:r>
      <w:r w:rsidRPr="00D92FC1">
        <w:rPr>
          <w:rFonts w:ascii="Times New Roman" w:hAnsi="Times New Roman" w:cs="Times New Roman"/>
          <w:sz w:val="24"/>
          <w:szCs w:val="24"/>
        </w:rPr>
        <w:t>Biuletynie Informacji Publicznej na stronie podmiotowej Rządowego Centrum Legislacji, w</w:t>
      </w:r>
      <w:r w:rsidR="005E5395">
        <w:rPr>
          <w:rFonts w:ascii="Times New Roman" w:hAnsi="Times New Roman" w:cs="Times New Roman"/>
          <w:sz w:val="24"/>
          <w:szCs w:val="24"/>
        </w:rPr>
        <w:t> </w:t>
      </w:r>
      <w:r w:rsidRPr="00D92FC1">
        <w:rPr>
          <w:rFonts w:ascii="Times New Roman" w:hAnsi="Times New Roman" w:cs="Times New Roman"/>
          <w:sz w:val="24"/>
          <w:szCs w:val="24"/>
        </w:rPr>
        <w:t xml:space="preserve">serwisie Rządowy Proces Legislacyjny. Żaden podmiot nie zgłosił </w:t>
      </w:r>
      <w:r w:rsidR="006A10B6">
        <w:rPr>
          <w:rFonts w:ascii="Times New Roman" w:hAnsi="Times New Roman" w:cs="Times New Roman"/>
          <w:sz w:val="24"/>
          <w:szCs w:val="24"/>
        </w:rPr>
        <w:t xml:space="preserve">zainteresowania pracami nad ustawą </w:t>
      </w:r>
      <w:r w:rsidRPr="00D92FC1">
        <w:rPr>
          <w:rFonts w:ascii="Times New Roman" w:hAnsi="Times New Roman" w:cs="Times New Roman"/>
          <w:sz w:val="24"/>
          <w:szCs w:val="24"/>
        </w:rPr>
        <w:t>w </w:t>
      </w:r>
      <w:r w:rsidR="00CB7B97">
        <w:rPr>
          <w:rFonts w:ascii="Times New Roman" w:hAnsi="Times New Roman" w:cs="Times New Roman"/>
          <w:sz w:val="24"/>
          <w:szCs w:val="24"/>
        </w:rPr>
        <w:t>tym t</w:t>
      </w:r>
      <w:r w:rsidRPr="00D92FC1">
        <w:rPr>
          <w:rFonts w:ascii="Times New Roman" w:hAnsi="Times New Roman" w:cs="Times New Roman"/>
          <w:sz w:val="24"/>
          <w:szCs w:val="24"/>
        </w:rPr>
        <w:t>rybie.</w:t>
      </w:r>
      <w:r w:rsidR="00E02019">
        <w:rPr>
          <w:rFonts w:ascii="Times New Roman" w:hAnsi="Times New Roman" w:cs="Times New Roman"/>
          <w:sz w:val="24"/>
          <w:szCs w:val="24"/>
        </w:rPr>
        <w:t xml:space="preserve"> </w:t>
      </w:r>
    </w:p>
    <w:p w14:paraId="5723F329" w14:textId="238BE9F7" w:rsidR="00AB1420" w:rsidRPr="00D92FC1" w:rsidRDefault="00AB1420" w:rsidP="005E5395">
      <w:pPr>
        <w:spacing w:after="120" w:line="360" w:lineRule="auto"/>
        <w:jc w:val="both"/>
        <w:rPr>
          <w:rFonts w:ascii="Times New Roman" w:hAnsi="Times New Roman" w:cs="Times New Roman"/>
          <w:sz w:val="24"/>
          <w:szCs w:val="24"/>
        </w:rPr>
      </w:pPr>
      <w:r w:rsidRPr="00D92FC1">
        <w:rPr>
          <w:rFonts w:ascii="Times New Roman" w:hAnsi="Times New Roman" w:cs="Times New Roman"/>
          <w:sz w:val="24"/>
          <w:szCs w:val="24"/>
        </w:rPr>
        <w:t>Zawarte w projekcie regulacje nie będą miały wpływu na działalność mikroprzedsiębiorców, małych i średnich przedsiębiorców zgodnie z ustawą z dnia 6 marca 2018 r. – Prawo przedsiębiorców (Dz. U. z 2021 r. poz. 162, z późn. zm.).</w:t>
      </w:r>
    </w:p>
    <w:p w14:paraId="1934626F" w14:textId="77777777" w:rsidR="00AB1420" w:rsidRPr="00D92FC1" w:rsidRDefault="00AB1420" w:rsidP="005E5395">
      <w:pPr>
        <w:spacing w:after="0" w:line="360" w:lineRule="auto"/>
        <w:jc w:val="both"/>
        <w:rPr>
          <w:rFonts w:ascii="Times New Roman" w:hAnsi="Times New Roman" w:cs="Times New Roman"/>
          <w:sz w:val="24"/>
          <w:szCs w:val="24"/>
        </w:rPr>
      </w:pPr>
      <w:r w:rsidRPr="00D92FC1">
        <w:rPr>
          <w:rFonts w:ascii="Times New Roman" w:hAnsi="Times New Roman" w:cs="Times New Roman"/>
          <w:sz w:val="24"/>
          <w:szCs w:val="24"/>
        </w:rPr>
        <w:t>Projekt jest zgodny z prawem Unii Europejskiej.</w:t>
      </w:r>
    </w:p>
    <w:sectPr w:rsidR="00AB1420" w:rsidRPr="00D92FC1">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BC47EE4" w14:textId="77777777" w:rsidR="007F0CB8" w:rsidRDefault="007F0CB8" w:rsidP="00DD1228">
      <w:pPr>
        <w:spacing w:after="0" w:line="240" w:lineRule="auto"/>
      </w:pPr>
      <w:r>
        <w:separator/>
      </w:r>
    </w:p>
  </w:endnote>
  <w:endnote w:type="continuationSeparator" w:id="0">
    <w:p w14:paraId="2BF0D0E1" w14:textId="77777777" w:rsidR="007F0CB8" w:rsidRDefault="007F0CB8" w:rsidP="00DD12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empus Sans ITC">
    <w:panose1 w:val="04020404030D07020202"/>
    <w:charset w:val="00"/>
    <w:family w:val="decorative"/>
    <w:pitch w:val="variable"/>
    <w:sig w:usb0="00000003" w:usb1="00000000" w:usb2="00000000" w:usb3="00000000" w:csb0="00000001"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000247B" w:usb2="00000009" w:usb3="00000000" w:csb0="000001F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EUAlbertina">
    <w:altName w:val="Times New Roman"/>
    <w:panose1 w:val="00000000000000000000"/>
    <w:charset w:val="00"/>
    <w:family w:val="roman"/>
    <w:notTrueType/>
    <w:pitch w:val="default"/>
    <w:sig w:usb0="00000001"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723D7E" w14:textId="77777777" w:rsidR="00656500" w:rsidRDefault="00656500">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21212398"/>
      <w:docPartObj>
        <w:docPartGallery w:val="Page Numbers (Bottom of Page)"/>
        <w:docPartUnique/>
      </w:docPartObj>
    </w:sdtPr>
    <w:sdtEndPr/>
    <w:sdtContent>
      <w:p w14:paraId="0D57BE65" w14:textId="72D60F9C" w:rsidR="00656500" w:rsidRDefault="00656500">
        <w:pPr>
          <w:pStyle w:val="Stopka"/>
          <w:jc w:val="center"/>
        </w:pPr>
        <w:r>
          <w:fldChar w:fldCharType="begin"/>
        </w:r>
        <w:r>
          <w:instrText>PAGE   \* MERGEFORMAT</w:instrText>
        </w:r>
        <w:r>
          <w:fldChar w:fldCharType="separate"/>
        </w:r>
        <w:r w:rsidR="009058D4">
          <w:rPr>
            <w:noProof/>
          </w:rPr>
          <w:t>1</w:t>
        </w:r>
        <w:r>
          <w:fldChar w:fldCharType="end"/>
        </w:r>
      </w:p>
    </w:sdtContent>
  </w:sdt>
  <w:p w14:paraId="36A234C8" w14:textId="77777777" w:rsidR="007A4128" w:rsidRDefault="007A4128">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96AF05" w14:textId="77777777" w:rsidR="00656500" w:rsidRDefault="00656500">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62FC85C" w14:textId="77777777" w:rsidR="007F0CB8" w:rsidRDefault="007F0CB8" w:rsidP="00DD1228">
      <w:pPr>
        <w:spacing w:after="0" w:line="240" w:lineRule="auto"/>
      </w:pPr>
      <w:r>
        <w:separator/>
      </w:r>
    </w:p>
  </w:footnote>
  <w:footnote w:type="continuationSeparator" w:id="0">
    <w:p w14:paraId="5FA3F7B8" w14:textId="77777777" w:rsidR="007F0CB8" w:rsidRDefault="007F0CB8" w:rsidP="00DD1228">
      <w:pPr>
        <w:spacing w:after="0" w:line="240" w:lineRule="auto"/>
      </w:pPr>
      <w:r>
        <w:continuationSeparator/>
      </w:r>
    </w:p>
  </w:footnote>
  <w:footnote w:id="1">
    <w:p w14:paraId="3EEF84BB" w14:textId="77777777" w:rsidR="007A4128" w:rsidRDefault="007A4128" w:rsidP="00AB1420">
      <w:pPr>
        <w:pStyle w:val="Tekstprzypisudolnego"/>
        <w:jc w:val="both"/>
      </w:pPr>
      <w:r w:rsidRPr="00076DA8">
        <w:rPr>
          <w:rStyle w:val="Odwoanieprzypisudolnego"/>
          <w:rFonts w:ascii="Times New Roman" w:hAnsi="Times New Roman"/>
          <w:sz w:val="22"/>
          <w:szCs w:val="22"/>
        </w:rPr>
        <w:footnoteRef/>
      </w:r>
      <w:r w:rsidRPr="00076DA8">
        <w:rPr>
          <w:rFonts w:ascii="Times New Roman" w:hAnsi="Times New Roman"/>
          <w:sz w:val="22"/>
          <w:szCs w:val="22"/>
        </w:rPr>
        <w:t xml:space="preserve"> NBP</w:t>
      </w:r>
      <w:r>
        <w:rPr>
          <w:rFonts w:ascii="Times New Roman" w:hAnsi="Times New Roman"/>
          <w:sz w:val="22"/>
          <w:szCs w:val="22"/>
        </w:rPr>
        <w:t>,</w:t>
      </w:r>
      <w:r w:rsidRPr="00076DA8">
        <w:rPr>
          <w:rFonts w:ascii="Times New Roman" w:hAnsi="Times New Roman"/>
          <w:sz w:val="22"/>
          <w:szCs w:val="22"/>
        </w:rPr>
        <w:t xml:space="preserve"> </w:t>
      </w:r>
      <w:r w:rsidRPr="00966A61">
        <w:rPr>
          <w:rFonts w:ascii="Times New Roman" w:hAnsi="Times New Roman"/>
          <w:i/>
          <w:sz w:val="22"/>
          <w:szCs w:val="22"/>
        </w:rPr>
        <w:t>Raport o stabilności finansowej, grudzień 2019 r.</w:t>
      </w:r>
      <w:r w:rsidRPr="00076DA8">
        <w:rPr>
          <w:rFonts w:ascii="Times New Roman" w:hAnsi="Times New Roman"/>
          <w:sz w:val="22"/>
          <w:szCs w:val="22"/>
        </w:rPr>
        <w:t>, s</w:t>
      </w:r>
      <w:r>
        <w:rPr>
          <w:rFonts w:ascii="Times New Roman" w:hAnsi="Times New Roman"/>
          <w:sz w:val="22"/>
          <w:szCs w:val="22"/>
        </w:rPr>
        <w:t>tr</w:t>
      </w:r>
      <w:r w:rsidRPr="00076DA8">
        <w:rPr>
          <w:rFonts w:ascii="Times New Roman" w:hAnsi="Times New Roman"/>
          <w:sz w:val="22"/>
          <w:szCs w:val="22"/>
        </w:rPr>
        <w:t>. 11, 56 i 74</w:t>
      </w:r>
      <w:r>
        <w:rPr>
          <w:rFonts w:ascii="Times New Roman" w:hAnsi="Times New Roman"/>
          <w:sz w:val="22"/>
          <w:szCs w:val="22"/>
        </w:rPr>
        <w:t>; www.nbp.pl</w:t>
      </w:r>
    </w:p>
  </w:footnote>
  <w:footnote w:id="2">
    <w:p w14:paraId="05C3DB7E" w14:textId="77777777" w:rsidR="007A4128" w:rsidRPr="0026741B" w:rsidRDefault="007A4128" w:rsidP="00AB1420">
      <w:pPr>
        <w:pStyle w:val="Tekstprzypisudolnego"/>
        <w:rPr>
          <w:rFonts w:ascii="Times New Roman" w:hAnsi="Times New Roman" w:cs="Times New Roman"/>
          <w:sz w:val="18"/>
          <w:szCs w:val="18"/>
        </w:rPr>
      </w:pPr>
      <w:r w:rsidRPr="0026741B">
        <w:rPr>
          <w:rStyle w:val="Odwoanieprzypisudolnego"/>
          <w:rFonts w:ascii="Times New Roman" w:hAnsi="Times New Roman" w:cs="Times New Roman"/>
          <w:sz w:val="18"/>
          <w:szCs w:val="18"/>
        </w:rPr>
        <w:footnoteRef/>
      </w:r>
      <w:r>
        <w:rPr>
          <w:rFonts w:ascii="Times New Roman" w:hAnsi="Times New Roman" w:cs="Times New Roman"/>
          <w:sz w:val="18"/>
          <w:szCs w:val="18"/>
        </w:rPr>
        <w:t xml:space="preserve"> </w:t>
      </w:r>
      <w:r w:rsidRPr="0026741B">
        <w:rPr>
          <w:rFonts w:ascii="Times New Roman" w:hAnsi="Times New Roman" w:cs="Times New Roman"/>
          <w:sz w:val="18"/>
          <w:szCs w:val="18"/>
        </w:rPr>
        <w:t>https://www.eiopa.europa.eu/sites/default/files/publications/eiopa_guidelines/pl_eiopa_gls_cof_knf_rev.pdf</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5A54A8" w14:textId="77777777" w:rsidR="00656500" w:rsidRDefault="00656500">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72A966" w14:textId="77777777" w:rsidR="00656500" w:rsidRDefault="00656500">
    <w:pPr>
      <w:pStyle w:val="Nagwek"/>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D3F6E8" w14:textId="77777777" w:rsidR="00656500" w:rsidRDefault="00656500">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B81E25"/>
    <w:multiLevelType w:val="hybridMultilevel"/>
    <w:tmpl w:val="6A826A80"/>
    <w:lvl w:ilvl="0" w:tplc="8F9A6F88">
      <w:start w:val="1"/>
      <w:numFmt w:val="bullet"/>
      <w:lvlText w:val="-"/>
      <w:lvlJc w:val="left"/>
      <w:pPr>
        <w:ind w:left="720" w:hanging="360"/>
      </w:pPr>
      <w:rPr>
        <w:rFonts w:ascii="Tempus Sans ITC" w:hAnsi="Tempus Sans ITC"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13293B11"/>
    <w:multiLevelType w:val="hybridMultilevel"/>
    <w:tmpl w:val="7D8CC50C"/>
    <w:lvl w:ilvl="0" w:tplc="8F9A6F88">
      <w:start w:val="1"/>
      <w:numFmt w:val="bullet"/>
      <w:lvlText w:val="-"/>
      <w:lvlJc w:val="left"/>
      <w:pPr>
        <w:ind w:left="720" w:hanging="360"/>
      </w:pPr>
      <w:rPr>
        <w:rFonts w:ascii="Tempus Sans ITC" w:hAnsi="Tempus Sans ITC"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17233E48"/>
    <w:multiLevelType w:val="hybridMultilevel"/>
    <w:tmpl w:val="112AC2D0"/>
    <w:lvl w:ilvl="0" w:tplc="2332B4B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2D0A17E8"/>
    <w:multiLevelType w:val="multilevel"/>
    <w:tmpl w:val="940033E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2FF15FC9"/>
    <w:multiLevelType w:val="hybridMultilevel"/>
    <w:tmpl w:val="D3D08F20"/>
    <w:lvl w:ilvl="0" w:tplc="8F9A6F88">
      <w:start w:val="1"/>
      <w:numFmt w:val="bullet"/>
      <w:lvlText w:val="-"/>
      <w:lvlJc w:val="left"/>
      <w:pPr>
        <w:ind w:left="783" w:hanging="360"/>
      </w:pPr>
      <w:rPr>
        <w:rFonts w:ascii="Tempus Sans ITC" w:hAnsi="Tempus Sans ITC" w:hint="default"/>
      </w:rPr>
    </w:lvl>
    <w:lvl w:ilvl="1" w:tplc="04150003" w:tentative="1">
      <w:start w:val="1"/>
      <w:numFmt w:val="bullet"/>
      <w:lvlText w:val="o"/>
      <w:lvlJc w:val="left"/>
      <w:pPr>
        <w:ind w:left="1503" w:hanging="360"/>
      </w:pPr>
      <w:rPr>
        <w:rFonts w:ascii="Courier New" w:hAnsi="Courier New" w:cs="Courier New" w:hint="default"/>
      </w:rPr>
    </w:lvl>
    <w:lvl w:ilvl="2" w:tplc="04150005" w:tentative="1">
      <w:start w:val="1"/>
      <w:numFmt w:val="bullet"/>
      <w:lvlText w:val=""/>
      <w:lvlJc w:val="left"/>
      <w:pPr>
        <w:ind w:left="2223" w:hanging="360"/>
      </w:pPr>
      <w:rPr>
        <w:rFonts w:ascii="Wingdings" w:hAnsi="Wingdings" w:hint="default"/>
      </w:rPr>
    </w:lvl>
    <w:lvl w:ilvl="3" w:tplc="04150001" w:tentative="1">
      <w:start w:val="1"/>
      <w:numFmt w:val="bullet"/>
      <w:lvlText w:val=""/>
      <w:lvlJc w:val="left"/>
      <w:pPr>
        <w:ind w:left="2943" w:hanging="360"/>
      </w:pPr>
      <w:rPr>
        <w:rFonts w:ascii="Symbol" w:hAnsi="Symbol" w:hint="default"/>
      </w:rPr>
    </w:lvl>
    <w:lvl w:ilvl="4" w:tplc="04150003" w:tentative="1">
      <w:start w:val="1"/>
      <w:numFmt w:val="bullet"/>
      <w:lvlText w:val="o"/>
      <w:lvlJc w:val="left"/>
      <w:pPr>
        <w:ind w:left="3663" w:hanging="360"/>
      </w:pPr>
      <w:rPr>
        <w:rFonts w:ascii="Courier New" w:hAnsi="Courier New" w:cs="Courier New" w:hint="default"/>
      </w:rPr>
    </w:lvl>
    <w:lvl w:ilvl="5" w:tplc="04150005" w:tentative="1">
      <w:start w:val="1"/>
      <w:numFmt w:val="bullet"/>
      <w:lvlText w:val=""/>
      <w:lvlJc w:val="left"/>
      <w:pPr>
        <w:ind w:left="4383" w:hanging="360"/>
      </w:pPr>
      <w:rPr>
        <w:rFonts w:ascii="Wingdings" w:hAnsi="Wingdings" w:hint="default"/>
      </w:rPr>
    </w:lvl>
    <w:lvl w:ilvl="6" w:tplc="04150001" w:tentative="1">
      <w:start w:val="1"/>
      <w:numFmt w:val="bullet"/>
      <w:lvlText w:val=""/>
      <w:lvlJc w:val="left"/>
      <w:pPr>
        <w:ind w:left="5103" w:hanging="360"/>
      </w:pPr>
      <w:rPr>
        <w:rFonts w:ascii="Symbol" w:hAnsi="Symbol" w:hint="default"/>
      </w:rPr>
    </w:lvl>
    <w:lvl w:ilvl="7" w:tplc="04150003" w:tentative="1">
      <w:start w:val="1"/>
      <w:numFmt w:val="bullet"/>
      <w:lvlText w:val="o"/>
      <w:lvlJc w:val="left"/>
      <w:pPr>
        <w:ind w:left="5823" w:hanging="360"/>
      </w:pPr>
      <w:rPr>
        <w:rFonts w:ascii="Courier New" w:hAnsi="Courier New" w:cs="Courier New" w:hint="default"/>
      </w:rPr>
    </w:lvl>
    <w:lvl w:ilvl="8" w:tplc="04150005" w:tentative="1">
      <w:start w:val="1"/>
      <w:numFmt w:val="bullet"/>
      <w:lvlText w:val=""/>
      <w:lvlJc w:val="left"/>
      <w:pPr>
        <w:ind w:left="6543" w:hanging="360"/>
      </w:pPr>
      <w:rPr>
        <w:rFonts w:ascii="Wingdings" w:hAnsi="Wingdings" w:hint="default"/>
      </w:rPr>
    </w:lvl>
  </w:abstractNum>
  <w:abstractNum w:abstractNumId="5" w15:restartNumberingAfterBreak="0">
    <w:nsid w:val="3542506C"/>
    <w:multiLevelType w:val="hybridMultilevel"/>
    <w:tmpl w:val="FA38EC7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4BA12136"/>
    <w:multiLevelType w:val="hybridMultilevel"/>
    <w:tmpl w:val="7374B9E2"/>
    <w:lvl w:ilvl="0" w:tplc="04150011">
      <w:start w:val="1"/>
      <w:numFmt w:val="decimal"/>
      <w:lvlText w:val="%1)"/>
      <w:lvlJc w:val="left"/>
      <w:pPr>
        <w:ind w:left="501"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4EB12106"/>
    <w:multiLevelType w:val="hybridMultilevel"/>
    <w:tmpl w:val="23B2A930"/>
    <w:lvl w:ilvl="0" w:tplc="8F9A6F88">
      <w:start w:val="1"/>
      <w:numFmt w:val="bullet"/>
      <w:lvlText w:val="-"/>
      <w:lvlJc w:val="left"/>
      <w:pPr>
        <w:ind w:left="720" w:hanging="360"/>
      </w:pPr>
      <w:rPr>
        <w:rFonts w:ascii="Tempus Sans ITC" w:hAnsi="Tempus Sans ITC"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59015489"/>
    <w:multiLevelType w:val="hybridMultilevel"/>
    <w:tmpl w:val="BD5269DE"/>
    <w:lvl w:ilvl="0" w:tplc="8F9A6F88">
      <w:start w:val="1"/>
      <w:numFmt w:val="bullet"/>
      <w:lvlText w:val="-"/>
      <w:lvlJc w:val="left"/>
      <w:pPr>
        <w:ind w:left="720" w:hanging="360"/>
      </w:pPr>
      <w:rPr>
        <w:rFonts w:ascii="Tempus Sans ITC" w:hAnsi="Tempus Sans ITC"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620F23F7"/>
    <w:multiLevelType w:val="hybridMultilevel"/>
    <w:tmpl w:val="177A281C"/>
    <w:lvl w:ilvl="0" w:tplc="682E0624">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2"/>
  </w:num>
  <w:num w:numId="2">
    <w:abstractNumId w:val="4"/>
  </w:num>
  <w:num w:numId="3">
    <w:abstractNumId w:val="7"/>
  </w:num>
  <w:num w:numId="4">
    <w:abstractNumId w:val="0"/>
  </w:num>
  <w:num w:numId="5">
    <w:abstractNumId w:val="1"/>
  </w:num>
  <w:num w:numId="6">
    <w:abstractNumId w:val="6"/>
  </w:num>
  <w:num w:numId="7">
    <w:abstractNumId w:val="3"/>
  </w:num>
  <w:num w:numId="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8"/>
  </w:num>
  <w:num w:numId="14">
    <w:abstractNumId w:val="5"/>
  </w:num>
  <w:num w:numId="15">
    <w:abstractNumId w:val="9"/>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defaultTabStop w:val="708"/>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7DF4"/>
    <w:rsid w:val="0000015E"/>
    <w:rsid w:val="00001C80"/>
    <w:rsid w:val="000025C0"/>
    <w:rsid w:val="00007BBA"/>
    <w:rsid w:val="00007BC6"/>
    <w:rsid w:val="00011B37"/>
    <w:rsid w:val="000124E2"/>
    <w:rsid w:val="00012D1D"/>
    <w:rsid w:val="00013789"/>
    <w:rsid w:val="00013A94"/>
    <w:rsid w:val="000140EA"/>
    <w:rsid w:val="000146C2"/>
    <w:rsid w:val="00014BD2"/>
    <w:rsid w:val="000165A9"/>
    <w:rsid w:val="0001790C"/>
    <w:rsid w:val="000179A3"/>
    <w:rsid w:val="000215D6"/>
    <w:rsid w:val="00021860"/>
    <w:rsid w:val="00022224"/>
    <w:rsid w:val="000222AB"/>
    <w:rsid w:val="00024007"/>
    <w:rsid w:val="000240D3"/>
    <w:rsid w:val="00024785"/>
    <w:rsid w:val="0002630A"/>
    <w:rsid w:val="000267CE"/>
    <w:rsid w:val="00027916"/>
    <w:rsid w:val="0003006E"/>
    <w:rsid w:val="00030FE1"/>
    <w:rsid w:val="00031407"/>
    <w:rsid w:val="000318E4"/>
    <w:rsid w:val="00032372"/>
    <w:rsid w:val="0003254B"/>
    <w:rsid w:val="00034440"/>
    <w:rsid w:val="0003569B"/>
    <w:rsid w:val="00037116"/>
    <w:rsid w:val="000371F2"/>
    <w:rsid w:val="0003766D"/>
    <w:rsid w:val="00040E1C"/>
    <w:rsid w:val="0004217D"/>
    <w:rsid w:val="00044C15"/>
    <w:rsid w:val="00044F6E"/>
    <w:rsid w:val="000460D7"/>
    <w:rsid w:val="00046E84"/>
    <w:rsid w:val="00046EE2"/>
    <w:rsid w:val="00047A25"/>
    <w:rsid w:val="00047AA4"/>
    <w:rsid w:val="00050EA0"/>
    <w:rsid w:val="0005376F"/>
    <w:rsid w:val="000551C5"/>
    <w:rsid w:val="00055D9E"/>
    <w:rsid w:val="00056D97"/>
    <w:rsid w:val="000570DB"/>
    <w:rsid w:val="00057B64"/>
    <w:rsid w:val="00060245"/>
    <w:rsid w:val="0006213B"/>
    <w:rsid w:val="000632DA"/>
    <w:rsid w:val="00063355"/>
    <w:rsid w:val="00064009"/>
    <w:rsid w:val="00064708"/>
    <w:rsid w:val="00064E94"/>
    <w:rsid w:val="00066084"/>
    <w:rsid w:val="00067514"/>
    <w:rsid w:val="000721F5"/>
    <w:rsid w:val="00072876"/>
    <w:rsid w:val="000729DA"/>
    <w:rsid w:val="00073B67"/>
    <w:rsid w:val="00075A64"/>
    <w:rsid w:val="00075FF1"/>
    <w:rsid w:val="000775C6"/>
    <w:rsid w:val="00080E21"/>
    <w:rsid w:val="00080E6C"/>
    <w:rsid w:val="00081088"/>
    <w:rsid w:val="000811D6"/>
    <w:rsid w:val="000823C5"/>
    <w:rsid w:val="000830B1"/>
    <w:rsid w:val="000839DD"/>
    <w:rsid w:val="00084467"/>
    <w:rsid w:val="00084799"/>
    <w:rsid w:val="00084D73"/>
    <w:rsid w:val="0008505F"/>
    <w:rsid w:val="000858C9"/>
    <w:rsid w:val="00087EAF"/>
    <w:rsid w:val="0009445E"/>
    <w:rsid w:val="00095674"/>
    <w:rsid w:val="00095980"/>
    <w:rsid w:val="00095B11"/>
    <w:rsid w:val="00096762"/>
    <w:rsid w:val="00097902"/>
    <w:rsid w:val="000A00A9"/>
    <w:rsid w:val="000A0679"/>
    <w:rsid w:val="000A0A8B"/>
    <w:rsid w:val="000A17E4"/>
    <w:rsid w:val="000A324E"/>
    <w:rsid w:val="000A4674"/>
    <w:rsid w:val="000A4AED"/>
    <w:rsid w:val="000A5470"/>
    <w:rsid w:val="000A5B99"/>
    <w:rsid w:val="000A60A2"/>
    <w:rsid w:val="000A6183"/>
    <w:rsid w:val="000A64DF"/>
    <w:rsid w:val="000A72F6"/>
    <w:rsid w:val="000B06B6"/>
    <w:rsid w:val="000B1538"/>
    <w:rsid w:val="000B23B2"/>
    <w:rsid w:val="000B25DE"/>
    <w:rsid w:val="000B2DB4"/>
    <w:rsid w:val="000B71D3"/>
    <w:rsid w:val="000C020B"/>
    <w:rsid w:val="000C0AD7"/>
    <w:rsid w:val="000C40D2"/>
    <w:rsid w:val="000C521C"/>
    <w:rsid w:val="000C5DD6"/>
    <w:rsid w:val="000C7E72"/>
    <w:rsid w:val="000D00D2"/>
    <w:rsid w:val="000D034F"/>
    <w:rsid w:val="000D0566"/>
    <w:rsid w:val="000D2F95"/>
    <w:rsid w:val="000D36D9"/>
    <w:rsid w:val="000D37CE"/>
    <w:rsid w:val="000D4883"/>
    <w:rsid w:val="000D502E"/>
    <w:rsid w:val="000D5A28"/>
    <w:rsid w:val="000D5C00"/>
    <w:rsid w:val="000D5D2C"/>
    <w:rsid w:val="000D6D91"/>
    <w:rsid w:val="000D71AC"/>
    <w:rsid w:val="000D766F"/>
    <w:rsid w:val="000D7DB7"/>
    <w:rsid w:val="000E0515"/>
    <w:rsid w:val="000E0C07"/>
    <w:rsid w:val="000E19D8"/>
    <w:rsid w:val="000E1EA9"/>
    <w:rsid w:val="000E60CC"/>
    <w:rsid w:val="000E6512"/>
    <w:rsid w:val="000E7B94"/>
    <w:rsid w:val="000F2620"/>
    <w:rsid w:val="000F2C75"/>
    <w:rsid w:val="000F2D25"/>
    <w:rsid w:val="000F4412"/>
    <w:rsid w:val="000F47F6"/>
    <w:rsid w:val="000F5831"/>
    <w:rsid w:val="000F5C94"/>
    <w:rsid w:val="000F6F33"/>
    <w:rsid w:val="000F6FEE"/>
    <w:rsid w:val="000F7B4C"/>
    <w:rsid w:val="001013CC"/>
    <w:rsid w:val="00101704"/>
    <w:rsid w:val="00102FBA"/>
    <w:rsid w:val="00103410"/>
    <w:rsid w:val="001050AB"/>
    <w:rsid w:val="00106155"/>
    <w:rsid w:val="001066C2"/>
    <w:rsid w:val="00110EEF"/>
    <w:rsid w:val="0011203F"/>
    <w:rsid w:val="00112059"/>
    <w:rsid w:val="00115856"/>
    <w:rsid w:val="00117DD7"/>
    <w:rsid w:val="001204E0"/>
    <w:rsid w:val="00121003"/>
    <w:rsid w:val="00121179"/>
    <w:rsid w:val="00122981"/>
    <w:rsid w:val="001230BD"/>
    <w:rsid w:val="001248E0"/>
    <w:rsid w:val="0012524F"/>
    <w:rsid w:val="0012762B"/>
    <w:rsid w:val="00130B9B"/>
    <w:rsid w:val="00130DBE"/>
    <w:rsid w:val="0013115B"/>
    <w:rsid w:val="001320AD"/>
    <w:rsid w:val="00132461"/>
    <w:rsid w:val="00132635"/>
    <w:rsid w:val="00132756"/>
    <w:rsid w:val="00132769"/>
    <w:rsid w:val="001330B3"/>
    <w:rsid w:val="0013358D"/>
    <w:rsid w:val="0013463F"/>
    <w:rsid w:val="00136A19"/>
    <w:rsid w:val="00136DE3"/>
    <w:rsid w:val="00141760"/>
    <w:rsid w:val="00142F50"/>
    <w:rsid w:val="0014370F"/>
    <w:rsid w:val="0014391C"/>
    <w:rsid w:val="0014448D"/>
    <w:rsid w:val="00145369"/>
    <w:rsid w:val="0014705A"/>
    <w:rsid w:val="00150758"/>
    <w:rsid w:val="00150C95"/>
    <w:rsid w:val="00151D7F"/>
    <w:rsid w:val="0015430E"/>
    <w:rsid w:val="001559EF"/>
    <w:rsid w:val="00156B92"/>
    <w:rsid w:val="001571B2"/>
    <w:rsid w:val="00160A24"/>
    <w:rsid w:val="00160C7A"/>
    <w:rsid w:val="001615B1"/>
    <w:rsid w:val="0016242C"/>
    <w:rsid w:val="00163A69"/>
    <w:rsid w:val="001641F5"/>
    <w:rsid w:val="0016560E"/>
    <w:rsid w:val="0016692C"/>
    <w:rsid w:val="001677EF"/>
    <w:rsid w:val="0017033D"/>
    <w:rsid w:val="00170DD6"/>
    <w:rsid w:val="00171F43"/>
    <w:rsid w:val="001742FA"/>
    <w:rsid w:val="00174897"/>
    <w:rsid w:val="00174E92"/>
    <w:rsid w:val="00176288"/>
    <w:rsid w:val="001763CB"/>
    <w:rsid w:val="00176779"/>
    <w:rsid w:val="00176D14"/>
    <w:rsid w:val="001813C8"/>
    <w:rsid w:val="00181792"/>
    <w:rsid w:val="00182902"/>
    <w:rsid w:val="001843E2"/>
    <w:rsid w:val="0018555A"/>
    <w:rsid w:val="001865D3"/>
    <w:rsid w:val="00187F25"/>
    <w:rsid w:val="00191D39"/>
    <w:rsid w:val="0019399D"/>
    <w:rsid w:val="001955D4"/>
    <w:rsid w:val="001956CF"/>
    <w:rsid w:val="001958C2"/>
    <w:rsid w:val="00196CF8"/>
    <w:rsid w:val="0019761C"/>
    <w:rsid w:val="00197744"/>
    <w:rsid w:val="00197C5F"/>
    <w:rsid w:val="00197EDE"/>
    <w:rsid w:val="001A0A09"/>
    <w:rsid w:val="001A0BEA"/>
    <w:rsid w:val="001A1558"/>
    <w:rsid w:val="001A1D4C"/>
    <w:rsid w:val="001A3777"/>
    <w:rsid w:val="001A695D"/>
    <w:rsid w:val="001A6D7A"/>
    <w:rsid w:val="001A7C69"/>
    <w:rsid w:val="001B053D"/>
    <w:rsid w:val="001B06B2"/>
    <w:rsid w:val="001B2A64"/>
    <w:rsid w:val="001B44F3"/>
    <w:rsid w:val="001B554D"/>
    <w:rsid w:val="001B7DC2"/>
    <w:rsid w:val="001C18D0"/>
    <w:rsid w:val="001C34B9"/>
    <w:rsid w:val="001C418F"/>
    <w:rsid w:val="001C4DE9"/>
    <w:rsid w:val="001C514A"/>
    <w:rsid w:val="001C5C4B"/>
    <w:rsid w:val="001C674C"/>
    <w:rsid w:val="001C7DA7"/>
    <w:rsid w:val="001C7FDB"/>
    <w:rsid w:val="001D00B2"/>
    <w:rsid w:val="001D27F1"/>
    <w:rsid w:val="001D47C3"/>
    <w:rsid w:val="001D554D"/>
    <w:rsid w:val="001D5613"/>
    <w:rsid w:val="001D5CBA"/>
    <w:rsid w:val="001D5D4E"/>
    <w:rsid w:val="001E0F8B"/>
    <w:rsid w:val="001E1783"/>
    <w:rsid w:val="001E17F0"/>
    <w:rsid w:val="001E1C24"/>
    <w:rsid w:val="001E2D3E"/>
    <w:rsid w:val="001E2EA5"/>
    <w:rsid w:val="001E309E"/>
    <w:rsid w:val="001E4B10"/>
    <w:rsid w:val="001E4CFF"/>
    <w:rsid w:val="001E4D5B"/>
    <w:rsid w:val="001E5713"/>
    <w:rsid w:val="001E73A4"/>
    <w:rsid w:val="001F0077"/>
    <w:rsid w:val="001F279A"/>
    <w:rsid w:val="001F28C0"/>
    <w:rsid w:val="001F37B4"/>
    <w:rsid w:val="001F37CB"/>
    <w:rsid w:val="001F4D54"/>
    <w:rsid w:val="001F6AFD"/>
    <w:rsid w:val="001F7137"/>
    <w:rsid w:val="002002FC"/>
    <w:rsid w:val="00201417"/>
    <w:rsid w:val="00202BCE"/>
    <w:rsid w:val="002033B6"/>
    <w:rsid w:val="002034BB"/>
    <w:rsid w:val="002048C7"/>
    <w:rsid w:val="002059BE"/>
    <w:rsid w:val="00206F6C"/>
    <w:rsid w:val="0021092E"/>
    <w:rsid w:val="00210C25"/>
    <w:rsid w:val="00213013"/>
    <w:rsid w:val="00213FF1"/>
    <w:rsid w:val="00214619"/>
    <w:rsid w:val="00216853"/>
    <w:rsid w:val="002172ED"/>
    <w:rsid w:val="002174F1"/>
    <w:rsid w:val="00217988"/>
    <w:rsid w:val="00217DB8"/>
    <w:rsid w:val="0022361B"/>
    <w:rsid w:val="002270B3"/>
    <w:rsid w:val="0022744E"/>
    <w:rsid w:val="002276BC"/>
    <w:rsid w:val="00231045"/>
    <w:rsid w:val="00233158"/>
    <w:rsid w:val="002352A4"/>
    <w:rsid w:val="002356A4"/>
    <w:rsid w:val="002358C2"/>
    <w:rsid w:val="002371C7"/>
    <w:rsid w:val="0023720F"/>
    <w:rsid w:val="00237A8F"/>
    <w:rsid w:val="002400E7"/>
    <w:rsid w:val="002403EF"/>
    <w:rsid w:val="0024041E"/>
    <w:rsid w:val="00241D32"/>
    <w:rsid w:val="00242D0A"/>
    <w:rsid w:val="002440B8"/>
    <w:rsid w:val="0024590E"/>
    <w:rsid w:val="0024741A"/>
    <w:rsid w:val="00251869"/>
    <w:rsid w:val="002546C0"/>
    <w:rsid w:val="00254C99"/>
    <w:rsid w:val="00255270"/>
    <w:rsid w:val="00256C2C"/>
    <w:rsid w:val="00260994"/>
    <w:rsid w:val="00261808"/>
    <w:rsid w:val="002630E6"/>
    <w:rsid w:val="00263549"/>
    <w:rsid w:val="002643B3"/>
    <w:rsid w:val="00264519"/>
    <w:rsid w:val="00264CDF"/>
    <w:rsid w:val="002657A6"/>
    <w:rsid w:val="00265900"/>
    <w:rsid w:val="0026741B"/>
    <w:rsid w:val="00272655"/>
    <w:rsid w:val="00273661"/>
    <w:rsid w:val="00275540"/>
    <w:rsid w:val="00281337"/>
    <w:rsid w:val="00284BCA"/>
    <w:rsid w:val="00284E26"/>
    <w:rsid w:val="0028623B"/>
    <w:rsid w:val="00286337"/>
    <w:rsid w:val="00286D2F"/>
    <w:rsid w:val="00287E74"/>
    <w:rsid w:val="00290445"/>
    <w:rsid w:val="00290919"/>
    <w:rsid w:val="00291179"/>
    <w:rsid w:val="0029147C"/>
    <w:rsid w:val="00292903"/>
    <w:rsid w:val="00293607"/>
    <w:rsid w:val="00293DCE"/>
    <w:rsid w:val="00293EF3"/>
    <w:rsid w:val="002953B8"/>
    <w:rsid w:val="002962DB"/>
    <w:rsid w:val="0029666B"/>
    <w:rsid w:val="0029744F"/>
    <w:rsid w:val="002A08A9"/>
    <w:rsid w:val="002A093E"/>
    <w:rsid w:val="002A0A96"/>
    <w:rsid w:val="002A16CA"/>
    <w:rsid w:val="002A1B46"/>
    <w:rsid w:val="002A2C79"/>
    <w:rsid w:val="002A2EFD"/>
    <w:rsid w:val="002A2F8D"/>
    <w:rsid w:val="002A4549"/>
    <w:rsid w:val="002A478F"/>
    <w:rsid w:val="002A4852"/>
    <w:rsid w:val="002B1786"/>
    <w:rsid w:val="002B2762"/>
    <w:rsid w:val="002B39F6"/>
    <w:rsid w:val="002B705E"/>
    <w:rsid w:val="002B76CD"/>
    <w:rsid w:val="002B77EB"/>
    <w:rsid w:val="002B7C0E"/>
    <w:rsid w:val="002C1307"/>
    <w:rsid w:val="002C2973"/>
    <w:rsid w:val="002C65BB"/>
    <w:rsid w:val="002D01F8"/>
    <w:rsid w:val="002D1866"/>
    <w:rsid w:val="002D2B09"/>
    <w:rsid w:val="002D2D26"/>
    <w:rsid w:val="002D3768"/>
    <w:rsid w:val="002D3ECE"/>
    <w:rsid w:val="002D603A"/>
    <w:rsid w:val="002E027C"/>
    <w:rsid w:val="002E1480"/>
    <w:rsid w:val="002E1F75"/>
    <w:rsid w:val="002E24F1"/>
    <w:rsid w:val="002E2D01"/>
    <w:rsid w:val="002E3FD4"/>
    <w:rsid w:val="002E40FB"/>
    <w:rsid w:val="002E5181"/>
    <w:rsid w:val="002E639E"/>
    <w:rsid w:val="002E6831"/>
    <w:rsid w:val="002E688C"/>
    <w:rsid w:val="002E7276"/>
    <w:rsid w:val="002E7529"/>
    <w:rsid w:val="002E77DF"/>
    <w:rsid w:val="002E7C1E"/>
    <w:rsid w:val="002F0CCF"/>
    <w:rsid w:val="002F2F57"/>
    <w:rsid w:val="002F3600"/>
    <w:rsid w:val="002F39CA"/>
    <w:rsid w:val="002F3DDC"/>
    <w:rsid w:val="002F4898"/>
    <w:rsid w:val="002F57BA"/>
    <w:rsid w:val="002F7C41"/>
    <w:rsid w:val="003002B3"/>
    <w:rsid w:val="00300FD8"/>
    <w:rsid w:val="00301966"/>
    <w:rsid w:val="00302BEB"/>
    <w:rsid w:val="00303F4A"/>
    <w:rsid w:val="00304DFB"/>
    <w:rsid w:val="00306309"/>
    <w:rsid w:val="00306977"/>
    <w:rsid w:val="00307B59"/>
    <w:rsid w:val="00307F49"/>
    <w:rsid w:val="0031153D"/>
    <w:rsid w:val="00311636"/>
    <w:rsid w:val="00312422"/>
    <w:rsid w:val="00312829"/>
    <w:rsid w:val="00313094"/>
    <w:rsid w:val="00313D9B"/>
    <w:rsid w:val="00314F0E"/>
    <w:rsid w:val="00315F17"/>
    <w:rsid w:val="00320D94"/>
    <w:rsid w:val="00321BBE"/>
    <w:rsid w:val="00323E2F"/>
    <w:rsid w:val="00326732"/>
    <w:rsid w:val="00326DD7"/>
    <w:rsid w:val="003274EF"/>
    <w:rsid w:val="00327602"/>
    <w:rsid w:val="00331522"/>
    <w:rsid w:val="0033153B"/>
    <w:rsid w:val="00331F34"/>
    <w:rsid w:val="00333A30"/>
    <w:rsid w:val="003342AB"/>
    <w:rsid w:val="00334668"/>
    <w:rsid w:val="0033487C"/>
    <w:rsid w:val="0033778B"/>
    <w:rsid w:val="00341E02"/>
    <w:rsid w:val="00343249"/>
    <w:rsid w:val="00343D28"/>
    <w:rsid w:val="00344235"/>
    <w:rsid w:val="00344B4A"/>
    <w:rsid w:val="00345722"/>
    <w:rsid w:val="00345FE9"/>
    <w:rsid w:val="0034774E"/>
    <w:rsid w:val="003506D7"/>
    <w:rsid w:val="0035080B"/>
    <w:rsid w:val="00350D16"/>
    <w:rsid w:val="00350FD1"/>
    <w:rsid w:val="00351B9F"/>
    <w:rsid w:val="00351F60"/>
    <w:rsid w:val="0035334E"/>
    <w:rsid w:val="0035381D"/>
    <w:rsid w:val="00353A5E"/>
    <w:rsid w:val="00353D95"/>
    <w:rsid w:val="00356323"/>
    <w:rsid w:val="00356463"/>
    <w:rsid w:val="00357EAB"/>
    <w:rsid w:val="003600E4"/>
    <w:rsid w:val="00361037"/>
    <w:rsid w:val="00361BCB"/>
    <w:rsid w:val="00362F84"/>
    <w:rsid w:val="003661AA"/>
    <w:rsid w:val="00366739"/>
    <w:rsid w:val="00366DF4"/>
    <w:rsid w:val="00367D5F"/>
    <w:rsid w:val="00367DCB"/>
    <w:rsid w:val="00370234"/>
    <w:rsid w:val="003718CA"/>
    <w:rsid w:val="00371917"/>
    <w:rsid w:val="003722DE"/>
    <w:rsid w:val="00372F82"/>
    <w:rsid w:val="00373032"/>
    <w:rsid w:val="003738E3"/>
    <w:rsid w:val="003740FC"/>
    <w:rsid w:val="00374C04"/>
    <w:rsid w:val="003757F1"/>
    <w:rsid w:val="00375B7B"/>
    <w:rsid w:val="00375C52"/>
    <w:rsid w:val="00375E09"/>
    <w:rsid w:val="0037736D"/>
    <w:rsid w:val="00377B53"/>
    <w:rsid w:val="00380281"/>
    <w:rsid w:val="0038048E"/>
    <w:rsid w:val="00381133"/>
    <w:rsid w:val="00384372"/>
    <w:rsid w:val="00384A9B"/>
    <w:rsid w:val="00386431"/>
    <w:rsid w:val="00387BAD"/>
    <w:rsid w:val="00390426"/>
    <w:rsid w:val="0039231C"/>
    <w:rsid w:val="00393F6E"/>
    <w:rsid w:val="003963C1"/>
    <w:rsid w:val="0039651F"/>
    <w:rsid w:val="00396FF4"/>
    <w:rsid w:val="003A0DA9"/>
    <w:rsid w:val="003A1114"/>
    <w:rsid w:val="003A19C3"/>
    <w:rsid w:val="003A1DB1"/>
    <w:rsid w:val="003A2318"/>
    <w:rsid w:val="003A2428"/>
    <w:rsid w:val="003A3142"/>
    <w:rsid w:val="003A42CB"/>
    <w:rsid w:val="003A486C"/>
    <w:rsid w:val="003A4CD8"/>
    <w:rsid w:val="003A4FE4"/>
    <w:rsid w:val="003A77C1"/>
    <w:rsid w:val="003A7DA0"/>
    <w:rsid w:val="003B012B"/>
    <w:rsid w:val="003B101E"/>
    <w:rsid w:val="003B1EED"/>
    <w:rsid w:val="003B227B"/>
    <w:rsid w:val="003B2F32"/>
    <w:rsid w:val="003B47F1"/>
    <w:rsid w:val="003B5E8E"/>
    <w:rsid w:val="003B61FA"/>
    <w:rsid w:val="003B6FC8"/>
    <w:rsid w:val="003C0D1E"/>
    <w:rsid w:val="003C3A8C"/>
    <w:rsid w:val="003C3BBF"/>
    <w:rsid w:val="003C4040"/>
    <w:rsid w:val="003C641F"/>
    <w:rsid w:val="003D19FC"/>
    <w:rsid w:val="003D2A14"/>
    <w:rsid w:val="003D2B53"/>
    <w:rsid w:val="003D34AA"/>
    <w:rsid w:val="003D3921"/>
    <w:rsid w:val="003D683E"/>
    <w:rsid w:val="003D75E7"/>
    <w:rsid w:val="003D7E49"/>
    <w:rsid w:val="003E20FB"/>
    <w:rsid w:val="003E2259"/>
    <w:rsid w:val="003E232E"/>
    <w:rsid w:val="003E378E"/>
    <w:rsid w:val="003E4D02"/>
    <w:rsid w:val="003E4E9C"/>
    <w:rsid w:val="003E5BB2"/>
    <w:rsid w:val="003E5D2B"/>
    <w:rsid w:val="003E6254"/>
    <w:rsid w:val="003E64B9"/>
    <w:rsid w:val="003E6BD0"/>
    <w:rsid w:val="003E7054"/>
    <w:rsid w:val="003F0583"/>
    <w:rsid w:val="003F118C"/>
    <w:rsid w:val="003F16B1"/>
    <w:rsid w:val="003F32A7"/>
    <w:rsid w:val="003F36F7"/>
    <w:rsid w:val="003F3B43"/>
    <w:rsid w:val="003F4290"/>
    <w:rsid w:val="003F6A6B"/>
    <w:rsid w:val="003F6D81"/>
    <w:rsid w:val="003F6F8D"/>
    <w:rsid w:val="003F7655"/>
    <w:rsid w:val="00401182"/>
    <w:rsid w:val="0040141D"/>
    <w:rsid w:val="00401845"/>
    <w:rsid w:val="004035A4"/>
    <w:rsid w:val="0040433C"/>
    <w:rsid w:val="00404490"/>
    <w:rsid w:val="00404D90"/>
    <w:rsid w:val="004056F7"/>
    <w:rsid w:val="004057F4"/>
    <w:rsid w:val="00406F87"/>
    <w:rsid w:val="00410B54"/>
    <w:rsid w:val="00410DFA"/>
    <w:rsid w:val="004112BD"/>
    <w:rsid w:val="00412DBB"/>
    <w:rsid w:val="00413250"/>
    <w:rsid w:val="004149E7"/>
    <w:rsid w:val="00415BFE"/>
    <w:rsid w:val="00416798"/>
    <w:rsid w:val="00416E85"/>
    <w:rsid w:val="0042449A"/>
    <w:rsid w:val="00424896"/>
    <w:rsid w:val="00425653"/>
    <w:rsid w:val="0042645D"/>
    <w:rsid w:val="0042662E"/>
    <w:rsid w:val="004273BB"/>
    <w:rsid w:val="004279FE"/>
    <w:rsid w:val="00427CDE"/>
    <w:rsid w:val="0043027A"/>
    <w:rsid w:val="0043130B"/>
    <w:rsid w:val="00431DE0"/>
    <w:rsid w:val="00432528"/>
    <w:rsid w:val="00432B22"/>
    <w:rsid w:val="00435122"/>
    <w:rsid w:val="00436211"/>
    <w:rsid w:val="00436DBF"/>
    <w:rsid w:val="004373B4"/>
    <w:rsid w:val="00437995"/>
    <w:rsid w:val="004379BE"/>
    <w:rsid w:val="00437EBD"/>
    <w:rsid w:val="004404C4"/>
    <w:rsid w:val="00441B5E"/>
    <w:rsid w:val="004428F5"/>
    <w:rsid w:val="004440E1"/>
    <w:rsid w:val="004442FC"/>
    <w:rsid w:val="00444471"/>
    <w:rsid w:val="0044501F"/>
    <w:rsid w:val="004450F0"/>
    <w:rsid w:val="0044530F"/>
    <w:rsid w:val="0044604D"/>
    <w:rsid w:val="00450D0E"/>
    <w:rsid w:val="0045156C"/>
    <w:rsid w:val="00451BFD"/>
    <w:rsid w:val="004546F2"/>
    <w:rsid w:val="004552BF"/>
    <w:rsid w:val="00455672"/>
    <w:rsid w:val="00456B3D"/>
    <w:rsid w:val="00460C76"/>
    <w:rsid w:val="004615E0"/>
    <w:rsid w:val="004619CE"/>
    <w:rsid w:val="00462737"/>
    <w:rsid w:val="004643E9"/>
    <w:rsid w:val="004652CB"/>
    <w:rsid w:val="004661C3"/>
    <w:rsid w:val="00466DCA"/>
    <w:rsid w:val="00466EF2"/>
    <w:rsid w:val="00470B15"/>
    <w:rsid w:val="00470ED1"/>
    <w:rsid w:val="0047106A"/>
    <w:rsid w:val="00471E88"/>
    <w:rsid w:val="0047300F"/>
    <w:rsid w:val="0047534A"/>
    <w:rsid w:val="004757DA"/>
    <w:rsid w:val="004758C5"/>
    <w:rsid w:val="00476A0A"/>
    <w:rsid w:val="0047759B"/>
    <w:rsid w:val="00480070"/>
    <w:rsid w:val="00480462"/>
    <w:rsid w:val="00481FB3"/>
    <w:rsid w:val="004835EF"/>
    <w:rsid w:val="00484CE5"/>
    <w:rsid w:val="00487C3A"/>
    <w:rsid w:val="00490A2B"/>
    <w:rsid w:val="00491834"/>
    <w:rsid w:val="00491C5E"/>
    <w:rsid w:val="0049296E"/>
    <w:rsid w:val="004929E4"/>
    <w:rsid w:val="00493BF4"/>
    <w:rsid w:val="00494F10"/>
    <w:rsid w:val="00494F53"/>
    <w:rsid w:val="00497C43"/>
    <w:rsid w:val="004A1403"/>
    <w:rsid w:val="004A1725"/>
    <w:rsid w:val="004A18E9"/>
    <w:rsid w:val="004A2D0A"/>
    <w:rsid w:val="004A361A"/>
    <w:rsid w:val="004A6217"/>
    <w:rsid w:val="004A6C08"/>
    <w:rsid w:val="004A723D"/>
    <w:rsid w:val="004A7761"/>
    <w:rsid w:val="004A784A"/>
    <w:rsid w:val="004A79CF"/>
    <w:rsid w:val="004A7B9B"/>
    <w:rsid w:val="004A7BD5"/>
    <w:rsid w:val="004B0BA5"/>
    <w:rsid w:val="004B2B58"/>
    <w:rsid w:val="004B2BBC"/>
    <w:rsid w:val="004B32AF"/>
    <w:rsid w:val="004B432C"/>
    <w:rsid w:val="004B458A"/>
    <w:rsid w:val="004B45BD"/>
    <w:rsid w:val="004B49B3"/>
    <w:rsid w:val="004B50A1"/>
    <w:rsid w:val="004B5540"/>
    <w:rsid w:val="004B589E"/>
    <w:rsid w:val="004B5E08"/>
    <w:rsid w:val="004B5EBF"/>
    <w:rsid w:val="004B7AF8"/>
    <w:rsid w:val="004C4863"/>
    <w:rsid w:val="004C6B6E"/>
    <w:rsid w:val="004C7597"/>
    <w:rsid w:val="004C7D1C"/>
    <w:rsid w:val="004D1E2A"/>
    <w:rsid w:val="004D356B"/>
    <w:rsid w:val="004D3EB3"/>
    <w:rsid w:val="004D4E5D"/>
    <w:rsid w:val="004D5C3A"/>
    <w:rsid w:val="004D5FAC"/>
    <w:rsid w:val="004D657C"/>
    <w:rsid w:val="004D6884"/>
    <w:rsid w:val="004D68CA"/>
    <w:rsid w:val="004D7AA6"/>
    <w:rsid w:val="004D7DF5"/>
    <w:rsid w:val="004E14CB"/>
    <w:rsid w:val="004E1DDE"/>
    <w:rsid w:val="004E2102"/>
    <w:rsid w:val="004E2747"/>
    <w:rsid w:val="004E2F63"/>
    <w:rsid w:val="004E303B"/>
    <w:rsid w:val="004E5303"/>
    <w:rsid w:val="004E73C7"/>
    <w:rsid w:val="004F0FA1"/>
    <w:rsid w:val="004F16FC"/>
    <w:rsid w:val="004F5419"/>
    <w:rsid w:val="004F7A70"/>
    <w:rsid w:val="004F7FAB"/>
    <w:rsid w:val="00501970"/>
    <w:rsid w:val="0050253D"/>
    <w:rsid w:val="005029D1"/>
    <w:rsid w:val="00503232"/>
    <w:rsid w:val="00504E24"/>
    <w:rsid w:val="005052E4"/>
    <w:rsid w:val="00505A73"/>
    <w:rsid w:val="0050794E"/>
    <w:rsid w:val="00507AC6"/>
    <w:rsid w:val="00510086"/>
    <w:rsid w:val="005116FC"/>
    <w:rsid w:val="005117BC"/>
    <w:rsid w:val="00512008"/>
    <w:rsid w:val="00515642"/>
    <w:rsid w:val="00516DAD"/>
    <w:rsid w:val="005172E6"/>
    <w:rsid w:val="00517A1E"/>
    <w:rsid w:val="00520850"/>
    <w:rsid w:val="00521D09"/>
    <w:rsid w:val="00521EB2"/>
    <w:rsid w:val="00522294"/>
    <w:rsid w:val="00522AE5"/>
    <w:rsid w:val="005251F4"/>
    <w:rsid w:val="0052587B"/>
    <w:rsid w:val="005278E0"/>
    <w:rsid w:val="00533904"/>
    <w:rsid w:val="00533AE5"/>
    <w:rsid w:val="005341D2"/>
    <w:rsid w:val="0053439B"/>
    <w:rsid w:val="0053479E"/>
    <w:rsid w:val="00534EB9"/>
    <w:rsid w:val="00535EED"/>
    <w:rsid w:val="00536B89"/>
    <w:rsid w:val="00536DA7"/>
    <w:rsid w:val="00537872"/>
    <w:rsid w:val="00537DF4"/>
    <w:rsid w:val="00537E79"/>
    <w:rsid w:val="00540CB8"/>
    <w:rsid w:val="00541DDE"/>
    <w:rsid w:val="0054273D"/>
    <w:rsid w:val="00542A25"/>
    <w:rsid w:val="00542C35"/>
    <w:rsid w:val="00543125"/>
    <w:rsid w:val="00544B18"/>
    <w:rsid w:val="00544F0E"/>
    <w:rsid w:val="00546BC9"/>
    <w:rsid w:val="00551468"/>
    <w:rsid w:val="0055155C"/>
    <w:rsid w:val="0055243E"/>
    <w:rsid w:val="00553301"/>
    <w:rsid w:val="0055387A"/>
    <w:rsid w:val="00554C39"/>
    <w:rsid w:val="00554E19"/>
    <w:rsid w:val="005552D7"/>
    <w:rsid w:val="0055795E"/>
    <w:rsid w:val="00561C0C"/>
    <w:rsid w:val="0056234E"/>
    <w:rsid w:val="00563C49"/>
    <w:rsid w:val="00564E8A"/>
    <w:rsid w:val="00565A29"/>
    <w:rsid w:val="00566CC6"/>
    <w:rsid w:val="0056714B"/>
    <w:rsid w:val="00567270"/>
    <w:rsid w:val="00570C06"/>
    <w:rsid w:val="00571311"/>
    <w:rsid w:val="00571B70"/>
    <w:rsid w:val="00571EDB"/>
    <w:rsid w:val="00573067"/>
    <w:rsid w:val="00573D4B"/>
    <w:rsid w:val="00576001"/>
    <w:rsid w:val="00577806"/>
    <w:rsid w:val="00577F5D"/>
    <w:rsid w:val="005804FB"/>
    <w:rsid w:val="005818E8"/>
    <w:rsid w:val="00587978"/>
    <w:rsid w:val="0059010A"/>
    <w:rsid w:val="00590BDC"/>
    <w:rsid w:val="005938F6"/>
    <w:rsid w:val="00593AC2"/>
    <w:rsid w:val="00596846"/>
    <w:rsid w:val="005A085F"/>
    <w:rsid w:val="005A1B98"/>
    <w:rsid w:val="005A3177"/>
    <w:rsid w:val="005A33AD"/>
    <w:rsid w:val="005A3C8A"/>
    <w:rsid w:val="005A4FD7"/>
    <w:rsid w:val="005A5366"/>
    <w:rsid w:val="005A5560"/>
    <w:rsid w:val="005B0A8E"/>
    <w:rsid w:val="005B1375"/>
    <w:rsid w:val="005B1EA2"/>
    <w:rsid w:val="005B2A48"/>
    <w:rsid w:val="005B3DB3"/>
    <w:rsid w:val="005B6FF3"/>
    <w:rsid w:val="005B7B4E"/>
    <w:rsid w:val="005C13FD"/>
    <w:rsid w:val="005C3145"/>
    <w:rsid w:val="005C4A38"/>
    <w:rsid w:val="005C6567"/>
    <w:rsid w:val="005C7B66"/>
    <w:rsid w:val="005D0FAE"/>
    <w:rsid w:val="005D1F3C"/>
    <w:rsid w:val="005D27F7"/>
    <w:rsid w:val="005D2D37"/>
    <w:rsid w:val="005D3081"/>
    <w:rsid w:val="005D35B6"/>
    <w:rsid w:val="005D5DFD"/>
    <w:rsid w:val="005D64CD"/>
    <w:rsid w:val="005D6B38"/>
    <w:rsid w:val="005E02A5"/>
    <w:rsid w:val="005E04FD"/>
    <w:rsid w:val="005E059C"/>
    <w:rsid w:val="005E0CEE"/>
    <w:rsid w:val="005E3497"/>
    <w:rsid w:val="005E3DD9"/>
    <w:rsid w:val="005E3E9F"/>
    <w:rsid w:val="005E4A96"/>
    <w:rsid w:val="005E4BD2"/>
    <w:rsid w:val="005E5395"/>
    <w:rsid w:val="005E5ACA"/>
    <w:rsid w:val="005E62BD"/>
    <w:rsid w:val="005E7DAC"/>
    <w:rsid w:val="005F1051"/>
    <w:rsid w:val="005F1687"/>
    <w:rsid w:val="005F1BEA"/>
    <w:rsid w:val="005F371D"/>
    <w:rsid w:val="005F393E"/>
    <w:rsid w:val="005F5A11"/>
    <w:rsid w:val="005F5BC6"/>
    <w:rsid w:val="005F6380"/>
    <w:rsid w:val="005F6406"/>
    <w:rsid w:val="005F667F"/>
    <w:rsid w:val="005F6C38"/>
    <w:rsid w:val="005F715F"/>
    <w:rsid w:val="005F7CE5"/>
    <w:rsid w:val="0060143A"/>
    <w:rsid w:val="006042DA"/>
    <w:rsid w:val="006066AF"/>
    <w:rsid w:val="00606B26"/>
    <w:rsid w:val="006071AE"/>
    <w:rsid w:val="00607649"/>
    <w:rsid w:val="00610B6A"/>
    <w:rsid w:val="006124A8"/>
    <w:rsid w:val="00612FB9"/>
    <w:rsid w:val="00615B0A"/>
    <w:rsid w:val="00616EFC"/>
    <w:rsid w:val="00616F2E"/>
    <w:rsid w:val="0061767A"/>
    <w:rsid w:val="00617DF1"/>
    <w:rsid w:val="00621106"/>
    <w:rsid w:val="00623053"/>
    <w:rsid w:val="00623C97"/>
    <w:rsid w:val="00624792"/>
    <w:rsid w:val="00624CA1"/>
    <w:rsid w:val="0062586F"/>
    <w:rsid w:val="00625CAA"/>
    <w:rsid w:val="00626031"/>
    <w:rsid w:val="00626B19"/>
    <w:rsid w:val="00626CF9"/>
    <w:rsid w:val="00627229"/>
    <w:rsid w:val="00627596"/>
    <w:rsid w:val="00627600"/>
    <w:rsid w:val="00632D85"/>
    <w:rsid w:val="00632D96"/>
    <w:rsid w:val="0063311B"/>
    <w:rsid w:val="00634C9C"/>
    <w:rsid w:val="0063525D"/>
    <w:rsid w:val="0063563D"/>
    <w:rsid w:val="00635B29"/>
    <w:rsid w:val="00635D1F"/>
    <w:rsid w:val="0063684F"/>
    <w:rsid w:val="00636947"/>
    <w:rsid w:val="00637739"/>
    <w:rsid w:val="0064019F"/>
    <w:rsid w:val="006401E0"/>
    <w:rsid w:val="00640FDD"/>
    <w:rsid w:val="00642D56"/>
    <w:rsid w:val="0064329F"/>
    <w:rsid w:val="00643581"/>
    <w:rsid w:val="00644F33"/>
    <w:rsid w:val="006451D0"/>
    <w:rsid w:val="00645567"/>
    <w:rsid w:val="0064573C"/>
    <w:rsid w:val="00646598"/>
    <w:rsid w:val="00646D37"/>
    <w:rsid w:val="00647291"/>
    <w:rsid w:val="00650C2C"/>
    <w:rsid w:val="00651001"/>
    <w:rsid w:val="006517DA"/>
    <w:rsid w:val="006534D4"/>
    <w:rsid w:val="00653814"/>
    <w:rsid w:val="00654148"/>
    <w:rsid w:val="0065586A"/>
    <w:rsid w:val="006561C1"/>
    <w:rsid w:val="00656500"/>
    <w:rsid w:val="006575C1"/>
    <w:rsid w:val="00660175"/>
    <w:rsid w:val="00661471"/>
    <w:rsid w:val="0066284E"/>
    <w:rsid w:val="006633C8"/>
    <w:rsid w:val="006639B4"/>
    <w:rsid w:val="00664740"/>
    <w:rsid w:val="00665DB0"/>
    <w:rsid w:val="0066645B"/>
    <w:rsid w:val="006664FA"/>
    <w:rsid w:val="00666732"/>
    <w:rsid w:val="00667C89"/>
    <w:rsid w:val="006712F4"/>
    <w:rsid w:val="0067244E"/>
    <w:rsid w:val="00672760"/>
    <w:rsid w:val="00674DB5"/>
    <w:rsid w:val="00674F59"/>
    <w:rsid w:val="00676475"/>
    <w:rsid w:val="00677021"/>
    <w:rsid w:val="0067793B"/>
    <w:rsid w:val="006805DA"/>
    <w:rsid w:val="00680BE4"/>
    <w:rsid w:val="00680C7B"/>
    <w:rsid w:val="0068113D"/>
    <w:rsid w:val="006814A1"/>
    <w:rsid w:val="00681E70"/>
    <w:rsid w:val="00682672"/>
    <w:rsid w:val="00682874"/>
    <w:rsid w:val="006842DC"/>
    <w:rsid w:val="00684A89"/>
    <w:rsid w:val="00684F14"/>
    <w:rsid w:val="006854A4"/>
    <w:rsid w:val="00687F00"/>
    <w:rsid w:val="00691B6B"/>
    <w:rsid w:val="00691FAE"/>
    <w:rsid w:val="00692758"/>
    <w:rsid w:val="00692899"/>
    <w:rsid w:val="0069297C"/>
    <w:rsid w:val="006932BC"/>
    <w:rsid w:val="006A0BBA"/>
    <w:rsid w:val="006A10B6"/>
    <w:rsid w:val="006A18A7"/>
    <w:rsid w:val="006A2EDF"/>
    <w:rsid w:val="006A3E92"/>
    <w:rsid w:val="006A5156"/>
    <w:rsid w:val="006A676F"/>
    <w:rsid w:val="006A6F61"/>
    <w:rsid w:val="006B05EA"/>
    <w:rsid w:val="006B0606"/>
    <w:rsid w:val="006B1FAC"/>
    <w:rsid w:val="006B30CE"/>
    <w:rsid w:val="006B33C7"/>
    <w:rsid w:val="006B43C3"/>
    <w:rsid w:val="006B6594"/>
    <w:rsid w:val="006B73D0"/>
    <w:rsid w:val="006C0D69"/>
    <w:rsid w:val="006C0DDB"/>
    <w:rsid w:val="006C1274"/>
    <w:rsid w:val="006C4057"/>
    <w:rsid w:val="006C5A72"/>
    <w:rsid w:val="006D1F1F"/>
    <w:rsid w:val="006D3B6A"/>
    <w:rsid w:val="006D5C46"/>
    <w:rsid w:val="006E063D"/>
    <w:rsid w:val="006E0C3D"/>
    <w:rsid w:val="006E2D5D"/>
    <w:rsid w:val="006E3BBB"/>
    <w:rsid w:val="006E3EE3"/>
    <w:rsid w:val="006E4626"/>
    <w:rsid w:val="006E5560"/>
    <w:rsid w:val="006E5CB6"/>
    <w:rsid w:val="006E62B0"/>
    <w:rsid w:val="006E6965"/>
    <w:rsid w:val="006E6CAB"/>
    <w:rsid w:val="006F269B"/>
    <w:rsid w:val="006F3D09"/>
    <w:rsid w:val="006F5E06"/>
    <w:rsid w:val="00700B66"/>
    <w:rsid w:val="00700E8F"/>
    <w:rsid w:val="007024C2"/>
    <w:rsid w:val="007047DD"/>
    <w:rsid w:val="00705AFD"/>
    <w:rsid w:val="007065C9"/>
    <w:rsid w:val="00706C43"/>
    <w:rsid w:val="007104C7"/>
    <w:rsid w:val="00710BB4"/>
    <w:rsid w:val="00711D9B"/>
    <w:rsid w:val="0071386B"/>
    <w:rsid w:val="0071583E"/>
    <w:rsid w:val="0071621E"/>
    <w:rsid w:val="00716E2B"/>
    <w:rsid w:val="00717789"/>
    <w:rsid w:val="007211A3"/>
    <w:rsid w:val="00721944"/>
    <w:rsid w:val="00725867"/>
    <w:rsid w:val="00725DAF"/>
    <w:rsid w:val="00725DD3"/>
    <w:rsid w:val="0072777A"/>
    <w:rsid w:val="00727884"/>
    <w:rsid w:val="00727EED"/>
    <w:rsid w:val="00727F63"/>
    <w:rsid w:val="00730372"/>
    <w:rsid w:val="00731788"/>
    <w:rsid w:val="00731993"/>
    <w:rsid w:val="00731D62"/>
    <w:rsid w:val="00731F38"/>
    <w:rsid w:val="007330EE"/>
    <w:rsid w:val="007330F2"/>
    <w:rsid w:val="00736103"/>
    <w:rsid w:val="007361EF"/>
    <w:rsid w:val="00736D39"/>
    <w:rsid w:val="00736FA9"/>
    <w:rsid w:val="00737521"/>
    <w:rsid w:val="00737997"/>
    <w:rsid w:val="00741884"/>
    <w:rsid w:val="00741D70"/>
    <w:rsid w:val="007424D4"/>
    <w:rsid w:val="00743A83"/>
    <w:rsid w:val="0074449B"/>
    <w:rsid w:val="00744814"/>
    <w:rsid w:val="00745B61"/>
    <w:rsid w:val="00746D82"/>
    <w:rsid w:val="007509BA"/>
    <w:rsid w:val="0075226A"/>
    <w:rsid w:val="00753626"/>
    <w:rsid w:val="00753F04"/>
    <w:rsid w:val="007542DB"/>
    <w:rsid w:val="007542EA"/>
    <w:rsid w:val="007556FC"/>
    <w:rsid w:val="00755A3D"/>
    <w:rsid w:val="00755F55"/>
    <w:rsid w:val="00757361"/>
    <w:rsid w:val="00757452"/>
    <w:rsid w:val="007603AD"/>
    <w:rsid w:val="007603AE"/>
    <w:rsid w:val="007607BD"/>
    <w:rsid w:val="007608E6"/>
    <w:rsid w:val="00760F74"/>
    <w:rsid w:val="00761015"/>
    <w:rsid w:val="00761B68"/>
    <w:rsid w:val="007623F7"/>
    <w:rsid w:val="007624AE"/>
    <w:rsid w:val="007632EF"/>
    <w:rsid w:val="00764AB2"/>
    <w:rsid w:val="00770241"/>
    <w:rsid w:val="007702AA"/>
    <w:rsid w:val="00770700"/>
    <w:rsid w:val="00771091"/>
    <w:rsid w:val="00771297"/>
    <w:rsid w:val="0077247E"/>
    <w:rsid w:val="007740A3"/>
    <w:rsid w:val="007755F4"/>
    <w:rsid w:val="00776286"/>
    <w:rsid w:val="00776416"/>
    <w:rsid w:val="00776605"/>
    <w:rsid w:val="007770E8"/>
    <w:rsid w:val="007773B3"/>
    <w:rsid w:val="0078080C"/>
    <w:rsid w:val="00780DDE"/>
    <w:rsid w:val="007811E1"/>
    <w:rsid w:val="0078216D"/>
    <w:rsid w:val="00782F28"/>
    <w:rsid w:val="007847E7"/>
    <w:rsid w:val="00785E68"/>
    <w:rsid w:val="007866C9"/>
    <w:rsid w:val="0079018B"/>
    <w:rsid w:val="007904E4"/>
    <w:rsid w:val="00790C9D"/>
    <w:rsid w:val="00790CE7"/>
    <w:rsid w:val="00792075"/>
    <w:rsid w:val="007949F6"/>
    <w:rsid w:val="00795235"/>
    <w:rsid w:val="007952B0"/>
    <w:rsid w:val="00796EA6"/>
    <w:rsid w:val="007A07E5"/>
    <w:rsid w:val="007A1341"/>
    <w:rsid w:val="007A1AF2"/>
    <w:rsid w:val="007A2E56"/>
    <w:rsid w:val="007A2EAB"/>
    <w:rsid w:val="007A31B3"/>
    <w:rsid w:val="007A4128"/>
    <w:rsid w:val="007A46EA"/>
    <w:rsid w:val="007A4B7C"/>
    <w:rsid w:val="007A60FA"/>
    <w:rsid w:val="007A73E9"/>
    <w:rsid w:val="007B0A24"/>
    <w:rsid w:val="007B10DE"/>
    <w:rsid w:val="007B163D"/>
    <w:rsid w:val="007B18C1"/>
    <w:rsid w:val="007B3B10"/>
    <w:rsid w:val="007B4153"/>
    <w:rsid w:val="007B5819"/>
    <w:rsid w:val="007B7513"/>
    <w:rsid w:val="007C0354"/>
    <w:rsid w:val="007C0F43"/>
    <w:rsid w:val="007C2805"/>
    <w:rsid w:val="007C5B91"/>
    <w:rsid w:val="007C63C7"/>
    <w:rsid w:val="007C77E3"/>
    <w:rsid w:val="007D09C7"/>
    <w:rsid w:val="007D0DE5"/>
    <w:rsid w:val="007D0FF0"/>
    <w:rsid w:val="007D5131"/>
    <w:rsid w:val="007D55D1"/>
    <w:rsid w:val="007D6E10"/>
    <w:rsid w:val="007D702B"/>
    <w:rsid w:val="007E31B2"/>
    <w:rsid w:val="007E3FAC"/>
    <w:rsid w:val="007E4237"/>
    <w:rsid w:val="007E50BE"/>
    <w:rsid w:val="007E555F"/>
    <w:rsid w:val="007E7002"/>
    <w:rsid w:val="007E7EED"/>
    <w:rsid w:val="007F0CB8"/>
    <w:rsid w:val="007F37D2"/>
    <w:rsid w:val="007F56A7"/>
    <w:rsid w:val="007F5F9B"/>
    <w:rsid w:val="00800C89"/>
    <w:rsid w:val="00800E74"/>
    <w:rsid w:val="008028B2"/>
    <w:rsid w:val="00803C5E"/>
    <w:rsid w:val="00804920"/>
    <w:rsid w:val="00805B27"/>
    <w:rsid w:val="00805DB6"/>
    <w:rsid w:val="008067C2"/>
    <w:rsid w:val="008079FC"/>
    <w:rsid w:val="008101C9"/>
    <w:rsid w:val="00810F1F"/>
    <w:rsid w:val="00811C53"/>
    <w:rsid w:val="00811D4E"/>
    <w:rsid w:val="008125B1"/>
    <w:rsid w:val="008130DA"/>
    <w:rsid w:val="0081410A"/>
    <w:rsid w:val="0081433D"/>
    <w:rsid w:val="00816427"/>
    <w:rsid w:val="008166D3"/>
    <w:rsid w:val="008169C2"/>
    <w:rsid w:val="00817FD9"/>
    <w:rsid w:val="00820359"/>
    <w:rsid w:val="00820623"/>
    <w:rsid w:val="00820974"/>
    <w:rsid w:val="0082185C"/>
    <w:rsid w:val="008219B5"/>
    <w:rsid w:val="00823869"/>
    <w:rsid w:val="00830E2C"/>
    <w:rsid w:val="00831806"/>
    <w:rsid w:val="00832866"/>
    <w:rsid w:val="008341C4"/>
    <w:rsid w:val="008367EC"/>
    <w:rsid w:val="0084096B"/>
    <w:rsid w:val="0084271E"/>
    <w:rsid w:val="008432BE"/>
    <w:rsid w:val="008432E0"/>
    <w:rsid w:val="00843BB2"/>
    <w:rsid w:val="00843D3F"/>
    <w:rsid w:val="008442F5"/>
    <w:rsid w:val="00845898"/>
    <w:rsid w:val="008462DA"/>
    <w:rsid w:val="00846C31"/>
    <w:rsid w:val="00846F37"/>
    <w:rsid w:val="00847030"/>
    <w:rsid w:val="0084709C"/>
    <w:rsid w:val="00847225"/>
    <w:rsid w:val="00851A54"/>
    <w:rsid w:val="00852158"/>
    <w:rsid w:val="00852BB6"/>
    <w:rsid w:val="00852EFA"/>
    <w:rsid w:val="00857834"/>
    <w:rsid w:val="008607F7"/>
    <w:rsid w:val="00860F1D"/>
    <w:rsid w:val="00865AEB"/>
    <w:rsid w:val="00866C1A"/>
    <w:rsid w:val="00866DB2"/>
    <w:rsid w:val="0086757F"/>
    <w:rsid w:val="00871AE7"/>
    <w:rsid w:val="00871CC9"/>
    <w:rsid w:val="00871D62"/>
    <w:rsid w:val="00872625"/>
    <w:rsid w:val="00874689"/>
    <w:rsid w:val="008753F8"/>
    <w:rsid w:val="008761CA"/>
    <w:rsid w:val="00876CB6"/>
    <w:rsid w:val="008771F2"/>
    <w:rsid w:val="008775D5"/>
    <w:rsid w:val="00877875"/>
    <w:rsid w:val="00877A02"/>
    <w:rsid w:val="008805C2"/>
    <w:rsid w:val="008806F5"/>
    <w:rsid w:val="008809FB"/>
    <w:rsid w:val="00881659"/>
    <w:rsid w:val="00882487"/>
    <w:rsid w:val="0088427C"/>
    <w:rsid w:val="0088475C"/>
    <w:rsid w:val="00885517"/>
    <w:rsid w:val="00885D82"/>
    <w:rsid w:val="00886742"/>
    <w:rsid w:val="00886E3D"/>
    <w:rsid w:val="008901C1"/>
    <w:rsid w:val="008901D3"/>
    <w:rsid w:val="008906EF"/>
    <w:rsid w:val="00892759"/>
    <w:rsid w:val="00893A3A"/>
    <w:rsid w:val="008978BD"/>
    <w:rsid w:val="008979FA"/>
    <w:rsid w:val="008A147F"/>
    <w:rsid w:val="008A161F"/>
    <w:rsid w:val="008A2ACB"/>
    <w:rsid w:val="008A2C4E"/>
    <w:rsid w:val="008A2EE2"/>
    <w:rsid w:val="008A352B"/>
    <w:rsid w:val="008A3CE5"/>
    <w:rsid w:val="008A6566"/>
    <w:rsid w:val="008B0149"/>
    <w:rsid w:val="008B0D46"/>
    <w:rsid w:val="008B1C44"/>
    <w:rsid w:val="008B4968"/>
    <w:rsid w:val="008B496E"/>
    <w:rsid w:val="008B5434"/>
    <w:rsid w:val="008B579B"/>
    <w:rsid w:val="008B6251"/>
    <w:rsid w:val="008B675C"/>
    <w:rsid w:val="008B6B5A"/>
    <w:rsid w:val="008B7189"/>
    <w:rsid w:val="008C136D"/>
    <w:rsid w:val="008C256A"/>
    <w:rsid w:val="008C3D6F"/>
    <w:rsid w:val="008C4253"/>
    <w:rsid w:val="008C5077"/>
    <w:rsid w:val="008C61AE"/>
    <w:rsid w:val="008C7AB3"/>
    <w:rsid w:val="008D0679"/>
    <w:rsid w:val="008D15F2"/>
    <w:rsid w:val="008D1FF1"/>
    <w:rsid w:val="008D3BB4"/>
    <w:rsid w:val="008D3D4D"/>
    <w:rsid w:val="008D463D"/>
    <w:rsid w:val="008D627B"/>
    <w:rsid w:val="008D68B4"/>
    <w:rsid w:val="008D6D36"/>
    <w:rsid w:val="008E2C89"/>
    <w:rsid w:val="008E7917"/>
    <w:rsid w:val="008F1263"/>
    <w:rsid w:val="008F18DC"/>
    <w:rsid w:val="008F1F21"/>
    <w:rsid w:val="008F3A32"/>
    <w:rsid w:val="008F4333"/>
    <w:rsid w:val="008F5E92"/>
    <w:rsid w:val="008F6232"/>
    <w:rsid w:val="008F7E4E"/>
    <w:rsid w:val="00900C38"/>
    <w:rsid w:val="00900CA8"/>
    <w:rsid w:val="0090140B"/>
    <w:rsid w:val="00902263"/>
    <w:rsid w:val="00903E56"/>
    <w:rsid w:val="0090415F"/>
    <w:rsid w:val="009043FB"/>
    <w:rsid w:val="00905179"/>
    <w:rsid w:val="009058D4"/>
    <w:rsid w:val="00907189"/>
    <w:rsid w:val="00907571"/>
    <w:rsid w:val="009078C1"/>
    <w:rsid w:val="00907E73"/>
    <w:rsid w:val="009103C0"/>
    <w:rsid w:val="009124F6"/>
    <w:rsid w:val="00912D12"/>
    <w:rsid w:val="009137F8"/>
    <w:rsid w:val="00913C58"/>
    <w:rsid w:val="00913C7D"/>
    <w:rsid w:val="00914F56"/>
    <w:rsid w:val="0091558A"/>
    <w:rsid w:val="0091616B"/>
    <w:rsid w:val="009161B8"/>
    <w:rsid w:val="00922CA5"/>
    <w:rsid w:val="0092426C"/>
    <w:rsid w:val="00924CDB"/>
    <w:rsid w:val="00927EE4"/>
    <w:rsid w:val="00931A87"/>
    <w:rsid w:val="00931F87"/>
    <w:rsid w:val="009334CA"/>
    <w:rsid w:val="009340D9"/>
    <w:rsid w:val="00934EF9"/>
    <w:rsid w:val="00937BC1"/>
    <w:rsid w:val="0094024C"/>
    <w:rsid w:val="00940E8C"/>
    <w:rsid w:val="009451B8"/>
    <w:rsid w:val="009456E0"/>
    <w:rsid w:val="00946D05"/>
    <w:rsid w:val="00950812"/>
    <w:rsid w:val="00950D7B"/>
    <w:rsid w:val="0095134C"/>
    <w:rsid w:val="009514F9"/>
    <w:rsid w:val="00952294"/>
    <w:rsid w:val="00952F01"/>
    <w:rsid w:val="009545C1"/>
    <w:rsid w:val="009559AA"/>
    <w:rsid w:val="00955B5C"/>
    <w:rsid w:val="00956ACD"/>
    <w:rsid w:val="0095726B"/>
    <w:rsid w:val="0095799C"/>
    <w:rsid w:val="00957E0D"/>
    <w:rsid w:val="009609F7"/>
    <w:rsid w:val="00961B6E"/>
    <w:rsid w:val="00962386"/>
    <w:rsid w:val="00962DD0"/>
    <w:rsid w:val="009651A4"/>
    <w:rsid w:val="009655C7"/>
    <w:rsid w:val="00966D9C"/>
    <w:rsid w:val="00966DF4"/>
    <w:rsid w:val="00967602"/>
    <w:rsid w:val="009701B5"/>
    <w:rsid w:val="00971F57"/>
    <w:rsid w:val="009724CF"/>
    <w:rsid w:val="00973120"/>
    <w:rsid w:val="0097599D"/>
    <w:rsid w:val="00975C75"/>
    <w:rsid w:val="009766CD"/>
    <w:rsid w:val="0097763F"/>
    <w:rsid w:val="00977D19"/>
    <w:rsid w:val="00980634"/>
    <w:rsid w:val="00981297"/>
    <w:rsid w:val="0098190E"/>
    <w:rsid w:val="00981BEE"/>
    <w:rsid w:val="009824D6"/>
    <w:rsid w:val="00982A24"/>
    <w:rsid w:val="009832D0"/>
    <w:rsid w:val="00983BCD"/>
    <w:rsid w:val="00984187"/>
    <w:rsid w:val="0098425B"/>
    <w:rsid w:val="00984633"/>
    <w:rsid w:val="00984B7F"/>
    <w:rsid w:val="00986A3B"/>
    <w:rsid w:val="00986AD9"/>
    <w:rsid w:val="00986FC9"/>
    <w:rsid w:val="00990915"/>
    <w:rsid w:val="00993AE2"/>
    <w:rsid w:val="00994AB9"/>
    <w:rsid w:val="00995224"/>
    <w:rsid w:val="00996DCC"/>
    <w:rsid w:val="00996E07"/>
    <w:rsid w:val="009971D2"/>
    <w:rsid w:val="0099782E"/>
    <w:rsid w:val="009A0512"/>
    <w:rsid w:val="009A091C"/>
    <w:rsid w:val="009A1664"/>
    <w:rsid w:val="009A19BC"/>
    <w:rsid w:val="009A2638"/>
    <w:rsid w:val="009A5061"/>
    <w:rsid w:val="009A548D"/>
    <w:rsid w:val="009A7D85"/>
    <w:rsid w:val="009A7DE1"/>
    <w:rsid w:val="009B1365"/>
    <w:rsid w:val="009B2917"/>
    <w:rsid w:val="009B2F69"/>
    <w:rsid w:val="009B3863"/>
    <w:rsid w:val="009B43F3"/>
    <w:rsid w:val="009B524F"/>
    <w:rsid w:val="009B5845"/>
    <w:rsid w:val="009B588C"/>
    <w:rsid w:val="009B6B23"/>
    <w:rsid w:val="009B7228"/>
    <w:rsid w:val="009B7D6A"/>
    <w:rsid w:val="009C0B15"/>
    <w:rsid w:val="009C0DA2"/>
    <w:rsid w:val="009C1B2B"/>
    <w:rsid w:val="009C2D00"/>
    <w:rsid w:val="009C4063"/>
    <w:rsid w:val="009C5BCA"/>
    <w:rsid w:val="009C6992"/>
    <w:rsid w:val="009C7279"/>
    <w:rsid w:val="009C73C5"/>
    <w:rsid w:val="009C76D2"/>
    <w:rsid w:val="009D00FE"/>
    <w:rsid w:val="009D05D8"/>
    <w:rsid w:val="009D1076"/>
    <w:rsid w:val="009D22AA"/>
    <w:rsid w:val="009D2B19"/>
    <w:rsid w:val="009D4064"/>
    <w:rsid w:val="009D430C"/>
    <w:rsid w:val="009D4B96"/>
    <w:rsid w:val="009D4DB1"/>
    <w:rsid w:val="009D5ECF"/>
    <w:rsid w:val="009D6E6C"/>
    <w:rsid w:val="009D74CF"/>
    <w:rsid w:val="009D7EDA"/>
    <w:rsid w:val="009E1E44"/>
    <w:rsid w:val="009E4F12"/>
    <w:rsid w:val="009E4F6E"/>
    <w:rsid w:val="009E78D3"/>
    <w:rsid w:val="009F19E1"/>
    <w:rsid w:val="009F1B7B"/>
    <w:rsid w:val="009F3138"/>
    <w:rsid w:val="009F33D7"/>
    <w:rsid w:val="009F3C47"/>
    <w:rsid w:val="009F5E11"/>
    <w:rsid w:val="009F7DE9"/>
    <w:rsid w:val="00A00070"/>
    <w:rsid w:val="00A01B38"/>
    <w:rsid w:val="00A045AD"/>
    <w:rsid w:val="00A07465"/>
    <w:rsid w:val="00A10609"/>
    <w:rsid w:val="00A121D6"/>
    <w:rsid w:val="00A13AD0"/>
    <w:rsid w:val="00A14713"/>
    <w:rsid w:val="00A155E2"/>
    <w:rsid w:val="00A170A2"/>
    <w:rsid w:val="00A17161"/>
    <w:rsid w:val="00A173E0"/>
    <w:rsid w:val="00A1742E"/>
    <w:rsid w:val="00A1743E"/>
    <w:rsid w:val="00A231A8"/>
    <w:rsid w:val="00A23613"/>
    <w:rsid w:val="00A2475C"/>
    <w:rsid w:val="00A2492C"/>
    <w:rsid w:val="00A31391"/>
    <w:rsid w:val="00A320F7"/>
    <w:rsid w:val="00A322EF"/>
    <w:rsid w:val="00A32C65"/>
    <w:rsid w:val="00A33C81"/>
    <w:rsid w:val="00A346A0"/>
    <w:rsid w:val="00A34B8A"/>
    <w:rsid w:val="00A355D6"/>
    <w:rsid w:val="00A364A3"/>
    <w:rsid w:val="00A36A69"/>
    <w:rsid w:val="00A37FE3"/>
    <w:rsid w:val="00A4063D"/>
    <w:rsid w:val="00A439F5"/>
    <w:rsid w:val="00A4430D"/>
    <w:rsid w:val="00A44410"/>
    <w:rsid w:val="00A474F2"/>
    <w:rsid w:val="00A50E73"/>
    <w:rsid w:val="00A51049"/>
    <w:rsid w:val="00A52A99"/>
    <w:rsid w:val="00A538C3"/>
    <w:rsid w:val="00A5446F"/>
    <w:rsid w:val="00A54551"/>
    <w:rsid w:val="00A55120"/>
    <w:rsid w:val="00A56853"/>
    <w:rsid w:val="00A61E70"/>
    <w:rsid w:val="00A636BA"/>
    <w:rsid w:val="00A71E1D"/>
    <w:rsid w:val="00A731A9"/>
    <w:rsid w:val="00A73A97"/>
    <w:rsid w:val="00A74198"/>
    <w:rsid w:val="00A75E40"/>
    <w:rsid w:val="00A76B0E"/>
    <w:rsid w:val="00A77F8D"/>
    <w:rsid w:val="00A80018"/>
    <w:rsid w:val="00A80487"/>
    <w:rsid w:val="00A8061D"/>
    <w:rsid w:val="00A80656"/>
    <w:rsid w:val="00A816F0"/>
    <w:rsid w:val="00A8279F"/>
    <w:rsid w:val="00A828D9"/>
    <w:rsid w:val="00A83483"/>
    <w:rsid w:val="00A83514"/>
    <w:rsid w:val="00A840FD"/>
    <w:rsid w:val="00A85362"/>
    <w:rsid w:val="00A86AF8"/>
    <w:rsid w:val="00A86FED"/>
    <w:rsid w:val="00A872A9"/>
    <w:rsid w:val="00A87D2B"/>
    <w:rsid w:val="00A91A9B"/>
    <w:rsid w:val="00A93382"/>
    <w:rsid w:val="00A933EC"/>
    <w:rsid w:val="00A9372D"/>
    <w:rsid w:val="00A96DB3"/>
    <w:rsid w:val="00AA0D0D"/>
    <w:rsid w:val="00AA105E"/>
    <w:rsid w:val="00AA1D43"/>
    <w:rsid w:val="00AA3092"/>
    <w:rsid w:val="00AA3C20"/>
    <w:rsid w:val="00AA3F0A"/>
    <w:rsid w:val="00AA5222"/>
    <w:rsid w:val="00AA5E39"/>
    <w:rsid w:val="00AA6024"/>
    <w:rsid w:val="00AA6A16"/>
    <w:rsid w:val="00AA74D4"/>
    <w:rsid w:val="00AA7B23"/>
    <w:rsid w:val="00AB036E"/>
    <w:rsid w:val="00AB1420"/>
    <w:rsid w:val="00AB1C4F"/>
    <w:rsid w:val="00AB248A"/>
    <w:rsid w:val="00AB46BC"/>
    <w:rsid w:val="00AB479C"/>
    <w:rsid w:val="00AB5006"/>
    <w:rsid w:val="00AB5B59"/>
    <w:rsid w:val="00AB62CB"/>
    <w:rsid w:val="00AB7782"/>
    <w:rsid w:val="00AC0B8D"/>
    <w:rsid w:val="00AC11A5"/>
    <w:rsid w:val="00AC1FC2"/>
    <w:rsid w:val="00AC396C"/>
    <w:rsid w:val="00AC39CC"/>
    <w:rsid w:val="00AC3F26"/>
    <w:rsid w:val="00AC42A2"/>
    <w:rsid w:val="00AC66FC"/>
    <w:rsid w:val="00AD0293"/>
    <w:rsid w:val="00AD08D4"/>
    <w:rsid w:val="00AD1C9C"/>
    <w:rsid w:val="00AD26C1"/>
    <w:rsid w:val="00AD2DE2"/>
    <w:rsid w:val="00AD39DE"/>
    <w:rsid w:val="00AD416C"/>
    <w:rsid w:val="00AE503A"/>
    <w:rsid w:val="00AE636E"/>
    <w:rsid w:val="00AF16B2"/>
    <w:rsid w:val="00AF1BAF"/>
    <w:rsid w:val="00AF3B79"/>
    <w:rsid w:val="00AF3CD2"/>
    <w:rsid w:val="00AF6293"/>
    <w:rsid w:val="00AF7188"/>
    <w:rsid w:val="00AF7BA5"/>
    <w:rsid w:val="00AF7BD6"/>
    <w:rsid w:val="00B00176"/>
    <w:rsid w:val="00B02022"/>
    <w:rsid w:val="00B02846"/>
    <w:rsid w:val="00B030B3"/>
    <w:rsid w:val="00B050B8"/>
    <w:rsid w:val="00B057DA"/>
    <w:rsid w:val="00B05C4C"/>
    <w:rsid w:val="00B0711A"/>
    <w:rsid w:val="00B0767A"/>
    <w:rsid w:val="00B12533"/>
    <w:rsid w:val="00B148B3"/>
    <w:rsid w:val="00B167E1"/>
    <w:rsid w:val="00B16C0B"/>
    <w:rsid w:val="00B16D93"/>
    <w:rsid w:val="00B16ED7"/>
    <w:rsid w:val="00B1745A"/>
    <w:rsid w:val="00B1765F"/>
    <w:rsid w:val="00B17C40"/>
    <w:rsid w:val="00B23447"/>
    <w:rsid w:val="00B23735"/>
    <w:rsid w:val="00B24711"/>
    <w:rsid w:val="00B24AD9"/>
    <w:rsid w:val="00B25882"/>
    <w:rsid w:val="00B25B35"/>
    <w:rsid w:val="00B260C2"/>
    <w:rsid w:val="00B27344"/>
    <w:rsid w:val="00B3099F"/>
    <w:rsid w:val="00B31592"/>
    <w:rsid w:val="00B3454B"/>
    <w:rsid w:val="00B37ADD"/>
    <w:rsid w:val="00B37CDA"/>
    <w:rsid w:val="00B403EC"/>
    <w:rsid w:val="00B41BE1"/>
    <w:rsid w:val="00B42561"/>
    <w:rsid w:val="00B42B4B"/>
    <w:rsid w:val="00B43EB5"/>
    <w:rsid w:val="00B457F1"/>
    <w:rsid w:val="00B45E60"/>
    <w:rsid w:val="00B465FF"/>
    <w:rsid w:val="00B46903"/>
    <w:rsid w:val="00B4791E"/>
    <w:rsid w:val="00B5053B"/>
    <w:rsid w:val="00B51166"/>
    <w:rsid w:val="00B53365"/>
    <w:rsid w:val="00B56EDF"/>
    <w:rsid w:val="00B61184"/>
    <w:rsid w:val="00B63C40"/>
    <w:rsid w:val="00B641D7"/>
    <w:rsid w:val="00B644FE"/>
    <w:rsid w:val="00B6506D"/>
    <w:rsid w:val="00B65D47"/>
    <w:rsid w:val="00B65E26"/>
    <w:rsid w:val="00B67703"/>
    <w:rsid w:val="00B70AB7"/>
    <w:rsid w:val="00B70EE6"/>
    <w:rsid w:val="00B71C84"/>
    <w:rsid w:val="00B72C96"/>
    <w:rsid w:val="00B72E34"/>
    <w:rsid w:val="00B74DD5"/>
    <w:rsid w:val="00B75BA6"/>
    <w:rsid w:val="00B75CD5"/>
    <w:rsid w:val="00B762E7"/>
    <w:rsid w:val="00B77288"/>
    <w:rsid w:val="00B772B7"/>
    <w:rsid w:val="00B80FBC"/>
    <w:rsid w:val="00B810FF"/>
    <w:rsid w:val="00B8252E"/>
    <w:rsid w:val="00B83FDA"/>
    <w:rsid w:val="00B84B9B"/>
    <w:rsid w:val="00B86058"/>
    <w:rsid w:val="00B86FC7"/>
    <w:rsid w:val="00B913C5"/>
    <w:rsid w:val="00B9164D"/>
    <w:rsid w:val="00B927F3"/>
    <w:rsid w:val="00B92A40"/>
    <w:rsid w:val="00B92F20"/>
    <w:rsid w:val="00B93F3C"/>
    <w:rsid w:val="00B95517"/>
    <w:rsid w:val="00BA0A94"/>
    <w:rsid w:val="00BA0B2A"/>
    <w:rsid w:val="00BA342A"/>
    <w:rsid w:val="00BA5D8A"/>
    <w:rsid w:val="00BA5F30"/>
    <w:rsid w:val="00BB1804"/>
    <w:rsid w:val="00BB32A1"/>
    <w:rsid w:val="00BB40C2"/>
    <w:rsid w:val="00BB63E3"/>
    <w:rsid w:val="00BC0457"/>
    <w:rsid w:val="00BC0477"/>
    <w:rsid w:val="00BC0A09"/>
    <w:rsid w:val="00BC1472"/>
    <w:rsid w:val="00BC14CD"/>
    <w:rsid w:val="00BC1AA4"/>
    <w:rsid w:val="00BC2742"/>
    <w:rsid w:val="00BC2D5B"/>
    <w:rsid w:val="00BC3805"/>
    <w:rsid w:val="00BC38BE"/>
    <w:rsid w:val="00BC4565"/>
    <w:rsid w:val="00BC4B0B"/>
    <w:rsid w:val="00BC4BF1"/>
    <w:rsid w:val="00BC5290"/>
    <w:rsid w:val="00BC61B9"/>
    <w:rsid w:val="00BC626F"/>
    <w:rsid w:val="00BC6DFE"/>
    <w:rsid w:val="00BC7E00"/>
    <w:rsid w:val="00BD0CA9"/>
    <w:rsid w:val="00BD1346"/>
    <w:rsid w:val="00BD220C"/>
    <w:rsid w:val="00BD388F"/>
    <w:rsid w:val="00BD3E72"/>
    <w:rsid w:val="00BD5833"/>
    <w:rsid w:val="00BD66B1"/>
    <w:rsid w:val="00BD6E2B"/>
    <w:rsid w:val="00BE137A"/>
    <w:rsid w:val="00BE20D7"/>
    <w:rsid w:val="00BE255C"/>
    <w:rsid w:val="00BE25CA"/>
    <w:rsid w:val="00BE2BE3"/>
    <w:rsid w:val="00BE3EF2"/>
    <w:rsid w:val="00BE52D6"/>
    <w:rsid w:val="00BE5E9E"/>
    <w:rsid w:val="00BE760F"/>
    <w:rsid w:val="00BE7767"/>
    <w:rsid w:val="00BE7779"/>
    <w:rsid w:val="00BF0ADA"/>
    <w:rsid w:val="00BF1AA9"/>
    <w:rsid w:val="00BF20FB"/>
    <w:rsid w:val="00BF35DB"/>
    <w:rsid w:val="00BF43A6"/>
    <w:rsid w:val="00BF446E"/>
    <w:rsid w:val="00BF4E79"/>
    <w:rsid w:val="00BF5733"/>
    <w:rsid w:val="00BF6464"/>
    <w:rsid w:val="00C0222A"/>
    <w:rsid w:val="00C03C59"/>
    <w:rsid w:val="00C04D8D"/>
    <w:rsid w:val="00C05CCC"/>
    <w:rsid w:val="00C10A7F"/>
    <w:rsid w:val="00C119E0"/>
    <w:rsid w:val="00C11BB1"/>
    <w:rsid w:val="00C12D10"/>
    <w:rsid w:val="00C15658"/>
    <w:rsid w:val="00C207A4"/>
    <w:rsid w:val="00C20923"/>
    <w:rsid w:val="00C2123A"/>
    <w:rsid w:val="00C225FD"/>
    <w:rsid w:val="00C2295C"/>
    <w:rsid w:val="00C24073"/>
    <w:rsid w:val="00C24957"/>
    <w:rsid w:val="00C25F24"/>
    <w:rsid w:val="00C263D2"/>
    <w:rsid w:val="00C26586"/>
    <w:rsid w:val="00C277D4"/>
    <w:rsid w:val="00C27ECA"/>
    <w:rsid w:val="00C30298"/>
    <w:rsid w:val="00C30F6A"/>
    <w:rsid w:val="00C312C3"/>
    <w:rsid w:val="00C34FD4"/>
    <w:rsid w:val="00C37754"/>
    <w:rsid w:val="00C37871"/>
    <w:rsid w:val="00C37A7D"/>
    <w:rsid w:val="00C40113"/>
    <w:rsid w:val="00C408CA"/>
    <w:rsid w:val="00C4177C"/>
    <w:rsid w:val="00C42402"/>
    <w:rsid w:val="00C4356B"/>
    <w:rsid w:val="00C43A20"/>
    <w:rsid w:val="00C4414A"/>
    <w:rsid w:val="00C4441F"/>
    <w:rsid w:val="00C44DD2"/>
    <w:rsid w:val="00C461DB"/>
    <w:rsid w:val="00C466C9"/>
    <w:rsid w:val="00C47343"/>
    <w:rsid w:val="00C50CDF"/>
    <w:rsid w:val="00C52F36"/>
    <w:rsid w:val="00C5304A"/>
    <w:rsid w:val="00C531E4"/>
    <w:rsid w:val="00C53285"/>
    <w:rsid w:val="00C5357A"/>
    <w:rsid w:val="00C535DE"/>
    <w:rsid w:val="00C54E8F"/>
    <w:rsid w:val="00C5596E"/>
    <w:rsid w:val="00C55D62"/>
    <w:rsid w:val="00C5671E"/>
    <w:rsid w:val="00C60A5F"/>
    <w:rsid w:val="00C644CF"/>
    <w:rsid w:val="00C65678"/>
    <w:rsid w:val="00C65C95"/>
    <w:rsid w:val="00C667A8"/>
    <w:rsid w:val="00C670C2"/>
    <w:rsid w:val="00C67DAC"/>
    <w:rsid w:val="00C70CBC"/>
    <w:rsid w:val="00C70EF3"/>
    <w:rsid w:val="00C7159D"/>
    <w:rsid w:val="00C72723"/>
    <w:rsid w:val="00C728B1"/>
    <w:rsid w:val="00C7336B"/>
    <w:rsid w:val="00C74433"/>
    <w:rsid w:val="00C7494D"/>
    <w:rsid w:val="00C75E90"/>
    <w:rsid w:val="00C7647A"/>
    <w:rsid w:val="00C76719"/>
    <w:rsid w:val="00C82403"/>
    <w:rsid w:val="00C83352"/>
    <w:rsid w:val="00C83C52"/>
    <w:rsid w:val="00C85DAE"/>
    <w:rsid w:val="00C90CE6"/>
    <w:rsid w:val="00C90D37"/>
    <w:rsid w:val="00C928BD"/>
    <w:rsid w:val="00C92C72"/>
    <w:rsid w:val="00C92D05"/>
    <w:rsid w:val="00C93785"/>
    <w:rsid w:val="00C938F3"/>
    <w:rsid w:val="00C93EF3"/>
    <w:rsid w:val="00C951B4"/>
    <w:rsid w:val="00C95F9A"/>
    <w:rsid w:val="00C96A59"/>
    <w:rsid w:val="00C9724E"/>
    <w:rsid w:val="00CA0F80"/>
    <w:rsid w:val="00CA149E"/>
    <w:rsid w:val="00CA30C0"/>
    <w:rsid w:val="00CA3F43"/>
    <w:rsid w:val="00CA7E05"/>
    <w:rsid w:val="00CA7ED2"/>
    <w:rsid w:val="00CA7F2F"/>
    <w:rsid w:val="00CB0E3F"/>
    <w:rsid w:val="00CB2448"/>
    <w:rsid w:val="00CB374E"/>
    <w:rsid w:val="00CB3916"/>
    <w:rsid w:val="00CB3E5D"/>
    <w:rsid w:val="00CB442C"/>
    <w:rsid w:val="00CB49B7"/>
    <w:rsid w:val="00CB5BED"/>
    <w:rsid w:val="00CB7B97"/>
    <w:rsid w:val="00CB7D9E"/>
    <w:rsid w:val="00CC02CB"/>
    <w:rsid w:val="00CC1010"/>
    <w:rsid w:val="00CC1D3D"/>
    <w:rsid w:val="00CC2E43"/>
    <w:rsid w:val="00CC3634"/>
    <w:rsid w:val="00CC3F53"/>
    <w:rsid w:val="00CC4C64"/>
    <w:rsid w:val="00CC6865"/>
    <w:rsid w:val="00CC6874"/>
    <w:rsid w:val="00CC744C"/>
    <w:rsid w:val="00CD07F6"/>
    <w:rsid w:val="00CD0FA6"/>
    <w:rsid w:val="00CD1136"/>
    <w:rsid w:val="00CD190B"/>
    <w:rsid w:val="00CD4039"/>
    <w:rsid w:val="00CD40B5"/>
    <w:rsid w:val="00CD7921"/>
    <w:rsid w:val="00CE1708"/>
    <w:rsid w:val="00CE1BD7"/>
    <w:rsid w:val="00CE3127"/>
    <w:rsid w:val="00CE3E2C"/>
    <w:rsid w:val="00CE5DE2"/>
    <w:rsid w:val="00CE6277"/>
    <w:rsid w:val="00CE66F4"/>
    <w:rsid w:val="00CE735C"/>
    <w:rsid w:val="00CE78AC"/>
    <w:rsid w:val="00CF0BF7"/>
    <w:rsid w:val="00CF0FB4"/>
    <w:rsid w:val="00CF2FCC"/>
    <w:rsid w:val="00CF336B"/>
    <w:rsid w:val="00CF3E40"/>
    <w:rsid w:val="00CF3F14"/>
    <w:rsid w:val="00CF5CFB"/>
    <w:rsid w:val="00CF723A"/>
    <w:rsid w:val="00CF73CD"/>
    <w:rsid w:val="00D022AC"/>
    <w:rsid w:val="00D03F16"/>
    <w:rsid w:val="00D04097"/>
    <w:rsid w:val="00D05240"/>
    <w:rsid w:val="00D055B2"/>
    <w:rsid w:val="00D059FF"/>
    <w:rsid w:val="00D0672B"/>
    <w:rsid w:val="00D07A06"/>
    <w:rsid w:val="00D07D40"/>
    <w:rsid w:val="00D07DC5"/>
    <w:rsid w:val="00D1299B"/>
    <w:rsid w:val="00D133D9"/>
    <w:rsid w:val="00D1352E"/>
    <w:rsid w:val="00D13DFB"/>
    <w:rsid w:val="00D14D14"/>
    <w:rsid w:val="00D14D8B"/>
    <w:rsid w:val="00D164C2"/>
    <w:rsid w:val="00D21F89"/>
    <w:rsid w:val="00D23D90"/>
    <w:rsid w:val="00D240EA"/>
    <w:rsid w:val="00D248AA"/>
    <w:rsid w:val="00D269F2"/>
    <w:rsid w:val="00D3019E"/>
    <w:rsid w:val="00D30215"/>
    <w:rsid w:val="00D30C17"/>
    <w:rsid w:val="00D32081"/>
    <w:rsid w:val="00D32197"/>
    <w:rsid w:val="00D33C8D"/>
    <w:rsid w:val="00D34C35"/>
    <w:rsid w:val="00D35662"/>
    <w:rsid w:val="00D40E02"/>
    <w:rsid w:val="00D41620"/>
    <w:rsid w:val="00D435DC"/>
    <w:rsid w:val="00D435E1"/>
    <w:rsid w:val="00D436B4"/>
    <w:rsid w:val="00D45A1C"/>
    <w:rsid w:val="00D45D08"/>
    <w:rsid w:val="00D47781"/>
    <w:rsid w:val="00D47C23"/>
    <w:rsid w:val="00D47FDD"/>
    <w:rsid w:val="00D501FC"/>
    <w:rsid w:val="00D5076E"/>
    <w:rsid w:val="00D5112C"/>
    <w:rsid w:val="00D52D2D"/>
    <w:rsid w:val="00D53D51"/>
    <w:rsid w:val="00D55D50"/>
    <w:rsid w:val="00D57200"/>
    <w:rsid w:val="00D574C6"/>
    <w:rsid w:val="00D605B2"/>
    <w:rsid w:val="00D608D6"/>
    <w:rsid w:val="00D609BF"/>
    <w:rsid w:val="00D62EF9"/>
    <w:rsid w:val="00D6315A"/>
    <w:rsid w:val="00D63375"/>
    <w:rsid w:val="00D63750"/>
    <w:rsid w:val="00D64BDA"/>
    <w:rsid w:val="00D66A98"/>
    <w:rsid w:val="00D67549"/>
    <w:rsid w:val="00D67FBE"/>
    <w:rsid w:val="00D70B95"/>
    <w:rsid w:val="00D713EE"/>
    <w:rsid w:val="00D71BC1"/>
    <w:rsid w:val="00D728F6"/>
    <w:rsid w:val="00D72F72"/>
    <w:rsid w:val="00D741EB"/>
    <w:rsid w:val="00D74592"/>
    <w:rsid w:val="00D74961"/>
    <w:rsid w:val="00D77A9F"/>
    <w:rsid w:val="00D808FE"/>
    <w:rsid w:val="00D81662"/>
    <w:rsid w:val="00D81D36"/>
    <w:rsid w:val="00D82011"/>
    <w:rsid w:val="00D829F4"/>
    <w:rsid w:val="00D82B8D"/>
    <w:rsid w:val="00D850C3"/>
    <w:rsid w:val="00D86DFA"/>
    <w:rsid w:val="00D90C5E"/>
    <w:rsid w:val="00D91911"/>
    <w:rsid w:val="00D9298F"/>
    <w:rsid w:val="00D9342E"/>
    <w:rsid w:val="00D93BD4"/>
    <w:rsid w:val="00D93F42"/>
    <w:rsid w:val="00D96183"/>
    <w:rsid w:val="00DA03FB"/>
    <w:rsid w:val="00DA055A"/>
    <w:rsid w:val="00DA0837"/>
    <w:rsid w:val="00DA1608"/>
    <w:rsid w:val="00DA1E66"/>
    <w:rsid w:val="00DA1FFC"/>
    <w:rsid w:val="00DA3CF3"/>
    <w:rsid w:val="00DA5441"/>
    <w:rsid w:val="00DA59CA"/>
    <w:rsid w:val="00DA62C9"/>
    <w:rsid w:val="00DA671B"/>
    <w:rsid w:val="00DA6C40"/>
    <w:rsid w:val="00DA7090"/>
    <w:rsid w:val="00DB00AC"/>
    <w:rsid w:val="00DB11E5"/>
    <w:rsid w:val="00DB1CA0"/>
    <w:rsid w:val="00DB5716"/>
    <w:rsid w:val="00DB6CB6"/>
    <w:rsid w:val="00DB7484"/>
    <w:rsid w:val="00DC147E"/>
    <w:rsid w:val="00DC5792"/>
    <w:rsid w:val="00DC609E"/>
    <w:rsid w:val="00DC6E0E"/>
    <w:rsid w:val="00DC73FE"/>
    <w:rsid w:val="00DD0E97"/>
    <w:rsid w:val="00DD0EB5"/>
    <w:rsid w:val="00DD1228"/>
    <w:rsid w:val="00DD1C58"/>
    <w:rsid w:val="00DD1EB6"/>
    <w:rsid w:val="00DD1FD5"/>
    <w:rsid w:val="00DD2548"/>
    <w:rsid w:val="00DD30D7"/>
    <w:rsid w:val="00DD384A"/>
    <w:rsid w:val="00DD3A8F"/>
    <w:rsid w:val="00DD4041"/>
    <w:rsid w:val="00DD6180"/>
    <w:rsid w:val="00DD6384"/>
    <w:rsid w:val="00DD7019"/>
    <w:rsid w:val="00DE13B9"/>
    <w:rsid w:val="00DE2673"/>
    <w:rsid w:val="00DE35A8"/>
    <w:rsid w:val="00DE42C7"/>
    <w:rsid w:val="00DE57C7"/>
    <w:rsid w:val="00DE5848"/>
    <w:rsid w:val="00DE5870"/>
    <w:rsid w:val="00DE68D4"/>
    <w:rsid w:val="00DE6AD6"/>
    <w:rsid w:val="00DE7149"/>
    <w:rsid w:val="00DF1ADA"/>
    <w:rsid w:val="00DF296B"/>
    <w:rsid w:val="00DF2F9F"/>
    <w:rsid w:val="00DF4DEC"/>
    <w:rsid w:val="00DF6694"/>
    <w:rsid w:val="00DF7160"/>
    <w:rsid w:val="00DF7B0F"/>
    <w:rsid w:val="00E00917"/>
    <w:rsid w:val="00E02019"/>
    <w:rsid w:val="00E02340"/>
    <w:rsid w:val="00E028A0"/>
    <w:rsid w:val="00E032DC"/>
    <w:rsid w:val="00E03A8B"/>
    <w:rsid w:val="00E05089"/>
    <w:rsid w:val="00E05349"/>
    <w:rsid w:val="00E07BB9"/>
    <w:rsid w:val="00E10847"/>
    <w:rsid w:val="00E12307"/>
    <w:rsid w:val="00E1417A"/>
    <w:rsid w:val="00E1431F"/>
    <w:rsid w:val="00E1637C"/>
    <w:rsid w:val="00E16EAC"/>
    <w:rsid w:val="00E17998"/>
    <w:rsid w:val="00E2196D"/>
    <w:rsid w:val="00E21C46"/>
    <w:rsid w:val="00E22C4E"/>
    <w:rsid w:val="00E244B6"/>
    <w:rsid w:val="00E24860"/>
    <w:rsid w:val="00E2545C"/>
    <w:rsid w:val="00E262FC"/>
    <w:rsid w:val="00E30F54"/>
    <w:rsid w:val="00E34072"/>
    <w:rsid w:val="00E347BA"/>
    <w:rsid w:val="00E352E6"/>
    <w:rsid w:val="00E36A71"/>
    <w:rsid w:val="00E373B0"/>
    <w:rsid w:val="00E420B4"/>
    <w:rsid w:val="00E4238A"/>
    <w:rsid w:val="00E4272B"/>
    <w:rsid w:val="00E42BE4"/>
    <w:rsid w:val="00E43601"/>
    <w:rsid w:val="00E456CF"/>
    <w:rsid w:val="00E46DF0"/>
    <w:rsid w:val="00E510D4"/>
    <w:rsid w:val="00E516DE"/>
    <w:rsid w:val="00E53AC2"/>
    <w:rsid w:val="00E53DA5"/>
    <w:rsid w:val="00E564B3"/>
    <w:rsid w:val="00E607D5"/>
    <w:rsid w:val="00E60AA0"/>
    <w:rsid w:val="00E6295F"/>
    <w:rsid w:val="00E63305"/>
    <w:rsid w:val="00E635D7"/>
    <w:rsid w:val="00E6438E"/>
    <w:rsid w:val="00E647CE"/>
    <w:rsid w:val="00E65B3F"/>
    <w:rsid w:val="00E6625C"/>
    <w:rsid w:val="00E66F51"/>
    <w:rsid w:val="00E715B6"/>
    <w:rsid w:val="00E71AA8"/>
    <w:rsid w:val="00E72212"/>
    <w:rsid w:val="00E722FE"/>
    <w:rsid w:val="00E727EA"/>
    <w:rsid w:val="00E74301"/>
    <w:rsid w:val="00E74A84"/>
    <w:rsid w:val="00E76039"/>
    <w:rsid w:val="00E769FF"/>
    <w:rsid w:val="00E77F8B"/>
    <w:rsid w:val="00E813A0"/>
    <w:rsid w:val="00E82A8E"/>
    <w:rsid w:val="00E82C45"/>
    <w:rsid w:val="00E86B27"/>
    <w:rsid w:val="00E90422"/>
    <w:rsid w:val="00E90460"/>
    <w:rsid w:val="00E92726"/>
    <w:rsid w:val="00E9441D"/>
    <w:rsid w:val="00E94450"/>
    <w:rsid w:val="00E959A2"/>
    <w:rsid w:val="00E95B31"/>
    <w:rsid w:val="00E95F0D"/>
    <w:rsid w:val="00E965AC"/>
    <w:rsid w:val="00E96B1E"/>
    <w:rsid w:val="00EA2D11"/>
    <w:rsid w:val="00EA3A1E"/>
    <w:rsid w:val="00EA4077"/>
    <w:rsid w:val="00EA521E"/>
    <w:rsid w:val="00EA5D03"/>
    <w:rsid w:val="00EA7209"/>
    <w:rsid w:val="00EA747B"/>
    <w:rsid w:val="00EB0292"/>
    <w:rsid w:val="00EB08FB"/>
    <w:rsid w:val="00EB1AD1"/>
    <w:rsid w:val="00EB2561"/>
    <w:rsid w:val="00EB2E02"/>
    <w:rsid w:val="00EB428E"/>
    <w:rsid w:val="00EB55B8"/>
    <w:rsid w:val="00EB5AA1"/>
    <w:rsid w:val="00EC14BC"/>
    <w:rsid w:val="00EC1D94"/>
    <w:rsid w:val="00EC3024"/>
    <w:rsid w:val="00EC375A"/>
    <w:rsid w:val="00EC5713"/>
    <w:rsid w:val="00EC65D2"/>
    <w:rsid w:val="00EC773B"/>
    <w:rsid w:val="00ED06BE"/>
    <w:rsid w:val="00ED1FC3"/>
    <w:rsid w:val="00ED2919"/>
    <w:rsid w:val="00ED42ED"/>
    <w:rsid w:val="00ED4F11"/>
    <w:rsid w:val="00ED5D2E"/>
    <w:rsid w:val="00ED5D92"/>
    <w:rsid w:val="00EE0E44"/>
    <w:rsid w:val="00EE206D"/>
    <w:rsid w:val="00EE2368"/>
    <w:rsid w:val="00EE2A4F"/>
    <w:rsid w:val="00EE34C3"/>
    <w:rsid w:val="00EE3EF4"/>
    <w:rsid w:val="00EE4C26"/>
    <w:rsid w:val="00EE7372"/>
    <w:rsid w:val="00EF0976"/>
    <w:rsid w:val="00EF13C8"/>
    <w:rsid w:val="00EF2152"/>
    <w:rsid w:val="00EF6957"/>
    <w:rsid w:val="00EF6B9B"/>
    <w:rsid w:val="00F00E5B"/>
    <w:rsid w:val="00F01572"/>
    <w:rsid w:val="00F01871"/>
    <w:rsid w:val="00F039E8"/>
    <w:rsid w:val="00F057E6"/>
    <w:rsid w:val="00F05BD1"/>
    <w:rsid w:val="00F062BF"/>
    <w:rsid w:val="00F06CE5"/>
    <w:rsid w:val="00F133ED"/>
    <w:rsid w:val="00F13845"/>
    <w:rsid w:val="00F13A90"/>
    <w:rsid w:val="00F21F99"/>
    <w:rsid w:val="00F232E8"/>
    <w:rsid w:val="00F23C1B"/>
    <w:rsid w:val="00F23E50"/>
    <w:rsid w:val="00F24AE3"/>
    <w:rsid w:val="00F24E24"/>
    <w:rsid w:val="00F251E0"/>
    <w:rsid w:val="00F25CAC"/>
    <w:rsid w:val="00F3109A"/>
    <w:rsid w:val="00F31ABA"/>
    <w:rsid w:val="00F34C61"/>
    <w:rsid w:val="00F4089D"/>
    <w:rsid w:val="00F40EF4"/>
    <w:rsid w:val="00F417B4"/>
    <w:rsid w:val="00F41E9F"/>
    <w:rsid w:val="00F42CFE"/>
    <w:rsid w:val="00F43303"/>
    <w:rsid w:val="00F442B0"/>
    <w:rsid w:val="00F4467A"/>
    <w:rsid w:val="00F451A5"/>
    <w:rsid w:val="00F45FA9"/>
    <w:rsid w:val="00F47E7F"/>
    <w:rsid w:val="00F50081"/>
    <w:rsid w:val="00F5023E"/>
    <w:rsid w:val="00F51623"/>
    <w:rsid w:val="00F51819"/>
    <w:rsid w:val="00F5237B"/>
    <w:rsid w:val="00F52392"/>
    <w:rsid w:val="00F52FE7"/>
    <w:rsid w:val="00F53E0F"/>
    <w:rsid w:val="00F54C17"/>
    <w:rsid w:val="00F54DD2"/>
    <w:rsid w:val="00F55176"/>
    <w:rsid w:val="00F565A1"/>
    <w:rsid w:val="00F56A20"/>
    <w:rsid w:val="00F56C61"/>
    <w:rsid w:val="00F57DCA"/>
    <w:rsid w:val="00F60A75"/>
    <w:rsid w:val="00F61C5F"/>
    <w:rsid w:val="00F65934"/>
    <w:rsid w:val="00F65E93"/>
    <w:rsid w:val="00F66347"/>
    <w:rsid w:val="00F67A74"/>
    <w:rsid w:val="00F75697"/>
    <w:rsid w:val="00F75F06"/>
    <w:rsid w:val="00F764A5"/>
    <w:rsid w:val="00F76560"/>
    <w:rsid w:val="00F7672A"/>
    <w:rsid w:val="00F7732B"/>
    <w:rsid w:val="00F80883"/>
    <w:rsid w:val="00F816BF"/>
    <w:rsid w:val="00F8391F"/>
    <w:rsid w:val="00F85271"/>
    <w:rsid w:val="00F854A1"/>
    <w:rsid w:val="00F85A9D"/>
    <w:rsid w:val="00F90099"/>
    <w:rsid w:val="00F90F8B"/>
    <w:rsid w:val="00F91391"/>
    <w:rsid w:val="00F91D6F"/>
    <w:rsid w:val="00F91F84"/>
    <w:rsid w:val="00F9363C"/>
    <w:rsid w:val="00F93EB7"/>
    <w:rsid w:val="00F96BE1"/>
    <w:rsid w:val="00FA0680"/>
    <w:rsid w:val="00FA09C1"/>
    <w:rsid w:val="00FA2DA3"/>
    <w:rsid w:val="00FA3EF7"/>
    <w:rsid w:val="00FA41CB"/>
    <w:rsid w:val="00FA4CDF"/>
    <w:rsid w:val="00FA5260"/>
    <w:rsid w:val="00FA5C47"/>
    <w:rsid w:val="00FA5C94"/>
    <w:rsid w:val="00FA7226"/>
    <w:rsid w:val="00FA77DB"/>
    <w:rsid w:val="00FA78C7"/>
    <w:rsid w:val="00FA7D70"/>
    <w:rsid w:val="00FB1D49"/>
    <w:rsid w:val="00FB2E40"/>
    <w:rsid w:val="00FB74D0"/>
    <w:rsid w:val="00FB797C"/>
    <w:rsid w:val="00FC0034"/>
    <w:rsid w:val="00FC1479"/>
    <w:rsid w:val="00FC2168"/>
    <w:rsid w:val="00FC2EF1"/>
    <w:rsid w:val="00FC36B0"/>
    <w:rsid w:val="00FC414A"/>
    <w:rsid w:val="00FC7286"/>
    <w:rsid w:val="00FC7F11"/>
    <w:rsid w:val="00FD0536"/>
    <w:rsid w:val="00FD1021"/>
    <w:rsid w:val="00FD2037"/>
    <w:rsid w:val="00FD2768"/>
    <w:rsid w:val="00FD3239"/>
    <w:rsid w:val="00FD4B55"/>
    <w:rsid w:val="00FD4C61"/>
    <w:rsid w:val="00FD50B5"/>
    <w:rsid w:val="00FD52A3"/>
    <w:rsid w:val="00FD577A"/>
    <w:rsid w:val="00FD5A50"/>
    <w:rsid w:val="00FD5AD4"/>
    <w:rsid w:val="00FD5B43"/>
    <w:rsid w:val="00FD64CC"/>
    <w:rsid w:val="00FD71B8"/>
    <w:rsid w:val="00FD735D"/>
    <w:rsid w:val="00FD7471"/>
    <w:rsid w:val="00FE0701"/>
    <w:rsid w:val="00FE1DB7"/>
    <w:rsid w:val="00FE35E9"/>
    <w:rsid w:val="00FE40AA"/>
    <w:rsid w:val="00FE5C08"/>
    <w:rsid w:val="00FE5FA0"/>
    <w:rsid w:val="00FE6DA4"/>
    <w:rsid w:val="00FE752D"/>
    <w:rsid w:val="00FE7761"/>
    <w:rsid w:val="00FF2949"/>
    <w:rsid w:val="00FF5F86"/>
    <w:rsid w:val="00FF6154"/>
    <w:rsid w:val="00FF6AA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1859535B"/>
  <w15:chartTrackingRefBased/>
  <w15:docId w15:val="{81AC515D-2BE1-421C-B9F4-D5815AE310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AB1420"/>
  </w:style>
  <w:style w:type="paragraph" w:styleId="Nagwek1">
    <w:name w:val="heading 1"/>
    <w:basedOn w:val="Normalny"/>
    <w:next w:val="Normalny"/>
    <w:link w:val="Nagwek1Znak"/>
    <w:uiPriority w:val="99"/>
    <w:qFormat/>
    <w:rsid w:val="00C55D62"/>
    <w:pPr>
      <w:keepNext/>
      <w:keepLines/>
      <w:widowControl w:val="0"/>
      <w:suppressAutoHyphens/>
      <w:spacing w:before="480" w:after="0" w:line="360" w:lineRule="auto"/>
      <w:outlineLvl w:val="0"/>
    </w:pPr>
    <w:rPr>
      <w:rFonts w:ascii="Cambria" w:eastAsia="Times New Roman" w:hAnsi="Cambria" w:cs="Times New Roman"/>
      <w:b/>
      <w:bCs/>
      <w:color w:val="365F91"/>
      <w:kern w:val="1"/>
      <w:sz w:val="28"/>
      <w:szCs w:val="28"/>
      <w:lang w:eastAsia="ar-SA"/>
    </w:rPr>
  </w:style>
  <w:style w:type="paragraph" w:styleId="Nagwek2">
    <w:name w:val="heading 2"/>
    <w:basedOn w:val="Normalny"/>
    <w:next w:val="Normalny"/>
    <w:link w:val="Nagwek2Znak"/>
    <w:unhideWhenUsed/>
    <w:qFormat/>
    <w:rsid w:val="00C55D62"/>
    <w:pPr>
      <w:keepNext/>
      <w:keepLines/>
      <w:widowControl w:val="0"/>
      <w:autoSpaceDE w:val="0"/>
      <w:autoSpaceDN w:val="0"/>
      <w:adjustRightInd w:val="0"/>
      <w:spacing w:before="40" w:after="0" w:line="360" w:lineRule="auto"/>
      <w:outlineLvl w:val="1"/>
    </w:pPr>
    <w:rPr>
      <w:rFonts w:asciiTheme="majorHAnsi" w:eastAsiaTheme="majorEastAsia" w:hAnsiTheme="majorHAnsi" w:cstheme="majorBidi"/>
      <w:color w:val="2E74B5" w:themeColor="accent1" w:themeShade="BF"/>
      <w:sz w:val="26"/>
      <w:szCs w:val="26"/>
      <w:lang w:eastAsia="pl-PL"/>
    </w:rPr>
  </w:style>
  <w:style w:type="paragraph" w:styleId="Nagwek3">
    <w:name w:val="heading 3"/>
    <w:basedOn w:val="Normalny"/>
    <w:next w:val="Normalny"/>
    <w:link w:val="Nagwek3Znak"/>
    <w:unhideWhenUsed/>
    <w:qFormat/>
    <w:rsid w:val="00C55D62"/>
    <w:pPr>
      <w:keepNext/>
      <w:keepLines/>
      <w:widowControl w:val="0"/>
      <w:autoSpaceDE w:val="0"/>
      <w:autoSpaceDN w:val="0"/>
      <w:adjustRightInd w:val="0"/>
      <w:spacing w:before="40" w:after="0" w:line="360" w:lineRule="auto"/>
      <w:outlineLvl w:val="2"/>
    </w:pPr>
    <w:rPr>
      <w:rFonts w:asciiTheme="majorHAnsi" w:eastAsiaTheme="majorEastAsia" w:hAnsiTheme="majorHAnsi" w:cstheme="majorBidi"/>
      <w:color w:val="1F4D78" w:themeColor="accent1" w:themeShade="7F"/>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NIEARTTEKSTtekstnieartykuowanynppodstprawnarozplubpreambua">
    <w:name w:val="NIEART_TEKST – tekst nieartykułowany (np. podst. prawna rozp. lub preambuła)"/>
    <w:basedOn w:val="Normalny"/>
    <w:next w:val="Normalny"/>
    <w:uiPriority w:val="7"/>
    <w:qFormat/>
    <w:rsid w:val="00537DF4"/>
    <w:pPr>
      <w:suppressAutoHyphens/>
      <w:autoSpaceDE w:val="0"/>
      <w:autoSpaceDN w:val="0"/>
      <w:adjustRightInd w:val="0"/>
      <w:spacing w:before="120" w:after="0" w:line="360" w:lineRule="auto"/>
      <w:ind w:firstLine="510"/>
      <w:jc w:val="both"/>
    </w:pPr>
    <w:rPr>
      <w:rFonts w:ascii="Times" w:eastAsiaTheme="minorEastAsia" w:hAnsi="Times" w:cs="Arial"/>
      <w:bCs/>
      <w:sz w:val="24"/>
      <w:szCs w:val="20"/>
      <w:lang w:eastAsia="pl-PL"/>
    </w:rPr>
  </w:style>
  <w:style w:type="paragraph" w:customStyle="1" w:styleId="OZNRODZAKTUtznustawalubrozporzdzenieiorganwydajcy">
    <w:name w:val="OZN_RODZ_AKTU – tzn. ustawa lub rozporządzenie i organ wydający"/>
    <w:next w:val="Normalny"/>
    <w:uiPriority w:val="5"/>
    <w:qFormat/>
    <w:rsid w:val="00537DF4"/>
    <w:pPr>
      <w:keepNext/>
      <w:suppressAutoHyphens/>
      <w:spacing w:after="120" w:line="360" w:lineRule="auto"/>
      <w:jc w:val="center"/>
    </w:pPr>
    <w:rPr>
      <w:rFonts w:ascii="Times" w:eastAsia="Times New Roman" w:hAnsi="Times" w:cs="Times New Roman"/>
      <w:b/>
      <w:bCs/>
      <w:caps/>
      <w:spacing w:val="54"/>
      <w:kern w:val="24"/>
      <w:sz w:val="24"/>
      <w:szCs w:val="24"/>
      <w:lang w:eastAsia="pl-PL"/>
    </w:rPr>
  </w:style>
  <w:style w:type="paragraph" w:styleId="Akapitzlist">
    <w:name w:val="List Paragraph"/>
    <w:basedOn w:val="Normalny"/>
    <w:uiPriority w:val="34"/>
    <w:qFormat/>
    <w:rsid w:val="00C26586"/>
    <w:pPr>
      <w:ind w:left="720"/>
      <w:contextualSpacing/>
    </w:pPr>
  </w:style>
  <w:style w:type="character" w:styleId="Hipercze">
    <w:name w:val="Hyperlink"/>
    <w:basedOn w:val="Domylnaczcionkaakapitu"/>
    <w:unhideWhenUsed/>
    <w:rsid w:val="00BE20D7"/>
    <w:rPr>
      <w:color w:val="0000FF"/>
      <w:u w:val="single"/>
    </w:rPr>
  </w:style>
  <w:style w:type="character" w:styleId="UyteHipercze">
    <w:name w:val="FollowedHyperlink"/>
    <w:basedOn w:val="Domylnaczcionkaakapitu"/>
    <w:uiPriority w:val="99"/>
    <w:semiHidden/>
    <w:unhideWhenUsed/>
    <w:rsid w:val="0071621E"/>
    <w:rPr>
      <w:color w:val="954F72" w:themeColor="followedHyperlink"/>
      <w:u w:val="single"/>
    </w:rPr>
  </w:style>
  <w:style w:type="character" w:customStyle="1" w:styleId="Ppogrubienie">
    <w:name w:val="_P_ – pogrubienie"/>
    <w:basedOn w:val="Domylnaczcionkaakapitu"/>
    <w:uiPriority w:val="1"/>
    <w:qFormat/>
    <w:rsid w:val="0071621E"/>
    <w:rPr>
      <w:b/>
    </w:rPr>
  </w:style>
  <w:style w:type="character" w:styleId="Odwoaniedokomentarza">
    <w:name w:val="annotation reference"/>
    <w:basedOn w:val="Domylnaczcionkaakapitu"/>
    <w:uiPriority w:val="99"/>
    <w:unhideWhenUsed/>
    <w:rsid w:val="001248E0"/>
    <w:rPr>
      <w:sz w:val="16"/>
      <w:szCs w:val="16"/>
    </w:rPr>
  </w:style>
  <w:style w:type="paragraph" w:styleId="Tekstkomentarza">
    <w:name w:val="annotation text"/>
    <w:basedOn w:val="Normalny"/>
    <w:link w:val="TekstkomentarzaZnak"/>
    <w:uiPriority w:val="99"/>
    <w:unhideWhenUsed/>
    <w:rsid w:val="001248E0"/>
    <w:pPr>
      <w:spacing w:line="240" w:lineRule="auto"/>
    </w:pPr>
    <w:rPr>
      <w:sz w:val="20"/>
      <w:szCs w:val="20"/>
    </w:rPr>
  </w:style>
  <w:style w:type="character" w:customStyle="1" w:styleId="TekstkomentarzaZnak">
    <w:name w:val="Tekst komentarza Znak"/>
    <w:basedOn w:val="Domylnaczcionkaakapitu"/>
    <w:link w:val="Tekstkomentarza"/>
    <w:uiPriority w:val="99"/>
    <w:rsid w:val="001248E0"/>
    <w:rPr>
      <w:sz w:val="20"/>
      <w:szCs w:val="20"/>
    </w:rPr>
  </w:style>
  <w:style w:type="paragraph" w:styleId="Tematkomentarza">
    <w:name w:val="annotation subject"/>
    <w:basedOn w:val="Tekstkomentarza"/>
    <w:next w:val="Tekstkomentarza"/>
    <w:link w:val="TematkomentarzaZnak"/>
    <w:uiPriority w:val="99"/>
    <w:unhideWhenUsed/>
    <w:rsid w:val="001248E0"/>
    <w:rPr>
      <w:b/>
      <w:bCs/>
    </w:rPr>
  </w:style>
  <w:style w:type="character" w:customStyle="1" w:styleId="TematkomentarzaZnak">
    <w:name w:val="Temat komentarza Znak"/>
    <w:basedOn w:val="TekstkomentarzaZnak"/>
    <w:link w:val="Tematkomentarza"/>
    <w:uiPriority w:val="99"/>
    <w:rsid w:val="001248E0"/>
    <w:rPr>
      <w:b/>
      <w:bCs/>
      <w:sz w:val="20"/>
      <w:szCs w:val="20"/>
    </w:rPr>
  </w:style>
  <w:style w:type="paragraph" w:styleId="Tekstdymka">
    <w:name w:val="Balloon Text"/>
    <w:basedOn w:val="Normalny"/>
    <w:link w:val="TekstdymkaZnak"/>
    <w:unhideWhenUsed/>
    <w:rsid w:val="001248E0"/>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rsid w:val="001248E0"/>
    <w:rPr>
      <w:rFonts w:ascii="Segoe UI" w:hAnsi="Segoe UI" w:cs="Segoe UI"/>
      <w:sz w:val="18"/>
      <w:szCs w:val="18"/>
    </w:rPr>
  </w:style>
  <w:style w:type="paragraph" w:customStyle="1" w:styleId="Default">
    <w:name w:val="Default"/>
    <w:rsid w:val="00847030"/>
    <w:pPr>
      <w:autoSpaceDE w:val="0"/>
      <w:autoSpaceDN w:val="0"/>
      <w:adjustRightInd w:val="0"/>
      <w:spacing w:after="0" w:line="240" w:lineRule="auto"/>
    </w:pPr>
    <w:rPr>
      <w:rFonts w:ascii="Times New Roman" w:hAnsi="Times New Roman" w:cs="Times New Roman"/>
      <w:color w:val="000000"/>
      <w:sz w:val="24"/>
      <w:szCs w:val="24"/>
    </w:rPr>
  </w:style>
  <w:style w:type="paragraph" w:styleId="Tekstprzypisukocowego">
    <w:name w:val="endnote text"/>
    <w:basedOn w:val="Normalny"/>
    <w:link w:val="TekstprzypisukocowegoZnak"/>
    <w:uiPriority w:val="99"/>
    <w:unhideWhenUsed/>
    <w:rsid w:val="00DD1228"/>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rsid w:val="00DD1228"/>
    <w:rPr>
      <w:sz w:val="20"/>
      <w:szCs w:val="20"/>
    </w:rPr>
  </w:style>
  <w:style w:type="character" w:styleId="Odwoanieprzypisukocowego">
    <w:name w:val="endnote reference"/>
    <w:basedOn w:val="Domylnaczcionkaakapitu"/>
    <w:uiPriority w:val="99"/>
    <w:unhideWhenUsed/>
    <w:rsid w:val="00DD1228"/>
    <w:rPr>
      <w:vertAlign w:val="superscript"/>
    </w:rPr>
  </w:style>
  <w:style w:type="paragraph" w:styleId="Tekstprzypisudolnego">
    <w:name w:val="footnote text"/>
    <w:basedOn w:val="Normalny"/>
    <w:link w:val="TekstprzypisudolnegoZnak"/>
    <w:uiPriority w:val="99"/>
    <w:unhideWhenUsed/>
    <w:qFormat/>
    <w:rsid w:val="00DD1228"/>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rsid w:val="00DD1228"/>
    <w:rPr>
      <w:sz w:val="20"/>
      <w:szCs w:val="20"/>
    </w:rPr>
  </w:style>
  <w:style w:type="character" w:styleId="Odwoanieprzypisudolnego">
    <w:name w:val="footnote reference"/>
    <w:aliases w:val="OZNAKA OPOMBE,FZ,Char1,Ref,de nota al pie,Footnote,Footnote Reference Number,Footnote Reference_LVL6,Footnote Reference_LVL61,Footnote Reference_LVL62,Footnote Reference_LVL63,Footnote Reference_LVL64,Footnote number"/>
    <w:basedOn w:val="Domylnaczcionkaakapitu"/>
    <w:uiPriority w:val="99"/>
    <w:semiHidden/>
    <w:unhideWhenUsed/>
    <w:qFormat/>
    <w:rsid w:val="00DD1228"/>
    <w:rPr>
      <w:vertAlign w:val="superscript"/>
    </w:rPr>
  </w:style>
  <w:style w:type="paragraph" w:customStyle="1" w:styleId="CM1">
    <w:name w:val="CM1"/>
    <w:basedOn w:val="Default"/>
    <w:next w:val="Default"/>
    <w:uiPriority w:val="99"/>
    <w:rsid w:val="00DD1228"/>
    <w:rPr>
      <w:rFonts w:ascii="EUAlbertina" w:hAnsi="EUAlbertina" w:cstheme="minorBidi"/>
      <w:color w:val="auto"/>
    </w:rPr>
  </w:style>
  <w:style w:type="paragraph" w:customStyle="1" w:styleId="CM3">
    <w:name w:val="CM3"/>
    <w:basedOn w:val="Default"/>
    <w:next w:val="Default"/>
    <w:uiPriority w:val="99"/>
    <w:rsid w:val="00DD1228"/>
    <w:rPr>
      <w:rFonts w:ascii="EUAlbertina" w:hAnsi="EUAlbertina" w:cstheme="minorBidi"/>
      <w:color w:val="auto"/>
    </w:rPr>
  </w:style>
  <w:style w:type="paragraph" w:customStyle="1" w:styleId="CM4">
    <w:name w:val="CM4"/>
    <w:basedOn w:val="Default"/>
    <w:next w:val="Default"/>
    <w:uiPriority w:val="99"/>
    <w:rsid w:val="00DD1228"/>
    <w:rPr>
      <w:rFonts w:ascii="EUAlbertina" w:hAnsi="EUAlbertina" w:cstheme="minorBidi"/>
      <w:color w:val="auto"/>
    </w:rPr>
  </w:style>
  <w:style w:type="character" w:customStyle="1" w:styleId="Nagwek1Znak">
    <w:name w:val="Nagłówek 1 Znak"/>
    <w:basedOn w:val="Domylnaczcionkaakapitu"/>
    <w:link w:val="Nagwek1"/>
    <w:uiPriority w:val="99"/>
    <w:rsid w:val="00C55D62"/>
    <w:rPr>
      <w:rFonts w:ascii="Cambria" w:eastAsia="Times New Roman" w:hAnsi="Cambria" w:cs="Times New Roman"/>
      <w:b/>
      <w:bCs/>
      <w:color w:val="365F91"/>
      <w:kern w:val="1"/>
      <w:sz w:val="28"/>
      <w:szCs w:val="28"/>
      <w:lang w:eastAsia="ar-SA"/>
    </w:rPr>
  </w:style>
  <w:style w:type="character" w:customStyle="1" w:styleId="Nagwek2Znak">
    <w:name w:val="Nagłówek 2 Znak"/>
    <w:basedOn w:val="Domylnaczcionkaakapitu"/>
    <w:link w:val="Nagwek2"/>
    <w:rsid w:val="00C55D62"/>
    <w:rPr>
      <w:rFonts w:asciiTheme="majorHAnsi" w:eastAsiaTheme="majorEastAsia" w:hAnsiTheme="majorHAnsi" w:cstheme="majorBidi"/>
      <w:color w:val="2E74B5" w:themeColor="accent1" w:themeShade="BF"/>
      <w:sz w:val="26"/>
      <w:szCs w:val="26"/>
      <w:lang w:eastAsia="pl-PL"/>
    </w:rPr>
  </w:style>
  <w:style w:type="character" w:customStyle="1" w:styleId="Nagwek3Znak">
    <w:name w:val="Nagłówek 3 Znak"/>
    <w:basedOn w:val="Domylnaczcionkaakapitu"/>
    <w:link w:val="Nagwek3"/>
    <w:rsid w:val="00C55D62"/>
    <w:rPr>
      <w:rFonts w:asciiTheme="majorHAnsi" w:eastAsiaTheme="majorEastAsia" w:hAnsiTheme="majorHAnsi" w:cstheme="majorBidi"/>
      <w:color w:val="1F4D78" w:themeColor="accent1" w:themeShade="7F"/>
      <w:sz w:val="24"/>
      <w:szCs w:val="24"/>
      <w:lang w:eastAsia="pl-PL"/>
    </w:rPr>
  </w:style>
  <w:style w:type="paragraph" w:customStyle="1" w:styleId="ZLITwPKTzmlitwpktartykuempunktem">
    <w:name w:val="Z/LIT_w_PKT – zm. lit. w pkt artykułem (punktem)"/>
    <w:basedOn w:val="LITlitera"/>
    <w:uiPriority w:val="99"/>
    <w:qFormat/>
    <w:rsid w:val="00C55D62"/>
    <w:pPr>
      <w:ind w:left="1497"/>
    </w:pPr>
  </w:style>
  <w:style w:type="paragraph" w:customStyle="1" w:styleId="ZCZWSPLITwPKTzmczciwsplitwpktartykuempunktem">
    <w:name w:val="Z/CZ_WSP_LIT_w_PKT – zm. części wsp. lit. w pkt artykułem (punktem)"/>
    <w:basedOn w:val="Normalny"/>
    <w:next w:val="ZARTzmartartykuempunktem"/>
    <w:uiPriority w:val="35"/>
    <w:qFormat/>
    <w:rsid w:val="00C55D62"/>
    <w:pPr>
      <w:spacing w:after="0" w:line="360" w:lineRule="auto"/>
      <w:ind w:left="1021"/>
      <w:jc w:val="both"/>
    </w:pPr>
    <w:rPr>
      <w:rFonts w:ascii="Times" w:eastAsia="Times New Roman" w:hAnsi="Times" w:cs="Arial"/>
      <w:bCs/>
      <w:sz w:val="24"/>
      <w:szCs w:val="24"/>
      <w:lang w:eastAsia="pl-PL"/>
    </w:rPr>
  </w:style>
  <w:style w:type="paragraph" w:styleId="Nagwek">
    <w:name w:val="header"/>
    <w:basedOn w:val="Normalny"/>
    <w:link w:val="NagwekZnak"/>
    <w:semiHidden/>
    <w:rsid w:val="00C55D62"/>
    <w:pPr>
      <w:widowControl w:val="0"/>
      <w:tabs>
        <w:tab w:val="center" w:pos="4536"/>
        <w:tab w:val="right" w:pos="9072"/>
      </w:tabs>
      <w:suppressAutoHyphens/>
      <w:spacing w:after="0" w:line="360" w:lineRule="auto"/>
    </w:pPr>
    <w:rPr>
      <w:rFonts w:ascii="Times" w:eastAsia="Times New Roman" w:hAnsi="Times" w:cs="Times New Roman"/>
      <w:kern w:val="1"/>
      <w:sz w:val="20"/>
      <w:szCs w:val="20"/>
      <w:lang w:eastAsia="ar-SA"/>
    </w:rPr>
  </w:style>
  <w:style w:type="character" w:customStyle="1" w:styleId="NagwekZnak">
    <w:name w:val="Nagłówek Znak"/>
    <w:basedOn w:val="Domylnaczcionkaakapitu"/>
    <w:link w:val="Nagwek"/>
    <w:semiHidden/>
    <w:rsid w:val="00C55D62"/>
    <w:rPr>
      <w:rFonts w:ascii="Times" w:eastAsia="Times New Roman" w:hAnsi="Times" w:cs="Times New Roman"/>
      <w:kern w:val="1"/>
      <w:sz w:val="20"/>
      <w:szCs w:val="20"/>
      <w:lang w:eastAsia="ar-SA"/>
    </w:rPr>
  </w:style>
  <w:style w:type="paragraph" w:customStyle="1" w:styleId="ARTartustawynprozporzdzenia">
    <w:name w:val="ART(§) – art. ustawy (§ np. rozporządzenia)"/>
    <w:uiPriority w:val="11"/>
    <w:qFormat/>
    <w:rsid w:val="00C55D62"/>
    <w:pPr>
      <w:suppressAutoHyphens/>
      <w:autoSpaceDE w:val="0"/>
      <w:autoSpaceDN w:val="0"/>
      <w:adjustRightInd w:val="0"/>
      <w:spacing w:before="120" w:after="0" w:line="360" w:lineRule="auto"/>
      <w:ind w:firstLine="510"/>
      <w:jc w:val="both"/>
    </w:pPr>
    <w:rPr>
      <w:rFonts w:ascii="Times" w:eastAsia="Times New Roman" w:hAnsi="Times" w:cs="Arial"/>
      <w:sz w:val="24"/>
      <w:szCs w:val="20"/>
      <w:lang w:eastAsia="pl-PL"/>
    </w:rPr>
  </w:style>
  <w:style w:type="paragraph" w:customStyle="1" w:styleId="ZPKTzmpktartykuempunktem">
    <w:name w:val="Z/PKT – zm. pkt artykułem (punktem)"/>
    <w:basedOn w:val="PKTpunkt"/>
    <w:uiPriority w:val="31"/>
    <w:qFormat/>
    <w:rsid w:val="00C55D62"/>
    <w:pPr>
      <w:ind w:left="1020"/>
    </w:pPr>
  </w:style>
  <w:style w:type="paragraph" w:customStyle="1" w:styleId="ZARTzmartartykuempunktem">
    <w:name w:val="Z/ART(§) – zm. art. (§) artykułem (punktem)"/>
    <w:basedOn w:val="ARTartustawynprozporzdzenia"/>
    <w:uiPriority w:val="30"/>
    <w:qFormat/>
    <w:rsid w:val="00C55D62"/>
    <w:pPr>
      <w:spacing w:before="0"/>
      <w:ind w:left="510"/>
    </w:pPr>
  </w:style>
  <w:style w:type="paragraph" w:customStyle="1" w:styleId="DATAAKTUdatauchwalenialubwydaniaaktu">
    <w:name w:val="DATA_AKTU – data uchwalenia lub wydania aktu"/>
    <w:next w:val="TYTUAKTUprzedmiotregulacjiustawylubrozporzdzenia"/>
    <w:qFormat/>
    <w:rsid w:val="00C55D62"/>
    <w:pPr>
      <w:keepNext/>
      <w:suppressAutoHyphens/>
      <w:spacing w:before="120" w:after="120" w:line="360" w:lineRule="auto"/>
      <w:jc w:val="center"/>
    </w:pPr>
    <w:rPr>
      <w:rFonts w:ascii="Times" w:eastAsia="Times New Roman" w:hAnsi="Times" w:cs="Arial"/>
      <w:bCs/>
      <w:sz w:val="24"/>
      <w:szCs w:val="24"/>
      <w:lang w:eastAsia="pl-PL"/>
    </w:rPr>
  </w:style>
  <w:style w:type="paragraph" w:customStyle="1" w:styleId="TYTUAKTUprzedmiotregulacjiustawylubrozporzdzenia">
    <w:name w:val="TYTUŁ_AKTU – przedmiot regulacji ustawy lub rozporządzenia"/>
    <w:next w:val="ARTartustawynprozporzdzenia"/>
    <w:qFormat/>
    <w:rsid w:val="00C55D62"/>
    <w:pPr>
      <w:keepNext/>
      <w:suppressAutoHyphens/>
      <w:spacing w:before="120" w:after="360" w:line="360" w:lineRule="auto"/>
      <w:jc w:val="center"/>
    </w:pPr>
    <w:rPr>
      <w:rFonts w:ascii="Times" w:eastAsia="Times New Roman" w:hAnsi="Times" w:cs="Arial"/>
      <w:b/>
      <w:bCs/>
      <w:sz w:val="24"/>
      <w:szCs w:val="24"/>
      <w:lang w:eastAsia="pl-PL"/>
    </w:rPr>
  </w:style>
  <w:style w:type="paragraph" w:customStyle="1" w:styleId="PKTpunkt">
    <w:name w:val="PKT – punkt"/>
    <w:uiPriority w:val="13"/>
    <w:qFormat/>
    <w:rsid w:val="00C55D62"/>
    <w:pPr>
      <w:spacing w:after="0" w:line="360" w:lineRule="auto"/>
      <w:ind w:left="510" w:hanging="510"/>
      <w:jc w:val="both"/>
    </w:pPr>
    <w:rPr>
      <w:rFonts w:ascii="Times" w:eastAsia="Times New Roman" w:hAnsi="Times" w:cs="Arial"/>
      <w:bCs/>
      <w:sz w:val="24"/>
      <w:szCs w:val="20"/>
      <w:lang w:eastAsia="pl-PL"/>
    </w:rPr>
  </w:style>
  <w:style w:type="paragraph" w:customStyle="1" w:styleId="LITlitera">
    <w:name w:val="LIT – litera"/>
    <w:basedOn w:val="PKTpunkt"/>
    <w:uiPriority w:val="99"/>
    <w:qFormat/>
    <w:rsid w:val="00C55D62"/>
    <w:pPr>
      <w:ind w:left="986" w:hanging="476"/>
    </w:pPr>
  </w:style>
  <w:style w:type="paragraph" w:customStyle="1" w:styleId="TIRtiret">
    <w:name w:val="TIR – tiret"/>
    <w:basedOn w:val="LITlitera"/>
    <w:uiPriority w:val="99"/>
    <w:qFormat/>
    <w:rsid w:val="00C55D62"/>
    <w:pPr>
      <w:ind w:left="1384" w:hanging="397"/>
    </w:pPr>
  </w:style>
  <w:style w:type="paragraph" w:customStyle="1" w:styleId="ZCZWSPPKTzmczciwsppktartykuempunktem">
    <w:name w:val="Z/CZ_WSP_PKT – zm. części wsp. pkt artykułem (punktem)"/>
    <w:basedOn w:val="Normalny"/>
    <w:next w:val="ZARTzmartartykuempunktem"/>
    <w:uiPriority w:val="34"/>
    <w:qFormat/>
    <w:rsid w:val="00C55D62"/>
    <w:pPr>
      <w:spacing w:after="0" w:line="360" w:lineRule="auto"/>
      <w:ind w:left="510"/>
      <w:jc w:val="both"/>
    </w:pPr>
    <w:rPr>
      <w:rFonts w:ascii="Times" w:eastAsia="Times New Roman" w:hAnsi="Times" w:cs="Arial"/>
      <w:bCs/>
      <w:sz w:val="24"/>
      <w:szCs w:val="20"/>
      <w:lang w:eastAsia="pl-PL"/>
    </w:rPr>
  </w:style>
  <w:style w:type="paragraph" w:customStyle="1" w:styleId="ZLITUSTzmustliter">
    <w:name w:val="Z_LIT/UST(§) – zm. ust. (§) literą"/>
    <w:basedOn w:val="Normalny"/>
    <w:qFormat/>
    <w:rsid w:val="00C55D62"/>
    <w:pPr>
      <w:suppressAutoHyphens/>
      <w:autoSpaceDE w:val="0"/>
      <w:autoSpaceDN w:val="0"/>
      <w:adjustRightInd w:val="0"/>
      <w:spacing w:after="0" w:line="360" w:lineRule="auto"/>
      <w:ind w:left="987" w:firstLine="510"/>
      <w:jc w:val="both"/>
    </w:pPr>
    <w:rPr>
      <w:rFonts w:ascii="Times" w:eastAsia="Times New Roman" w:hAnsi="Times" w:cs="Arial"/>
      <w:bCs/>
      <w:sz w:val="24"/>
      <w:szCs w:val="20"/>
      <w:lang w:eastAsia="pl-PL"/>
    </w:rPr>
  </w:style>
  <w:style w:type="paragraph" w:customStyle="1" w:styleId="ZLITPKTzmpktliter">
    <w:name w:val="Z_LIT/PKT – zm. pkt literą"/>
    <w:basedOn w:val="PKTpunkt"/>
    <w:qFormat/>
    <w:rsid w:val="00C55D62"/>
    <w:pPr>
      <w:ind w:left="1497"/>
    </w:pPr>
  </w:style>
  <w:style w:type="paragraph" w:customStyle="1" w:styleId="ZLITCZWSPPKTzmczciwsppktliter">
    <w:name w:val="Z_LIT/CZ_WSP_PKT – zm. części wsp. pkt literą"/>
    <w:basedOn w:val="Normalny"/>
    <w:next w:val="LITlitera"/>
    <w:qFormat/>
    <w:rsid w:val="00C55D62"/>
    <w:pPr>
      <w:spacing w:after="0" w:line="360" w:lineRule="auto"/>
      <w:ind w:left="987"/>
      <w:jc w:val="both"/>
    </w:pPr>
    <w:rPr>
      <w:rFonts w:ascii="Times" w:eastAsia="Times New Roman" w:hAnsi="Times" w:cs="Arial"/>
      <w:bCs/>
      <w:sz w:val="24"/>
      <w:szCs w:val="24"/>
      <w:lang w:eastAsia="pl-PL"/>
    </w:rPr>
  </w:style>
  <w:style w:type="paragraph" w:customStyle="1" w:styleId="ZTIRLITzmlittiret">
    <w:name w:val="Z_TIR/LIT – zm. lit. tiret"/>
    <w:basedOn w:val="LITlitera"/>
    <w:uiPriority w:val="57"/>
    <w:qFormat/>
    <w:rsid w:val="00C55D62"/>
    <w:pPr>
      <w:ind w:left="1859"/>
    </w:pPr>
  </w:style>
  <w:style w:type="paragraph" w:customStyle="1" w:styleId="ODNONIKtreodnonika">
    <w:name w:val="ODNOŚNIK – treść odnośnika"/>
    <w:uiPriority w:val="99"/>
    <w:qFormat/>
    <w:rsid w:val="00C55D62"/>
    <w:pPr>
      <w:spacing w:after="0" w:line="240" w:lineRule="auto"/>
      <w:ind w:left="284" w:hanging="284"/>
      <w:jc w:val="both"/>
    </w:pPr>
    <w:rPr>
      <w:rFonts w:ascii="Times New Roman" w:eastAsia="Times New Roman" w:hAnsi="Times New Roman" w:cs="Arial"/>
      <w:sz w:val="20"/>
      <w:szCs w:val="20"/>
      <w:lang w:eastAsia="pl-PL"/>
    </w:rPr>
  </w:style>
  <w:style w:type="paragraph" w:customStyle="1" w:styleId="ZFRAGzmfragmentunpzdaniaartykuempunktem">
    <w:name w:val="Z/FRAG – zm. fragmentu (np. zdania) artykułem (punktem)"/>
    <w:basedOn w:val="ZARTzmartartykuempunktem"/>
    <w:next w:val="PKTpunkt"/>
    <w:uiPriority w:val="36"/>
    <w:qFormat/>
    <w:rsid w:val="00C55D62"/>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C55D62"/>
  </w:style>
  <w:style w:type="paragraph" w:customStyle="1" w:styleId="ZUSTzmustartykuempunktem">
    <w:name w:val="Z/UST(§) – zm. ust. (§) artykułem (punktem)"/>
    <w:basedOn w:val="ZARTzmartartykuempunktem"/>
    <w:uiPriority w:val="30"/>
    <w:qFormat/>
    <w:rsid w:val="00C55D62"/>
  </w:style>
  <w:style w:type="paragraph" w:customStyle="1" w:styleId="OZNPROJEKTUwskazaniedatylubwersjiprojektu">
    <w:name w:val="OZN_PROJEKTU – wskazanie daty lub wersji projektu"/>
    <w:next w:val="OZNRODZAKTUtznustawalubrozporzdzenieiorganwydajcy"/>
    <w:qFormat/>
    <w:rsid w:val="00C55D62"/>
    <w:pPr>
      <w:spacing w:after="0" w:line="360" w:lineRule="auto"/>
      <w:jc w:val="right"/>
    </w:pPr>
    <w:rPr>
      <w:rFonts w:ascii="Times New Roman" w:eastAsia="Times New Roman" w:hAnsi="Times New Roman" w:cs="Arial"/>
      <w:sz w:val="24"/>
      <w:szCs w:val="20"/>
      <w:u w:val="single"/>
      <w:lang w:eastAsia="pl-PL"/>
    </w:rPr>
  </w:style>
  <w:style w:type="character" w:customStyle="1" w:styleId="IGindeksgrny">
    <w:name w:val="_IG_ – indeks górny"/>
    <w:uiPriority w:val="2"/>
    <w:qFormat/>
    <w:rsid w:val="00C55D62"/>
    <w:rPr>
      <w:spacing w:val="0"/>
      <w:vertAlign w:val="superscript"/>
    </w:rPr>
  </w:style>
  <w:style w:type="character" w:customStyle="1" w:styleId="IDindeksdolny">
    <w:name w:val="_ID_ – indeks dolny"/>
    <w:qFormat/>
    <w:rsid w:val="00C55D62"/>
    <w:rPr>
      <w:spacing w:val="0"/>
      <w:vertAlign w:val="subscript"/>
    </w:rPr>
  </w:style>
  <w:style w:type="character" w:customStyle="1" w:styleId="IGPindeksgrnyipogrubienie">
    <w:name w:val="_IG_P_ – indeks górny i pogrubienie"/>
    <w:qFormat/>
    <w:rsid w:val="00C55D62"/>
    <w:rPr>
      <w:b/>
      <w:spacing w:val="0"/>
      <w:vertAlign w:val="superscript"/>
    </w:rPr>
  </w:style>
  <w:style w:type="character" w:customStyle="1" w:styleId="Kkursywa">
    <w:name w:val="_K_ – kursywa"/>
    <w:uiPriority w:val="99"/>
    <w:qFormat/>
    <w:rsid w:val="00C55D62"/>
    <w:rPr>
      <w:i/>
    </w:rPr>
  </w:style>
  <w:style w:type="paragraph" w:customStyle="1" w:styleId="ODNONIKSPECtreodnonikadoodnonika">
    <w:name w:val="ODNOŚNIK_SPEC – treść odnośnika do odnośnika"/>
    <w:basedOn w:val="Normalny"/>
    <w:qFormat/>
    <w:rsid w:val="00C55D62"/>
    <w:pPr>
      <w:spacing w:after="0" w:line="240" w:lineRule="auto"/>
      <w:ind w:left="283" w:hanging="170"/>
    </w:pPr>
    <w:rPr>
      <w:rFonts w:ascii="Times New Roman" w:eastAsia="Times New Roman" w:hAnsi="Times New Roman" w:cs="Arial"/>
      <w:sz w:val="20"/>
      <w:szCs w:val="20"/>
      <w:lang w:eastAsia="pl-PL"/>
    </w:rPr>
  </w:style>
  <w:style w:type="character" w:customStyle="1" w:styleId="PKpogrubieniekursywa">
    <w:name w:val="_P_K_ – pogrubienie kursywa"/>
    <w:uiPriority w:val="1"/>
    <w:qFormat/>
    <w:rsid w:val="00C55D62"/>
    <w:rPr>
      <w:b/>
      <w:i/>
    </w:rPr>
  </w:style>
  <w:style w:type="character" w:customStyle="1" w:styleId="Bodytext">
    <w:name w:val="Body text_"/>
    <w:link w:val="Tekstpodstawowy1"/>
    <w:locked/>
    <w:rsid w:val="00C55D62"/>
    <w:rPr>
      <w:sz w:val="24"/>
      <w:shd w:val="clear" w:color="auto" w:fill="FFFFFF"/>
    </w:rPr>
  </w:style>
  <w:style w:type="paragraph" w:customStyle="1" w:styleId="Tekstpodstawowy1">
    <w:name w:val="Tekst podstawowy1"/>
    <w:basedOn w:val="Normalny"/>
    <w:link w:val="Bodytext"/>
    <w:rsid w:val="00C55D62"/>
    <w:pPr>
      <w:shd w:val="clear" w:color="auto" w:fill="FFFFFF"/>
      <w:spacing w:after="240" w:line="278" w:lineRule="exact"/>
      <w:ind w:hanging="700"/>
      <w:jc w:val="right"/>
    </w:pPr>
    <w:rPr>
      <w:sz w:val="24"/>
    </w:rPr>
  </w:style>
  <w:style w:type="paragraph" w:styleId="Tekstpodstawowy">
    <w:name w:val="Body Text"/>
    <w:basedOn w:val="Normalny"/>
    <w:link w:val="TekstpodstawowyZnak"/>
    <w:uiPriority w:val="99"/>
    <w:rsid w:val="00C55D62"/>
    <w:pPr>
      <w:shd w:val="clear" w:color="auto" w:fill="FFFFFF"/>
      <w:spacing w:after="240" w:line="278" w:lineRule="exact"/>
      <w:ind w:hanging="700"/>
      <w:jc w:val="right"/>
    </w:pPr>
    <w:rPr>
      <w:rFonts w:ascii="Times New Roman" w:eastAsia="Times New Roman" w:hAnsi="Times New Roman" w:cs="Times New Roman"/>
      <w:sz w:val="24"/>
      <w:szCs w:val="20"/>
      <w:lang w:eastAsia="pl-PL"/>
    </w:rPr>
  </w:style>
  <w:style w:type="character" w:customStyle="1" w:styleId="TekstpodstawowyZnak">
    <w:name w:val="Tekst podstawowy Znak"/>
    <w:basedOn w:val="Domylnaczcionkaakapitu"/>
    <w:link w:val="Tekstpodstawowy"/>
    <w:uiPriority w:val="99"/>
    <w:rsid w:val="00C55D62"/>
    <w:rPr>
      <w:rFonts w:ascii="Times New Roman" w:eastAsia="Times New Roman" w:hAnsi="Times New Roman" w:cs="Times New Roman"/>
      <w:sz w:val="24"/>
      <w:szCs w:val="20"/>
      <w:shd w:val="clear" w:color="auto" w:fill="FFFFFF"/>
      <w:lang w:eastAsia="pl-PL"/>
    </w:rPr>
  </w:style>
  <w:style w:type="paragraph" w:styleId="Stopka">
    <w:name w:val="footer"/>
    <w:basedOn w:val="Normalny"/>
    <w:link w:val="StopkaZnak"/>
    <w:uiPriority w:val="99"/>
    <w:rsid w:val="00C55D62"/>
    <w:pPr>
      <w:widowControl w:val="0"/>
      <w:tabs>
        <w:tab w:val="center" w:pos="4536"/>
        <w:tab w:val="right" w:pos="9072"/>
      </w:tabs>
      <w:autoSpaceDE w:val="0"/>
      <w:autoSpaceDN w:val="0"/>
      <w:adjustRightInd w:val="0"/>
      <w:spacing w:after="0" w:line="360" w:lineRule="auto"/>
    </w:pPr>
    <w:rPr>
      <w:rFonts w:ascii="Times New Roman" w:eastAsia="Times New Roman" w:hAnsi="Times New Roman" w:cs="Times New Roman"/>
      <w:sz w:val="24"/>
      <w:szCs w:val="20"/>
      <w:lang w:eastAsia="pl-PL"/>
    </w:rPr>
  </w:style>
  <w:style w:type="character" w:customStyle="1" w:styleId="StopkaZnak">
    <w:name w:val="Stopka Znak"/>
    <w:basedOn w:val="Domylnaczcionkaakapitu"/>
    <w:link w:val="Stopka"/>
    <w:uiPriority w:val="99"/>
    <w:rsid w:val="00C55D62"/>
    <w:rPr>
      <w:rFonts w:ascii="Times New Roman" w:eastAsia="Times New Roman" w:hAnsi="Times New Roman" w:cs="Times New Roman"/>
      <w:sz w:val="24"/>
      <w:szCs w:val="20"/>
      <w:lang w:eastAsia="pl-PL"/>
    </w:rPr>
  </w:style>
  <w:style w:type="paragraph" w:customStyle="1" w:styleId="ZTIRwPKTzmtirwpktartykuempunktem">
    <w:name w:val="Z/TIR_w_PKT – zm. tir. w pkt artykułem (punktem)"/>
    <w:basedOn w:val="TIRtiret"/>
    <w:uiPriority w:val="33"/>
    <w:qFormat/>
    <w:rsid w:val="00C55D62"/>
    <w:pPr>
      <w:ind w:left="1894"/>
    </w:pPr>
  </w:style>
  <w:style w:type="paragraph" w:customStyle="1" w:styleId="2TIRpodwjnytiret">
    <w:name w:val="2TIR – podwójny tiret"/>
    <w:basedOn w:val="TIRtiret"/>
    <w:uiPriority w:val="73"/>
    <w:qFormat/>
    <w:rsid w:val="00C55D62"/>
    <w:pPr>
      <w:ind w:left="1780"/>
    </w:p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C55D62"/>
    <w:pPr>
      <w:ind w:left="1497"/>
    </w:pPr>
  </w:style>
  <w:style w:type="paragraph" w:customStyle="1" w:styleId="ZTIRwLITzmtirwlitartykuempunktem">
    <w:name w:val="Z/TIR_w_LIT – zm. tir. w lit. artykułem (punktem)"/>
    <w:basedOn w:val="TIRtiret"/>
    <w:uiPriority w:val="33"/>
    <w:qFormat/>
    <w:rsid w:val="00C55D62"/>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C55D62"/>
  </w:style>
  <w:style w:type="paragraph" w:styleId="Bezodstpw">
    <w:name w:val="No Spacing"/>
    <w:uiPriority w:val="99"/>
    <w:qFormat/>
    <w:rsid w:val="00C55D62"/>
    <w:pPr>
      <w:widowControl w:val="0"/>
      <w:suppressAutoHyphens/>
      <w:spacing w:after="0" w:line="360" w:lineRule="auto"/>
    </w:pPr>
    <w:rPr>
      <w:rFonts w:ascii="Times" w:eastAsia="Times New Roman" w:hAnsi="Times" w:cs="Times New Roman"/>
      <w:kern w:val="1"/>
      <w:sz w:val="24"/>
      <w:szCs w:val="24"/>
      <w:lang w:eastAsia="ar-SA"/>
    </w:rPr>
  </w:style>
  <w:style w:type="paragraph" w:customStyle="1" w:styleId="CZKSIGAoznaczenieiprzedmiotczcilubksigi">
    <w:name w:val="CZĘŚĆ(KSIĘGA) – oznaczenie i przedmiot części lub księgi"/>
    <w:next w:val="ARTartustawynprozporzdzenia"/>
    <w:uiPriority w:val="8"/>
    <w:qFormat/>
    <w:rsid w:val="00C55D62"/>
    <w:pPr>
      <w:keepNext/>
      <w:suppressAutoHyphens/>
      <w:spacing w:before="120" w:after="0" w:line="360" w:lineRule="auto"/>
      <w:jc w:val="center"/>
    </w:pPr>
    <w:rPr>
      <w:rFonts w:ascii="Times" w:eastAsia="Times New Roman" w:hAnsi="Times" w:cs="Times New Roman"/>
      <w:b/>
      <w:bCs/>
      <w:caps/>
      <w:kern w:val="24"/>
      <w:sz w:val="24"/>
      <w:szCs w:val="24"/>
      <w:lang w:eastAsia="pl-PL"/>
    </w:rPr>
  </w:style>
  <w:style w:type="paragraph" w:customStyle="1" w:styleId="USTustnpkodeksu">
    <w:name w:val="UST(§) – ust. (§ np. kodeksu)"/>
    <w:basedOn w:val="ARTartustawynprozporzdzenia"/>
    <w:uiPriority w:val="12"/>
    <w:qFormat/>
    <w:rsid w:val="00C55D62"/>
    <w:pPr>
      <w:spacing w:before="0"/>
    </w:pPr>
    <w:rPr>
      <w:bCs/>
    </w:rPr>
  </w:style>
  <w:style w:type="paragraph" w:customStyle="1" w:styleId="CZWSPPKTczwsplnapunktw">
    <w:name w:val="CZ_WSP_PKT – część wspólna punktów"/>
    <w:basedOn w:val="PKTpunkt"/>
    <w:next w:val="USTustnpkodeksu"/>
    <w:uiPriority w:val="16"/>
    <w:qFormat/>
    <w:rsid w:val="00C55D62"/>
    <w:pPr>
      <w:ind w:left="0" w:firstLine="0"/>
    </w:pPr>
  </w:style>
  <w:style w:type="paragraph" w:customStyle="1" w:styleId="CZWSPLITczwsplnaliter">
    <w:name w:val="CZ_WSP_LIT – część wspólna liter"/>
    <w:basedOn w:val="LITlitera"/>
    <w:next w:val="USTustnpkodeksu"/>
    <w:uiPriority w:val="17"/>
    <w:qFormat/>
    <w:rsid w:val="00C55D62"/>
    <w:pPr>
      <w:ind w:left="510" w:firstLine="0"/>
    </w:pPr>
    <w:rPr>
      <w:szCs w:val="24"/>
    </w:rPr>
  </w:style>
  <w:style w:type="paragraph" w:customStyle="1" w:styleId="CZWSPTIRczwsplnatiret">
    <w:name w:val="CZ_WSP_TIR – część wspólna tiret"/>
    <w:basedOn w:val="TIRtiret"/>
    <w:next w:val="USTustnpkodeksu"/>
    <w:uiPriority w:val="17"/>
    <w:qFormat/>
    <w:rsid w:val="00C55D62"/>
    <w:pPr>
      <w:ind w:left="987" w:firstLine="0"/>
    </w:pPr>
  </w:style>
  <w:style w:type="paragraph" w:customStyle="1" w:styleId="CYTcytatnpprzysigi">
    <w:name w:val="CYT – cytat np. przysięgi"/>
    <w:basedOn w:val="USTustnpkodeksu"/>
    <w:next w:val="USTustnpkodeksu"/>
    <w:uiPriority w:val="18"/>
    <w:qFormat/>
    <w:rsid w:val="00C55D62"/>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C55D62"/>
    <w:pPr>
      <w:keepNext/>
      <w:suppressAutoHyphens/>
      <w:spacing w:before="120" w:after="0" w:line="360" w:lineRule="auto"/>
      <w:jc w:val="center"/>
    </w:pPr>
    <w:rPr>
      <w:rFonts w:ascii="Times" w:eastAsia="Times New Roman" w:hAnsi="Times" w:cs="Times New Roman"/>
      <w:b/>
      <w:bCs/>
      <w:sz w:val="24"/>
      <w:szCs w:val="24"/>
      <w:lang w:eastAsia="pl-PL"/>
    </w:rPr>
  </w:style>
  <w:style w:type="paragraph" w:customStyle="1" w:styleId="ZLITzmlitartykuempunktem">
    <w:name w:val="Z/LIT – zm. lit. artykułem (punktem)"/>
    <w:basedOn w:val="LITlitera"/>
    <w:uiPriority w:val="32"/>
    <w:qFormat/>
    <w:rsid w:val="00C55D62"/>
  </w:style>
  <w:style w:type="paragraph" w:customStyle="1" w:styleId="ZLITCZWSPTIRwLITzmczciwsptirwlitliter">
    <w:name w:val="Z_LIT/CZ_WSP_TIR_w_LIT – zm. części wsp. tir. w lit. literą"/>
    <w:basedOn w:val="CZWSPTIRczwsplnatiret"/>
    <w:next w:val="LITlitera"/>
    <w:uiPriority w:val="51"/>
    <w:qFormat/>
    <w:rsid w:val="00C55D62"/>
    <w:pPr>
      <w:ind w:left="1463"/>
    </w:pPr>
  </w:style>
  <w:style w:type="paragraph" w:customStyle="1" w:styleId="ZLITTIRwLITzmtirwlitliter">
    <w:name w:val="Z_LIT/TIR_w_LIT – zm. tir. w lit. literą"/>
    <w:basedOn w:val="TIRtiret"/>
    <w:uiPriority w:val="49"/>
    <w:qFormat/>
    <w:rsid w:val="00C55D62"/>
    <w:pPr>
      <w:ind w:left="1860"/>
    </w:pPr>
  </w:style>
  <w:style w:type="paragraph" w:customStyle="1" w:styleId="TYTDZOZNoznaczenietytuulubdziau">
    <w:name w:val="TYT(DZ)_OZN – oznaczenie tytułu lub działu"/>
    <w:next w:val="Normalny"/>
    <w:uiPriority w:val="9"/>
    <w:qFormat/>
    <w:rsid w:val="00C55D62"/>
    <w:pPr>
      <w:keepNext/>
      <w:spacing w:before="120" w:after="0" w:line="360" w:lineRule="auto"/>
      <w:jc w:val="center"/>
    </w:pPr>
    <w:rPr>
      <w:rFonts w:ascii="Times" w:eastAsia="Times New Roman" w:hAnsi="Times" w:cs="Arial"/>
      <w:bCs/>
      <w:caps/>
      <w:kern w:val="24"/>
      <w:sz w:val="24"/>
      <w:szCs w:val="24"/>
      <w:lang w:eastAsia="pl-PL"/>
    </w:rPr>
  </w:style>
  <w:style w:type="paragraph" w:customStyle="1" w:styleId="ZWMATFIZCHEMzmwzorumatfizlubchemartykuempunktem">
    <w:name w:val="Z/W_MAT(FIZ|CHEM) – zm. wzoru mat. (fiz. lub chem.) artykułem (punktem)"/>
    <w:basedOn w:val="WMATFIZCHEMwzrmatfizlubchem"/>
    <w:uiPriority w:val="38"/>
    <w:qFormat/>
    <w:rsid w:val="00C55D6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C55D62"/>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C55D62"/>
    <w:pPr>
      <w:keepNext/>
      <w:suppressAutoHyphens/>
      <w:spacing w:after="0" w:line="360" w:lineRule="auto"/>
      <w:ind w:left="510"/>
      <w:jc w:val="center"/>
    </w:pPr>
    <w:rPr>
      <w:rFonts w:ascii="Times" w:eastAsia="Times New Roman" w:hAnsi="Times" w:cs="Times New Roman"/>
      <w:sz w:val="24"/>
      <w:szCs w:val="26"/>
      <w:lang w:eastAsia="pl-PL"/>
    </w:rPr>
  </w:style>
  <w:style w:type="paragraph" w:customStyle="1" w:styleId="ZTIRzmtirartykuempunktem">
    <w:name w:val="Z/TIR – zm. tir. artykułem (punktem)"/>
    <w:basedOn w:val="TIRtiret"/>
    <w:next w:val="PKTpunkt"/>
    <w:uiPriority w:val="33"/>
    <w:qFormat/>
    <w:rsid w:val="00C55D62"/>
    <w:pPr>
      <w:ind w:left="907"/>
    </w:pPr>
  </w:style>
  <w:style w:type="paragraph" w:customStyle="1" w:styleId="ZZLITzmianazmlit">
    <w:name w:val="ZZ/LIT – zmiana zm. lit."/>
    <w:basedOn w:val="ZZPKTzmianazmpkt"/>
    <w:uiPriority w:val="67"/>
    <w:qFormat/>
    <w:rsid w:val="00C55D62"/>
    <w:pPr>
      <w:ind w:left="2370" w:hanging="476"/>
    </w:pPr>
  </w:style>
  <w:style w:type="paragraph" w:customStyle="1" w:styleId="ZZTIRzmianazmtir">
    <w:name w:val="ZZ/TIR – zmiana zm. tir."/>
    <w:basedOn w:val="ZZLITzmianazmlit"/>
    <w:uiPriority w:val="67"/>
    <w:qFormat/>
    <w:rsid w:val="00C55D62"/>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C55D62"/>
    <w:pPr>
      <w:keepNext/>
      <w:suppressAutoHyphens/>
      <w:spacing w:after="0" w:line="360" w:lineRule="auto"/>
      <w:ind w:left="510"/>
      <w:jc w:val="center"/>
    </w:pPr>
    <w:rPr>
      <w:rFonts w:ascii="Times" w:eastAsia="Times New Roman" w:hAnsi="Times" w:cs="Arial"/>
      <w:bCs/>
      <w:kern w:val="24"/>
      <w:sz w:val="24"/>
      <w:szCs w:val="24"/>
      <w:lang w:eastAsia="pl-PL"/>
    </w:rPr>
  </w:style>
  <w:style w:type="paragraph" w:customStyle="1" w:styleId="ZZCZWSPPKTzmianazmczciwsppkt">
    <w:name w:val="ZZ/CZ_WSP_PKT – zmiana. zm. części wsp. pkt"/>
    <w:basedOn w:val="ZZARTzmianazmart"/>
    <w:next w:val="ZPKTzmpktartykuempunktem"/>
    <w:uiPriority w:val="68"/>
    <w:qFormat/>
    <w:rsid w:val="00C55D62"/>
    <w:pPr>
      <w:ind w:firstLine="0"/>
    </w:pPr>
  </w:style>
  <w:style w:type="paragraph" w:customStyle="1" w:styleId="ZLITLITzmlitliter">
    <w:name w:val="Z_LIT/LIT – zm. lit. literą"/>
    <w:basedOn w:val="LITlitera"/>
    <w:uiPriority w:val="48"/>
    <w:qFormat/>
    <w:rsid w:val="00C55D62"/>
    <w:pPr>
      <w:ind w:left="1463"/>
    </w:pPr>
  </w:style>
  <w:style w:type="paragraph" w:customStyle="1" w:styleId="ZLITTIRzmtirliter">
    <w:name w:val="Z_LIT/TIR – zm. tir. literą"/>
    <w:basedOn w:val="TIRtiret"/>
    <w:uiPriority w:val="49"/>
    <w:qFormat/>
    <w:rsid w:val="00C55D62"/>
  </w:style>
  <w:style w:type="paragraph" w:customStyle="1" w:styleId="ZZCZWSPLITwPKTzmianazmczciwsplitwpkt">
    <w:name w:val="ZZ/CZ_WSP_LIT_w_PKT – zmiana zm. części wsp. lit. w pkt"/>
    <w:basedOn w:val="ZZLITwPKTzmianazmlitwpkt"/>
    <w:uiPriority w:val="69"/>
    <w:qFormat/>
    <w:rsid w:val="00C55D62"/>
    <w:pPr>
      <w:ind w:left="2404" w:firstLine="0"/>
    </w:pPr>
  </w:style>
  <w:style w:type="paragraph" w:customStyle="1" w:styleId="ZLITLITwPKTzmlitwpktliter">
    <w:name w:val="Z_LIT/LIT_w_PKT – zm. lit. w pkt literą"/>
    <w:basedOn w:val="LITlitera"/>
    <w:uiPriority w:val="48"/>
    <w:qFormat/>
    <w:rsid w:val="00C55D62"/>
    <w:pPr>
      <w:ind w:left="1973"/>
    </w:pPr>
  </w:style>
  <w:style w:type="paragraph" w:customStyle="1" w:styleId="ZLITCZWSPLITwPKTzmczciwsplitwpktliter">
    <w:name w:val="Z_LIT/CZ_WSP_LIT_w_PKT – zm. części wsp. lit. w pkt literą"/>
    <w:basedOn w:val="CZWSPLITczwsplnaliter"/>
    <w:next w:val="LITlitera"/>
    <w:uiPriority w:val="51"/>
    <w:qFormat/>
    <w:rsid w:val="00C55D62"/>
    <w:pPr>
      <w:ind w:left="1497"/>
    </w:pPr>
  </w:style>
  <w:style w:type="paragraph" w:customStyle="1" w:styleId="ZLITTIRwPKTzmtirwpktliter">
    <w:name w:val="Z_LIT/TIR_w_PKT – zm. tir. w pkt literą"/>
    <w:basedOn w:val="TIRtiret"/>
    <w:uiPriority w:val="49"/>
    <w:qFormat/>
    <w:rsid w:val="00C55D62"/>
    <w:pPr>
      <w:ind w:left="2370"/>
    </w:pPr>
  </w:style>
  <w:style w:type="paragraph" w:customStyle="1" w:styleId="ZLITCZWSPTIRwPKTzmczciwsptirwpktliter">
    <w:name w:val="Z_LIT/CZ_WSP_TIR_w_PKT – zm. części wsp. tir. w pkt literą"/>
    <w:basedOn w:val="CZWSPTIRczwsplnatiret"/>
    <w:next w:val="LITlitera"/>
    <w:uiPriority w:val="51"/>
    <w:qFormat/>
    <w:rsid w:val="00C55D62"/>
    <w:pPr>
      <w:ind w:left="1973"/>
    </w:pPr>
  </w:style>
  <w:style w:type="paragraph" w:customStyle="1" w:styleId="ZTIRCZWSPPKTzmczciwsppkttiret">
    <w:name w:val="Z_TIR/CZ_WSP_PKT – zm. części wsp. pkt tiret"/>
    <w:basedOn w:val="CZWSPLITczwsplnaliter"/>
    <w:next w:val="TIRtiret"/>
    <w:uiPriority w:val="58"/>
    <w:qFormat/>
    <w:rsid w:val="00C55D62"/>
    <w:pPr>
      <w:ind w:left="1383"/>
    </w:pPr>
  </w:style>
  <w:style w:type="paragraph" w:customStyle="1" w:styleId="ZTIRTIRzmtirtiret">
    <w:name w:val="Z_TIR/TIR – zm. tir. tiret"/>
    <w:basedOn w:val="TIRtiret"/>
    <w:uiPriority w:val="57"/>
    <w:qFormat/>
    <w:rsid w:val="00C55D62"/>
    <w:pPr>
      <w:ind w:left="1780"/>
    </w:pPr>
  </w:style>
  <w:style w:type="paragraph" w:customStyle="1" w:styleId="ZZCZWSPTIRwPKTzmianazmczciwsptirwpkt">
    <w:name w:val="ZZ/CZ_WSP_TIR_w_PKT – zmiana zm. części wsp. tir. w pkt"/>
    <w:basedOn w:val="ZZTIRwPKTzmianazmtirwpkt"/>
    <w:uiPriority w:val="70"/>
    <w:qFormat/>
    <w:rsid w:val="00C55D62"/>
    <w:pPr>
      <w:ind w:left="2880" w:firstLine="0"/>
    </w:pPr>
  </w:style>
  <w:style w:type="paragraph" w:customStyle="1" w:styleId="ZZTIRwLITzmianazmtirwlit">
    <w:name w:val="ZZ/TIR_w_LIT – zmiana zm. tir. w lit."/>
    <w:basedOn w:val="ZZTIRzmianazmtir"/>
    <w:uiPriority w:val="67"/>
    <w:qFormat/>
    <w:rsid w:val="00C55D62"/>
    <w:pPr>
      <w:ind w:left="2767"/>
    </w:pPr>
  </w:style>
  <w:style w:type="paragraph" w:customStyle="1" w:styleId="ZTIRTIRwLITzmtirwlittiret">
    <w:name w:val="Z_TIR/TIR_w_LIT – zm. tir. w lit. tiret"/>
    <w:basedOn w:val="TIRtiret"/>
    <w:uiPriority w:val="57"/>
    <w:qFormat/>
    <w:rsid w:val="00C55D62"/>
    <w:pPr>
      <w:ind w:left="2257"/>
    </w:pPr>
  </w:style>
  <w:style w:type="paragraph" w:customStyle="1" w:styleId="ZTIRCZWSPTIRwLITzmczciwsptirwlittiret">
    <w:name w:val="Z_TIR/CZ_WSP_TIR_w_LIT – zm. części wsp. tir. w lit. tiret"/>
    <w:basedOn w:val="CZWSPTIRczwsplnatiret"/>
    <w:next w:val="TIRtiret"/>
    <w:uiPriority w:val="60"/>
    <w:qFormat/>
    <w:rsid w:val="00C55D62"/>
    <w:pPr>
      <w:ind w:left="1860"/>
    </w:pPr>
  </w:style>
  <w:style w:type="paragraph" w:customStyle="1" w:styleId="CZWSP2TIRczwsplnapodwjnychtiret">
    <w:name w:val="CZ_WSP_2TIR – część wspólna podwójnych tiret"/>
    <w:basedOn w:val="CZWSPTIRczwsplnatiret"/>
    <w:next w:val="TIRtiret"/>
    <w:uiPriority w:val="73"/>
    <w:qFormat/>
    <w:rsid w:val="00C55D62"/>
    <w:pPr>
      <w:ind w:left="1780"/>
    </w:pPr>
  </w:style>
  <w:style w:type="paragraph" w:customStyle="1" w:styleId="Z2TIRzmpodwtirartykuempunktem">
    <w:name w:val="Z/2TIR – zm. podw. tir. artykułem (punktem)"/>
    <w:basedOn w:val="TIRtiret"/>
    <w:uiPriority w:val="73"/>
    <w:qFormat/>
    <w:rsid w:val="00C55D62"/>
    <w:pPr>
      <w:ind w:left="907"/>
    </w:pPr>
  </w:style>
  <w:style w:type="paragraph" w:customStyle="1" w:styleId="ZZCZWSPTIRwLITzmianazmczciwsptirwlit">
    <w:name w:val="ZZ/CZ_WSP_TIR_w_LIT – zmiana zm. części wsp. tir. w lit."/>
    <w:basedOn w:val="ZZTIRwLITzmianazmtirwlit"/>
    <w:uiPriority w:val="70"/>
    <w:qFormat/>
    <w:rsid w:val="00C55D62"/>
    <w:pPr>
      <w:ind w:left="2370" w:firstLine="0"/>
    </w:pPr>
  </w:style>
  <w:style w:type="paragraph" w:customStyle="1" w:styleId="ZLIT2TIRzmpodwtirliter">
    <w:name w:val="Z_LIT/2TIR – zm. podw. tir. literą"/>
    <w:basedOn w:val="TIRtiret"/>
    <w:uiPriority w:val="75"/>
    <w:qFormat/>
    <w:rsid w:val="00C55D62"/>
  </w:style>
  <w:style w:type="paragraph" w:customStyle="1" w:styleId="ZTIR2TIRzmpodwtirtiret">
    <w:name w:val="Z_TIR/2TIR – zm. podw. tir. tiret"/>
    <w:basedOn w:val="TIRtiret"/>
    <w:uiPriority w:val="78"/>
    <w:qFormat/>
    <w:rsid w:val="00C55D62"/>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C55D62"/>
    <w:pPr>
      <w:ind w:left="1780"/>
    </w:pPr>
  </w:style>
  <w:style w:type="paragraph" w:customStyle="1" w:styleId="Z2TIRwPKTzmpodwtirwpktartykuempunktem">
    <w:name w:val="Z/2TIR_w_PKT – zm. podw. tir. w pkt artykułem (punktem)"/>
    <w:basedOn w:val="TIRtiret"/>
    <w:next w:val="ZPKTzmpktartykuempunktem"/>
    <w:uiPriority w:val="74"/>
    <w:qFormat/>
    <w:rsid w:val="00C55D62"/>
    <w:pPr>
      <w:ind w:left="2291"/>
    </w:pPr>
  </w:style>
  <w:style w:type="paragraph" w:customStyle="1" w:styleId="ZTIRPKTzmpkttiret">
    <w:name w:val="Z_TIR/PKT – zm. pkt tiret"/>
    <w:basedOn w:val="PKTpunkt"/>
    <w:uiPriority w:val="56"/>
    <w:qFormat/>
    <w:rsid w:val="00C55D62"/>
    <w:pPr>
      <w:ind w:left="1893"/>
    </w:pPr>
  </w:style>
  <w:style w:type="paragraph" w:customStyle="1" w:styleId="ZTIRLITwPKTzmlitwpkttiret">
    <w:name w:val="Z_TIR/LIT_w_PKT – zm. lit. w pkt tiret"/>
    <w:basedOn w:val="LITlitera"/>
    <w:uiPriority w:val="57"/>
    <w:qFormat/>
    <w:rsid w:val="00C55D62"/>
    <w:pPr>
      <w:ind w:left="2336"/>
    </w:pPr>
  </w:style>
  <w:style w:type="paragraph" w:customStyle="1" w:styleId="ZTIRCZWSPLITwPKTzmczciwsplitwpkttiret">
    <w:name w:val="Z_TIR/CZ_WSP_LIT_w_PKT – zm. części wsp. lit. w pkt tiret"/>
    <w:basedOn w:val="CZWSPLITczwsplnaliter"/>
    <w:uiPriority w:val="59"/>
    <w:qFormat/>
    <w:rsid w:val="00C55D62"/>
    <w:pPr>
      <w:ind w:left="1860"/>
    </w:pPr>
  </w:style>
  <w:style w:type="paragraph" w:customStyle="1" w:styleId="ZTIR2TIRwLITzmpodwtirwlittiret">
    <w:name w:val="Z_TIR/2TIR_w_LIT – zm. podw. tir. w lit. tiret"/>
    <w:basedOn w:val="TIRtiret"/>
    <w:uiPriority w:val="79"/>
    <w:qFormat/>
    <w:rsid w:val="00C55D62"/>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C55D62"/>
    <w:pPr>
      <w:ind w:left="2257"/>
    </w:pPr>
  </w:style>
  <w:style w:type="paragraph" w:customStyle="1" w:styleId="ZTIR2TIRwTIRzmpodwtirwtirtiret">
    <w:name w:val="Z_TIR/2TIR_w_TIR – zm. podw. tir. w tir. tiret"/>
    <w:basedOn w:val="TIRtiret"/>
    <w:uiPriority w:val="78"/>
    <w:qFormat/>
    <w:rsid w:val="00C55D62"/>
    <w:pPr>
      <w:ind w:left="2177"/>
    </w:pPr>
  </w:style>
  <w:style w:type="paragraph" w:customStyle="1" w:styleId="ZTIRCZWSP2TIRwTIRzmczciwsppodwtirwtirtiret">
    <w:name w:val="Z_TIR/CZ_WSP_2TIR_w_TIR – zm. części wsp. podw. tir. w tir. tiret"/>
    <w:basedOn w:val="CZWSPTIRczwsplnatiret"/>
    <w:uiPriority w:val="79"/>
    <w:qFormat/>
    <w:rsid w:val="00C55D62"/>
    <w:pPr>
      <w:ind w:left="1780"/>
    </w:pPr>
  </w:style>
  <w:style w:type="paragraph" w:customStyle="1" w:styleId="Z2TIRLITzmlitpodwjnymtiret">
    <w:name w:val="Z_2TIR/LIT – zm. lit. podwójnym tiret"/>
    <w:basedOn w:val="LITlitera"/>
    <w:uiPriority w:val="84"/>
    <w:qFormat/>
    <w:rsid w:val="00C55D62"/>
    <w:pPr>
      <w:ind w:left="2256"/>
    </w:pPr>
  </w:style>
  <w:style w:type="paragraph" w:customStyle="1" w:styleId="ZZ2TIRwTIRzmianazmpodwtirwtir">
    <w:name w:val="ZZ/2TIR_w_TIR – zmiana zm. podw. tir. w tir."/>
    <w:basedOn w:val="ZZCZWSP2TIRzmianazmczciwsppodwtir"/>
    <w:uiPriority w:val="93"/>
    <w:qFormat/>
    <w:rsid w:val="00C55D62"/>
    <w:pPr>
      <w:ind w:left="2688" w:hanging="397"/>
    </w:pPr>
  </w:style>
  <w:style w:type="paragraph" w:customStyle="1" w:styleId="ZZ2TIRwLITzmianazmpodwtirwlit">
    <w:name w:val="ZZ/2TIR_w_LIT – zmiana zm. podw. tir. w lit."/>
    <w:basedOn w:val="ZZ2TIRwTIRzmianazmpodwtirwtir"/>
    <w:uiPriority w:val="94"/>
    <w:qFormat/>
    <w:rsid w:val="00C55D62"/>
    <w:pPr>
      <w:ind w:left="3164"/>
    </w:pPr>
  </w:style>
  <w:style w:type="paragraph" w:customStyle="1" w:styleId="Z2TIRTIRwLITzmtirwlitpodwjnymtiret">
    <w:name w:val="Z_2TIR/TIR_w_LIT – zm. tir. w lit. podwójnym tiret"/>
    <w:basedOn w:val="TIRtiret"/>
    <w:uiPriority w:val="84"/>
    <w:qFormat/>
    <w:rsid w:val="00C55D62"/>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C55D62"/>
    <w:pPr>
      <w:ind w:left="2257"/>
    </w:pPr>
  </w:style>
  <w:style w:type="paragraph" w:customStyle="1" w:styleId="ZZ2TIRwPKTzmianazmpodwtirwpkt">
    <w:name w:val="ZZ/2TIR_w_PKT – zmiana zm. podw. tir. w pkt"/>
    <w:basedOn w:val="ZZ2TIRwLITzmianazmpodwtirwlit"/>
    <w:uiPriority w:val="94"/>
    <w:qFormat/>
    <w:rsid w:val="00C55D62"/>
    <w:pPr>
      <w:ind w:left="3674"/>
    </w:pPr>
  </w:style>
  <w:style w:type="paragraph" w:customStyle="1" w:styleId="ZZCZWSP2TIRwTIRzmianazmczciwsppodwtirwtir">
    <w:name w:val="ZZ/CZ_WSP_2TIR_w_TIR – zmiana zm. części wsp. podw. tir. w tir."/>
    <w:basedOn w:val="ZZ2TIRwLITzmianazmpodwtirwlit"/>
    <w:uiPriority w:val="94"/>
    <w:qFormat/>
    <w:rsid w:val="00C55D62"/>
    <w:pPr>
      <w:ind w:left="2291" w:firstLine="0"/>
    </w:pPr>
  </w:style>
  <w:style w:type="paragraph" w:customStyle="1" w:styleId="Z2TIR2TIRwTIRzmpodwtirwtirpodwjnymtiret">
    <w:name w:val="Z_2TIR/2TIR_w_TIR – zm. podw. tir. w tir. podwójnym tiret"/>
    <w:basedOn w:val="TIRtiret"/>
    <w:uiPriority w:val="85"/>
    <w:qFormat/>
    <w:rsid w:val="00C55D62"/>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C55D62"/>
    <w:pPr>
      <w:ind w:left="2177"/>
    </w:pPr>
  </w:style>
  <w:style w:type="paragraph" w:customStyle="1" w:styleId="Z2TIR2TIRwLITzmpodwtirwlitpodwjnymtiret">
    <w:name w:val="Z_2TIR/2TIR_w_LIT – zm. podw. tir. w lit. podwójnym tiret"/>
    <w:basedOn w:val="TIRtiret"/>
    <w:uiPriority w:val="86"/>
    <w:qFormat/>
    <w:rsid w:val="00C55D62"/>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C55D62"/>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C55D62"/>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C55D62"/>
  </w:style>
  <w:style w:type="paragraph" w:customStyle="1" w:styleId="ZZARTzmianazmart">
    <w:name w:val="ZZ/ART(§) – zmiana zm. art. (§)"/>
    <w:basedOn w:val="ZARTzmartartykuempunktem"/>
    <w:uiPriority w:val="65"/>
    <w:qFormat/>
    <w:rsid w:val="00C55D62"/>
    <w:pPr>
      <w:ind w:left="1894"/>
    </w:pPr>
  </w:style>
  <w:style w:type="paragraph" w:customStyle="1" w:styleId="ZZPKTzmianazmpkt">
    <w:name w:val="ZZ/PKT – zmiana zm. pkt"/>
    <w:basedOn w:val="ZPKTzmpktartykuempunktem"/>
    <w:uiPriority w:val="66"/>
    <w:qFormat/>
    <w:rsid w:val="00C55D62"/>
    <w:pPr>
      <w:ind w:left="2404"/>
    </w:pPr>
  </w:style>
  <w:style w:type="paragraph" w:customStyle="1" w:styleId="ZZLITwPKTzmianazmlitwpkt">
    <w:name w:val="ZZ/LIT_w_PKT – zmiana zm. lit. w pkt"/>
    <w:basedOn w:val="ZLITwPKTzmlitwpktartykuempunktem"/>
    <w:uiPriority w:val="67"/>
    <w:qFormat/>
    <w:rsid w:val="00C55D62"/>
    <w:pPr>
      <w:ind w:left="2880"/>
    </w:pPr>
  </w:style>
  <w:style w:type="paragraph" w:customStyle="1" w:styleId="ZZTIRwPKTzmianazmtirwpkt">
    <w:name w:val="ZZ/TIR_w_PKT – zmiana zm. tir. w pkt"/>
    <w:basedOn w:val="ZTIRwPKTzmtirwpktartykuempunktem"/>
    <w:uiPriority w:val="67"/>
    <w:qFormat/>
    <w:rsid w:val="00C55D62"/>
    <w:pPr>
      <w:ind w:left="3277"/>
    </w:pPr>
  </w:style>
  <w:style w:type="paragraph" w:customStyle="1" w:styleId="ZZWMATFIZCHEMzmwzorumatfizlubchem">
    <w:name w:val="ZZ/W_MAT(FIZ|CHEM) – zm. wzoru mat. (fiz. lub chem.)"/>
    <w:basedOn w:val="ZWMATFIZCHEMzmwzorumatfizlubchemartykuempunktem"/>
    <w:uiPriority w:val="71"/>
    <w:qFormat/>
    <w:rsid w:val="00C55D62"/>
    <w:pPr>
      <w:ind w:left="2404"/>
    </w:pPr>
  </w:style>
  <w:style w:type="paragraph" w:customStyle="1" w:styleId="ZTIRFRAGMzmnpwprdowyliczeniatiret">
    <w:name w:val="Z_TIR/FRAGM – zm. np. wpr. do wyliczenia tiret"/>
    <w:basedOn w:val="ZTIRCZWSPPKTzmczciwsppkttiret"/>
    <w:next w:val="TIRtiret"/>
    <w:uiPriority w:val="60"/>
    <w:qFormat/>
    <w:rsid w:val="00C55D62"/>
    <w:rPr>
      <w:rFonts w:ascii="Times New Roman" w:hAnsi="Times New Roman"/>
    </w:rPr>
  </w:style>
  <w:style w:type="paragraph" w:customStyle="1" w:styleId="ZTIRTIRwPKTzmtirwpkttiret">
    <w:name w:val="Z_TIR/TIR_w_PKT – zm. tir. w pkt tiret"/>
    <w:basedOn w:val="ZTIRTIRwLITzmtirwlittiret"/>
    <w:uiPriority w:val="57"/>
    <w:qFormat/>
    <w:rsid w:val="00C55D62"/>
    <w:pPr>
      <w:ind w:left="2733"/>
    </w:pPr>
  </w:style>
  <w:style w:type="paragraph" w:customStyle="1" w:styleId="ZTIRCZWSPTIRwPKTzmczciwsptirtiret">
    <w:name w:val="Z_TIR/CZ_WSP_TIR_w_PKT – zm. części wsp. tir. tiret"/>
    <w:basedOn w:val="ZTIRTIRwPKTzmtirwpkttiret"/>
    <w:next w:val="TIRtiret"/>
    <w:uiPriority w:val="60"/>
    <w:qFormat/>
    <w:rsid w:val="00C55D62"/>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C55D62"/>
    <w:pPr>
      <w:ind w:left="510" w:firstLine="0"/>
    </w:pPr>
  </w:style>
  <w:style w:type="paragraph" w:customStyle="1" w:styleId="ROZDZODDZOZNoznaczenierozdziauluboddziau">
    <w:name w:val="ROZDZ(ODDZ)_OZN – oznaczenie rozdziału lub oddziału"/>
    <w:next w:val="ARTartustawynprozporzdzenia"/>
    <w:uiPriority w:val="10"/>
    <w:qFormat/>
    <w:rsid w:val="00C55D62"/>
    <w:pPr>
      <w:keepNext/>
      <w:suppressAutoHyphens/>
      <w:spacing w:before="120" w:after="0" w:line="360" w:lineRule="auto"/>
      <w:jc w:val="center"/>
    </w:pPr>
    <w:rPr>
      <w:rFonts w:ascii="Times" w:eastAsia="Times New Roman" w:hAnsi="Times" w:cs="Arial"/>
      <w:bCs/>
      <w:kern w:val="24"/>
      <w:sz w:val="24"/>
      <w:szCs w:val="24"/>
      <w:lang w:eastAsia="pl-PL"/>
    </w:rPr>
  </w:style>
  <w:style w:type="paragraph" w:customStyle="1" w:styleId="Z2TIR2TIRzmpodwtirpodwjnymtiret">
    <w:name w:val="Z_2TIR/2TIR – zm. podw. tir. podwójnym tiret"/>
    <w:basedOn w:val="TIRtiret"/>
    <w:uiPriority w:val="85"/>
    <w:qFormat/>
    <w:rsid w:val="00C55D62"/>
    <w:pPr>
      <w:ind w:left="2177"/>
    </w:pPr>
  </w:style>
  <w:style w:type="paragraph" w:customStyle="1" w:styleId="Z2TIRTIRzmtirpodwjnymtiret">
    <w:name w:val="Z_2TIR/TIR – zm. tir. podwójnym tiret"/>
    <w:basedOn w:val="TIRtiret"/>
    <w:uiPriority w:val="84"/>
    <w:qFormat/>
    <w:rsid w:val="00C55D62"/>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C55D62"/>
    <w:pPr>
      <w:ind w:left="1021"/>
    </w:pPr>
  </w:style>
  <w:style w:type="paragraph" w:customStyle="1" w:styleId="ZLITSKARNzmsankcjikarnejliter">
    <w:name w:val="Z_LIT/S_KARN – zm. sankcji karnej literą"/>
    <w:basedOn w:val="ZSKARNzmsankcjikarnejwszczeglnociwKodeksiekarnym"/>
    <w:uiPriority w:val="53"/>
    <w:qFormat/>
    <w:rsid w:val="00C55D62"/>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C55D62"/>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C55D62"/>
    <w:pPr>
      <w:ind w:left="1894" w:firstLine="0"/>
    </w:pPr>
  </w:style>
  <w:style w:type="paragraph" w:customStyle="1" w:styleId="Z2TIRwLITzmpodwtirwlitartykuempunktem">
    <w:name w:val="Z/2TIR_w_LIT – zm. podw. tir. w lit. artykułem (punktem)"/>
    <w:basedOn w:val="Z2TIRwPKTzmpodwtirwpktartykuempunktem"/>
    <w:uiPriority w:val="74"/>
    <w:qFormat/>
    <w:rsid w:val="00C55D62"/>
    <w:pPr>
      <w:ind w:left="1780"/>
    </w:pPr>
  </w:style>
  <w:style w:type="paragraph" w:customStyle="1" w:styleId="Z2TIRwTIRzmpodwtirwtirartykuempunktem">
    <w:name w:val="Z/2TIR_w_TIR – zm. podw. tir. w tir. artykułem (punktem)"/>
    <w:basedOn w:val="Z2TIRwLITzmpodwtirwlitartykuempunktem"/>
    <w:uiPriority w:val="73"/>
    <w:qFormat/>
    <w:rsid w:val="00C55D62"/>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C55D62"/>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C55D62"/>
    <w:pPr>
      <w:ind w:left="1383" w:firstLine="0"/>
    </w:pPr>
  </w:style>
  <w:style w:type="paragraph" w:customStyle="1" w:styleId="ZZCZWSP2TIRzmianazmczciwsppodwtir">
    <w:name w:val="ZZ/CZ_WSP_2TIR – zmiana zm. części wsp. podw. tir."/>
    <w:basedOn w:val="ZZTIRzmianazmtir"/>
    <w:next w:val="ZZUSTzmianazmust"/>
    <w:uiPriority w:val="94"/>
    <w:qFormat/>
    <w:rsid w:val="00C55D62"/>
    <w:pPr>
      <w:ind w:left="1894" w:firstLine="0"/>
    </w:pPr>
  </w:style>
  <w:style w:type="paragraph" w:customStyle="1" w:styleId="PKTODNONIKApunktodnonika">
    <w:name w:val="PKT_ODNOŚNIKA – punkt odnośnika"/>
    <w:basedOn w:val="ODNONIKtreodnonika"/>
    <w:uiPriority w:val="19"/>
    <w:qFormat/>
    <w:rsid w:val="00C55D62"/>
    <w:pPr>
      <w:ind w:left="568"/>
    </w:pPr>
  </w:style>
  <w:style w:type="paragraph" w:customStyle="1" w:styleId="ZODNONIKAzmtekstuodnonikaartykuempunktem">
    <w:name w:val="Z/ODNOŚNIKA – zm. tekstu odnośnika artykułem (punktem)"/>
    <w:basedOn w:val="ODNONIKtreodnonika"/>
    <w:uiPriority w:val="39"/>
    <w:qFormat/>
    <w:rsid w:val="00C55D62"/>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C55D62"/>
    <w:pPr>
      <w:ind w:left="1304"/>
    </w:pPr>
  </w:style>
  <w:style w:type="paragraph" w:customStyle="1" w:styleId="ZPKTODNONIKAzmpktodnonikaartykuempunktem">
    <w:name w:val="Z/PKT_ODNOŚNIKA – zm. pkt odnośnika artykułem (punktem)"/>
    <w:basedOn w:val="ZODNONIKAzmtekstuodnonikaartykuempunktem"/>
    <w:uiPriority w:val="39"/>
    <w:qFormat/>
    <w:rsid w:val="00C55D62"/>
  </w:style>
  <w:style w:type="paragraph" w:customStyle="1" w:styleId="ZLIT2TIRwTIRzmpodwtirwtirliter">
    <w:name w:val="Z_LIT/2TIR_w_TIR – zm. podw. tir. w tir. literą"/>
    <w:basedOn w:val="ZLIT2TIRzmpodwtirliter"/>
    <w:uiPriority w:val="75"/>
    <w:qFormat/>
    <w:rsid w:val="00C55D62"/>
    <w:pPr>
      <w:ind w:left="1780"/>
    </w:pPr>
  </w:style>
  <w:style w:type="paragraph" w:customStyle="1" w:styleId="ZLIT2TIRwLITzmpodwtirwlitliter">
    <w:name w:val="Z_LIT/2TIR_w_LIT – zm. podw. tir. w lit. literą"/>
    <w:basedOn w:val="ZLIT2TIRwTIRzmpodwtirwtirliter"/>
    <w:uiPriority w:val="76"/>
    <w:qFormat/>
    <w:rsid w:val="00C55D62"/>
    <w:pPr>
      <w:ind w:left="2257"/>
    </w:pPr>
  </w:style>
  <w:style w:type="paragraph" w:customStyle="1" w:styleId="ZLIT2TIRwPKTzmpodwtirwpktliter">
    <w:name w:val="Z_LIT/2TIR_w_PKT – zm. podw. tir. w pkt literą"/>
    <w:basedOn w:val="ZLIT2TIRwLITzmpodwtirwlitliter"/>
    <w:uiPriority w:val="76"/>
    <w:qFormat/>
    <w:rsid w:val="00C55D62"/>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C55D62"/>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C55D62"/>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C55D62"/>
    <w:pPr>
      <w:ind w:left="2370" w:firstLine="0"/>
    </w:pPr>
  </w:style>
  <w:style w:type="paragraph" w:customStyle="1" w:styleId="ZTIR2TIRwPKTzmpodwtirwpkttiret">
    <w:name w:val="Z_TIR/2TIR_w_PKT – zm. podw. tir. w pkt tiret"/>
    <w:basedOn w:val="ZTIR2TIRwLITzmpodwtirwlittiret"/>
    <w:uiPriority w:val="79"/>
    <w:qFormat/>
    <w:rsid w:val="00C55D62"/>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C55D62"/>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C55D62"/>
    <w:pPr>
      <w:ind w:left="2767"/>
    </w:pPr>
  </w:style>
  <w:style w:type="paragraph" w:customStyle="1" w:styleId="ZZCZWSP2TIRwPKTzmianazmczciwsppodwtirwpkt">
    <w:name w:val="ZZ/CZ_WSP_2TIR_w_PKT – zmiana zm. części wsp. podw. tir. w pkt"/>
    <w:basedOn w:val="ZZ2TIRwLITzmianazmpodwtirwlit"/>
    <w:uiPriority w:val="95"/>
    <w:qFormat/>
    <w:rsid w:val="00C55D62"/>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C55D62"/>
  </w:style>
  <w:style w:type="paragraph" w:customStyle="1" w:styleId="ZLITCZWSP2TIRzmczciwsppodwtirliter">
    <w:name w:val="Z_LIT/CZ_WSP_2TIR – zm. części wsp. podw. tir. literą"/>
    <w:basedOn w:val="ZLITCZWSPPKTzmczciwsppktliter"/>
    <w:next w:val="LITlitera"/>
    <w:uiPriority w:val="76"/>
    <w:qFormat/>
    <w:rsid w:val="00C55D62"/>
  </w:style>
  <w:style w:type="paragraph" w:customStyle="1" w:styleId="ZTIRCZWSP2TIRzmczciwsppodwtirtiret">
    <w:name w:val="Z_TIR/CZ_WSP_2TIR – zm. części wsp. podw. tir. tiret"/>
    <w:basedOn w:val="ZLITCZWSP2TIRzmczciwsppodwtirliter"/>
    <w:next w:val="TIRtiret"/>
    <w:uiPriority w:val="79"/>
    <w:qFormat/>
    <w:rsid w:val="00C55D62"/>
  </w:style>
  <w:style w:type="paragraph" w:customStyle="1" w:styleId="ZZ2TIRzmianazmpodwtir">
    <w:name w:val="ZZ/2TIR – zmiana zm. podw. tir."/>
    <w:basedOn w:val="ZZCZWSP2TIRzmianazmczciwsppodwtir"/>
    <w:uiPriority w:val="93"/>
    <w:qFormat/>
    <w:rsid w:val="00C55D62"/>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C55D62"/>
  </w:style>
  <w:style w:type="paragraph" w:customStyle="1" w:styleId="ZCZWSPTIRzmczciwsptirartykuempunktem">
    <w:name w:val="Z/CZ_WSP_TIR – zm. części wsp. tir. artykułem (punktem)"/>
    <w:basedOn w:val="ZCZWSPPKTzmczciwsppktartykuempunktem"/>
    <w:next w:val="PKTpunkt"/>
    <w:uiPriority w:val="35"/>
    <w:qFormat/>
    <w:rsid w:val="00C55D62"/>
  </w:style>
  <w:style w:type="paragraph" w:customStyle="1" w:styleId="ZLITCZWSPLITzmczciwsplitliter">
    <w:name w:val="Z_LIT/CZ_WSP_LIT – zm. części wsp. lit. literą"/>
    <w:basedOn w:val="ZLITCZWSPPKTzmczciwsppktliter"/>
    <w:next w:val="LITlitera"/>
    <w:uiPriority w:val="51"/>
    <w:qFormat/>
    <w:rsid w:val="00C55D62"/>
  </w:style>
  <w:style w:type="paragraph" w:customStyle="1" w:styleId="ZLITCZWSPTIRzmczciwsptirliter">
    <w:name w:val="Z_LIT/CZ_WSP_TIR – zm. części wsp. tir. literą"/>
    <w:basedOn w:val="ZLITCZWSPPKTzmczciwsppktliter"/>
    <w:next w:val="LITlitera"/>
    <w:uiPriority w:val="51"/>
    <w:qFormat/>
    <w:rsid w:val="00C55D62"/>
  </w:style>
  <w:style w:type="paragraph" w:customStyle="1" w:styleId="ZTIRCZWSPLITzmczciwsplittiret">
    <w:name w:val="Z_TIR/CZ_WSP_LIT – zm. części wsp. lit. tiret"/>
    <w:basedOn w:val="ZTIRCZWSPPKTzmczciwsppkttiret"/>
    <w:next w:val="TIRtiret"/>
    <w:uiPriority w:val="59"/>
    <w:qFormat/>
    <w:rsid w:val="00C55D62"/>
  </w:style>
  <w:style w:type="paragraph" w:customStyle="1" w:styleId="ZTIRCZWSPTIRzmczciwsptirtiret">
    <w:name w:val="Z_TIR/CZ_WSP_TIR – zm. części wsp. tir. tiret"/>
    <w:basedOn w:val="ZTIRCZWSPPKTzmczciwsppkttiret"/>
    <w:next w:val="TIRtiret"/>
    <w:uiPriority w:val="60"/>
    <w:qFormat/>
    <w:rsid w:val="00C55D62"/>
  </w:style>
  <w:style w:type="paragraph" w:customStyle="1" w:styleId="ZZCZWSPLITzmianazmczciwsplit">
    <w:name w:val="ZZ/CZ_WSP_LIT – zmiana. zm. części wsp. lit."/>
    <w:basedOn w:val="ZZCZWSPPKTzmianazmczciwsppkt"/>
    <w:uiPriority w:val="69"/>
    <w:qFormat/>
    <w:rsid w:val="00C55D62"/>
  </w:style>
  <w:style w:type="paragraph" w:customStyle="1" w:styleId="ZZCZWSPTIRzmianazmczciwsptir">
    <w:name w:val="ZZ/CZ_WSP_TIR – zmiana. zm. części wsp. tir."/>
    <w:basedOn w:val="ZZCZWSPPKTzmianazmczciwsppkt"/>
    <w:uiPriority w:val="69"/>
    <w:qFormat/>
    <w:rsid w:val="00C55D62"/>
  </w:style>
  <w:style w:type="paragraph" w:customStyle="1" w:styleId="Z2TIRCZWSPTIRzmczciwsptirpodwjnymtiret">
    <w:name w:val="Z_2TIR/CZ_WSP_TIR – zm. części wsp. tir. podwójnym tiret"/>
    <w:basedOn w:val="Z2TIRCZWSPLITzmczciwsplitpodwjnymtiret"/>
    <w:next w:val="2TIRpodwjnytiret"/>
    <w:uiPriority w:val="87"/>
    <w:qFormat/>
    <w:rsid w:val="00C55D62"/>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C55D62"/>
  </w:style>
  <w:style w:type="paragraph" w:customStyle="1" w:styleId="ZZUSTzmianazmust">
    <w:name w:val="ZZ/UST(§) – zmiana zm. ust. (§)"/>
    <w:basedOn w:val="ZZARTzmianazmart"/>
    <w:uiPriority w:val="65"/>
    <w:qFormat/>
    <w:rsid w:val="00C55D62"/>
  </w:style>
  <w:style w:type="paragraph" w:customStyle="1" w:styleId="TYTDZPRZEDMprzedmiotregulacjitytuulubdziau">
    <w:name w:val="TYT(DZ)_PRZEDM – przedmiot regulacji tytułu lub działu"/>
    <w:next w:val="ARTartustawynprozporzdzenia"/>
    <w:uiPriority w:val="9"/>
    <w:qFormat/>
    <w:rsid w:val="00C55D62"/>
    <w:pPr>
      <w:keepNext/>
      <w:suppressAutoHyphens/>
      <w:spacing w:before="120" w:after="0" w:line="360" w:lineRule="auto"/>
      <w:jc w:val="center"/>
    </w:pPr>
    <w:rPr>
      <w:rFonts w:ascii="Times" w:eastAsia="Times New Roman" w:hAnsi="Times" w:cs="Times New Roman"/>
      <w:b/>
      <w:sz w:val="24"/>
      <w:szCs w:val="26"/>
      <w:lang w:eastAsia="pl-PL"/>
    </w:rPr>
  </w:style>
  <w:style w:type="paragraph" w:customStyle="1" w:styleId="ZNIEARTTEKSTzmtekstunieartykuowanego">
    <w:name w:val="Z/NIEART_TEKST – zm. tekstu nieartykułowanego"/>
    <w:basedOn w:val="NIEARTTEKSTtekstnieartykuowanynppodstprawnarozplubpreambua"/>
    <w:uiPriority w:val="37"/>
    <w:qFormat/>
    <w:rsid w:val="00C55D62"/>
    <w:pPr>
      <w:ind w:left="510"/>
    </w:pPr>
    <w:rPr>
      <w:rFonts w:eastAsia="Times New Roman"/>
    </w:r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C55D62"/>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C55D62"/>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C55D62"/>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C55D62"/>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C55D62"/>
    <w:pPr>
      <w:spacing w:after="120"/>
      <w:ind w:left="1894"/>
    </w:pPr>
    <w:rPr>
      <w:b w:val="0"/>
    </w:rPr>
  </w:style>
  <w:style w:type="paragraph" w:customStyle="1" w:styleId="P1wTABELIpoziom1numeracjiwtabeli">
    <w:name w:val="P1_w_TABELI – poziom 1 numeracji w tabeli"/>
    <w:basedOn w:val="PKTpunkt"/>
    <w:uiPriority w:val="24"/>
    <w:qFormat/>
    <w:rsid w:val="00C55D62"/>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C55D62"/>
    <w:pPr>
      <w:ind w:left="0" w:firstLine="0"/>
    </w:pPr>
  </w:style>
  <w:style w:type="paragraph" w:customStyle="1" w:styleId="P2wTABELIpoziom2numeracjiwtabeli">
    <w:name w:val="P2_w_TABELI – poziom 2 numeracji w tabeli"/>
    <w:basedOn w:val="P1wTABELIpoziom1numeracjiwtabeli"/>
    <w:uiPriority w:val="24"/>
    <w:qFormat/>
    <w:rsid w:val="00C55D62"/>
    <w:pPr>
      <w:ind w:left="794"/>
    </w:pPr>
  </w:style>
  <w:style w:type="paragraph" w:customStyle="1" w:styleId="P3wTABELIpoziom3numeracjiwtabeli">
    <w:name w:val="P3_w_TABELI – poziom 3 numeracji w tabeli"/>
    <w:basedOn w:val="P2wTABELIpoziom2numeracjiwtabeli"/>
    <w:uiPriority w:val="24"/>
    <w:qFormat/>
    <w:rsid w:val="00C55D62"/>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C55D62"/>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C55D62"/>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C55D62"/>
    <w:pPr>
      <w:ind w:left="1191"/>
    </w:pPr>
  </w:style>
  <w:style w:type="paragraph" w:customStyle="1" w:styleId="P4wTABELIpoziom4numeracjiwtabeli">
    <w:name w:val="P4_w_TABELI – poziom 4 numeracji w tabeli"/>
    <w:basedOn w:val="P3wTABELIpoziom3numeracjiwtabeli"/>
    <w:uiPriority w:val="24"/>
    <w:qFormat/>
    <w:rsid w:val="00C55D62"/>
    <w:pPr>
      <w:ind w:left="1588"/>
    </w:pPr>
  </w:style>
  <w:style w:type="paragraph" w:customStyle="1" w:styleId="TYTTABELItytutabeli">
    <w:name w:val="TYT_TABELI – tytuł tabeli"/>
    <w:basedOn w:val="TYTDZOZNoznaczenietytuulubdziau"/>
    <w:uiPriority w:val="22"/>
    <w:qFormat/>
    <w:rsid w:val="00C55D62"/>
    <w:rPr>
      <w:b/>
    </w:rPr>
  </w:style>
  <w:style w:type="paragraph" w:customStyle="1" w:styleId="NAZORGWYDnazwaorganuwydajcegoprojektowanyakt">
    <w:name w:val="NAZ_ORG_WYD – nazwa organu wydającego projektowany akt"/>
    <w:basedOn w:val="OZNRODZAKTUtznustawalubrozporzdzenieiorganwydajcy"/>
    <w:uiPriority w:val="27"/>
    <w:qFormat/>
    <w:rsid w:val="00C55D62"/>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C55D62"/>
    <w:pPr>
      <w:ind w:left="0" w:right="4820"/>
      <w:jc w:val="left"/>
    </w:pPr>
  </w:style>
  <w:style w:type="paragraph" w:customStyle="1" w:styleId="TEKSTwporozumieniu">
    <w:name w:val="TEKST&quot;w porozumieniu:&quot;"/>
    <w:next w:val="NAZORGWPOROZUMIENIUnazwaorganuwporozumieniuzktrymaktjestwydawany"/>
    <w:uiPriority w:val="27"/>
    <w:qFormat/>
    <w:rsid w:val="00C55D62"/>
    <w:pPr>
      <w:spacing w:after="0" w:line="360" w:lineRule="auto"/>
    </w:pPr>
    <w:rPr>
      <w:rFonts w:ascii="Times New Roman" w:eastAsia="Times New Roman" w:hAnsi="Times New Roman" w:cs="Arial"/>
      <w:b/>
      <w:sz w:val="24"/>
      <w:szCs w:val="20"/>
      <w:lang w:eastAsia="pl-PL"/>
    </w:rPr>
  </w:style>
  <w:style w:type="paragraph" w:customStyle="1" w:styleId="CZWSPPKTODNONIKAczwsppunkwodnonika">
    <w:name w:val="CZ_WSP_PKT_ODNOŚNIKA – część wsp. punków odnośnika"/>
    <w:basedOn w:val="PKTODNONIKApunktodnonika"/>
    <w:uiPriority w:val="21"/>
    <w:qFormat/>
    <w:rsid w:val="00C55D62"/>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C55D62"/>
    <w:pPr>
      <w:ind w:left="510" w:firstLine="0"/>
    </w:pPr>
  </w:style>
  <w:style w:type="paragraph" w:customStyle="1" w:styleId="NOTATKILEGISLATORA">
    <w:name w:val="NOTATKI_LEGISLATORA"/>
    <w:basedOn w:val="Normalny"/>
    <w:uiPriority w:val="5"/>
    <w:qFormat/>
    <w:rsid w:val="00C55D62"/>
    <w:pPr>
      <w:widowControl w:val="0"/>
      <w:autoSpaceDE w:val="0"/>
      <w:autoSpaceDN w:val="0"/>
      <w:adjustRightInd w:val="0"/>
      <w:spacing w:after="0" w:line="360" w:lineRule="auto"/>
    </w:pPr>
    <w:rPr>
      <w:rFonts w:ascii="Times New Roman" w:eastAsia="Times New Roman" w:hAnsi="Times New Roman" w:cs="Arial"/>
      <w:b/>
      <w:i/>
      <w:sz w:val="24"/>
      <w:szCs w:val="20"/>
      <w:lang w:eastAsia="pl-PL"/>
    </w:rPr>
  </w:style>
  <w:style w:type="paragraph" w:customStyle="1" w:styleId="OZNZACZNIKAwskazanienrzacznika">
    <w:name w:val="OZN_ZAŁĄCZNIKA – wskazanie nr załącznika"/>
    <w:basedOn w:val="OZNPROJEKTUwskazaniedatylubwersjiprojektu"/>
    <w:uiPriority w:val="28"/>
    <w:qFormat/>
    <w:rsid w:val="00C55D62"/>
    <w:pPr>
      <w:keepNext/>
    </w:pPr>
    <w:rPr>
      <w:b/>
      <w:u w:val="none"/>
    </w:rPr>
  </w:style>
  <w:style w:type="paragraph" w:customStyle="1" w:styleId="OZNPARAFYADNOTACJE">
    <w:name w:val="OZN_PARAFY(ADNOTACJE)"/>
    <w:basedOn w:val="ODNONIKtreodnonika"/>
    <w:uiPriority w:val="26"/>
    <w:qFormat/>
    <w:rsid w:val="00C55D62"/>
  </w:style>
  <w:style w:type="paragraph" w:customStyle="1" w:styleId="TEKSTZacznikido">
    <w:name w:val="TEKST&quot;Załącznik(i) do ...&quot;"/>
    <w:uiPriority w:val="28"/>
    <w:qFormat/>
    <w:rsid w:val="00C55D62"/>
    <w:pPr>
      <w:keepNext/>
      <w:spacing w:after="240" w:line="240" w:lineRule="auto"/>
      <w:ind w:left="5670"/>
      <w:contextualSpacing/>
    </w:pPr>
    <w:rPr>
      <w:rFonts w:ascii="Times New Roman" w:eastAsia="Times New Roman" w:hAnsi="Times New Roman" w:cs="Arial"/>
      <w:sz w:val="24"/>
      <w:szCs w:val="20"/>
      <w:lang w:eastAsia="pl-PL"/>
    </w:rPr>
  </w:style>
  <w:style w:type="paragraph" w:customStyle="1" w:styleId="LITODNONIKAliteraodnonika">
    <w:name w:val="LIT_ODNOŚNIKA – litera odnośnika"/>
    <w:basedOn w:val="PKTODNONIKApunktodnonika"/>
    <w:uiPriority w:val="20"/>
    <w:qFormat/>
    <w:rsid w:val="00C55D62"/>
    <w:pPr>
      <w:ind w:left="851"/>
    </w:pPr>
  </w:style>
  <w:style w:type="paragraph" w:customStyle="1" w:styleId="CZWSPLITODNONIKAczwspliterodnonika">
    <w:name w:val="CZ_WSP_LIT_ODNOŚNIKA – część wsp. liter odnośnika"/>
    <w:basedOn w:val="LITODNONIKAliteraodnonika"/>
    <w:uiPriority w:val="22"/>
    <w:qFormat/>
    <w:rsid w:val="00C55D62"/>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C55D62"/>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C55D62"/>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C55D62"/>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C55D62"/>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C55D62"/>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C55D62"/>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C55D62"/>
  </w:style>
  <w:style w:type="paragraph" w:customStyle="1" w:styleId="ZLITwPKTODNONIKAzmlitwpktodnonikaartykuempunktem">
    <w:name w:val="Z/LIT_w_PKT_ODNOŚNIKA – zm. lit. w pkt odnośnika artykułem (punktem)"/>
    <w:basedOn w:val="ZLITODNONIKAzmlitodnonikaartykuempunktem"/>
    <w:uiPriority w:val="40"/>
    <w:qFormat/>
    <w:rsid w:val="00C55D62"/>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C55D62"/>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C55D62"/>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C55D62"/>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C55D62"/>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C55D62"/>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C55D62"/>
  </w:style>
  <w:style w:type="paragraph" w:customStyle="1" w:styleId="ZZFRAGzmianazmfragmentunpzdania">
    <w:name w:val="ZZ/FRAG – zmiana zm. fragmentu (np. zdania)"/>
    <w:basedOn w:val="ZZCZWSPPKTzmianazmczciwsppkt"/>
    <w:uiPriority w:val="70"/>
    <w:qFormat/>
    <w:rsid w:val="00C55D62"/>
  </w:style>
  <w:style w:type="paragraph" w:customStyle="1" w:styleId="Z2TIRPKTzmpktpodwjnymtiret">
    <w:name w:val="Z_2TIR/PKT – zm. pkt podwójnym tiret"/>
    <w:basedOn w:val="Z2TIRLITzmlitpodwjnymtiret"/>
    <w:uiPriority w:val="83"/>
    <w:qFormat/>
    <w:rsid w:val="00C55D62"/>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C55D62"/>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C55D62"/>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C55D62"/>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C55D62"/>
    <w:pPr>
      <w:ind w:left="1780" w:firstLine="510"/>
    </w:pPr>
  </w:style>
  <w:style w:type="paragraph" w:customStyle="1" w:styleId="Z2TIRUSTzmustpodwjnymtiret">
    <w:name w:val="Z_2TIR/UST(§) – zm. ust. (§) podwójnym tiret"/>
    <w:basedOn w:val="Z2TIRPKTzmpktpodwjnymtiret"/>
    <w:uiPriority w:val="82"/>
    <w:qFormat/>
    <w:rsid w:val="00C55D62"/>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C55D62"/>
    <w:pPr>
      <w:ind w:left="3164" w:firstLine="0"/>
    </w:pPr>
  </w:style>
  <w:style w:type="paragraph" w:customStyle="1" w:styleId="Z2TIRCZWSPPKTzmczciwsppktpodwjnymtiret">
    <w:name w:val="Z_2TIR/CZ_WSP_PKT – zm. części wsp. pkt podwójnym tiret"/>
    <w:basedOn w:val="Z2TIRPKTzmpktpodwjnymtiret"/>
    <w:uiPriority w:val="86"/>
    <w:qFormat/>
    <w:rsid w:val="00C55D62"/>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C55D62"/>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C55D62"/>
    <w:pPr>
      <w:ind w:left="2767" w:firstLine="0"/>
    </w:pPr>
  </w:style>
  <w:style w:type="paragraph" w:customStyle="1" w:styleId="ZLITARTzmartliter">
    <w:name w:val="Z_LIT/ART(§) – zm. art. (§) literą"/>
    <w:basedOn w:val="ZLITUSTzmustliter"/>
    <w:uiPriority w:val="46"/>
    <w:qFormat/>
    <w:rsid w:val="00C55D62"/>
  </w:style>
  <w:style w:type="paragraph" w:customStyle="1" w:styleId="ZTIRARTzmarttiret">
    <w:name w:val="Z_TIR/ART(§) – zm. art. (§) tiret"/>
    <w:basedOn w:val="ZTIRPKTzmpkttiret"/>
    <w:uiPriority w:val="55"/>
    <w:qFormat/>
    <w:rsid w:val="00C55D62"/>
    <w:pPr>
      <w:ind w:left="1383" w:firstLine="510"/>
    </w:pPr>
    <w:rPr>
      <w:rFonts w:ascii="Times New Roman" w:hAnsi="Times New Roman"/>
    </w:rPr>
  </w:style>
  <w:style w:type="paragraph" w:customStyle="1" w:styleId="ZTIRUSTzmusttiret">
    <w:name w:val="Z_TIR/UST(§) – zm. ust. (§) tiret"/>
    <w:basedOn w:val="ZTIRARTzmarttiret"/>
    <w:uiPriority w:val="55"/>
    <w:qFormat/>
    <w:rsid w:val="00C55D62"/>
  </w:style>
  <w:style w:type="paragraph" w:customStyle="1" w:styleId="ZLITKSIGIzmozniprzedmksigiliter">
    <w:name w:val="Z_LIT/KSIĘGI – zm. ozn. i przedm. księgi literą"/>
    <w:basedOn w:val="ZCZCIKSIGIzmozniprzedmczciksigiartykuempunktem"/>
    <w:uiPriority w:val="44"/>
    <w:qFormat/>
    <w:rsid w:val="00C55D62"/>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C55D62"/>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C55D62"/>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C55D62"/>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C55D62"/>
    <w:pPr>
      <w:spacing w:after="120"/>
      <w:ind w:left="987"/>
    </w:pPr>
    <w:rPr>
      <w:b w:val="0"/>
    </w:rPr>
  </w:style>
  <w:style w:type="paragraph" w:customStyle="1" w:styleId="ZTIRDZOZNzmozndziautiret">
    <w:name w:val="Z_TIR/DZ_OZN – zm. ozn. działu tiret"/>
    <w:basedOn w:val="ZLITTYTDZOZNzmozntytuudziauliter"/>
    <w:next w:val="ZTIRDZPRZEDMzmprzedmdziautiret"/>
    <w:uiPriority w:val="54"/>
    <w:qFormat/>
    <w:rsid w:val="00C55D62"/>
    <w:pPr>
      <w:ind w:left="1383"/>
    </w:pPr>
  </w:style>
  <w:style w:type="paragraph" w:customStyle="1" w:styleId="ZTIRDZPRZEDMzmprzedmdziautiret">
    <w:name w:val="Z_TIR/DZ_PRZEDM – zm. przedm. działu tiret"/>
    <w:basedOn w:val="ZLITTYTDZPRZEDMzmprzedmtytuudziauliter"/>
    <w:uiPriority w:val="54"/>
    <w:qFormat/>
    <w:rsid w:val="00C55D62"/>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C55D62"/>
    <w:pPr>
      <w:ind w:left="1383"/>
    </w:pPr>
  </w:style>
  <w:style w:type="paragraph" w:customStyle="1" w:styleId="ZTIRROZDZODDZPRZEDMzmprzedmrozdzoddztiret">
    <w:name w:val="Z_TIR/ROZDZ(ODDZ)_PRZEDM – zm. przedm. rozdz. (oddz.) tiret"/>
    <w:basedOn w:val="ZLITROZDZODDZPRZEDMzmprzedmrozdzoddzliter"/>
    <w:uiPriority w:val="54"/>
    <w:qFormat/>
    <w:rsid w:val="00C55D62"/>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C55D62"/>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C55D62"/>
    <w:pPr>
      <w:ind w:left="1780"/>
    </w:pPr>
  </w:style>
  <w:style w:type="character" w:customStyle="1" w:styleId="IDPindeksdolnyipogrubienie">
    <w:name w:val="_ID_P_ – indeks dolny i pogrubienie"/>
    <w:uiPriority w:val="3"/>
    <w:qFormat/>
    <w:rsid w:val="00C55D62"/>
    <w:rPr>
      <w:rFonts w:cs="Times New Roman"/>
      <w:b/>
      <w:spacing w:val="0"/>
      <w:vertAlign w:val="subscript"/>
    </w:rPr>
  </w:style>
  <w:style w:type="character" w:customStyle="1" w:styleId="IDKindeksdolnyikursywa">
    <w:name w:val="_ID_K_ – indeks dolny i kursywa"/>
    <w:uiPriority w:val="3"/>
    <w:qFormat/>
    <w:rsid w:val="00C55D62"/>
    <w:rPr>
      <w:rFonts w:cs="Times New Roman"/>
      <w:i/>
      <w:spacing w:val="0"/>
      <w:vertAlign w:val="subscript"/>
    </w:rPr>
  </w:style>
  <w:style w:type="character" w:customStyle="1" w:styleId="IGKindeksgrnyikursywa">
    <w:name w:val="_IG_K_ – indeks górny i kursywa"/>
    <w:uiPriority w:val="2"/>
    <w:qFormat/>
    <w:rsid w:val="00C55D62"/>
    <w:rPr>
      <w:rFonts w:cs="Times New Roman"/>
      <w:i/>
      <w:spacing w:val="0"/>
      <w:vertAlign w:val="superscript"/>
    </w:rPr>
  </w:style>
  <w:style w:type="character" w:customStyle="1" w:styleId="IGPKindeksgrnyipogrubieniekursywa">
    <w:name w:val="_IG_P_K_ – indeks górny i pogrubienie kursywa"/>
    <w:uiPriority w:val="2"/>
    <w:qFormat/>
    <w:rsid w:val="00C55D62"/>
    <w:rPr>
      <w:rFonts w:cs="Times New Roman"/>
      <w:b/>
      <w:i/>
      <w:spacing w:val="0"/>
      <w:vertAlign w:val="superscript"/>
    </w:rPr>
  </w:style>
  <w:style w:type="character" w:customStyle="1" w:styleId="IDPKindeksdolnyipogrugieniekursywa">
    <w:name w:val="_ID_P_K_ – indeks dolny i pogrugienie kursywa"/>
    <w:uiPriority w:val="3"/>
    <w:qFormat/>
    <w:rsid w:val="00C55D62"/>
    <w:rPr>
      <w:rFonts w:cs="Times New Roman"/>
      <w:b/>
      <w:i/>
      <w:spacing w:val="0"/>
      <w:vertAlign w:val="subscript"/>
    </w:rPr>
  </w:style>
  <w:style w:type="character" w:customStyle="1" w:styleId="TEKSTOZNACZONYWDOKUMENCIERDOWYMJAKOUKRYTY">
    <w:name w:val="_TEKST_OZNACZONY_W_DOKUMENCIE_ŹRÓDŁOWYM_JAKO_UKRYTY_"/>
    <w:uiPriority w:val="4"/>
    <w:unhideWhenUsed/>
    <w:qFormat/>
    <w:rsid w:val="00C55D62"/>
    <w:rPr>
      <w:rFonts w:cs="Times New Roman"/>
      <w:color w:val="FF0000"/>
      <w:u w:val="single" w:color="FF0000"/>
    </w:rPr>
  </w:style>
  <w:style w:type="character" w:customStyle="1" w:styleId="BEZWERSALIKW">
    <w:name w:val="_BEZ_WERSALIKÓW_"/>
    <w:uiPriority w:val="4"/>
    <w:qFormat/>
    <w:rsid w:val="00C55D62"/>
    <w:rPr>
      <w:rFonts w:cs="Times New Roman"/>
      <w:caps/>
    </w:rPr>
  </w:style>
  <w:style w:type="character" w:customStyle="1" w:styleId="IIGPindeksgrnyindeksugrnegoipogrubienie">
    <w:name w:val="_IIG_P_ – indeks górny indeksu górnego i pogrubienie"/>
    <w:uiPriority w:val="3"/>
    <w:qFormat/>
    <w:rsid w:val="00C55D62"/>
    <w:rPr>
      <w:rFonts w:cs="Times New Roman"/>
      <w:b/>
      <w:spacing w:val="0"/>
      <w:position w:val="6"/>
      <w:vertAlign w:val="superscript"/>
    </w:rPr>
  </w:style>
  <w:style w:type="character" w:customStyle="1" w:styleId="IIGindeksgrnyindeksugrnego">
    <w:name w:val="_IIG_ – indeks górny indeksu górnego"/>
    <w:uiPriority w:val="3"/>
    <w:qFormat/>
    <w:rsid w:val="00C55D62"/>
    <w:rPr>
      <w:rFonts w:cs="Times New Roman"/>
      <w:b w:val="0"/>
      <w:spacing w:val="0"/>
      <w:position w:val="6"/>
      <w:vertAlign w:val="superscript"/>
    </w:rPr>
  </w:style>
  <w:style w:type="paragraph" w:customStyle="1" w:styleId="TEKSTwTABELItekstzwcitympierwwierszem">
    <w:name w:val="TEKST_w_TABELI – tekst z wciętym pierw. wierszem"/>
    <w:basedOn w:val="Normalny"/>
    <w:uiPriority w:val="23"/>
    <w:qFormat/>
    <w:rsid w:val="00C55D62"/>
    <w:pPr>
      <w:suppressAutoHyphens/>
      <w:autoSpaceDE w:val="0"/>
      <w:autoSpaceDN w:val="0"/>
      <w:adjustRightInd w:val="0"/>
      <w:spacing w:after="0" w:line="360" w:lineRule="auto"/>
      <w:ind w:firstLine="510"/>
    </w:pPr>
    <w:rPr>
      <w:rFonts w:ascii="Times" w:eastAsia="Times New Roman" w:hAnsi="Times" w:cs="Arial"/>
      <w:bCs/>
      <w:kern w:val="24"/>
      <w:sz w:val="24"/>
      <w:szCs w:val="20"/>
      <w:lang w:eastAsia="pl-PL"/>
    </w:rPr>
  </w:style>
  <w:style w:type="paragraph" w:customStyle="1" w:styleId="TEKSTwTABELIWYRODKOWANYtekstwyrodkowanywpoziomie">
    <w:name w:val="TEKST_w_TABELI_WYŚRODKOWANY – tekst wyśrodkowany w poziomie"/>
    <w:basedOn w:val="Normalny"/>
    <w:uiPriority w:val="23"/>
    <w:qFormat/>
    <w:rsid w:val="00C55D62"/>
    <w:pPr>
      <w:suppressAutoHyphens/>
      <w:autoSpaceDE w:val="0"/>
      <w:autoSpaceDN w:val="0"/>
      <w:adjustRightInd w:val="0"/>
      <w:spacing w:after="0" w:line="360" w:lineRule="auto"/>
      <w:jc w:val="center"/>
    </w:pPr>
    <w:rPr>
      <w:rFonts w:ascii="Times" w:eastAsia="Times New Roman" w:hAnsi="Times" w:cs="Arial"/>
      <w:bCs/>
      <w:kern w:val="24"/>
      <w:sz w:val="24"/>
      <w:szCs w:val="20"/>
      <w:lang w:eastAsia="pl-PL"/>
    </w:rPr>
  </w:style>
  <w:style w:type="paragraph" w:customStyle="1" w:styleId="ZTIRSKARNzmsankcjikarnejtiret">
    <w:name w:val="Z_TIR/S_KARN – zm. sankcji karnej tiret"/>
    <w:basedOn w:val="ZLITSKARNzmsankcjikarnejliter"/>
    <w:next w:val="ZTIRARTzmarttiret"/>
    <w:uiPriority w:val="61"/>
    <w:qFormat/>
    <w:rsid w:val="00C55D62"/>
    <w:pPr>
      <w:ind w:left="1894"/>
    </w:pPr>
  </w:style>
  <w:style w:type="paragraph" w:customStyle="1" w:styleId="ZZSKARNzmianazmsankcjikarnej">
    <w:name w:val="ZZ/S_KARN – zmiana zm. sankcji karnej"/>
    <w:basedOn w:val="ZZFRAGzmianazmfragmentunpzdania"/>
    <w:uiPriority w:val="71"/>
    <w:qFormat/>
    <w:rsid w:val="00C55D6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C55D62"/>
    <w:pPr>
      <w:ind w:left="2291" w:firstLine="0"/>
    </w:pPr>
  </w:style>
  <w:style w:type="paragraph" w:customStyle="1" w:styleId="WMATFIZCHEMwzrmatfizlubchem">
    <w:name w:val="W_MAT(FIZ|CHEM) – wzór mat. (fiz. lub chem.)"/>
    <w:uiPriority w:val="18"/>
    <w:qFormat/>
    <w:rsid w:val="00C55D62"/>
    <w:pPr>
      <w:spacing w:after="0" w:line="360" w:lineRule="auto"/>
      <w:jc w:val="center"/>
    </w:pPr>
    <w:rPr>
      <w:rFonts w:ascii="Times New Roman" w:eastAsia="Times New Roman" w:hAnsi="Times New Roman" w:cs="Arial"/>
      <w:sz w:val="24"/>
      <w:szCs w:val="20"/>
      <w:lang w:eastAsia="pl-PL"/>
    </w:rPr>
  </w:style>
  <w:style w:type="paragraph" w:customStyle="1" w:styleId="LEGWMATFIZCHEMlegendawzorumatfizlubchem">
    <w:name w:val="LEG_W_MAT(FIZ|CHEM) – legenda wzoru mat. (fiz. lub chem.)"/>
    <w:basedOn w:val="WMATFIZCHEMwzrmatfizlubchem"/>
    <w:uiPriority w:val="19"/>
    <w:qFormat/>
    <w:rsid w:val="00C55D6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C55D6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C55D6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C55D6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C55D6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C55D6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C55D6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C55D6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C55D62"/>
    <w:pPr>
      <w:ind w:left="3085"/>
    </w:pPr>
  </w:style>
  <w:style w:type="paragraph" w:customStyle="1" w:styleId="ZLITCYTzmcytatunpprzysigiliter">
    <w:name w:val="Z_LIT/CYT – zm. cytatu np. przysięgi literą"/>
    <w:basedOn w:val="ZCYTzmcytatunpprzysigiartykuempunktem"/>
    <w:uiPriority w:val="53"/>
    <w:qFormat/>
    <w:rsid w:val="00C55D62"/>
    <w:pPr>
      <w:ind w:left="1497"/>
    </w:pPr>
  </w:style>
  <w:style w:type="paragraph" w:customStyle="1" w:styleId="ZTIRCYTzmcytatunpprzysigitiret">
    <w:name w:val="Z_TIR/CYT – zm. cytatu np. przysięgi tiret"/>
    <w:basedOn w:val="ZLITCYTzmcytatunpprzysigiliter"/>
    <w:next w:val="ZTIRUSTzmusttiret"/>
    <w:uiPriority w:val="61"/>
    <w:qFormat/>
    <w:rsid w:val="00C55D62"/>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C55D62"/>
    <w:pPr>
      <w:ind w:left="2291"/>
    </w:pPr>
  </w:style>
  <w:style w:type="paragraph" w:customStyle="1" w:styleId="ZZCYTzmianazmcytatunpprzysigi">
    <w:name w:val="ZZ/CYT – zmiana zm. cytatu np. przysięgi"/>
    <w:basedOn w:val="ZZFRAGzmianazmfragmentunpzdania"/>
    <w:next w:val="ZZUSTzmianazmust"/>
    <w:uiPriority w:val="71"/>
    <w:qFormat/>
    <w:rsid w:val="00C55D62"/>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C55D62"/>
    <w:pPr>
      <w:ind w:left="1780"/>
    </w:pPr>
  </w:style>
  <w:style w:type="table" w:styleId="Tabela-Siatka">
    <w:name w:val="Table Grid"/>
    <w:basedOn w:val="Standardowy"/>
    <w:uiPriority w:val="59"/>
    <w:rsid w:val="00C55D62"/>
    <w:pPr>
      <w:spacing w:after="0" w:line="240" w:lineRule="auto"/>
    </w:pPr>
    <w:rPr>
      <w:rFonts w:ascii="Times" w:eastAsia="Times New Roman" w:hAnsi="Times" w:cs="Times New Roman"/>
      <w:sz w:val="24"/>
      <w:szCs w:val="24"/>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uiPriority w:val="99"/>
    <w:rsid w:val="00C55D62"/>
    <w:pPr>
      <w:widowControl w:val="0"/>
      <w:autoSpaceDE w:val="0"/>
      <w:autoSpaceDN w:val="0"/>
      <w:adjustRightInd w:val="0"/>
      <w:spacing w:after="0" w:line="360" w:lineRule="auto"/>
      <w:jc w:val="both"/>
    </w:pPr>
    <w:rPr>
      <w:rFonts w:ascii="Times" w:eastAsia="Times New Roman" w:hAnsi="Times" w:cs="Times New Roman"/>
      <w:sz w:val="24"/>
      <w:szCs w:val="24"/>
      <w:lang w:eastAsia="pl-PL"/>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C55D62"/>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blStylePr w:type="firstRow">
      <w:rPr>
        <w:rFonts w:cs="Times New Roman"/>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C55D62"/>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C55D62"/>
    <w:tblPr/>
    <w:tblStylePr w:type="firstRow">
      <w:rPr>
        <w:rFonts w:cs="Times New Roman"/>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rPr>
        <w:rFonts w:cs="Times New Roman"/>
      </w:rPr>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rPr>
        <w:rFonts w:cs="Times New Roman"/>
      </w:rPr>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uiPriority w:val="99"/>
    <w:semiHidden/>
    <w:rsid w:val="00C55D62"/>
    <w:rPr>
      <w:rFonts w:cs="Times New Roman"/>
      <w:color w:val="808080"/>
    </w:rPr>
  </w:style>
  <w:style w:type="paragraph" w:styleId="Poprawka">
    <w:name w:val="Revision"/>
    <w:hidden/>
    <w:uiPriority w:val="99"/>
    <w:semiHidden/>
    <w:rsid w:val="00C55D62"/>
    <w:pPr>
      <w:spacing w:after="0" w:line="240" w:lineRule="auto"/>
    </w:pPr>
    <w:rPr>
      <w:rFonts w:ascii="Times New Roman" w:eastAsia="Times New Roman" w:hAnsi="Times New Roman" w:cs="Arial"/>
      <w:sz w:val="24"/>
      <w:szCs w:val="20"/>
      <w:lang w:eastAsia="pl-PL"/>
    </w:rPr>
  </w:style>
  <w:style w:type="paragraph" w:customStyle="1" w:styleId="Tekstpodstawowy2">
    <w:name w:val="Tekst podstawowy2"/>
    <w:basedOn w:val="Normalny"/>
    <w:rsid w:val="00C55D62"/>
    <w:pPr>
      <w:shd w:val="clear" w:color="auto" w:fill="FFFFFF"/>
      <w:spacing w:after="240" w:line="278" w:lineRule="exact"/>
      <w:ind w:hanging="700"/>
      <w:jc w:val="right"/>
    </w:pPr>
    <w:rPr>
      <w:rFonts w:ascii="Calibri" w:eastAsia="Calibri" w:hAnsi="Calibri" w:cs="Times New Roman"/>
      <w:sz w:val="24"/>
      <w:szCs w:val="24"/>
      <w:lang w:eastAsia="pl-PL"/>
    </w:rPr>
  </w:style>
  <w:style w:type="character" w:customStyle="1" w:styleId="BodytextItalic">
    <w:name w:val="Body text + Italic"/>
    <w:rsid w:val="00C55D62"/>
    <w:rPr>
      <w:rFonts w:ascii="Times New Roman" w:hAnsi="Times New Roman" w:cs="Times New Roman"/>
      <w:i/>
      <w:iCs/>
      <w:spacing w:val="0"/>
      <w:sz w:val="24"/>
      <w:szCs w:val="24"/>
      <w:lang w:bidi="ar-SA"/>
    </w:rPr>
  </w:style>
  <w:style w:type="paragraph" w:styleId="Tekstpodstawowy20">
    <w:name w:val="Body Text 2"/>
    <w:basedOn w:val="Normalny"/>
    <w:link w:val="Tekstpodstawowy2Znak"/>
    <w:rsid w:val="00C55D62"/>
    <w:pPr>
      <w:widowControl w:val="0"/>
      <w:autoSpaceDE w:val="0"/>
      <w:autoSpaceDN w:val="0"/>
      <w:adjustRightInd w:val="0"/>
      <w:spacing w:after="120" w:line="480" w:lineRule="auto"/>
    </w:pPr>
    <w:rPr>
      <w:rFonts w:ascii="Times New Roman" w:eastAsia="Times New Roman" w:hAnsi="Times New Roman" w:cs="Times New Roman"/>
      <w:sz w:val="24"/>
      <w:szCs w:val="20"/>
      <w:lang w:eastAsia="pl-PL"/>
    </w:rPr>
  </w:style>
  <w:style w:type="character" w:customStyle="1" w:styleId="Tekstpodstawowy2Znak">
    <w:name w:val="Tekst podstawowy 2 Znak"/>
    <w:basedOn w:val="Domylnaczcionkaakapitu"/>
    <w:link w:val="Tekstpodstawowy20"/>
    <w:rsid w:val="00C55D62"/>
    <w:rPr>
      <w:rFonts w:ascii="Times New Roman" w:eastAsia="Times New Roman" w:hAnsi="Times New Roman" w:cs="Times New Roman"/>
      <w:sz w:val="24"/>
      <w:szCs w:val="20"/>
      <w:lang w:eastAsia="pl-PL"/>
    </w:rPr>
  </w:style>
  <w:style w:type="paragraph" w:styleId="Tekstpodstawowywcity">
    <w:name w:val="Body Text Indent"/>
    <w:basedOn w:val="Normalny"/>
    <w:link w:val="TekstpodstawowywcityZnak"/>
    <w:rsid w:val="00C55D62"/>
    <w:pPr>
      <w:spacing w:after="120" w:line="240" w:lineRule="auto"/>
      <w:ind w:left="283"/>
    </w:pPr>
    <w:rPr>
      <w:rFonts w:ascii="Times New Roman" w:eastAsia="Times New Roman" w:hAnsi="Times New Roman" w:cs="Times New Roman"/>
      <w:sz w:val="24"/>
      <w:szCs w:val="24"/>
      <w:lang w:eastAsia="pl-PL"/>
    </w:rPr>
  </w:style>
  <w:style w:type="character" w:customStyle="1" w:styleId="TekstpodstawowywcityZnak">
    <w:name w:val="Tekst podstawowy wcięty Znak"/>
    <w:basedOn w:val="Domylnaczcionkaakapitu"/>
    <w:link w:val="Tekstpodstawowywcity"/>
    <w:rsid w:val="00C55D62"/>
    <w:rPr>
      <w:rFonts w:ascii="Times New Roman" w:eastAsia="Times New Roman" w:hAnsi="Times New Roman" w:cs="Times New Roman"/>
      <w:sz w:val="24"/>
      <w:szCs w:val="24"/>
      <w:lang w:eastAsia="pl-PL"/>
    </w:rPr>
  </w:style>
  <w:style w:type="character" w:customStyle="1" w:styleId="st1">
    <w:name w:val="st1"/>
    <w:basedOn w:val="Domylnaczcionkaakapitu"/>
    <w:rsid w:val="00C55D62"/>
  </w:style>
  <w:style w:type="paragraph" w:customStyle="1" w:styleId="ppkt">
    <w:name w:val="p.pkt"/>
    <w:uiPriority w:val="99"/>
    <w:rsid w:val="00C55D62"/>
    <w:pPr>
      <w:widowControl w:val="0"/>
      <w:autoSpaceDE w:val="0"/>
      <w:autoSpaceDN w:val="0"/>
      <w:adjustRightInd w:val="0"/>
      <w:spacing w:after="0" w:line="40" w:lineRule="atLeast"/>
      <w:ind w:left="240"/>
      <w:jc w:val="both"/>
    </w:pPr>
    <w:rPr>
      <w:rFonts w:ascii="Arial" w:eastAsia="Times New Roman" w:hAnsi="Arial" w:cs="Arial"/>
      <w:color w:val="000000"/>
      <w:sz w:val="18"/>
      <w:szCs w:val="18"/>
      <w:lang w:eastAsia="pl-PL"/>
    </w:rPr>
  </w:style>
  <w:style w:type="paragraph" w:customStyle="1" w:styleId="p">
    <w:name w:val="p"/>
    <w:uiPriority w:val="99"/>
    <w:rsid w:val="00C55D62"/>
    <w:pPr>
      <w:widowControl w:val="0"/>
      <w:autoSpaceDE w:val="0"/>
      <w:autoSpaceDN w:val="0"/>
      <w:adjustRightInd w:val="0"/>
      <w:spacing w:before="20" w:after="40" w:line="40" w:lineRule="atLeast"/>
      <w:jc w:val="both"/>
    </w:pPr>
    <w:rPr>
      <w:rFonts w:ascii="Arial" w:eastAsia="Times New Roman" w:hAnsi="Arial" w:cs="Arial"/>
      <w:color w:val="000000"/>
      <w:sz w:val="18"/>
      <w:szCs w:val="18"/>
      <w:lang w:eastAsia="pl-PL"/>
    </w:rPr>
  </w:style>
  <w:style w:type="paragraph" w:styleId="Tekstblokowy">
    <w:name w:val="Block Text"/>
    <w:basedOn w:val="Normalny"/>
    <w:rsid w:val="00C55D62"/>
    <w:pPr>
      <w:spacing w:after="0" w:line="240" w:lineRule="auto"/>
      <w:ind w:left="5103" w:right="-1"/>
    </w:pPr>
    <w:rPr>
      <w:rFonts w:ascii="Times New Roman" w:eastAsia="Times New Roman" w:hAnsi="Times New Roman" w:cs="Times New Roman"/>
      <w:sz w:val="24"/>
      <w:szCs w:val="20"/>
      <w:lang w:eastAsia="pl-PL"/>
    </w:rPr>
  </w:style>
  <w:style w:type="character" w:styleId="Uwydatnienie">
    <w:name w:val="Emphasis"/>
    <w:basedOn w:val="Domylnaczcionkaakapitu"/>
    <w:uiPriority w:val="20"/>
    <w:qFormat/>
    <w:rsid w:val="00C55D62"/>
    <w:rPr>
      <w:i/>
      <w:iCs/>
    </w:rPr>
  </w:style>
  <w:style w:type="paragraph" w:styleId="NormalnyWeb">
    <w:name w:val="Normal (Web)"/>
    <w:basedOn w:val="Normalny"/>
    <w:uiPriority w:val="99"/>
    <w:semiHidden/>
    <w:unhideWhenUsed/>
    <w:rsid w:val="00C55D62"/>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Pogrubienie">
    <w:name w:val="Strong"/>
    <w:basedOn w:val="Domylnaczcionkaakapitu"/>
    <w:uiPriority w:val="22"/>
    <w:qFormat/>
    <w:rsid w:val="00C55D62"/>
    <w:rPr>
      <w:b/>
      <w:bCs/>
    </w:rPr>
  </w:style>
  <w:style w:type="paragraph" w:customStyle="1" w:styleId="CM11">
    <w:name w:val="CM1+1"/>
    <w:basedOn w:val="Default"/>
    <w:next w:val="Default"/>
    <w:uiPriority w:val="99"/>
    <w:rsid w:val="00C55D62"/>
    <w:rPr>
      <w:rFonts w:ascii="EUAlbertina" w:eastAsia="Times New Roman" w:hAnsi="EUAlbertina"/>
      <w:color w:val="auto"/>
      <w:lang w:eastAsia="pl-PL"/>
    </w:rPr>
  </w:style>
  <w:style w:type="paragraph" w:customStyle="1" w:styleId="CM31">
    <w:name w:val="CM3+1"/>
    <w:basedOn w:val="Default"/>
    <w:next w:val="Default"/>
    <w:uiPriority w:val="99"/>
    <w:rsid w:val="00C55D62"/>
    <w:rPr>
      <w:rFonts w:ascii="EUAlbertina" w:eastAsia="Times New Roman" w:hAnsi="EUAlbertina"/>
      <w:color w:val="auto"/>
      <w:lang w:eastAsia="pl-PL"/>
    </w:rPr>
  </w:style>
  <w:style w:type="paragraph" w:customStyle="1" w:styleId="CM41">
    <w:name w:val="CM4+1"/>
    <w:basedOn w:val="Default"/>
    <w:next w:val="Default"/>
    <w:uiPriority w:val="99"/>
    <w:rsid w:val="00C55D62"/>
    <w:rPr>
      <w:rFonts w:ascii="EUAlbertina" w:eastAsia="Times New Roman" w:hAnsi="EUAlbertina"/>
      <w:color w:val="auto"/>
      <w:lang w:eastAsia="pl-PL"/>
    </w:rPr>
  </w:style>
  <w:style w:type="paragraph" w:styleId="Lista2">
    <w:name w:val="List 2"/>
    <w:basedOn w:val="Normalny"/>
    <w:unhideWhenUsed/>
    <w:rsid w:val="00C55D62"/>
    <w:pPr>
      <w:widowControl w:val="0"/>
      <w:autoSpaceDE w:val="0"/>
      <w:autoSpaceDN w:val="0"/>
      <w:adjustRightInd w:val="0"/>
      <w:spacing w:after="0" w:line="360" w:lineRule="auto"/>
      <w:ind w:left="566" w:hanging="283"/>
      <w:contextualSpacing/>
    </w:pPr>
    <w:rPr>
      <w:rFonts w:ascii="Times New Roman" w:eastAsia="Times New Roman" w:hAnsi="Times New Roman" w:cs="Arial"/>
      <w:sz w:val="24"/>
      <w:szCs w:val="20"/>
      <w:lang w:eastAsia="pl-PL"/>
    </w:rPr>
  </w:style>
  <w:style w:type="paragraph" w:styleId="Lista-kontynuacja">
    <w:name w:val="List Continue"/>
    <w:basedOn w:val="Normalny"/>
    <w:unhideWhenUsed/>
    <w:rsid w:val="00C55D62"/>
    <w:pPr>
      <w:widowControl w:val="0"/>
      <w:autoSpaceDE w:val="0"/>
      <w:autoSpaceDN w:val="0"/>
      <w:adjustRightInd w:val="0"/>
      <w:spacing w:after="120" w:line="360" w:lineRule="auto"/>
      <w:ind w:left="283"/>
      <w:contextualSpacing/>
    </w:pPr>
    <w:rPr>
      <w:rFonts w:ascii="Times New Roman" w:eastAsia="Times New Roman" w:hAnsi="Times New Roman" w:cs="Arial"/>
      <w:sz w:val="24"/>
      <w:szCs w:val="20"/>
      <w:lang w:eastAsia="pl-PL"/>
    </w:rPr>
  </w:style>
  <w:style w:type="paragraph" w:styleId="Lista-kontynuacja2">
    <w:name w:val="List Continue 2"/>
    <w:basedOn w:val="Normalny"/>
    <w:unhideWhenUsed/>
    <w:rsid w:val="00C55D62"/>
    <w:pPr>
      <w:widowControl w:val="0"/>
      <w:autoSpaceDE w:val="0"/>
      <w:autoSpaceDN w:val="0"/>
      <w:adjustRightInd w:val="0"/>
      <w:spacing w:after="120" w:line="360" w:lineRule="auto"/>
      <w:ind w:left="566"/>
      <w:contextualSpacing/>
    </w:pPr>
    <w:rPr>
      <w:rFonts w:ascii="Times New Roman" w:eastAsia="Times New Roman" w:hAnsi="Times New Roman" w:cs="Arial"/>
      <w:sz w:val="24"/>
      <w:szCs w:val="20"/>
      <w:lang w:eastAsia="pl-PL"/>
    </w:rPr>
  </w:style>
  <w:style w:type="character" w:customStyle="1" w:styleId="st">
    <w:name w:val="st"/>
    <w:basedOn w:val="Domylnaczcionkaakapitu"/>
    <w:rsid w:val="00C55D62"/>
  </w:style>
  <w:style w:type="paragraph" w:customStyle="1" w:styleId="ti-art">
    <w:name w:val="ti-art"/>
    <w:basedOn w:val="Normalny"/>
    <w:rsid w:val="00A731A9"/>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oj-normal">
    <w:name w:val="oj-normal"/>
    <w:basedOn w:val="Normalny"/>
    <w:rsid w:val="00AB1420"/>
    <w:pPr>
      <w:spacing w:before="100" w:beforeAutospacing="1" w:after="100" w:afterAutospacing="1" w:line="240" w:lineRule="auto"/>
    </w:pPr>
    <w:rPr>
      <w:rFonts w:ascii="Times New Roman" w:eastAsia="Times New Roman" w:hAnsi="Times New Roman" w:cs="Times New Roman"/>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30925">
      <w:bodyDiv w:val="1"/>
      <w:marLeft w:val="0"/>
      <w:marRight w:val="0"/>
      <w:marTop w:val="0"/>
      <w:marBottom w:val="0"/>
      <w:divBdr>
        <w:top w:val="none" w:sz="0" w:space="0" w:color="auto"/>
        <w:left w:val="none" w:sz="0" w:space="0" w:color="auto"/>
        <w:bottom w:val="none" w:sz="0" w:space="0" w:color="auto"/>
        <w:right w:val="none" w:sz="0" w:space="0" w:color="auto"/>
      </w:divBdr>
    </w:div>
    <w:div w:id="11495506">
      <w:bodyDiv w:val="1"/>
      <w:marLeft w:val="0"/>
      <w:marRight w:val="0"/>
      <w:marTop w:val="0"/>
      <w:marBottom w:val="0"/>
      <w:divBdr>
        <w:top w:val="none" w:sz="0" w:space="0" w:color="auto"/>
        <w:left w:val="none" w:sz="0" w:space="0" w:color="auto"/>
        <w:bottom w:val="none" w:sz="0" w:space="0" w:color="auto"/>
        <w:right w:val="none" w:sz="0" w:space="0" w:color="auto"/>
      </w:divBdr>
      <w:divsChild>
        <w:div w:id="1694067529">
          <w:marLeft w:val="0"/>
          <w:marRight w:val="0"/>
          <w:marTop w:val="150"/>
          <w:marBottom w:val="168"/>
          <w:divBdr>
            <w:top w:val="none" w:sz="0" w:space="0" w:color="auto"/>
            <w:left w:val="none" w:sz="0" w:space="0" w:color="auto"/>
            <w:bottom w:val="none" w:sz="0" w:space="0" w:color="auto"/>
            <w:right w:val="none" w:sz="0" w:space="0" w:color="auto"/>
          </w:divBdr>
        </w:div>
      </w:divsChild>
    </w:div>
    <w:div w:id="316810946">
      <w:bodyDiv w:val="1"/>
      <w:marLeft w:val="0"/>
      <w:marRight w:val="0"/>
      <w:marTop w:val="0"/>
      <w:marBottom w:val="0"/>
      <w:divBdr>
        <w:top w:val="none" w:sz="0" w:space="0" w:color="auto"/>
        <w:left w:val="none" w:sz="0" w:space="0" w:color="auto"/>
        <w:bottom w:val="none" w:sz="0" w:space="0" w:color="auto"/>
        <w:right w:val="none" w:sz="0" w:space="0" w:color="auto"/>
      </w:divBdr>
    </w:div>
    <w:div w:id="360252275">
      <w:bodyDiv w:val="1"/>
      <w:marLeft w:val="0"/>
      <w:marRight w:val="0"/>
      <w:marTop w:val="0"/>
      <w:marBottom w:val="0"/>
      <w:divBdr>
        <w:top w:val="none" w:sz="0" w:space="0" w:color="auto"/>
        <w:left w:val="none" w:sz="0" w:space="0" w:color="auto"/>
        <w:bottom w:val="none" w:sz="0" w:space="0" w:color="auto"/>
        <w:right w:val="none" w:sz="0" w:space="0" w:color="auto"/>
      </w:divBdr>
    </w:div>
    <w:div w:id="944846596">
      <w:bodyDiv w:val="1"/>
      <w:marLeft w:val="0"/>
      <w:marRight w:val="0"/>
      <w:marTop w:val="0"/>
      <w:marBottom w:val="0"/>
      <w:divBdr>
        <w:top w:val="none" w:sz="0" w:space="0" w:color="auto"/>
        <w:left w:val="none" w:sz="0" w:space="0" w:color="auto"/>
        <w:bottom w:val="none" w:sz="0" w:space="0" w:color="auto"/>
        <w:right w:val="none" w:sz="0" w:space="0" w:color="auto"/>
      </w:divBdr>
    </w:div>
    <w:div w:id="1050223350">
      <w:bodyDiv w:val="1"/>
      <w:marLeft w:val="0"/>
      <w:marRight w:val="0"/>
      <w:marTop w:val="0"/>
      <w:marBottom w:val="0"/>
      <w:divBdr>
        <w:top w:val="none" w:sz="0" w:space="0" w:color="auto"/>
        <w:left w:val="none" w:sz="0" w:space="0" w:color="auto"/>
        <w:bottom w:val="none" w:sz="0" w:space="0" w:color="auto"/>
        <w:right w:val="none" w:sz="0" w:space="0" w:color="auto"/>
      </w:divBdr>
    </w:div>
    <w:div w:id="1071734495">
      <w:bodyDiv w:val="1"/>
      <w:marLeft w:val="0"/>
      <w:marRight w:val="0"/>
      <w:marTop w:val="0"/>
      <w:marBottom w:val="0"/>
      <w:divBdr>
        <w:top w:val="none" w:sz="0" w:space="0" w:color="auto"/>
        <w:left w:val="none" w:sz="0" w:space="0" w:color="auto"/>
        <w:bottom w:val="none" w:sz="0" w:space="0" w:color="auto"/>
        <w:right w:val="none" w:sz="0" w:space="0" w:color="auto"/>
      </w:divBdr>
    </w:div>
    <w:div w:id="1144395083">
      <w:bodyDiv w:val="1"/>
      <w:marLeft w:val="0"/>
      <w:marRight w:val="0"/>
      <w:marTop w:val="0"/>
      <w:marBottom w:val="0"/>
      <w:divBdr>
        <w:top w:val="none" w:sz="0" w:space="0" w:color="auto"/>
        <w:left w:val="none" w:sz="0" w:space="0" w:color="auto"/>
        <w:bottom w:val="none" w:sz="0" w:space="0" w:color="auto"/>
        <w:right w:val="none" w:sz="0" w:space="0" w:color="auto"/>
      </w:divBdr>
    </w:div>
    <w:div w:id="1349218832">
      <w:bodyDiv w:val="1"/>
      <w:marLeft w:val="0"/>
      <w:marRight w:val="0"/>
      <w:marTop w:val="0"/>
      <w:marBottom w:val="0"/>
      <w:divBdr>
        <w:top w:val="none" w:sz="0" w:space="0" w:color="auto"/>
        <w:left w:val="none" w:sz="0" w:space="0" w:color="auto"/>
        <w:bottom w:val="none" w:sz="0" w:space="0" w:color="auto"/>
        <w:right w:val="none" w:sz="0" w:space="0" w:color="auto"/>
      </w:divBdr>
    </w:div>
    <w:div w:id="1378819248">
      <w:bodyDiv w:val="1"/>
      <w:marLeft w:val="0"/>
      <w:marRight w:val="0"/>
      <w:marTop w:val="0"/>
      <w:marBottom w:val="0"/>
      <w:divBdr>
        <w:top w:val="none" w:sz="0" w:space="0" w:color="auto"/>
        <w:left w:val="none" w:sz="0" w:space="0" w:color="auto"/>
        <w:bottom w:val="none" w:sz="0" w:space="0" w:color="auto"/>
        <w:right w:val="none" w:sz="0" w:space="0" w:color="auto"/>
      </w:divBdr>
    </w:div>
    <w:div w:id="1555890419">
      <w:bodyDiv w:val="1"/>
      <w:marLeft w:val="0"/>
      <w:marRight w:val="0"/>
      <w:marTop w:val="0"/>
      <w:marBottom w:val="0"/>
      <w:divBdr>
        <w:top w:val="none" w:sz="0" w:space="0" w:color="auto"/>
        <w:left w:val="none" w:sz="0" w:space="0" w:color="auto"/>
        <w:bottom w:val="none" w:sz="0" w:space="0" w:color="auto"/>
        <w:right w:val="none" w:sz="0" w:space="0" w:color="auto"/>
      </w:divBdr>
    </w:div>
    <w:div w:id="1776975401">
      <w:bodyDiv w:val="1"/>
      <w:marLeft w:val="0"/>
      <w:marRight w:val="0"/>
      <w:marTop w:val="0"/>
      <w:marBottom w:val="0"/>
      <w:divBdr>
        <w:top w:val="none" w:sz="0" w:space="0" w:color="auto"/>
        <w:left w:val="none" w:sz="0" w:space="0" w:color="auto"/>
        <w:bottom w:val="none" w:sz="0" w:space="0" w:color="auto"/>
        <w:right w:val="none" w:sz="0" w:space="0" w:color="auto"/>
      </w:divBdr>
    </w:div>
    <w:div w:id="1855531136">
      <w:bodyDiv w:val="1"/>
      <w:marLeft w:val="0"/>
      <w:marRight w:val="0"/>
      <w:marTop w:val="0"/>
      <w:marBottom w:val="0"/>
      <w:divBdr>
        <w:top w:val="none" w:sz="0" w:space="0" w:color="auto"/>
        <w:left w:val="none" w:sz="0" w:space="0" w:color="auto"/>
        <w:bottom w:val="none" w:sz="0" w:space="0" w:color="auto"/>
        <w:right w:val="none" w:sz="0" w:space="0" w:color="auto"/>
      </w:divBdr>
      <w:divsChild>
        <w:div w:id="845898905">
          <w:marLeft w:val="0"/>
          <w:marRight w:val="0"/>
          <w:marTop w:val="0"/>
          <w:marBottom w:val="0"/>
          <w:divBdr>
            <w:top w:val="none" w:sz="0" w:space="0" w:color="auto"/>
            <w:left w:val="none" w:sz="0" w:space="0" w:color="auto"/>
            <w:bottom w:val="none" w:sz="0" w:space="0" w:color="auto"/>
            <w:right w:val="none" w:sz="0" w:space="0" w:color="auto"/>
          </w:divBdr>
        </w:div>
        <w:div w:id="1861813108">
          <w:marLeft w:val="0"/>
          <w:marRight w:val="0"/>
          <w:marTop w:val="0"/>
          <w:marBottom w:val="0"/>
          <w:divBdr>
            <w:top w:val="none" w:sz="0" w:space="0" w:color="auto"/>
            <w:left w:val="none" w:sz="0" w:space="0" w:color="auto"/>
            <w:bottom w:val="none" w:sz="0" w:space="0" w:color="auto"/>
            <w:right w:val="none" w:sz="0" w:space="0" w:color="auto"/>
          </w:divBdr>
        </w:div>
        <w:div w:id="121655872">
          <w:marLeft w:val="0"/>
          <w:marRight w:val="0"/>
          <w:marTop w:val="0"/>
          <w:marBottom w:val="0"/>
          <w:divBdr>
            <w:top w:val="none" w:sz="0" w:space="0" w:color="auto"/>
            <w:left w:val="none" w:sz="0" w:space="0" w:color="auto"/>
            <w:bottom w:val="none" w:sz="0" w:space="0" w:color="auto"/>
            <w:right w:val="none" w:sz="0" w:space="0" w:color="auto"/>
          </w:divBdr>
        </w:div>
      </w:divsChild>
    </w:div>
    <w:div w:id="1894005378">
      <w:bodyDiv w:val="1"/>
      <w:marLeft w:val="0"/>
      <w:marRight w:val="0"/>
      <w:marTop w:val="0"/>
      <w:marBottom w:val="0"/>
      <w:divBdr>
        <w:top w:val="none" w:sz="0" w:space="0" w:color="auto"/>
        <w:left w:val="none" w:sz="0" w:space="0" w:color="auto"/>
        <w:bottom w:val="none" w:sz="0" w:space="0" w:color="auto"/>
        <w:right w:val="none" w:sz="0" w:space="0" w:color="auto"/>
      </w:divBdr>
    </w:div>
    <w:div w:id="1966346167">
      <w:bodyDiv w:val="1"/>
      <w:marLeft w:val="0"/>
      <w:marRight w:val="0"/>
      <w:marTop w:val="0"/>
      <w:marBottom w:val="0"/>
      <w:divBdr>
        <w:top w:val="none" w:sz="0" w:space="0" w:color="auto"/>
        <w:left w:val="none" w:sz="0" w:space="0" w:color="auto"/>
        <w:bottom w:val="none" w:sz="0" w:space="0" w:color="auto"/>
        <w:right w:val="none" w:sz="0" w:space="0" w:color="auto"/>
      </w:divBdr>
    </w:div>
    <w:div w:id="1971662237">
      <w:bodyDiv w:val="1"/>
      <w:marLeft w:val="0"/>
      <w:marRight w:val="0"/>
      <w:marTop w:val="0"/>
      <w:marBottom w:val="0"/>
      <w:divBdr>
        <w:top w:val="none" w:sz="0" w:space="0" w:color="auto"/>
        <w:left w:val="none" w:sz="0" w:space="0" w:color="auto"/>
        <w:bottom w:val="none" w:sz="0" w:space="0" w:color="auto"/>
        <w:right w:val="none" w:sz="0" w:space="0" w:color="auto"/>
      </w:divBdr>
    </w:div>
    <w:div w:id="2003312978">
      <w:bodyDiv w:val="1"/>
      <w:marLeft w:val="0"/>
      <w:marRight w:val="0"/>
      <w:marTop w:val="0"/>
      <w:marBottom w:val="0"/>
      <w:divBdr>
        <w:top w:val="none" w:sz="0" w:space="0" w:color="auto"/>
        <w:left w:val="none" w:sz="0" w:space="0" w:color="auto"/>
        <w:bottom w:val="none" w:sz="0" w:space="0" w:color="auto"/>
        <w:right w:val="none" w:sz="0" w:space="0" w:color="auto"/>
      </w:divBdr>
    </w:div>
    <w:div w:id="2003853041">
      <w:bodyDiv w:val="1"/>
      <w:marLeft w:val="0"/>
      <w:marRight w:val="0"/>
      <w:marTop w:val="0"/>
      <w:marBottom w:val="0"/>
      <w:divBdr>
        <w:top w:val="none" w:sz="0" w:space="0" w:color="auto"/>
        <w:left w:val="none" w:sz="0" w:space="0" w:color="auto"/>
        <w:bottom w:val="none" w:sz="0" w:space="0" w:color="auto"/>
        <w:right w:val="none" w:sz="0" w:space="0" w:color="auto"/>
      </w:divBdr>
    </w:div>
    <w:div w:id="20269786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ip.legalis.pl/document-view.seam?documentId=mfrxilrtg4ytknjwgm4ta"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www.dziennikustaw.gov.pl/DU/2022/2651/D2022000265101.pdf" TargetMode="External"/><Relationship Id="rId4" Type="http://schemas.openxmlformats.org/officeDocument/2006/relationships/settings" Target="settings.xml"/><Relationship Id="rId9" Type="http://schemas.openxmlformats.org/officeDocument/2006/relationships/hyperlink" Target="https://funduszopedia.pl/fundusze-inwestycyjne/jednostka-uczestnictwa/" TargetMode="External"/><Relationship Id="rId14" Type="http://schemas.openxmlformats.org/officeDocument/2006/relationships/footer" Target="footer2.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DC5698-3C19-4E6B-97D0-8FCF8BA85A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63</Pages>
  <Words>22750</Words>
  <Characters>136505</Characters>
  <Application>Microsoft Office Word</Application>
  <DocSecurity>0</DocSecurity>
  <Lines>1137</Lines>
  <Paragraphs>317</Paragraphs>
  <ScaleCrop>false</ScaleCrop>
  <HeadingPairs>
    <vt:vector size="2" baseType="variant">
      <vt:variant>
        <vt:lpstr>Tytuł</vt:lpstr>
      </vt:variant>
      <vt:variant>
        <vt:i4>1</vt:i4>
      </vt:variant>
    </vt:vector>
  </HeadingPairs>
  <TitlesOfParts>
    <vt:vector size="1" baseType="lpstr">
      <vt:lpstr/>
    </vt:vector>
  </TitlesOfParts>
  <Company>Ministerstwo Finansów</Company>
  <LinksUpToDate>false</LinksUpToDate>
  <CharactersWithSpaces>158938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Masłowska Marta</dc:creator>
  <cp:keywords/>
  <dc:description/>
  <cp:lastModifiedBy>Grażyna D. Grabowska</cp:lastModifiedBy>
  <cp:revision>2</cp:revision>
  <cp:lastPrinted>2022-01-19T09:46:00Z</cp:lastPrinted>
  <dcterms:created xsi:type="dcterms:W3CDTF">2023-02-03T10:50:00Z</dcterms:created>
  <dcterms:modified xsi:type="dcterms:W3CDTF">2023-02-03T10:50:00Z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FCATEGORY">
    <vt:lpwstr>InformacjePrzeznaczoneWylacznieDoUzytkuWewnetrznego</vt:lpwstr>
  </property>
  <property fmtid="{D5CDD505-2E9C-101B-9397-08002B2CF9AE}" pid="3" name="MFClassifiedBy">
    <vt:lpwstr>MF\apch;Policha Katarzyna</vt:lpwstr>
  </property>
  <property fmtid="{D5CDD505-2E9C-101B-9397-08002B2CF9AE}" pid="4" name="MFClassificationDate">
    <vt:lpwstr>2021-12-23T10:33:18.3071351+01:00</vt:lpwstr>
  </property>
  <property fmtid="{D5CDD505-2E9C-101B-9397-08002B2CF9AE}" pid="5" name="MFClassifiedBySID">
    <vt:lpwstr>MF\S-1-5-21-1525952054-1005573771-2909822258-9531</vt:lpwstr>
  </property>
  <property fmtid="{D5CDD505-2E9C-101B-9397-08002B2CF9AE}" pid="6" name="MFGRNItemId">
    <vt:lpwstr>GRN-d4d0eb5f-19c6-451c-b51d-224d83b5e28f</vt:lpwstr>
  </property>
  <property fmtid="{D5CDD505-2E9C-101B-9397-08002B2CF9AE}" pid="7" name="MFHash">
    <vt:lpwstr>EEYRwQm07IQqQaGevqdvAQ0WtFv5IxFX823MtDMZGO0=</vt:lpwstr>
  </property>
  <property fmtid="{D5CDD505-2E9C-101B-9397-08002B2CF9AE}" pid="8" name="DLPManualFileClassification">
    <vt:lpwstr>{5fdfc941-3fcf-4a5b-87be-4848800d39d0}</vt:lpwstr>
  </property>
  <property fmtid="{D5CDD505-2E9C-101B-9397-08002B2CF9AE}" pid="9" name="MFRefresh">
    <vt:lpwstr>False</vt:lpwstr>
  </property>
</Properties>
</file>