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14A0A" w14:textId="77777777" w:rsidR="000303C4" w:rsidRPr="000303C4" w:rsidRDefault="000303C4" w:rsidP="000303C4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0" w:name="_GoBack"/>
      <w:bookmarkEnd w:id="0"/>
    </w:p>
    <w:p w14:paraId="024F69C6" w14:textId="6B3FD8B5" w:rsidR="004C685C" w:rsidRDefault="00D562DB">
      <w:pPr>
        <w:pStyle w:val="Teksttreci0"/>
        <w:shd w:val="clear" w:color="auto" w:fill="auto"/>
        <w:spacing w:after="200" w:line="240" w:lineRule="auto"/>
        <w:jc w:val="center"/>
      </w:pPr>
      <w:r>
        <w:t>Uzasadnienie</w:t>
      </w:r>
    </w:p>
    <w:p w14:paraId="3B997605" w14:textId="4D6D3629" w:rsidR="004C685C" w:rsidRDefault="00D562DB">
      <w:pPr>
        <w:pStyle w:val="Teksttreci0"/>
        <w:shd w:val="clear" w:color="auto" w:fill="auto"/>
        <w:spacing w:after="100"/>
      </w:pPr>
      <w:r>
        <w:t>Projekt przewiduje utworzenie z dniem 1 czerwca 2023 r. nowej uczelni publicznej - Akademii Piotrkowskiej, zwanej dalej „Akademią” - z Filii Uniwersytetu Jana Kochanowskiego w Kielcach w Piotrkowie Trybunalskim, zwanej dalej „Filią”. Pozytywną opinię w sprawie inicjatywy zmierzającej do utworzenia Akademii na bazie funkcjonującej Filii wyrażono w uchwale Rady Uczelni Uniwersytetu Jana Kochanowskiego w Kielcach nr 5/2022 z dnia 25 maja 2022 r. oraz w uchwale Senatu Uczelni nr 39/2022 z dnia 26 maja 2022 r.</w:t>
      </w:r>
    </w:p>
    <w:p w14:paraId="0951744A" w14:textId="77777777" w:rsidR="004C685C" w:rsidRDefault="00D562DB">
      <w:pPr>
        <w:pStyle w:val="Teksttreci0"/>
        <w:shd w:val="clear" w:color="auto" w:fill="auto"/>
        <w:spacing w:after="100"/>
      </w:pPr>
      <w:r>
        <w:t>Projektowana ustawa ma na celu wzmocnienie ośrodka akademickiego w Piotrkowie Trybunalskim. Filia funkcjonuje w Piotrkowie Trybunalskim od 1981 r. początkowo jako filia Wyższej Szkoły Pedagogicznej w Kielcach. Przez ponad 40 lat budowano potencjał akademicki Piotrkowa Trybunalskiego, który zasługuje na samodzielną uczelnię.</w:t>
      </w:r>
    </w:p>
    <w:p w14:paraId="14E6F687" w14:textId="77777777" w:rsidR="004C685C" w:rsidRDefault="00D562DB">
      <w:pPr>
        <w:pStyle w:val="Teksttreci0"/>
        <w:shd w:val="clear" w:color="auto" w:fill="auto"/>
        <w:spacing w:after="100"/>
      </w:pPr>
      <w:r>
        <w:t>Dla zapewnienia możliwości funkcjonowania nowej uczelni w projekcie przewidziano rozwiązania prowadzące do wyodrębnienia z mienia Uniwersytetu Jana Kochanowskiego, zwanego dalej „Uniwersytetem”, składników majątkowych, wykorzystywanych przez Filię, oraz sukcesję ogółu praw i obowiązków Uniwersytetu dotyczących Filii - Akademia wstąpi we wszystkie prawa i obowiązki Uniwersytetu w zakresie dotyczącym Filii.</w:t>
      </w:r>
    </w:p>
    <w:p w14:paraId="7B8C62FE" w14:textId="77777777" w:rsidR="004C685C" w:rsidRDefault="00D562DB">
      <w:pPr>
        <w:pStyle w:val="Teksttreci0"/>
        <w:shd w:val="clear" w:color="auto" w:fill="auto"/>
        <w:spacing w:after="100"/>
      </w:pPr>
      <w:r>
        <w:t>Projekt przewiduje, że Uniwersytet przeprowadzi inwentaryzację oraz wyceni aktywa i pasywa i ustali wynik finansowy dotyczący Filii na dzień 31 maja 2023 r. Aktywa i pasywa ujawnione w toku inwentaryzacji staną się aktywami i pasywami Akademii z dniem jej utworzenia. Mienie obejmujące własność i inne prawa majątkowe dotyczące Filii, w szczególności prawo własności nieruchomości, stanie się mieniem Akademii.</w:t>
      </w:r>
    </w:p>
    <w:p w14:paraId="53BEB531" w14:textId="4961B7FF" w:rsidR="004C685C" w:rsidRDefault="00D562DB">
      <w:pPr>
        <w:pStyle w:val="Teksttreci0"/>
        <w:shd w:val="clear" w:color="auto" w:fill="auto"/>
        <w:spacing w:after="0"/>
      </w:pPr>
      <w:r>
        <w:t>Istnieje możliwość pokrycia z budżetu państwa wskazanej pisemnie przez Rektora Uniwersytetu (pismo z dnia 30 czerwca 2022 r. nr R.220.5.2022) kwoty rekompensaty, ok 40 m</w:t>
      </w:r>
      <w:r w:rsidR="009068CF">
        <w:t>ln</w:t>
      </w:r>
      <w:r>
        <w:t xml:space="preserve"> zł. w związku z przekazaniem Akademii majątku Uniwersytetu.</w:t>
      </w:r>
    </w:p>
    <w:p w14:paraId="5639E9A6" w14:textId="43784123" w:rsidR="004C685C" w:rsidRDefault="00D562DB">
      <w:pPr>
        <w:pStyle w:val="Teksttreci0"/>
        <w:shd w:val="clear" w:color="auto" w:fill="auto"/>
        <w:spacing w:after="100"/>
      </w:pPr>
      <w:r>
        <w:t>Natomiast finansowanie Akademii będzie realizowane na zasadach ogólnych z części budżetu państwa, której dysponentem jest minister właściwy do spraw szkolnictwa wyższego i nauki. Wysokość subwencji jest ustalana na podstawie algorytmów podziału środków finansowych określonych w przepisach ustawy z dnia 20 lipca 2018 r. - Prawo o szkolnictwie wyższym i nauce (Dz. U. z 2022 r. poz. 574, ze zm.) oraz aktach wykonawczych do niej.</w:t>
      </w:r>
    </w:p>
    <w:p w14:paraId="06C55EC6" w14:textId="77777777" w:rsidR="004C685C" w:rsidRDefault="00D562DB">
      <w:pPr>
        <w:pStyle w:val="Teksttreci0"/>
        <w:shd w:val="clear" w:color="auto" w:fill="auto"/>
        <w:spacing w:after="100"/>
      </w:pPr>
      <w:r>
        <w:t>Sukcesja praw dotyczyła będzie także praw wynikających z decyzji administracyjnych w sprawie pozwoleń na utworzenie studiów albo z uchwał senatu Uniwersytetu dotyczących studiów prowadzonych w Filii w dniu jej zniesienia. Tym samym w Akademii będą mogły być nadal prowadzone studia na kierunkach: administracja, bezpieczeństwo narodowe, ekonomia, filologia, filologia angielska, finanse i rachunkowość, historia, logistyka, pedagogika, pedagogika przedszkolna i wczesnoszkolna, pielęgniarstwo oraz zarządzanie.</w:t>
      </w:r>
    </w:p>
    <w:p w14:paraId="5CD180C2" w14:textId="77777777" w:rsidR="004C685C" w:rsidRDefault="00D562DB">
      <w:pPr>
        <w:pStyle w:val="Teksttreci0"/>
        <w:shd w:val="clear" w:color="auto" w:fill="auto"/>
      </w:pPr>
      <w:r>
        <w:t xml:space="preserve">Projektowane przepisy przewidują przejście do Akademii pracowników (którzy jako miejsce wykonywania pracy mają wskazaną Filię), studentów, uczestników kształcenia podyplomowego i w innych formach (kształcących się w Filii). Projekt przewiduje, że Akademia wstąpi w prawa strony postępowań sądowych, administracyjnych i egzekucyjnych, których do dnia utworzenia Akademii stroną </w:t>
      </w:r>
      <w:r>
        <w:lastRenderedPageBreak/>
        <w:t>był Uniwersytet, a które dotyczą stosunków prawnych związanych z działalnością Uniwersytetu prowadzoną w Filii, a także w prawa strony umów zawartych przez Uniwersytet związanych z działalnością Uniwersytetu prowadzoną w Filii, a których stroną do dnia utworzenia Akademii był Uniwersytet.</w:t>
      </w:r>
    </w:p>
    <w:p w14:paraId="6C458078" w14:textId="77777777" w:rsidR="004C685C" w:rsidRDefault="00D562DB">
      <w:pPr>
        <w:pStyle w:val="Teksttreci0"/>
        <w:shd w:val="clear" w:color="auto" w:fill="auto"/>
      </w:pPr>
      <w:r>
        <w:t>Akademii będą przysługiwać uprawnienia podmiotu posiadającego kategorię naukową B+ w dyscyplinie naukowej pedagogika, nie dłużej jednak niż do zakończenia pierwszej po utworzeniu Akademii ewaluacji jakości działalności naukowej. Uniwersytet posiada kategorię B+ w dyscyplinie naukowej pedagogika, w związku z tym, że zgodnie z deklaracją władz Uczelni, osoby wykonujące pracę w Filii UJK w Piotrkowie Trybunalskim w znaczącym stopniu przyczyniły się do uzyskania tej kategorii naukowej, w projekcie przewidziano możliwość korzystania z kategorii naukowej B+ w dyscyplinie pedagogika zarówno przez Uniwersytet, jak i utworzoną na mocy niniejszej ustawy Akademię.</w:t>
      </w:r>
    </w:p>
    <w:p w14:paraId="415E6E4F" w14:textId="77777777" w:rsidR="004C685C" w:rsidRDefault="00D562DB">
      <w:pPr>
        <w:pStyle w:val="Teksttreci0"/>
        <w:shd w:val="clear" w:color="auto" w:fill="auto"/>
        <w:spacing w:line="326" w:lineRule="auto"/>
      </w:pPr>
      <w:r>
        <w:t>W myśl art. 14 ust. 1 ustawy - Prawo o szkolnictwie wyższym i nauce, uczelnią akademicką jest uczelnia, która prowadzi działalność naukową i posiada kategorię naukową A+, A albo B+ w co najmniej jednej dyscyplinie naukowej albo artystycznej. Zgodnie z art. 16 ust. 1 tej ustawy wyraz „akademia” jest zastrzeżony dla nazwy uczelni akademickiej. Zaproponowane w projekcie rozwiązanie dotyczące przysługiwania Akademii kategorii B+ uzasadnia zarówno akademicki status nowej uczelni, jak i możliwość posługiwania się nazwą Akademia.</w:t>
      </w:r>
    </w:p>
    <w:p w14:paraId="5EBAAA22" w14:textId="77777777" w:rsidR="004C685C" w:rsidRDefault="00D562DB">
      <w:pPr>
        <w:pStyle w:val="Teksttreci0"/>
        <w:shd w:val="clear" w:color="auto" w:fill="auto"/>
      </w:pPr>
      <w:r>
        <w:t>Pierwszy statut Akademii nada minister właściwy do spraw szkolnictwa wyższego i nauki, jest to rozwiązanie zgodne z przepisami ustawy - Prawo o szkolnictwie wyższym i nauce. Analogicznie, w zgodzie z przepisami projektu oraz ustawy — Prawo o szkolnictwie wyższym i nauce minister właściwy do spraw szkolnictwa wyższego i nauki powoła pierwszego rektora Akademii na skróconą kadencję, trwającą 15 miesięcy. Rektor zarządzi wybory do senatu Akademii, które zostaną zorganizowane i przeprowadzone do dnia 30 września 2023 r. Senat Akademii powoła członków rady uczelni w terminie do dnia 30 listopada 2023 r. Pierwsza kadencja organów Akademii będzie trwała w przypadku rektora i senatu - do dnia 31 sierpnia 2024 r., a w przypadku rady uczelni - do dnia 31 grudnia 2024 r. Kadencje te będą zrównane z kadencjami organów wszystkich uczelni publicznych w Polsce. Jednocześnie ustawa przewiduje, iż pierwsze kadencje organów Akademii, nie będą wliczane do liczby kadencji, o których mowa w art. 21 ust. 2 zdanie pierwsze ustawy - Prawo o szkolnictwie wyższym i nauce - w przypadku rady uczelni, art. 26 ust. 2 zdanie pierwsze tej ustawy - w przypadku rektora oraz art. 30 ust. 2 tej ustawy - w przypadku senatu.</w:t>
      </w:r>
    </w:p>
    <w:p w14:paraId="3A1DC799" w14:textId="77777777" w:rsidR="004C685C" w:rsidRDefault="00D562DB">
      <w:pPr>
        <w:pStyle w:val="Teksttreci0"/>
        <w:shd w:val="clear" w:color="auto" w:fill="auto"/>
      </w:pPr>
      <w:r>
        <w:t>Projekt przewiduje, że postępowania dyscyplinarne prowadzone w Uniwersytecie wobec nauczycieli akademickich, którzy staną się pracownikami Akademii, wszczęte i niezakończone do dnia utworzenia Akademii, prowadzi Uniwersytet.</w:t>
      </w:r>
    </w:p>
    <w:p w14:paraId="237F0BFB" w14:textId="77777777" w:rsidR="004C685C" w:rsidRDefault="00D562DB">
      <w:pPr>
        <w:pStyle w:val="Teksttreci0"/>
        <w:shd w:val="clear" w:color="auto" w:fill="auto"/>
      </w:pPr>
      <w:r>
        <w:t>Wejście w życie ustawy w terminie 14 dni od jej ogłoszenia zapewni możliwość przygotowania procesu wydzielenia Akademii z Uniwersytetu.</w:t>
      </w:r>
    </w:p>
    <w:p w14:paraId="5BFB5607" w14:textId="77777777" w:rsidR="004C685C" w:rsidRDefault="00D562DB">
      <w:pPr>
        <w:pStyle w:val="Teksttreci0"/>
        <w:shd w:val="clear" w:color="auto" w:fill="auto"/>
        <w:spacing w:line="240" w:lineRule="auto"/>
      </w:pPr>
      <w:r>
        <w:t>Projektowana regulacja jest zgodna z prawem Unii Europejskiej.</w:t>
      </w:r>
    </w:p>
    <w:sectPr w:rsidR="004C685C">
      <w:pgSz w:w="11900" w:h="16840"/>
      <w:pgMar w:top="1507" w:right="1433" w:bottom="757" w:left="13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0A49F" w14:textId="77777777" w:rsidR="00D8745B" w:rsidRDefault="00D8745B">
      <w:r>
        <w:separator/>
      </w:r>
    </w:p>
  </w:endnote>
  <w:endnote w:type="continuationSeparator" w:id="0">
    <w:p w14:paraId="2E256DED" w14:textId="77777777" w:rsidR="00D8745B" w:rsidRDefault="00D8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EDA62" w14:textId="77777777" w:rsidR="00D8745B" w:rsidRDefault="00D8745B"/>
  </w:footnote>
  <w:footnote w:type="continuationSeparator" w:id="0">
    <w:p w14:paraId="15405DC4" w14:textId="77777777" w:rsidR="00D8745B" w:rsidRDefault="00D8745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52DAA"/>
    <w:multiLevelType w:val="multilevel"/>
    <w:tmpl w:val="3D241D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523834"/>
    <w:multiLevelType w:val="multilevel"/>
    <w:tmpl w:val="BA282F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BB3C42"/>
    <w:multiLevelType w:val="multilevel"/>
    <w:tmpl w:val="24A8B8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181BAF"/>
    <w:multiLevelType w:val="multilevel"/>
    <w:tmpl w:val="662617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7A3BC9"/>
    <w:multiLevelType w:val="hybridMultilevel"/>
    <w:tmpl w:val="FADA166C"/>
    <w:lvl w:ilvl="0" w:tplc="C4383B30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54161C8E"/>
    <w:multiLevelType w:val="multilevel"/>
    <w:tmpl w:val="3FCA9F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9C7AA3"/>
    <w:multiLevelType w:val="hybridMultilevel"/>
    <w:tmpl w:val="66880994"/>
    <w:lvl w:ilvl="0" w:tplc="0BD2B410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5C"/>
    <w:rsid w:val="00007E00"/>
    <w:rsid w:val="00021038"/>
    <w:rsid w:val="000303C4"/>
    <w:rsid w:val="000451ED"/>
    <w:rsid w:val="00087008"/>
    <w:rsid w:val="000944F4"/>
    <w:rsid w:val="00094DB8"/>
    <w:rsid w:val="000D7241"/>
    <w:rsid w:val="001025C9"/>
    <w:rsid w:val="00103BF5"/>
    <w:rsid w:val="00202B8D"/>
    <w:rsid w:val="0026069D"/>
    <w:rsid w:val="0028147C"/>
    <w:rsid w:val="003B0DAE"/>
    <w:rsid w:val="003C05C9"/>
    <w:rsid w:val="003D1D8B"/>
    <w:rsid w:val="003E4BD9"/>
    <w:rsid w:val="003F38B6"/>
    <w:rsid w:val="004960BB"/>
    <w:rsid w:val="004B3FF0"/>
    <w:rsid w:val="004C5504"/>
    <w:rsid w:val="004C685C"/>
    <w:rsid w:val="00546D21"/>
    <w:rsid w:val="00551C31"/>
    <w:rsid w:val="005A746D"/>
    <w:rsid w:val="005E5BB2"/>
    <w:rsid w:val="0060327C"/>
    <w:rsid w:val="00630110"/>
    <w:rsid w:val="00654D44"/>
    <w:rsid w:val="006674D9"/>
    <w:rsid w:val="006D3E6B"/>
    <w:rsid w:val="007064D8"/>
    <w:rsid w:val="007A704A"/>
    <w:rsid w:val="007B3C57"/>
    <w:rsid w:val="007B5D24"/>
    <w:rsid w:val="007E6958"/>
    <w:rsid w:val="008027AF"/>
    <w:rsid w:val="00842EB4"/>
    <w:rsid w:val="00843D55"/>
    <w:rsid w:val="00901927"/>
    <w:rsid w:val="009034D4"/>
    <w:rsid w:val="009068CF"/>
    <w:rsid w:val="009E1905"/>
    <w:rsid w:val="00A10200"/>
    <w:rsid w:val="00A24CF4"/>
    <w:rsid w:val="00A53744"/>
    <w:rsid w:val="00A61114"/>
    <w:rsid w:val="00A65F4B"/>
    <w:rsid w:val="00A96C99"/>
    <w:rsid w:val="00AD359D"/>
    <w:rsid w:val="00AD3A9B"/>
    <w:rsid w:val="00AD49CB"/>
    <w:rsid w:val="00AE03C4"/>
    <w:rsid w:val="00AF75D7"/>
    <w:rsid w:val="00B43956"/>
    <w:rsid w:val="00B5535D"/>
    <w:rsid w:val="00B744B5"/>
    <w:rsid w:val="00B82702"/>
    <w:rsid w:val="00BB6150"/>
    <w:rsid w:val="00BC76B3"/>
    <w:rsid w:val="00BD521C"/>
    <w:rsid w:val="00BD6CF0"/>
    <w:rsid w:val="00C1207F"/>
    <w:rsid w:val="00C2064F"/>
    <w:rsid w:val="00C7100D"/>
    <w:rsid w:val="00C96C46"/>
    <w:rsid w:val="00CA6418"/>
    <w:rsid w:val="00CE5B82"/>
    <w:rsid w:val="00CF7336"/>
    <w:rsid w:val="00D255B6"/>
    <w:rsid w:val="00D562DB"/>
    <w:rsid w:val="00D8745B"/>
    <w:rsid w:val="00D93BB4"/>
    <w:rsid w:val="00DA4D6E"/>
    <w:rsid w:val="00DD1B36"/>
    <w:rsid w:val="00E10614"/>
    <w:rsid w:val="00E24B87"/>
    <w:rsid w:val="00E27128"/>
    <w:rsid w:val="00E32165"/>
    <w:rsid w:val="00EA3CAF"/>
    <w:rsid w:val="00ED5DC2"/>
    <w:rsid w:val="00F14B26"/>
    <w:rsid w:val="00F240BA"/>
    <w:rsid w:val="00F72745"/>
    <w:rsid w:val="00F9736A"/>
    <w:rsid w:val="00FA1CFC"/>
    <w:rsid w:val="00FC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EE10E"/>
  <w15:docId w15:val="{675A5091-B98C-41B3-B159-E5FFD2C7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20" w:line="329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3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3B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3BF5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3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3BF5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3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BF5"/>
    <w:rPr>
      <w:rFonts w:ascii="Segoe U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64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6418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6418"/>
    <w:rPr>
      <w:vertAlign w:val="superscript"/>
    </w:rPr>
  </w:style>
  <w:style w:type="paragraph" w:styleId="Poprawka">
    <w:name w:val="Revision"/>
    <w:hidden/>
    <w:uiPriority w:val="99"/>
    <w:semiHidden/>
    <w:rsid w:val="00654D44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96407-7A38-4384-9D90-59A1E2FD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904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3</cp:revision>
  <cp:lastPrinted>2023-02-08T13:31:00Z</cp:lastPrinted>
  <dcterms:created xsi:type="dcterms:W3CDTF">2023-02-06T19:23:00Z</dcterms:created>
  <dcterms:modified xsi:type="dcterms:W3CDTF">2023-02-08T13:32:00Z</dcterms:modified>
</cp:coreProperties>
</file>