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A914B2" w14:textId="77777777" w:rsidR="00EB26AB" w:rsidRPr="00D92389" w:rsidRDefault="00EB26AB" w:rsidP="00EB26AB">
      <w:pPr>
        <w:pStyle w:val="OZNRODZAKTUtznustawalubrozporzdzenieiorganwydajcy"/>
        <w:rPr>
          <w:rFonts w:ascii="Times New Roman" w:hAnsi="Times New Roman"/>
          <w:b w:val="0"/>
        </w:rPr>
      </w:pPr>
      <w:bookmarkStart w:id="0" w:name="_GoBack"/>
      <w:bookmarkEnd w:id="0"/>
      <w:r w:rsidRPr="00D92389">
        <w:rPr>
          <w:rFonts w:ascii="Times New Roman" w:hAnsi="Times New Roman"/>
          <w:b w:val="0"/>
        </w:rPr>
        <w:t>Uzasadnienie</w:t>
      </w:r>
    </w:p>
    <w:p w14:paraId="4D8BAD81" w14:textId="04056AD1" w:rsidR="00EB26AB" w:rsidRPr="00EB26AB" w:rsidRDefault="00EB26AB" w:rsidP="00EB26AB">
      <w:pPr>
        <w:pStyle w:val="NIEARTTEKSTtekstnieartykuowanynppodstprawnarozplubpreambua"/>
        <w:rPr>
          <w:rFonts w:ascii="Times New Roman" w:hAnsi="Times New Roman" w:cs="Times New Roman"/>
        </w:rPr>
      </w:pPr>
      <w:r w:rsidRPr="00EB26AB">
        <w:rPr>
          <w:rFonts w:ascii="Times New Roman" w:hAnsi="Times New Roman" w:cs="Times New Roman"/>
        </w:rPr>
        <w:t>Projektowana ustawa w zakresie swojej regulacji ma służyć stosowaniu Umowy o handlu i współpracy między Unią Europejską i Europejską Wspólnotą Energii Atomowej,</w:t>
      </w:r>
      <w:r w:rsidR="00D92389">
        <w:rPr>
          <w:rFonts w:ascii="Times New Roman" w:hAnsi="Times New Roman" w:cs="Times New Roman"/>
        </w:rPr>
        <w:t xml:space="preserve"> </w:t>
      </w:r>
      <w:r w:rsidRPr="00EB26AB">
        <w:rPr>
          <w:rFonts w:ascii="Times New Roman" w:hAnsi="Times New Roman" w:cs="Times New Roman"/>
        </w:rPr>
        <w:t xml:space="preserve">z jednej strony, a Zjednoczonym Królestwem Wielkiej Brytanii i Irlandii Północnej, z drugiej strony, sporządzonej w Brukseli i Londynie dnia 30 grudnia 2020 r. (Dz. Urz. UE L 149 z 30.04.2021, str. </w:t>
      </w:r>
      <w:r w:rsidR="00116C5D">
        <w:rPr>
          <w:rFonts w:ascii="Times New Roman" w:hAnsi="Times New Roman" w:cs="Times New Roman"/>
        </w:rPr>
        <w:t>10</w:t>
      </w:r>
      <w:r w:rsidRPr="00EB26AB">
        <w:rPr>
          <w:rFonts w:ascii="Times New Roman" w:hAnsi="Times New Roman" w:cs="Times New Roman"/>
        </w:rPr>
        <w:t xml:space="preserve">). Natomiast warunkiem wejścia w życie przedmiotowej Umowy o handlu i współpracy było przyjęcie przez Radę </w:t>
      </w:r>
      <w:r w:rsidR="00116C5D">
        <w:rPr>
          <w:rFonts w:ascii="Times New Roman" w:hAnsi="Times New Roman" w:cs="Times New Roman"/>
        </w:rPr>
        <w:t>d</w:t>
      </w:r>
      <w:r w:rsidRPr="00EB26AB">
        <w:rPr>
          <w:rFonts w:ascii="Times New Roman" w:hAnsi="Times New Roman" w:cs="Times New Roman"/>
        </w:rPr>
        <w:t xml:space="preserve">ecyzji </w:t>
      </w:r>
      <w:r w:rsidR="00116C5D">
        <w:rPr>
          <w:rFonts w:ascii="Times New Roman" w:hAnsi="Times New Roman" w:cs="Times New Roman"/>
        </w:rPr>
        <w:t>(</w:t>
      </w:r>
      <w:r w:rsidR="00116C5D" w:rsidRPr="00EB26AB">
        <w:rPr>
          <w:rFonts w:ascii="Times New Roman" w:hAnsi="Times New Roman" w:cs="Times New Roman"/>
        </w:rPr>
        <w:t>UE</w:t>
      </w:r>
      <w:r w:rsidR="00116C5D">
        <w:rPr>
          <w:rFonts w:ascii="Times New Roman" w:hAnsi="Times New Roman" w:cs="Times New Roman"/>
        </w:rPr>
        <w:t>)</w:t>
      </w:r>
      <w:r w:rsidR="00116C5D" w:rsidRPr="00EB26AB">
        <w:rPr>
          <w:rFonts w:ascii="Times New Roman" w:hAnsi="Times New Roman" w:cs="Times New Roman"/>
        </w:rPr>
        <w:t xml:space="preserve"> </w:t>
      </w:r>
      <w:r w:rsidRPr="00EB26AB">
        <w:rPr>
          <w:rFonts w:ascii="Times New Roman" w:hAnsi="Times New Roman" w:cs="Times New Roman"/>
        </w:rPr>
        <w:t>2021/689 w dniu 29 kwietnia 2021 r</w:t>
      </w:r>
      <w:r w:rsidR="00322FBC">
        <w:rPr>
          <w:rFonts w:ascii="Times New Roman" w:hAnsi="Times New Roman" w:cs="Times New Roman"/>
        </w:rPr>
        <w:t>.</w:t>
      </w:r>
      <w:r w:rsidRPr="00EB26AB">
        <w:rPr>
          <w:rFonts w:ascii="Times New Roman" w:hAnsi="Times New Roman" w:cs="Times New Roman"/>
        </w:rPr>
        <w:t xml:space="preserve">, a która jest formalnie źródłem zobowiązań wynikających z tejże Umowy. </w:t>
      </w:r>
    </w:p>
    <w:p w14:paraId="028C1A97" w14:textId="77777777" w:rsidR="00EB26AB" w:rsidRPr="00EB26AB" w:rsidRDefault="00EB26AB" w:rsidP="00EB26AB">
      <w:pPr>
        <w:pStyle w:val="NIEARTTEKSTtekstnieartykuowanynppodstprawnarozplubpreambua"/>
        <w:ind w:firstLine="0"/>
        <w:rPr>
          <w:rStyle w:val="Ppogrubienie"/>
          <w:rFonts w:ascii="Times New Roman" w:hAnsi="Times New Roman" w:cs="Times New Roman"/>
        </w:rPr>
      </w:pPr>
      <w:r w:rsidRPr="00EB26AB">
        <w:rPr>
          <w:rStyle w:val="Ppogrubienie"/>
          <w:rFonts w:ascii="Times New Roman" w:hAnsi="Times New Roman" w:cs="Times New Roman"/>
        </w:rPr>
        <w:t xml:space="preserve">Podstawy ekstradycji po wystąpieniu Zjednoczonego Królestwa z Unii Europejskiej </w:t>
      </w:r>
    </w:p>
    <w:p w14:paraId="53E4B579" w14:textId="77777777" w:rsidR="00EB26AB" w:rsidRPr="00EB26AB" w:rsidRDefault="00EB26AB" w:rsidP="00EB26AB">
      <w:pPr>
        <w:pStyle w:val="NIEARTTEKSTtekstnieartykuowanynppodstprawnarozplubpreambua"/>
        <w:rPr>
          <w:rFonts w:ascii="Times New Roman" w:hAnsi="Times New Roman" w:cs="Times New Roman"/>
        </w:rPr>
      </w:pPr>
      <w:r w:rsidRPr="00EB26AB">
        <w:rPr>
          <w:rFonts w:ascii="Times New Roman" w:hAnsi="Times New Roman" w:cs="Times New Roman"/>
        </w:rPr>
        <w:t>Do czasu wyjścia Zjednoczonego Królestwa Wielkiej Brytanii i Irlandii Północnej z Unii Europejskiej ekstradycja z Polski do Zjednoczonego Królestwa była prowadzona na podstawie europejskiego nakazu aresztowania. Po opuszczeniu Unii Europejskiej przez Zjednoczone Królestwo ekstradycja prowadzona jest na podstawie Umowy o handlu i współpracy między Unią Europejską i Europejską Wspólnotą Energii Atomowej,</w:t>
      </w:r>
      <w:r w:rsidR="00D92389">
        <w:rPr>
          <w:rFonts w:ascii="Times New Roman" w:hAnsi="Times New Roman" w:cs="Times New Roman"/>
        </w:rPr>
        <w:t xml:space="preserve"> </w:t>
      </w:r>
      <w:r w:rsidRPr="00EB26AB">
        <w:rPr>
          <w:rFonts w:ascii="Times New Roman" w:hAnsi="Times New Roman" w:cs="Times New Roman"/>
        </w:rPr>
        <w:t>z jednej strony, a Zjednoczonym Królestwem Wielkiej Brytanii i Irlandii Północnej, z drugiej strony, sporządzonej w Brukseli i Londynie dnia 30 grudnia 2020 r. (dalej: „Umowa o handlu i</w:t>
      </w:r>
      <w:r w:rsidR="00D92389">
        <w:rPr>
          <w:rFonts w:ascii="Times New Roman" w:hAnsi="Times New Roman" w:cs="Times New Roman"/>
        </w:rPr>
        <w:t xml:space="preserve"> </w:t>
      </w:r>
      <w:r w:rsidRPr="00EB26AB">
        <w:rPr>
          <w:rFonts w:ascii="Times New Roman" w:hAnsi="Times New Roman" w:cs="Times New Roman"/>
        </w:rPr>
        <w:t xml:space="preserve">współpracy” lub „Umowa”). </w:t>
      </w:r>
    </w:p>
    <w:p w14:paraId="0812B9A8" w14:textId="77777777" w:rsidR="00EB26AB" w:rsidRPr="00EB26AB" w:rsidRDefault="00EB26AB" w:rsidP="00EB26AB">
      <w:pPr>
        <w:pStyle w:val="NIEARTTEKSTtekstnieartykuowanynppodstprawnarozplubpreambua"/>
        <w:rPr>
          <w:rFonts w:ascii="Times New Roman" w:hAnsi="Times New Roman" w:cs="Times New Roman"/>
        </w:rPr>
      </w:pPr>
      <w:r w:rsidRPr="00EB26AB">
        <w:rPr>
          <w:rFonts w:ascii="Times New Roman" w:hAnsi="Times New Roman" w:cs="Times New Roman"/>
        </w:rPr>
        <w:t xml:space="preserve">Wydawanie osób (przekazywanie) zostało uregulowane postanowieniami Umowy o handlu i współpracy. Kwestię tę reguluje Część trzecia </w:t>
      </w:r>
      <w:r w:rsidR="00D92389">
        <w:rPr>
          <w:rFonts w:ascii="Times New Roman" w:hAnsi="Times New Roman" w:cs="Times New Roman"/>
        </w:rPr>
        <w:t>–</w:t>
      </w:r>
      <w:r w:rsidRPr="00EB26AB">
        <w:rPr>
          <w:rFonts w:ascii="Times New Roman" w:hAnsi="Times New Roman" w:cs="Times New Roman"/>
        </w:rPr>
        <w:t xml:space="preserve"> Współpraca organów ścigania i wymiarów sprawiedliwości w sprawach karnych, Tytuł VII </w:t>
      </w:r>
      <w:r w:rsidR="00D92389">
        <w:rPr>
          <w:rFonts w:ascii="Times New Roman" w:hAnsi="Times New Roman" w:cs="Times New Roman"/>
        </w:rPr>
        <w:t>–</w:t>
      </w:r>
      <w:r w:rsidR="00322FBC">
        <w:rPr>
          <w:rFonts w:ascii="Times New Roman" w:hAnsi="Times New Roman" w:cs="Times New Roman"/>
        </w:rPr>
        <w:t xml:space="preserve"> Przekazywanie (art. 596</w:t>
      </w:r>
      <w:r w:rsidR="00D92389">
        <w:rPr>
          <w:rFonts w:ascii="Times New Roman" w:hAnsi="Times New Roman" w:cs="Times New Roman"/>
        </w:rPr>
        <w:t>–</w:t>
      </w:r>
      <w:r w:rsidRPr="00EB26AB">
        <w:rPr>
          <w:rFonts w:ascii="Times New Roman" w:hAnsi="Times New Roman" w:cs="Times New Roman"/>
        </w:rPr>
        <w:t>632 Umowy). Przewidziany w</w:t>
      </w:r>
      <w:r w:rsidR="00D92389">
        <w:rPr>
          <w:rFonts w:ascii="Times New Roman" w:hAnsi="Times New Roman" w:cs="Times New Roman"/>
        </w:rPr>
        <w:t xml:space="preserve"> </w:t>
      </w:r>
      <w:r w:rsidRPr="00EB26AB">
        <w:rPr>
          <w:rFonts w:ascii="Times New Roman" w:hAnsi="Times New Roman" w:cs="Times New Roman"/>
        </w:rPr>
        <w:t>Umowie system ekstradycji między państwami członkowskimi a Zjednoczonym Królestwem jest oparty na mechanizmie wydawania osób na podstawie nakazu aresztowania, a mające zastosowanie przepisy są w istocie powtórzeniem przepisów decyzji ramowej Rady 2002/584/</w:t>
      </w:r>
      <w:proofErr w:type="spellStart"/>
      <w:r w:rsidRPr="00EB26AB">
        <w:rPr>
          <w:rFonts w:ascii="Times New Roman" w:hAnsi="Times New Roman" w:cs="Times New Roman"/>
        </w:rPr>
        <w:t>WSiSW</w:t>
      </w:r>
      <w:proofErr w:type="spellEnd"/>
      <w:r w:rsidRPr="00EB26AB">
        <w:rPr>
          <w:rFonts w:ascii="Times New Roman" w:hAnsi="Times New Roman" w:cs="Times New Roman"/>
        </w:rPr>
        <w:t xml:space="preserve"> z dnia 13</w:t>
      </w:r>
      <w:r w:rsidR="00D92389">
        <w:rPr>
          <w:rFonts w:ascii="Times New Roman" w:hAnsi="Times New Roman" w:cs="Times New Roman"/>
        </w:rPr>
        <w:t xml:space="preserve"> </w:t>
      </w:r>
      <w:r w:rsidRPr="00EB26AB">
        <w:rPr>
          <w:rFonts w:ascii="Times New Roman" w:hAnsi="Times New Roman" w:cs="Times New Roman"/>
        </w:rPr>
        <w:t>czerwca 2002</w:t>
      </w:r>
      <w:r w:rsidR="00D92389">
        <w:rPr>
          <w:rFonts w:ascii="Times New Roman" w:hAnsi="Times New Roman" w:cs="Times New Roman"/>
        </w:rPr>
        <w:t xml:space="preserve"> </w:t>
      </w:r>
      <w:r w:rsidRPr="00EB26AB">
        <w:rPr>
          <w:rFonts w:ascii="Times New Roman" w:hAnsi="Times New Roman" w:cs="Times New Roman"/>
        </w:rPr>
        <w:t>r. w</w:t>
      </w:r>
      <w:r w:rsidR="00D92389">
        <w:rPr>
          <w:rFonts w:ascii="Times New Roman" w:hAnsi="Times New Roman" w:cs="Times New Roman"/>
        </w:rPr>
        <w:t xml:space="preserve"> </w:t>
      </w:r>
      <w:r w:rsidRPr="00EB26AB">
        <w:rPr>
          <w:rFonts w:ascii="Times New Roman" w:hAnsi="Times New Roman" w:cs="Times New Roman"/>
        </w:rPr>
        <w:t>sprawie europejskiego nakazu aresztowania i</w:t>
      </w:r>
      <w:r w:rsidR="00D92389">
        <w:rPr>
          <w:rFonts w:ascii="Times New Roman" w:hAnsi="Times New Roman" w:cs="Times New Roman"/>
        </w:rPr>
        <w:t xml:space="preserve"> </w:t>
      </w:r>
      <w:r w:rsidRPr="00EB26AB">
        <w:rPr>
          <w:rFonts w:ascii="Times New Roman" w:hAnsi="Times New Roman" w:cs="Times New Roman"/>
        </w:rPr>
        <w:t xml:space="preserve">procedury wydawania osób między Państwami Członkowskimi (Dz. Urz. UE L 190/1 z 18.07.2002, str. 34) (dalej: „decyzja ramowa </w:t>
      </w:r>
      <w:proofErr w:type="spellStart"/>
      <w:r w:rsidRPr="00EB26AB">
        <w:rPr>
          <w:rFonts w:ascii="Times New Roman" w:hAnsi="Times New Roman" w:cs="Times New Roman"/>
        </w:rPr>
        <w:t>ws</w:t>
      </w:r>
      <w:proofErr w:type="spellEnd"/>
      <w:r w:rsidRPr="00EB26AB">
        <w:rPr>
          <w:rFonts w:ascii="Times New Roman" w:hAnsi="Times New Roman" w:cs="Times New Roman"/>
        </w:rPr>
        <w:t>. ENA”).</w:t>
      </w:r>
    </w:p>
    <w:p w14:paraId="51690C37" w14:textId="3EEA5CA5" w:rsidR="00EB26AB" w:rsidRPr="00EB26AB" w:rsidRDefault="00EB26AB" w:rsidP="00EB26AB">
      <w:pPr>
        <w:pStyle w:val="NIEARTTEKSTtekstnieartykuowanynppodstprawnarozplubpreambua"/>
        <w:rPr>
          <w:rFonts w:ascii="Times New Roman" w:hAnsi="Times New Roman" w:cs="Times New Roman"/>
        </w:rPr>
      </w:pPr>
      <w:r w:rsidRPr="00EB26AB">
        <w:rPr>
          <w:rFonts w:ascii="Times New Roman" w:hAnsi="Times New Roman" w:cs="Times New Roman"/>
        </w:rPr>
        <w:lastRenderedPageBreak/>
        <w:t>Artykuł 599 Umowy o handlu i współpracy (Zakres stosowania) określa czyny, w przypadku których może zostać wydany nakaz aresztowania oraz przesłanki umożliwiające odmowę wydania osoby. Zgodnie z art. 599 ust. 3 Umowy państwo może odmówić wykonania nakazu aresztowania i wydania wskazanej w nim osoby</w:t>
      </w:r>
      <w:r w:rsidR="00013604">
        <w:rPr>
          <w:rFonts w:ascii="Times New Roman" w:hAnsi="Times New Roman" w:cs="Times New Roman"/>
        </w:rPr>
        <w:t>, powołując się m.</w:t>
      </w:r>
      <w:r w:rsidRPr="00EB26AB">
        <w:rPr>
          <w:rFonts w:ascii="Times New Roman" w:hAnsi="Times New Roman" w:cs="Times New Roman"/>
        </w:rPr>
        <w:t>in. na wyjątek ze względu na obywatelstwo, uregulowany w art.</w:t>
      </w:r>
      <w:r w:rsidR="00D92389">
        <w:rPr>
          <w:rFonts w:ascii="Times New Roman" w:hAnsi="Times New Roman" w:cs="Times New Roman"/>
        </w:rPr>
        <w:t xml:space="preserve"> </w:t>
      </w:r>
      <w:r w:rsidRPr="00EB26AB">
        <w:rPr>
          <w:rFonts w:ascii="Times New Roman" w:hAnsi="Times New Roman" w:cs="Times New Roman"/>
        </w:rPr>
        <w:t>603 Umowy.</w:t>
      </w:r>
    </w:p>
    <w:p w14:paraId="46067DEF" w14:textId="77777777" w:rsidR="00EB26AB" w:rsidRPr="00EB26AB" w:rsidRDefault="00EB26AB" w:rsidP="00EB26AB">
      <w:pPr>
        <w:pStyle w:val="NIEARTTEKSTtekstnieartykuowanynppodstprawnarozplubpreambua"/>
        <w:rPr>
          <w:rFonts w:ascii="Times New Roman" w:hAnsi="Times New Roman" w:cs="Times New Roman"/>
        </w:rPr>
      </w:pPr>
      <w:r w:rsidRPr="00EB26AB">
        <w:rPr>
          <w:rFonts w:ascii="Times New Roman" w:hAnsi="Times New Roman" w:cs="Times New Roman"/>
        </w:rPr>
        <w:t>Artykuł 603 Umowy stanowi, że:</w:t>
      </w:r>
    </w:p>
    <w:p w14:paraId="021A1F82" w14:textId="77777777" w:rsidR="00EB26AB" w:rsidRPr="008623B9" w:rsidRDefault="00EB26AB" w:rsidP="00EB26AB">
      <w:pPr>
        <w:pStyle w:val="NIEARTTEKSTtekstnieartykuowanynppodstprawnarozplubpreambua"/>
        <w:rPr>
          <w:rStyle w:val="Kkursywa"/>
          <w:rFonts w:ascii="Times New Roman" w:hAnsi="Times New Roman" w:cs="Times New Roman"/>
          <w:i w:val="0"/>
        </w:rPr>
      </w:pPr>
      <w:r w:rsidRPr="003E5C7B">
        <w:rPr>
          <w:rFonts w:ascii="Times New Roman" w:hAnsi="Times New Roman" w:cs="Times New Roman"/>
        </w:rPr>
        <w:t>„</w:t>
      </w:r>
      <w:r w:rsidRPr="008623B9">
        <w:rPr>
          <w:rStyle w:val="Kkursywa"/>
          <w:rFonts w:ascii="Times New Roman" w:hAnsi="Times New Roman" w:cs="Times New Roman"/>
          <w:i w:val="0"/>
        </w:rPr>
        <w:t>1. Nie można odmówić wykonania nakazu aresztowania na podstawie tego, że osoba, której dotyczy nakaz, jest obywatelem państwa wykonującego nakaz.</w:t>
      </w:r>
    </w:p>
    <w:p w14:paraId="3F375DFF" w14:textId="77777777" w:rsidR="00EB26AB" w:rsidRPr="008623B9" w:rsidRDefault="00EB26AB" w:rsidP="00EB26AB">
      <w:pPr>
        <w:pStyle w:val="NIEARTTEKSTtekstnieartykuowanynppodstprawnarozplubpreambua"/>
        <w:rPr>
          <w:rStyle w:val="Kkursywa"/>
          <w:rFonts w:ascii="Times New Roman" w:hAnsi="Times New Roman" w:cs="Times New Roman"/>
          <w:i w:val="0"/>
        </w:rPr>
      </w:pPr>
      <w:r w:rsidRPr="008623B9">
        <w:rPr>
          <w:rStyle w:val="Kkursywa"/>
          <w:rFonts w:ascii="Times New Roman" w:hAnsi="Times New Roman" w:cs="Times New Roman"/>
          <w:i w:val="0"/>
        </w:rPr>
        <w:t>2. Zjednoczone Królestwo i Unia, w imieniu któregokolwiek z jej państw członkowskich, mogą powiadomić Specjalny Komitet ds. Współpracy Organów Ścigania i Wymiarów Sprawiedliwości, że ich obywatele nie będą przekazywani lub że zezwolenie na ich przekazanie będzie udzielane jedynie po spełnieniu ściśle określonych warunków. Powiadomienia opierają się na przesłankach związanych z podstawowymi zasadami lub praktyką wewnętrznego porządku prawnego Zjednoczonego Królestwa lub państwa, w którego imieniu dokonano powiadomienia. W takiej sytuacji Unia, w imieniu któregokolwiek z jej państw członkowskich lub Zjednoczonego Królestwa, w zależności od przypadku, może powiadomić Specjalny Komitet ds. Współpracy Organów Ścigania i Wymiarów Sprawiedliwości w rozsądnym terminie po otrzymaniu powiadomienia drugiej Strony, że wykonujące nakaz organy sądowe państwa członkowskiego lub Zjednoczonego Królestwa, w zależności od przypadku, mogą odmówić przekazania swoich obywateli temu państwu lub że przekazanie jest dozwolone jedynie po spełnieniu ściśle określonych warunków.”.</w:t>
      </w:r>
    </w:p>
    <w:p w14:paraId="4A1DDA14" w14:textId="7C409B8E" w:rsidR="00EB26AB" w:rsidRPr="00EB26AB" w:rsidRDefault="00EB26AB" w:rsidP="00EB26AB">
      <w:pPr>
        <w:pStyle w:val="NIEARTTEKSTtekstnieartykuowanynppodstprawnarozplubpreambua"/>
        <w:rPr>
          <w:rFonts w:ascii="Times New Roman" w:hAnsi="Times New Roman" w:cs="Times New Roman"/>
        </w:rPr>
      </w:pPr>
      <w:r w:rsidRPr="00EB26AB">
        <w:rPr>
          <w:rFonts w:ascii="Times New Roman" w:hAnsi="Times New Roman" w:cs="Times New Roman"/>
        </w:rPr>
        <w:t>Polska zdecydowała się skorzystać z wyjątku ze względu na obywatelstwo, a to z uwagi na treść art. 55 Konstytucji Rzeczypospolitej Polskiej, który brzmi:</w:t>
      </w:r>
    </w:p>
    <w:p w14:paraId="764404F5" w14:textId="77777777" w:rsidR="00EB26AB" w:rsidRPr="008623B9" w:rsidRDefault="00EB26AB" w:rsidP="00EB26AB">
      <w:pPr>
        <w:pStyle w:val="NIEARTTEKSTtekstnieartykuowanynppodstprawnarozplubpreambua"/>
        <w:rPr>
          <w:rStyle w:val="Kkursywa"/>
          <w:rFonts w:ascii="Times New Roman" w:hAnsi="Times New Roman" w:cs="Times New Roman"/>
          <w:i w:val="0"/>
        </w:rPr>
      </w:pPr>
      <w:r w:rsidRPr="008623B9">
        <w:rPr>
          <w:rStyle w:val="Kkursywa"/>
          <w:rFonts w:ascii="Times New Roman" w:hAnsi="Times New Roman" w:cs="Times New Roman"/>
          <w:i w:val="0"/>
        </w:rPr>
        <w:t>„Art. 55. 1. Ekstradycja obywatela polskiego jest zakazana, z wyjątkiem przypadków określonych w ust. 2 i 3.</w:t>
      </w:r>
    </w:p>
    <w:p w14:paraId="2A7F2716" w14:textId="77777777" w:rsidR="00EB26AB" w:rsidRPr="008623B9" w:rsidRDefault="00EB26AB" w:rsidP="00EB26AB">
      <w:pPr>
        <w:pStyle w:val="NIEARTTEKSTtekstnieartykuowanynppodstprawnarozplubpreambua"/>
        <w:rPr>
          <w:rStyle w:val="Kkursywa"/>
          <w:rFonts w:ascii="Times New Roman" w:hAnsi="Times New Roman" w:cs="Times New Roman"/>
          <w:i w:val="0"/>
        </w:rPr>
      </w:pPr>
      <w:r w:rsidRPr="008623B9">
        <w:rPr>
          <w:rStyle w:val="Kkursywa"/>
          <w:rFonts w:ascii="Times New Roman" w:hAnsi="Times New Roman" w:cs="Times New Roman"/>
          <w:i w:val="0"/>
        </w:rPr>
        <w:t xml:space="preserve">2. Ekstradycja obywatela polskiego może być dokonana na wniosek innego państwa lub sądowego organu międzynarodowego, jeżeli możliwość taka wynika z </w:t>
      </w:r>
      <w:r w:rsidRPr="008623B9">
        <w:rPr>
          <w:rStyle w:val="Kkursywa"/>
          <w:rFonts w:ascii="Times New Roman" w:hAnsi="Times New Roman" w:cs="Times New Roman"/>
          <w:i w:val="0"/>
        </w:rPr>
        <w:lastRenderedPageBreak/>
        <w:t>ratyfikowanej przez Rzeczpospolitą Polską umowy międzynarodowej lub ustawy wykonującej akt prawa stanowionego przez organizację międzynarodową, której Rzeczpospolita Polska jest członkiem, pod warunkiem że czyn objęty wnioskiem o ekstradycję:</w:t>
      </w:r>
    </w:p>
    <w:p w14:paraId="6B0B4909" w14:textId="77777777" w:rsidR="00EB26AB" w:rsidRPr="008623B9" w:rsidRDefault="00EB26AB" w:rsidP="00EB26AB">
      <w:pPr>
        <w:pStyle w:val="PKTpunkt"/>
        <w:rPr>
          <w:rStyle w:val="Kkursywa"/>
          <w:rFonts w:ascii="Times New Roman" w:hAnsi="Times New Roman" w:cs="Times New Roman"/>
          <w:i w:val="0"/>
        </w:rPr>
      </w:pPr>
      <w:r w:rsidRPr="008623B9">
        <w:rPr>
          <w:rStyle w:val="Kkursywa"/>
          <w:rFonts w:ascii="Times New Roman" w:hAnsi="Times New Roman" w:cs="Times New Roman"/>
          <w:i w:val="0"/>
        </w:rPr>
        <w:t xml:space="preserve">1) </w:t>
      </w:r>
      <w:r w:rsidRPr="008623B9">
        <w:rPr>
          <w:rStyle w:val="Kkursywa"/>
          <w:rFonts w:ascii="Times New Roman" w:hAnsi="Times New Roman" w:cs="Times New Roman"/>
          <w:i w:val="0"/>
        </w:rPr>
        <w:tab/>
        <w:t>został popełniony poza terytorium Rzeczypospolitej Polskiej, oraz</w:t>
      </w:r>
    </w:p>
    <w:p w14:paraId="2AFDDA81" w14:textId="77777777" w:rsidR="00EB26AB" w:rsidRPr="008623B9" w:rsidRDefault="00EB26AB" w:rsidP="00EB26AB">
      <w:pPr>
        <w:pStyle w:val="PKTpunkt"/>
        <w:rPr>
          <w:rStyle w:val="Kkursywa"/>
          <w:rFonts w:ascii="Times New Roman" w:hAnsi="Times New Roman" w:cs="Times New Roman"/>
          <w:i w:val="0"/>
        </w:rPr>
      </w:pPr>
      <w:r w:rsidRPr="008623B9">
        <w:rPr>
          <w:rStyle w:val="Kkursywa"/>
          <w:rFonts w:ascii="Times New Roman" w:hAnsi="Times New Roman" w:cs="Times New Roman"/>
          <w:i w:val="0"/>
        </w:rPr>
        <w:t xml:space="preserve">2) </w:t>
      </w:r>
      <w:r w:rsidRPr="008623B9">
        <w:rPr>
          <w:rStyle w:val="Kkursywa"/>
          <w:rFonts w:ascii="Times New Roman" w:hAnsi="Times New Roman" w:cs="Times New Roman"/>
          <w:i w:val="0"/>
        </w:rPr>
        <w:tab/>
        <w:t>stanowił przestępstwo według prawa Rzeczypospolitej Polskiej lub stanowiłby przestępstwo według prawa Rzeczypospolitej Polskiej w razie popełnienia na terytorium Rzeczypospolitej Polskiej, zarówno w czasie jego popełnienia, jak i w chwili złożenia wniosku.</w:t>
      </w:r>
    </w:p>
    <w:p w14:paraId="67B440A2" w14:textId="77777777" w:rsidR="00EB26AB" w:rsidRPr="008623B9" w:rsidRDefault="00EB26AB" w:rsidP="00EB26AB">
      <w:pPr>
        <w:pStyle w:val="NIEARTTEKSTtekstnieartykuowanynppodstprawnarozplubpreambua"/>
        <w:rPr>
          <w:rStyle w:val="Kkursywa"/>
          <w:rFonts w:ascii="Times New Roman" w:hAnsi="Times New Roman" w:cs="Times New Roman"/>
          <w:i w:val="0"/>
        </w:rPr>
      </w:pPr>
      <w:r w:rsidRPr="008623B9">
        <w:rPr>
          <w:rStyle w:val="Kkursywa"/>
          <w:rFonts w:ascii="Times New Roman" w:hAnsi="Times New Roman" w:cs="Times New Roman"/>
          <w:i w:val="0"/>
        </w:rPr>
        <w:t>3. Nie wymaga spełnienia warunków określonych w ust. 2 pkt 1 i 2 ekstradycja mająca nastąpić na wniosek sądowego organu międzynarodowego powołanego na podstawie ratyfikowanej przez Rzeczpospolitą Polską umowy międzynarodowej, w związku z objętą jurysdykcją tego organu zbrodnią ludobójstwa, zbrodnią przeciwko ludzkości, zbrodnią wojenną lub zbrodnią agresji.</w:t>
      </w:r>
    </w:p>
    <w:p w14:paraId="0920626B" w14:textId="77777777" w:rsidR="00EB26AB" w:rsidRPr="008623B9" w:rsidRDefault="00EB26AB" w:rsidP="00EB26AB">
      <w:pPr>
        <w:pStyle w:val="NIEARTTEKSTtekstnieartykuowanynppodstprawnarozplubpreambua"/>
        <w:rPr>
          <w:rStyle w:val="Kkursywa"/>
          <w:rFonts w:ascii="Times New Roman" w:hAnsi="Times New Roman" w:cs="Times New Roman"/>
          <w:i w:val="0"/>
        </w:rPr>
      </w:pPr>
      <w:r w:rsidRPr="008623B9">
        <w:rPr>
          <w:rStyle w:val="Kkursywa"/>
          <w:rFonts w:ascii="Times New Roman" w:hAnsi="Times New Roman" w:cs="Times New Roman"/>
          <w:i w:val="0"/>
        </w:rPr>
        <w:t>4. Ekstradycja jest zakazana, jeżeli dotyczy osoby podejrzanej o popełnienie bez użycia przemocy przestępstwa z przyczyn politycznych lub jej dokonanie będzie naruszać wolności i prawa człowieka i obywatela.</w:t>
      </w:r>
    </w:p>
    <w:p w14:paraId="3A6C5500" w14:textId="77777777" w:rsidR="00EB26AB" w:rsidRPr="00EB26AB" w:rsidRDefault="00EB26AB" w:rsidP="00EB26AB">
      <w:pPr>
        <w:pStyle w:val="NIEARTTEKSTtekstnieartykuowanynppodstprawnarozplubpreambua"/>
        <w:rPr>
          <w:rStyle w:val="Kkursywa"/>
          <w:rFonts w:ascii="Times New Roman" w:hAnsi="Times New Roman" w:cs="Times New Roman"/>
          <w:i w:val="0"/>
        </w:rPr>
      </w:pPr>
      <w:r w:rsidRPr="008623B9">
        <w:rPr>
          <w:rStyle w:val="Kkursywa"/>
          <w:rFonts w:ascii="Times New Roman" w:hAnsi="Times New Roman" w:cs="Times New Roman"/>
          <w:i w:val="0"/>
        </w:rPr>
        <w:t>5. W sprawie dopuszczalności ekstradycji orzeka sąd.”</w:t>
      </w:r>
      <w:r w:rsidRPr="003E5C7B">
        <w:rPr>
          <w:rStyle w:val="Kkursywa"/>
          <w:rFonts w:ascii="Times New Roman" w:hAnsi="Times New Roman" w:cs="Times New Roman"/>
          <w:i w:val="0"/>
        </w:rPr>
        <w:t>.</w:t>
      </w:r>
    </w:p>
    <w:p w14:paraId="6905A854" w14:textId="77777777" w:rsidR="00EB26AB" w:rsidRPr="00EB26AB" w:rsidRDefault="00EB26AB" w:rsidP="00EB26AB">
      <w:pPr>
        <w:pStyle w:val="NIEARTTEKSTtekstnieartykuowanynppodstprawnarozplubpreambua"/>
        <w:rPr>
          <w:rFonts w:ascii="Times New Roman" w:hAnsi="Times New Roman" w:cs="Times New Roman"/>
        </w:rPr>
      </w:pPr>
      <w:r w:rsidRPr="00EB26AB">
        <w:rPr>
          <w:rFonts w:ascii="Times New Roman" w:hAnsi="Times New Roman" w:cs="Times New Roman"/>
        </w:rPr>
        <w:t>Z powołanego przepisu Konstytucji Rzeczypospolitej Polskiej wynika, że wydanie obywatela polskiego na wniosek innego państwa jest możliwe wyłącznie na zasadzie wyjątku</w:t>
      </w:r>
      <w:r w:rsidR="00013604">
        <w:rPr>
          <w:rFonts w:ascii="Times New Roman" w:hAnsi="Times New Roman" w:cs="Times New Roman"/>
        </w:rPr>
        <w:t>,</w:t>
      </w:r>
      <w:r w:rsidRPr="00EB26AB">
        <w:rPr>
          <w:rFonts w:ascii="Times New Roman" w:hAnsi="Times New Roman" w:cs="Times New Roman"/>
        </w:rPr>
        <w:t xml:space="preserve"> jeżeli możliwość taka wynika z:</w:t>
      </w:r>
    </w:p>
    <w:p w14:paraId="19179BB9" w14:textId="77777777" w:rsidR="00EB26AB" w:rsidRPr="00EB26AB" w:rsidRDefault="00EB26AB" w:rsidP="00EB26AB">
      <w:pPr>
        <w:pStyle w:val="LITlitera"/>
        <w:rPr>
          <w:rFonts w:ascii="Times New Roman" w:hAnsi="Times New Roman" w:cs="Times New Roman"/>
        </w:rPr>
      </w:pPr>
      <w:r w:rsidRPr="00EB26AB">
        <w:rPr>
          <w:rFonts w:ascii="Times New Roman" w:hAnsi="Times New Roman" w:cs="Times New Roman"/>
        </w:rPr>
        <w:t xml:space="preserve">– </w:t>
      </w:r>
      <w:r w:rsidRPr="00EB26AB">
        <w:rPr>
          <w:rFonts w:ascii="Times New Roman" w:hAnsi="Times New Roman" w:cs="Times New Roman"/>
        </w:rPr>
        <w:tab/>
        <w:t>ratyfikowanej przez Polskę umowy międzynarodowej lub</w:t>
      </w:r>
    </w:p>
    <w:p w14:paraId="3C1E4C54" w14:textId="77777777" w:rsidR="003E5C7B" w:rsidRDefault="00EB26AB" w:rsidP="00EB26AB">
      <w:pPr>
        <w:pStyle w:val="LITlitera"/>
        <w:rPr>
          <w:rFonts w:ascii="Times New Roman" w:hAnsi="Times New Roman" w:cs="Times New Roman"/>
        </w:rPr>
      </w:pPr>
      <w:r w:rsidRPr="00EB26AB">
        <w:rPr>
          <w:rFonts w:ascii="Times New Roman" w:hAnsi="Times New Roman" w:cs="Times New Roman"/>
        </w:rPr>
        <w:t xml:space="preserve">– </w:t>
      </w:r>
      <w:r w:rsidRPr="00EB26AB">
        <w:rPr>
          <w:rFonts w:ascii="Times New Roman" w:hAnsi="Times New Roman" w:cs="Times New Roman"/>
        </w:rPr>
        <w:tab/>
        <w:t xml:space="preserve">ustawy wykonującej akt prawa stanowionego przez organizację międzynarodową, której Polska jest członkiem, </w:t>
      </w:r>
    </w:p>
    <w:p w14:paraId="39BDCFB0" w14:textId="45E34D6E" w:rsidR="00EB26AB" w:rsidRPr="00EB26AB" w:rsidRDefault="00EB26AB" w:rsidP="00EB26AB">
      <w:pPr>
        <w:pStyle w:val="LITlitera"/>
        <w:rPr>
          <w:rFonts w:ascii="Times New Roman" w:hAnsi="Times New Roman" w:cs="Times New Roman"/>
        </w:rPr>
      </w:pPr>
      <w:r w:rsidRPr="00EB26AB">
        <w:rPr>
          <w:rFonts w:ascii="Times New Roman" w:hAnsi="Times New Roman" w:cs="Times New Roman"/>
        </w:rPr>
        <w:t>oraz po spełnieniu dodatkowych przewidzianych w powołanym przepisie warunków.</w:t>
      </w:r>
    </w:p>
    <w:p w14:paraId="41D577B7" w14:textId="77777777" w:rsidR="00EB26AB" w:rsidRPr="00EB26AB" w:rsidRDefault="00EB26AB" w:rsidP="00EB26AB">
      <w:pPr>
        <w:pStyle w:val="NIEARTTEKSTtekstnieartykuowanynppodstprawnarozplubpreambua"/>
        <w:rPr>
          <w:rFonts w:ascii="Times New Roman" w:hAnsi="Times New Roman" w:cs="Times New Roman"/>
        </w:rPr>
      </w:pPr>
      <w:r w:rsidRPr="00EB26AB">
        <w:rPr>
          <w:rFonts w:ascii="Times New Roman" w:hAnsi="Times New Roman" w:cs="Times New Roman"/>
        </w:rPr>
        <w:t xml:space="preserve">Tymczasem, skoro Umowa o handlu i współpracy została zawarta wyłącznie przez UE (państwa członkowskie nie są samodzielnymi stronami tej Umowy), nie może być ona uznana za umowę ratyfikowaną przez Polskę w rozumieniu art. 55 ust. 2 Konstytucji Rzeczypospolitej Polskiej. W konsekwencji, zgodnie ze złożonym </w:t>
      </w:r>
      <w:r w:rsidRPr="00EB26AB">
        <w:rPr>
          <w:rFonts w:ascii="Times New Roman" w:hAnsi="Times New Roman" w:cs="Times New Roman"/>
        </w:rPr>
        <w:lastRenderedPageBreak/>
        <w:t xml:space="preserve">Zjednoczonemu Królestwu przez UE powiadomieniem, na podstawie art. 603 ust. 2 oraz art. 690 ust. 1 Umowy obywatele polscy nie są przez Polskę wydawani na podstawie postanowień Umowy. Powiadomienie to brzmi następująco: </w:t>
      </w:r>
    </w:p>
    <w:p w14:paraId="355E8D16" w14:textId="6A838363" w:rsidR="00EB26AB" w:rsidRPr="00EB26AB" w:rsidRDefault="00EB26AB" w:rsidP="00EB26AB">
      <w:pPr>
        <w:pStyle w:val="NIEARTTEKSTtekstnieartykuowanynppodstprawnarozplubpreambua"/>
        <w:rPr>
          <w:rFonts w:ascii="Times New Roman" w:hAnsi="Times New Roman" w:cs="Times New Roman"/>
        </w:rPr>
      </w:pPr>
      <w:r w:rsidRPr="00EB26AB">
        <w:rPr>
          <w:rFonts w:ascii="Times New Roman" w:hAnsi="Times New Roman" w:cs="Times New Roman"/>
        </w:rPr>
        <w:t>„</w:t>
      </w:r>
      <w:r w:rsidRPr="00EB26AB">
        <w:rPr>
          <w:rStyle w:val="Kkursywa"/>
          <w:rFonts w:ascii="Times New Roman" w:hAnsi="Times New Roman" w:cs="Times New Roman"/>
        </w:rPr>
        <w:t xml:space="preserve">In </w:t>
      </w:r>
      <w:proofErr w:type="spellStart"/>
      <w:r w:rsidRPr="00EB26AB">
        <w:rPr>
          <w:rStyle w:val="Kkursywa"/>
          <w:rFonts w:ascii="Times New Roman" w:hAnsi="Times New Roman" w:cs="Times New Roman"/>
        </w:rPr>
        <w:t>accordance</w:t>
      </w:r>
      <w:proofErr w:type="spellEnd"/>
      <w:r w:rsidRPr="00EB26AB">
        <w:rPr>
          <w:rStyle w:val="Kkursywa"/>
          <w:rFonts w:ascii="Times New Roman" w:hAnsi="Times New Roman" w:cs="Times New Roman"/>
        </w:rPr>
        <w:t xml:space="preserve"> with </w:t>
      </w:r>
      <w:proofErr w:type="spellStart"/>
      <w:r w:rsidRPr="00EB26AB">
        <w:rPr>
          <w:rStyle w:val="Kkursywa"/>
          <w:rFonts w:ascii="Times New Roman" w:hAnsi="Times New Roman" w:cs="Times New Roman"/>
        </w:rPr>
        <w:t>Article</w:t>
      </w:r>
      <w:proofErr w:type="spellEnd"/>
      <w:r w:rsidRPr="00EB26AB">
        <w:rPr>
          <w:rStyle w:val="Kkursywa"/>
          <w:rFonts w:ascii="Times New Roman" w:hAnsi="Times New Roman" w:cs="Times New Roman"/>
        </w:rPr>
        <w:t xml:space="preserve"> 603(2) the Republic of Poland </w:t>
      </w:r>
      <w:proofErr w:type="spellStart"/>
      <w:r w:rsidRPr="00EB26AB">
        <w:rPr>
          <w:rStyle w:val="Kkursywa"/>
          <w:rFonts w:ascii="Times New Roman" w:hAnsi="Times New Roman" w:cs="Times New Roman"/>
        </w:rPr>
        <w:t>declares</w:t>
      </w:r>
      <w:proofErr w:type="spellEnd"/>
      <w:r w:rsidRPr="00EB26AB">
        <w:rPr>
          <w:rStyle w:val="Kkursywa"/>
          <w:rFonts w:ascii="Times New Roman" w:hAnsi="Times New Roman" w:cs="Times New Roman"/>
        </w:rPr>
        <w:t xml:space="preserve"> </w:t>
      </w:r>
      <w:proofErr w:type="spellStart"/>
      <w:r w:rsidRPr="00EB26AB">
        <w:rPr>
          <w:rStyle w:val="Kkursywa"/>
          <w:rFonts w:ascii="Times New Roman" w:hAnsi="Times New Roman" w:cs="Times New Roman"/>
        </w:rPr>
        <w:t>that</w:t>
      </w:r>
      <w:proofErr w:type="spellEnd"/>
      <w:r w:rsidRPr="00EB26AB">
        <w:rPr>
          <w:rStyle w:val="Kkursywa"/>
          <w:rFonts w:ascii="Times New Roman" w:hAnsi="Times New Roman" w:cs="Times New Roman"/>
        </w:rPr>
        <w:t xml:space="preserve"> the </w:t>
      </w:r>
      <w:proofErr w:type="spellStart"/>
      <w:r w:rsidRPr="00EB26AB">
        <w:rPr>
          <w:rStyle w:val="Kkursywa"/>
          <w:rFonts w:ascii="Times New Roman" w:hAnsi="Times New Roman" w:cs="Times New Roman"/>
        </w:rPr>
        <w:t>Polish</w:t>
      </w:r>
      <w:proofErr w:type="spellEnd"/>
      <w:r w:rsidRPr="00EB26AB">
        <w:rPr>
          <w:rStyle w:val="Kkursywa"/>
          <w:rFonts w:ascii="Times New Roman" w:hAnsi="Times New Roman" w:cs="Times New Roman"/>
        </w:rPr>
        <w:t xml:space="preserve"> </w:t>
      </w:r>
      <w:proofErr w:type="spellStart"/>
      <w:r w:rsidRPr="00EB26AB">
        <w:rPr>
          <w:rStyle w:val="Kkursywa"/>
          <w:rFonts w:ascii="Times New Roman" w:hAnsi="Times New Roman" w:cs="Times New Roman"/>
        </w:rPr>
        <w:t>nationals</w:t>
      </w:r>
      <w:proofErr w:type="spellEnd"/>
      <w:r w:rsidRPr="00EB26AB">
        <w:rPr>
          <w:rStyle w:val="Kkursywa"/>
          <w:rFonts w:ascii="Times New Roman" w:hAnsi="Times New Roman" w:cs="Times New Roman"/>
        </w:rPr>
        <w:t xml:space="preserve"> </w:t>
      </w:r>
      <w:proofErr w:type="spellStart"/>
      <w:r w:rsidRPr="00EB26AB">
        <w:rPr>
          <w:rStyle w:val="Kkursywa"/>
          <w:rFonts w:ascii="Times New Roman" w:hAnsi="Times New Roman" w:cs="Times New Roman"/>
        </w:rPr>
        <w:t>will</w:t>
      </w:r>
      <w:proofErr w:type="spellEnd"/>
      <w:r w:rsidRPr="00EB26AB">
        <w:rPr>
          <w:rStyle w:val="Kkursywa"/>
          <w:rFonts w:ascii="Times New Roman" w:hAnsi="Times New Roman" w:cs="Times New Roman"/>
        </w:rPr>
        <w:t xml:space="preserve"> not be </w:t>
      </w:r>
      <w:proofErr w:type="spellStart"/>
      <w:r w:rsidRPr="00EB26AB">
        <w:rPr>
          <w:rStyle w:val="Kkursywa"/>
          <w:rFonts w:ascii="Times New Roman" w:hAnsi="Times New Roman" w:cs="Times New Roman"/>
        </w:rPr>
        <w:t>surrendered</w:t>
      </w:r>
      <w:proofErr w:type="spellEnd"/>
      <w:r w:rsidRPr="00EB26AB">
        <w:rPr>
          <w:rStyle w:val="Kkursywa"/>
          <w:rFonts w:ascii="Times New Roman" w:hAnsi="Times New Roman" w:cs="Times New Roman"/>
        </w:rPr>
        <w:t>” (Zgodnie z art. 603(2) Rzeczpospolita Polska oświadcza, że obywatele polscy nie będą wydawani).</w:t>
      </w:r>
      <w:r w:rsidR="003E5C7B">
        <w:rPr>
          <w:rStyle w:val="Kkursywa"/>
          <w:rFonts w:ascii="Times New Roman" w:hAnsi="Times New Roman" w:cs="Times New Roman"/>
        </w:rPr>
        <w:t>”</w:t>
      </w:r>
    </w:p>
    <w:p w14:paraId="07574429" w14:textId="47BE5B70" w:rsidR="00EB26AB" w:rsidRPr="00EB26AB" w:rsidRDefault="00EB26AB" w:rsidP="00EB26AB">
      <w:pPr>
        <w:pStyle w:val="NIEARTTEKSTtekstnieartykuowanynppodstprawnarozplubpreambua"/>
        <w:rPr>
          <w:rFonts w:ascii="Times New Roman" w:hAnsi="Times New Roman" w:cs="Times New Roman"/>
        </w:rPr>
      </w:pPr>
      <w:r w:rsidRPr="00EB26AB">
        <w:rPr>
          <w:rFonts w:ascii="Times New Roman" w:hAnsi="Times New Roman" w:cs="Times New Roman"/>
        </w:rPr>
        <w:t xml:space="preserve">Uregulowanie kwestii wydawania osób w Umowie zawartej przez UE oznacza, że wydawanie osób w stosunkach pomiędzy państwami członkowskimi UE a Zjednoczonym Królestwem należy obecnie do wyłącznej kompetencji UE. Chociaż Polska (podobnie jak inne państwa członkowskie) nie jest samodzielną stroną Umowy, jest związana jej postanowieniami jako państwo członkowskie UE (stosownie do art. 216 ust. 2 TFUE). Zawarcie przez Polskę ze Zjednoczonym Królestwem odrębnej od Umowy UE umowy dwustronnej, która regulowałaby kwestie wydawania osób pomiędzy Polską z Zjednoczonym Królestwem, prowadziłoby do naruszenia wyłącznej kompetencji zewnętrznej UE, której granice wyznacza art. 3 ust. 2 TFUE. Zgodnie z tym przepisem Traktatu, UE ma wyłączną kompetencję do zawarcia umowy międzynarodowej w zakresie, w jakim jej zawarcie może wpływać na wspólne zasady UE lub zmieniać ich zakres. Wspólne zasady UE w rozumieniu art. 3 ust. 2 TFUE stanowi obecnie </w:t>
      </w:r>
      <w:r w:rsidR="003E5C7B">
        <w:rPr>
          <w:rFonts w:ascii="Times New Roman" w:hAnsi="Times New Roman" w:cs="Times New Roman"/>
        </w:rPr>
        <w:t>także</w:t>
      </w:r>
      <w:r w:rsidRPr="00EB26AB">
        <w:rPr>
          <w:rFonts w:ascii="Times New Roman" w:hAnsi="Times New Roman" w:cs="Times New Roman"/>
        </w:rPr>
        <w:t xml:space="preserve"> Umowa o handlu i współpracy, na którą bilateralna umowa pomiędzy państwem członkowskim UE a Zjednoczonym Królestwem, gdyby została zawarta, bez wątpienia wywierałaby wpływ.</w:t>
      </w:r>
    </w:p>
    <w:p w14:paraId="39DE9117" w14:textId="77777777" w:rsidR="00EB26AB" w:rsidRPr="00EB26AB" w:rsidRDefault="00EB26AB" w:rsidP="00EB26AB">
      <w:pPr>
        <w:pStyle w:val="NIEARTTEKSTtekstnieartykuowanynppodstprawnarozplubpreambua"/>
        <w:rPr>
          <w:rFonts w:ascii="Times New Roman" w:hAnsi="Times New Roman" w:cs="Times New Roman"/>
        </w:rPr>
      </w:pPr>
      <w:r w:rsidRPr="00EB26AB">
        <w:rPr>
          <w:rFonts w:ascii="Times New Roman" w:hAnsi="Times New Roman" w:cs="Times New Roman"/>
        </w:rPr>
        <w:t xml:space="preserve">W obszarach wyłącznej kompetencji UE państwa członkowskie mogą działać wyłącznie z upoważnienia UE (por. art. 2 ust. 1 TFUE). Tymczasem UE nie upoważniła państw członkowskich do samodzielnego regulowania ze Zjednoczonym Królestwem kwestii wydawania osób w umowach dwustronnych, niezależnie od Umowy zawartej przez samą UE. Możliwość zawierania takich umów nie została przewidziana ani w samej Umowie ani w decyzji Rady w sprawie podpisania Umowy o handlu i współpracy w imieniu UE. Dla porównania, wspomniana decyzja upoważnia państwa członkowskie do zawierania ze Zjednoczonym Królestwem umów dwustronnych dotyczących szczegółowych kwestii objętych Umową </w:t>
      </w:r>
      <w:r w:rsidRPr="00EB26AB">
        <w:rPr>
          <w:rFonts w:ascii="Times New Roman" w:hAnsi="Times New Roman" w:cs="Times New Roman"/>
        </w:rPr>
        <w:lastRenderedPageBreak/>
        <w:t>wyłącznie w obszarach transportu lotniczego, współpracy administracyjnej w zakresie ceł i VAT oraz zabezpieczenia społecznego, z zastrzeżeniem określonych w tej Umowie warunków.</w:t>
      </w:r>
    </w:p>
    <w:p w14:paraId="2A71020A" w14:textId="6CC6C202" w:rsidR="00EB26AB" w:rsidRPr="00EB26AB" w:rsidRDefault="00EB26AB" w:rsidP="00EB26AB">
      <w:pPr>
        <w:pStyle w:val="NIEARTTEKSTtekstnieartykuowanynppodstprawnarozplubpreambua"/>
        <w:rPr>
          <w:rFonts w:ascii="Times New Roman" w:hAnsi="Times New Roman" w:cs="Times New Roman"/>
        </w:rPr>
      </w:pPr>
      <w:r w:rsidRPr="00EB26AB">
        <w:rPr>
          <w:rFonts w:ascii="Times New Roman" w:hAnsi="Times New Roman" w:cs="Times New Roman"/>
        </w:rPr>
        <w:t>Ponieważ kwestia wydawania osób w stosunkach pomiędzy państwami członkowskimi UE a Zjednoczonym Królestwem należy obecnie do wyłącznej kompetencji zewnętrznej UE</w:t>
      </w:r>
      <w:r w:rsidR="00E14CFE">
        <w:rPr>
          <w:rFonts w:ascii="Times New Roman" w:hAnsi="Times New Roman" w:cs="Times New Roman"/>
        </w:rPr>
        <w:t>,</w:t>
      </w:r>
      <w:r w:rsidRPr="00EB26AB">
        <w:rPr>
          <w:rFonts w:ascii="Times New Roman" w:hAnsi="Times New Roman" w:cs="Times New Roman"/>
        </w:rPr>
        <w:t xml:space="preserve"> nie jest możliwe uregulowanie tego zagadnienia w umowie dwustronnej zawartej pomiędzy Polską</w:t>
      </w:r>
      <w:r w:rsidR="00D92389">
        <w:rPr>
          <w:rFonts w:ascii="Times New Roman" w:hAnsi="Times New Roman" w:cs="Times New Roman"/>
        </w:rPr>
        <w:t xml:space="preserve"> </w:t>
      </w:r>
      <w:r w:rsidRPr="00EB26AB">
        <w:rPr>
          <w:rFonts w:ascii="Times New Roman" w:hAnsi="Times New Roman" w:cs="Times New Roman"/>
        </w:rPr>
        <w:t>a</w:t>
      </w:r>
      <w:r w:rsidR="00D92389">
        <w:rPr>
          <w:rFonts w:ascii="Times New Roman" w:hAnsi="Times New Roman" w:cs="Times New Roman"/>
        </w:rPr>
        <w:t xml:space="preserve"> </w:t>
      </w:r>
      <w:r w:rsidRPr="00EB26AB">
        <w:rPr>
          <w:rFonts w:ascii="Times New Roman" w:hAnsi="Times New Roman" w:cs="Times New Roman"/>
        </w:rPr>
        <w:t>Zjednoczonym Królestwem.</w:t>
      </w:r>
    </w:p>
    <w:p w14:paraId="4C67F593" w14:textId="77777777" w:rsidR="00EB26AB" w:rsidRPr="00EB26AB" w:rsidRDefault="00EB26AB" w:rsidP="00EB26AB">
      <w:pPr>
        <w:pStyle w:val="NIEARTTEKSTtekstnieartykuowanynppodstprawnarozplubpreambua"/>
        <w:rPr>
          <w:rFonts w:ascii="Times New Roman" w:hAnsi="Times New Roman" w:cs="Times New Roman"/>
        </w:rPr>
      </w:pPr>
      <w:r w:rsidRPr="00EB26AB">
        <w:rPr>
          <w:rFonts w:ascii="Times New Roman" w:hAnsi="Times New Roman" w:cs="Times New Roman"/>
        </w:rPr>
        <w:t>W celu wykonania obowiązku ekstradycji własnych obywateli, o którym mowa w</w:t>
      </w:r>
      <w:r w:rsidR="00D92389">
        <w:rPr>
          <w:rFonts w:ascii="Times New Roman" w:hAnsi="Times New Roman" w:cs="Times New Roman"/>
        </w:rPr>
        <w:t xml:space="preserve"> </w:t>
      </w:r>
      <w:r w:rsidRPr="00EB26AB">
        <w:rPr>
          <w:rFonts w:ascii="Times New Roman" w:hAnsi="Times New Roman" w:cs="Times New Roman"/>
        </w:rPr>
        <w:t>art.</w:t>
      </w:r>
      <w:r w:rsidR="00D92389">
        <w:rPr>
          <w:rFonts w:ascii="Times New Roman" w:hAnsi="Times New Roman" w:cs="Times New Roman"/>
        </w:rPr>
        <w:t xml:space="preserve"> </w:t>
      </w:r>
      <w:r w:rsidRPr="00EB26AB">
        <w:rPr>
          <w:rFonts w:ascii="Times New Roman" w:hAnsi="Times New Roman" w:cs="Times New Roman"/>
        </w:rPr>
        <w:t>603 ust. 1 Umowy</w:t>
      </w:r>
      <w:r w:rsidR="00E14CFE">
        <w:rPr>
          <w:rFonts w:ascii="Times New Roman" w:hAnsi="Times New Roman" w:cs="Times New Roman"/>
        </w:rPr>
        <w:t>,</w:t>
      </w:r>
      <w:r w:rsidRPr="00EB26AB">
        <w:rPr>
          <w:rFonts w:ascii="Times New Roman" w:hAnsi="Times New Roman" w:cs="Times New Roman"/>
        </w:rPr>
        <w:t xml:space="preserve"> niezbędne jest zatem przyjęcie ustawy (w przeciwieństwie do Umowy</w:t>
      </w:r>
      <w:r w:rsidR="00D92389">
        <w:rPr>
          <w:rFonts w:ascii="Times New Roman" w:hAnsi="Times New Roman" w:cs="Times New Roman"/>
        </w:rPr>
        <w:t xml:space="preserve"> –</w:t>
      </w:r>
      <w:r w:rsidRPr="00EB26AB">
        <w:rPr>
          <w:rFonts w:ascii="Times New Roman" w:hAnsi="Times New Roman" w:cs="Times New Roman"/>
        </w:rPr>
        <w:t xml:space="preserve"> jednostronnego aktu krajowego), o charakterze czysto technicznym, ograniczonej do odesłania do właściwych postanowień Umowy dotyczących wydawania osób pomiędzy UE a Zjednoczonym Królestwem. Jako ustawa wykonująca akt prawa stanowionego przez organizację międzynarodową, której Rzeczpospolita Polska jest członkiem, ustawa niniejsza pozwoli na stosowanie tych postanowień przez Polskę z poszanowaniem zakazu wynikającego z art. 55 Konstytucji Rzeczypospolitej Polskiej. </w:t>
      </w:r>
    </w:p>
    <w:p w14:paraId="4B44EE3B" w14:textId="4A229AF7" w:rsidR="00EB26AB" w:rsidRPr="00EB26AB" w:rsidRDefault="00EB26AB" w:rsidP="00EB26AB">
      <w:pPr>
        <w:pStyle w:val="NIEARTTEKSTtekstnieartykuowanynppodstprawnarozplubpreambua"/>
        <w:rPr>
          <w:rFonts w:ascii="Times New Roman" w:hAnsi="Times New Roman" w:cs="Times New Roman"/>
        </w:rPr>
      </w:pPr>
      <w:r w:rsidRPr="00EB26AB">
        <w:rPr>
          <w:rFonts w:ascii="Times New Roman" w:hAnsi="Times New Roman" w:cs="Times New Roman"/>
        </w:rPr>
        <w:t>Podobne rozwiązanie zostało przyjęte w celu zapewnienia w polskim porządku prawnym skuteczności postanowień Umowy o wystąpieniu Zjednoczonego Królestwa z UE dotyczących okresu przejściowego, które przewidywały, że w okresie przejściowym (1 lutego</w:t>
      </w:r>
      <w:r w:rsidR="00D92389">
        <w:rPr>
          <w:rFonts w:ascii="Times New Roman" w:hAnsi="Times New Roman" w:cs="Times New Roman"/>
        </w:rPr>
        <w:t xml:space="preserve"> </w:t>
      </w:r>
      <w:r w:rsidRPr="00EB26AB">
        <w:rPr>
          <w:rFonts w:ascii="Times New Roman" w:hAnsi="Times New Roman" w:cs="Times New Roman"/>
        </w:rPr>
        <w:t>– 31 grudnia 2020</w:t>
      </w:r>
      <w:r w:rsidR="00E14CFE">
        <w:rPr>
          <w:rFonts w:ascii="Times New Roman" w:hAnsi="Times New Roman" w:cs="Times New Roman"/>
        </w:rPr>
        <w:t xml:space="preserve"> r.</w:t>
      </w:r>
      <w:r w:rsidRPr="00EB26AB">
        <w:rPr>
          <w:rFonts w:ascii="Times New Roman" w:hAnsi="Times New Roman" w:cs="Times New Roman"/>
        </w:rPr>
        <w:t xml:space="preserve">) w myśl prawa UE i w myśl przepisów krajowych wdrażających to prawo Zjednoczone Królestwo zasadniczo traktowane było nadal jak państwo członkowskie UE. Także w przypadku Umowy o wystąpieniu (zawartej wyłącznie przez UE), mając na uwadze konstytucyjny zakaz wydawania obywateli polskich oraz restrykcyjny charakter wyjątków od tego zakazu, konieczne było stworzenie ustawowej podstawy prawnej umożliwiającej stosowanie w okresie przejściowym decyzji ramowej </w:t>
      </w:r>
      <w:proofErr w:type="spellStart"/>
      <w:r w:rsidRPr="00EB26AB">
        <w:rPr>
          <w:rFonts w:ascii="Times New Roman" w:hAnsi="Times New Roman" w:cs="Times New Roman"/>
        </w:rPr>
        <w:t>ws</w:t>
      </w:r>
      <w:proofErr w:type="spellEnd"/>
      <w:r w:rsidRPr="00EB26AB">
        <w:rPr>
          <w:rFonts w:ascii="Times New Roman" w:hAnsi="Times New Roman" w:cs="Times New Roman"/>
        </w:rPr>
        <w:t xml:space="preserve">. ENA. Podstawę do stosowania decyzji ramowej </w:t>
      </w:r>
      <w:proofErr w:type="spellStart"/>
      <w:r w:rsidRPr="00EB26AB">
        <w:rPr>
          <w:rFonts w:ascii="Times New Roman" w:hAnsi="Times New Roman" w:cs="Times New Roman"/>
        </w:rPr>
        <w:t>ws</w:t>
      </w:r>
      <w:proofErr w:type="spellEnd"/>
      <w:r w:rsidRPr="00EB26AB">
        <w:rPr>
          <w:rFonts w:ascii="Times New Roman" w:hAnsi="Times New Roman" w:cs="Times New Roman"/>
        </w:rPr>
        <w:t>. ENA w okresie przejściowym ustanowiono ustawą z dnia 19 lipca 2019 r. o</w:t>
      </w:r>
      <w:r w:rsidR="00D92389">
        <w:rPr>
          <w:rFonts w:ascii="Times New Roman" w:hAnsi="Times New Roman" w:cs="Times New Roman"/>
        </w:rPr>
        <w:t xml:space="preserve"> </w:t>
      </w:r>
      <w:r w:rsidRPr="00EB26AB">
        <w:rPr>
          <w:rFonts w:ascii="Times New Roman" w:hAnsi="Times New Roman" w:cs="Times New Roman"/>
        </w:rPr>
        <w:t>okresie przejściowym, o którym mowa w Umowie o wystąpieniu Zjednoczonego Królestwa Wielkiej Brytanii i Irlandii Północnej z Unii Europejskiej i Europejskiej Wspólnoty Energii Atomowej (Dz. U. poz. 1516).</w:t>
      </w:r>
    </w:p>
    <w:p w14:paraId="2E742181" w14:textId="77777777" w:rsidR="00EB26AB" w:rsidRPr="00EB26AB" w:rsidRDefault="00EB26AB" w:rsidP="00EB26AB">
      <w:pPr>
        <w:pStyle w:val="NIEARTTEKSTtekstnieartykuowanynppodstprawnarozplubpreambua"/>
        <w:ind w:firstLine="0"/>
        <w:rPr>
          <w:rStyle w:val="Ppogrubienie"/>
          <w:rFonts w:ascii="Times New Roman" w:hAnsi="Times New Roman" w:cs="Times New Roman"/>
        </w:rPr>
      </w:pPr>
      <w:r w:rsidRPr="00EB26AB">
        <w:rPr>
          <w:rStyle w:val="Ppogrubienie"/>
          <w:rFonts w:ascii="Times New Roman" w:hAnsi="Times New Roman" w:cs="Times New Roman"/>
        </w:rPr>
        <w:lastRenderedPageBreak/>
        <w:t>Projektowane regulacje</w:t>
      </w:r>
    </w:p>
    <w:p w14:paraId="3836240F" w14:textId="77777777" w:rsidR="00EB26AB" w:rsidRPr="00EB26AB" w:rsidRDefault="00EB26AB" w:rsidP="00EB26AB">
      <w:pPr>
        <w:pStyle w:val="NIEARTTEKSTtekstnieartykuowanynppodstprawnarozplubpreambua"/>
        <w:rPr>
          <w:rFonts w:ascii="Times New Roman" w:hAnsi="Times New Roman" w:cs="Times New Roman"/>
        </w:rPr>
      </w:pPr>
      <w:r w:rsidRPr="00EB26AB">
        <w:rPr>
          <w:rFonts w:ascii="Times New Roman" w:hAnsi="Times New Roman" w:cs="Times New Roman"/>
        </w:rPr>
        <w:t xml:space="preserve">Art. 1 pkt 1 projektu ustawy wskazuje przepisy regulujące dopuszczalność i tryb przeprowadzania ekstradycji do Zjednoczonego Królestwa. Jednocześnie przepis ten służy usunięciu mogących się pojawić w praktyce wątpliwości odnośnie do tego, czy Umowa o handlu i współpracy może być stosowana wprost, co jest niezbędne z uwagi na zasadę pewności prawa (art. 2 Konstytucji Rzeczypospolitej Polskiej). </w:t>
      </w:r>
    </w:p>
    <w:p w14:paraId="10123742" w14:textId="2C9FD797" w:rsidR="00EB26AB" w:rsidRPr="00EB26AB" w:rsidRDefault="00EB26AB" w:rsidP="00EB26AB">
      <w:pPr>
        <w:pStyle w:val="NIEARTTEKSTtekstnieartykuowanynppodstprawnarozplubpreambua"/>
        <w:rPr>
          <w:rFonts w:ascii="Times New Roman" w:hAnsi="Times New Roman" w:cs="Times New Roman"/>
        </w:rPr>
      </w:pPr>
      <w:r w:rsidRPr="00EB26AB">
        <w:rPr>
          <w:rFonts w:ascii="Times New Roman" w:hAnsi="Times New Roman" w:cs="Times New Roman"/>
        </w:rPr>
        <w:t>Art. 1 pkt 2 projektu ustawy potwierdza prawidłowość dotychczasowej praktyki</w:t>
      </w:r>
      <w:r w:rsidR="004213D7">
        <w:rPr>
          <w:rFonts w:ascii="Times New Roman" w:hAnsi="Times New Roman" w:cs="Times New Roman"/>
        </w:rPr>
        <w:t>,</w:t>
      </w:r>
      <w:r w:rsidRPr="00EB26AB">
        <w:rPr>
          <w:rFonts w:ascii="Times New Roman" w:hAnsi="Times New Roman" w:cs="Times New Roman"/>
        </w:rPr>
        <w:t xml:space="preserve"> zgodnie z którą w postępowaniu w sprawach karnych ze stosunków międzynarodowych na podstawie umów, których stroną jest Unia Europejska, w braku precyzyjnej regulacji krajowej stosuje się odpowiednio lub w drodze analogii przepisy dotyczące współpracy prawnej w ramach Unii Europejskiej, jeśli jest to niezbędne do zapewnienia rzeczywistej skuteczności danej umowy. Stosowanie „odpowiednie” oznacza, że gdy przepis dotyczy zakresu danego zagadnienia:</w:t>
      </w:r>
    </w:p>
    <w:p w14:paraId="25DE905B" w14:textId="77777777" w:rsidR="00EB26AB" w:rsidRPr="00EB26AB" w:rsidRDefault="00EB26AB" w:rsidP="00D92389">
      <w:pPr>
        <w:pStyle w:val="NIEARTTEKSTtekstnieartykuowanynppodstprawnarozplubpreambua"/>
        <w:numPr>
          <w:ilvl w:val="0"/>
          <w:numId w:val="1"/>
        </w:numPr>
        <w:spacing w:before="0"/>
        <w:rPr>
          <w:rFonts w:ascii="Times New Roman" w:hAnsi="Times New Roman" w:cs="Times New Roman"/>
        </w:rPr>
      </w:pPr>
      <w:r w:rsidRPr="00EB26AB">
        <w:rPr>
          <w:rFonts w:ascii="Times New Roman" w:hAnsi="Times New Roman" w:cs="Times New Roman"/>
        </w:rPr>
        <w:t>stosuje się go wprost bez żadnych zmian do zakresu innego zagadnienia;</w:t>
      </w:r>
    </w:p>
    <w:p w14:paraId="6654C16E" w14:textId="77777777" w:rsidR="00EB26AB" w:rsidRPr="00EB26AB" w:rsidRDefault="00EB26AB" w:rsidP="00D92389">
      <w:pPr>
        <w:pStyle w:val="NIEARTTEKSTtekstnieartykuowanynppodstprawnarozplubpreambua"/>
        <w:numPr>
          <w:ilvl w:val="0"/>
          <w:numId w:val="1"/>
        </w:numPr>
        <w:rPr>
          <w:rFonts w:ascii="Times New Roman" w:hAnsi="Times New Roman" w:cs="Times New Roman"/>
        </w:rPr>
      </w:pPr>
      <w:r w:rsidRPr="00EB26AB">
        <w:rPr>
          <w:rFonts w:ascii="Times New Roman" w:hAnsi="Times New Roman" w:cs="Times New Roman"/>
        </w:rPr>
        <w:t>stosuje się go z pewnymi zmianami do zakresu innego zagadnienia;</w:t>
      </w:r>
    </w:p>
    <w:p w14:paraId="5C8D9903" w14:textId="77777777" w:rsidR="00EB26AB" w:rsidRPr="00EB26AB" w:rsidRDefault="00EB26AB" w:rsidP="00D92389">
      <w:pPr>
        <w:pStyle w:val="NIEARTTEKSTtekstnieartykuowanynppodstprawnarozplubpreambua"/>
        <w:numPr>
          <w:ilvl w:val="0"/>
          <w:numId w:val="1"/>
        </w:numPr>
        <w:rPr>
          <w:rFonts w:ascii="Times New Roman" w:hAnsi="Times New Roman" w:cs="Times New Roman"/>
        </w:rPr>
      </w:pPr>
      <w:r w:rsidRPr="00EB26AB">
        <w:rPr>
          <w:rFonts w:ascii="Times New Roman" w:hAnsi="Times New Roman" w:cs="Times New Roman"/>
        </w:rPr>
        <w:t>nie może być w ogóle stosowany do zakresu innego zagadnienia ze względu na bezprzedmiotowość lub sprzeczność z przepisami ustanowionymi dla tego innego zagadnienia.</w:t>
      </w:r>
    </w:p>
    <w:p w14:paraId="3F33F230" w14:textId="73B84E28" w:rsidR="00EB26AB" w:rsidRPr="00EB26AB" w:rsidRDefault="00EB26AB" w:rsidP="00EB26AB">
      <w:pPr>
        <w:pStyle w:val="ARTartustawynprozporzdzenia"/>
        <w:rPr>
          <w:rFonts w:ascii="Times New Roman" w:hAnsi="Times New Roman" w:cs="Times New Roman"/>
          <w:highlight w:val="yellow"/>
        </w:rPr>
      </w:pPr>
      <w:r w:rsidRPr="00EB26AB">
        <w:rPr>
          <w:rFonts w:ascii="Times New Roman" w:hAnsi="Times New Roman" w:cs="Times New Roman"/>
        </w:rPr>
        <w:t xml:space="preserve">Podkreślić również należy, że przepis ten nie dotyczy jedynie procedury karnej zawartej w </w:t>
      </w:r>
      <w:r w:rsidRPr="00EB26AB">
        <w:rPr>
          <w:rFonts w:ascii="Times New Roman" w:hAnsi="Times New Roman" w:cs="Times New Roman"/>
          <w:bCs/>
        </w:rPr>
        <w:t xml:space="preserve">ustawie z dnia 6 czerwca 1997 r. – Kodeks postępowania karnego (Dz. U. z 2022 r. poz. 1375, z późn. zm.), </w:t>
      </w:r>
      <w:r w:rsidR="00700277">
        <w:rPr>
          <w:rFonts w:ascii="Times New Roman" w:hAnsi="Times New Roman" w:cs="Times New Roman"/>
          <w:bCs/>
        </w:rPr>
        <w:t>dalej jako „k.p</w:t>
      </w:r>
      <w:r w:rsidR="00C4539C">
        <w:rPr>
          <w:rFonts w:ascii="Times New Roman" w:hAnsi="Times New Roman" w:cs="Times New Roman"/>
          <w:bCs/>
        </w:rPr>
        <w:t>.</w:t>
      </w:r>
      <w:r w:rsidR="00700277">
        <w:rPr>
          <w:rFonts w:ascii="Times New Roman" w:hAnsi="Times New Roman" w:cs="Times New Roman"/>
          <w:bCs/>
        </w:rPr>
        <w:t xml:space="preserve">k.”, </w:t>
      </w:r>
      <w:r w:rsidRPr="00EB26AB">
        <w:rPr>
          <w:rFonts w:ascii="Times New Roman" w:hAnsi="Times New Roman" w:cs="Times New Roman"/>
          <w:bCs/>
        </w:rPr>
        <w:t>ale również innych aktów normatywnych regulujących różne kwestie istotne dla sądownictwa. Można wśród nich wskazać np. ustawę z dnia 17 czerwca 1966 r. o postępowaniu egzekucyjnym w administracji (Dz. U. z 2022 r. poz. 479, z późn. zm.)</w:t>
      </w:r>
      <w:r w:rsidR="00D92389">
        <w:rPr>
          <w:rFonts w:ascii="Times New Roman" w:hAnsi="Times New Roman" w:cs="Times New Roman"/>
          <w:bCs/>
        </w:rPr>
        <w:t xml:space="preserve"> </w:t>
      </w:r>
      <w:r w:rsidRPr="00EB26AB">
        <w:rPr>
          <w:rFonts w:ascii="Times New Roman" w:hAnsi="Times New Roman" w:cs="Times New Roman"/>
          <w:bCs/>
        </w:rPr>
        <w:t>mającej zastosowanie przy wykonywaniu orzeczenia przepadku, które może być przekazane na podstawie umowy. Innym przykładem jest ustawa z dnia 27 lipca 2001 r. – Prawo o ustroju sądów powszechnych (Dz. U. z 2020 r. poz. 2072, z późn. zm.), regulująca tzw. policję sesyjną, mogącą mieć zastosowanie w trakcie posiedzenia sądowego w przedmiocie objętym zakresem umowy. Stąd niecelow</w:t>
      </w:r>
      <w:r w:rsidR="003E5C7B">
        <w:rPr>
          <w:rFonts w:ascii="Times New Roman" w:hAnsi="Times New Roman" w:cs="Times New Roman"/>
          <w:bCs/>
        </w:rPr>
        <w:t>e</w:t>
      </w:r>
      <w:r w:rsidRPr="00EB26AB">
        <w:rPr>
          <w:rFonts w:ascii="Times New Roman" w:hAnsi="Times New Roman" w:cs="Times New Roman"/>
          <w:bCs/>
        </w:rPr>
        <w:t xml:space="preserve"> i niezasadn</w:t>
      </w:r>
      <w:r w:rsidR="003E5C7B">
        <w:rPr>
          <w:rFonts w:ascii="Times New Roman" w:hAnsi="Times New Roman" w:cs="Times New Roman"/>
          <w:bCs/>
        </w:rPr>
        <w:t>e</w:t>
      </w:r>
      <w:r w:rsidRPr="00EB26AB">
        <w:rPr>
          <w:rFonts w:ascii="Times New Roman" w:hAnsi="Times New Roman" w:cs="Times New Roman"/>
          <w:bCs/>
        </w:rPr>
        <w:t xml:space="preserve"> jest </w:t>
      </w:r>
      <w:r w:rsidRPr="00EB26AB">
        <w:rPr>
          <w:rFonts w:ascii="Times New Roman" w:hAnsi="Times New Roman" w:cs="Times New Roman"/>
          <w:bCs/>
        </w:rPr>
        <w:lastRenderedPageBreak/>
        <w:t>enumeratywne wskazanie w art. 1 pkt 2 poszczególnych przepisów z uwagi na obawę pominięcia niektórych z nich.</w:t>
      </w:r>
      <w:r w:rsidR="00D92389">
        <w:rPr>
          <w:rFonts w:ascii="Times New Roman" w:hAnsi="Times New Roman" w:cs="Times New Roman"/>
          <w:bCs/>
        </w:rPr>
        <w:t xml:space="preserve"> </w:t>
      </w:r>
    </w:p>
    <w:p w14:paraId="46DEFD12" w14:textId="009B3E09" w:rsidR="00EB26AB" w:rsidRPr="00EB26AB" w:rsidRDefault="00EB26AB" w:rsidP="00EB26AB">
      <w:pPr>
        <w:pStyle w:val="NIEARTTEKSTtekstnieartykuowanynppodstprawnarozplubpreambua"/>
        <w:rPr>
          <w:rFonts w:ascii="Times New Roman" w:hAnsi="Times New Roman" w:cs="Times New Roman"/>
        </w:rPr>
      </w:pPr>
      <w:r w:rsidRPr="00EB26AB">
        <w:rPr>
          <w:rFonts w:ascii="Times New Roman" w:hAnsi="Times New Roman" w:cs="Times New Roman"/>
        </w:rPr>
        <w:t>W art. 2 projektowanej ustawy wprost i jednoznacznie określone zostały warunki, pod jakimi obywatel polski może być wydany do Zjednoczonego Królestwa. Wprowadzenie tego przepisu do ustawy jest niezbędne pomimo zawartego w art. 1 pkt 2 ustawy odesłania do rozdziału 65b k.p.k., w tym m.in. do art. 607p § 2 k.p.k. Przepis ten normatywnie odzwierciedla art. 55 ust. 2 Konstytucji Rzeczypospolitej Polskiej.</w:t>
      </w:r>
    </w:p>
    <w:p w14:paraId="739F6903" w14:textId="77777777" w:rsidR="00EB26AB" w:rsidRPr="00EB26AB" w:rsidRDefault="00EB26AB" w:rsidP="00EB26AB">
      <w:pPr>
        <w:pStyle w:val="NIEARTTEKSTtekstnieartykuowanynppodstprawnarozplubpreambua"/>
        <w:rPr>
          <w:rFonts w:ascii="Times New Roman" w:hAnsi="Times New Roman" w:cs="Times New Roman"/>
        </w:rPr>
      </w:pPr>
      <w:r w:rsidRPr="00EB26AB">
        <w:rPr>
          <w:rFonts w:ascii="Times New Roman" w:hAnsi="Times New Roman" w:cs="Times New Roman"/>
        </w:rPr>
        <w:t>Polskie powiadomienie zostanie częściowo cofnięte tak, aby wynikało z niego, że przekazanie obywatela polskiego do Zjednoczonego Królestwa Wielkiej Brytanii i Irlandii Północnej na podstawie nakazu aresztowania, o którym mowa w Umowie o handlu i współpracy między Unią Europejską i Europejską Wspólnotą Energii Atomowej, z jednej strony, a Zjednoczonym Królestwem Wielkiej Brytanii i Irlandii Północnej, z drugiej strony</w:t>
      </w:r>
      <w:r w:rsidR="00D95E4D">
        <w:rPr>
          <w:rFonts w:ascii="Times New Roman" w:hAnsi="Times New Roman" w:cs="Times New Roman"/>
        </w:rPr>
        <w:t>,</w:t>
      </w:r>
      <w:r w:rsidRPr="00EB26AB">
        <w:rPr>
          <w:rFonts w:ascii="Times New Roman" w:hAnsi="Times New Roman" w:cs="Times New Roman"/>
        </w:rPr>
        <w:t xml:space="preserve"> może nastąpić pod warunkiem, że czyn, którego nakaz dotyczy, nie został popełniony na terytorium Rzeczypospolitej Polskiej ani na polskim statku wodnym lub powietrznym oraz stanowił przestępstwo według prawa Rzeczypospolitej Polskiej lub stanowiłby przestępstwo według prawa Rzeczypospolitej Polskiej w razie popełnienia na terytorium Rzeczypospolitej Polskiej, zarówno w czasie jego popełnienia, jak i w chwili wpłynięcia nakazu. Przekazanie jest niedopuszczalne, jeżeli dotyczy osoby podejrzanej o popełnienie bez użycia przemocy przestępstwa z przyczyn politycznych lub jego dokonanie będzie naruszać wolności i prawa człowieka i obywatela.</w:t>
      </w:r>
    </w:p>
    <w:p w14:paraId="458C9140" w14:textId="77777777" w:rsidR="00EB26AB" w:rsidRPr="00EB26AB" w:rsidRDefault="00EB26AB" w:rsidP="00EB26AB">
      <w:pPr>
        <w:pStyle w:val="NIEARTTEKSTtekstnieartykuowanynppodstprawnarozplubpreambua"/>
        <w:rPr>
          <w:rFonts w:ascii="Times New Roman" w:hAnsi="Times New Roman" w:cs="Times New Roman"/>
        </w:rPr>
      </w:pPr>
      <w:r w:rsidRPr="00EB26AB">
        <w:rPr>
          <w:rFonts w:ascii="Times New Roman" w:hAnsi="Times New Roman" w:cs="Times New Roman"/>
        </w:rPr>
        <w:t xml:space="preserve">Częściowe cofnięcie polskiego powiadomienia ekstradycyjnego jest prawnie dopuszczalne. Zgodnie z art. 690 ust. 4 Umowy powiadomienie dotyczące „wyjątku ze względu na obywatelstwo” można wycofać w każdym czasie. Stosownie do art. 4 Umowy wykładni jej przepisów dokonuje się w dobrej wierze na podstawie ich zwykłego rozumienia w ich kontekście oraz w świetle celu Umowy, zgodnie ze zwyczajowymi zasadami wykładni międzynarodowego prawa publicznego, w tym zasadami skodyfikowanymi w Konwencji wiedeńskiej o prawie traktatów sporządzonej w Wiedniu w dniu 23 maja 1969 r. </w:t>
      </w:r>
    </w:p>
    <w:p w14:paraId="3CAD1326" w14:textId="5EA78927" w:rsidR="00EB26AB" w:rsidRPr="00EB26AB" w:rsidRDefault="00EB26AB" w:rsidP="00EB26AB">
      <w:pPr>
        <w:pStyle w:val="NIEARTTEKSTtekstnieartykuowanynppodstprawnarozplubpreambua"/>
        <w:rPr>
          <w:rFonts w:ascii="Times New Roman" w:hAnsi="Times New Roman" w:cs="Times New Roman"/>
        </w:rPr>
      </w:pPr>
      <w:r w:rsidRPr="00EB26AB">
        <w:rPr>
          <w:rFonts w:ascii="Times New Roman" w:hAnsi="Times New Roman" w:cs="Times New Roman"/>
        </w:rPr>
        <w:lastRenderedPageBreak/>
        <w:t>Powiadomienie, o którym mowa w art. 603 ust. 4 Umowy, to jednostronne oświadczenia jej stron mające na celu wyłączenie lub zmianę skutków prawnych art.</w:t>
      </w:r>
      <w:r w:rsidR="00D92389">
        <w:rPr>
          <w:rFonts w:ascii="Times New Roman" w:hAnsi="Times New Roman" w:cs="Times New Roman"/>
        </w:rPr>
        <w:t xml:space="preserve"> </w:t>
      </w:r>
      <w:r w:rsidRPr="00EB26AB">
        <w:rPr>
          <w:rFonts w:ascii="Times New Roman" w:hAnsi="Times New Roman" w:cs="Times New Roman"/>
        </w:rPr>
        <w:t>603 ust. 1 Umowy w odniesieniu do stron Umowy, w tym w odniesieniu do danego państwa członkowskiego UE. W związku z tym normy prawa międzynarodowego odnoszące się do zastrzeżeń do traktatów mają zastosowanie również do oświadczeń derogacyjnych i opcyjnych, o których mowa w Umowie o handlu i współpracy, w tym do zawiadomienia dotyczącego wyjątku ze względu na obywatelstwo przy wykonywaniu nakazu aresztowania (por. art. 2 ust. 1 lit. d Konwencji wiedeńskiej o prawie traktatów).</w:t>
      </w:r>
    </w:p>
    <w:p w14:paraId="56C47CE8" w14:textId="4722B534" w:rsidR="00EB26AB" w:rsidRPr="00EB26AB" w:rsidRDefault="00EB26AB" w:rsidP="00EB26AB">
      <w:pPr>
        <w:pStyle w:val="NIEARTTEKSTtekstnieartykuowanynppodstprawnarozplubpreambua"/>
        <w:rPr>
          <w:rFonts w:ascii="Times New Roman" w:hAnsi="Times New Roman" w:cs="Times New Roman"/>
        </w:rPr>
      </w:pPr>
      <w:r w:rsidRPr="00EB26AB">
        <w:rPr>
          <w:rFonts w:ascii="Times New Roman" w:hAnsi="Times New Roman" w:cs="Times New Roman"/>
        </w:rPr>
        <w:t xml:space="preserve">Zgodnie z art. 22 Konwencji wiedeńskiej o prawie traktatów, o ile traktat nie stanowi inaczej, zastrzeżenie może zostać wycofane w dowolnym momencie. Zgodnie z § 2.7.7. Poradnika praktycznego dotyczącego zastrzeżeń do traktatów z 2011 r. przyjętego przez Komisję Prawa Międzynarodowego ONZ na jej sześćdziesiątej trzeciej sesji w 2011 r. i przedłożonego Zgromadzeniu Ogólnemu ONZ jako część sprawozdania Komisji z prac tej sesji (A / 66 / 10, pkt 75), opublikowanej w </w:t>
      </w:r>
      <w:r w:rsidR="00C4539C">
        <w:rPr>
          <w:rFonts w:ascii="Times New Roman" w:hAnsi="Times New Roman" w:cs="Times New Roman"/>
        </w:rPr>
        <w:t>„</w:t>
      </w:r>
      <w:r w:rsidRPr="00EB26AB">
        <w:rPr>
          <w:rFonts w:ascii="Times New Roman" w:hAnsi="Times New Roman" w:cs="Times New Roman"/>
        </w:rPr>
        <w:t xml:space="preserve">Yearbook of the International Law </w:t>
      </w:r>
      <w:proofErr w:type="spellStart"/>
      <w:r w:rsidRPr="00EB26AB">
        <w:rPr>
          <w:rFonts w:ascii="Times New Roman" w:hAnsi="Times New Roman" w:cs="Times New Roman"/>
        </w:rPr>
        <w:t>Commission</w:t>
      </w:r>
      <w:proofErr w:type="spellEnd"/>
      <w:r w:rsidR="00C4539C">
        <w:rPr>
          <w:rFonts w:ascii="Times New Roman" w:hAnsi="Times New Roman" w:cs="Times New Roman"/>
        </w:rPr>
        <w:t>”</w:t>
      </w:r>
      <w:r w:rsidRPr="00EB26AB">
        <w:rPr>
          <w:rFonts w:ascii="Times New Roman" w:hAnsi="Times New Roman" w:cs="Times New Roman"/>
        </w:rPr>
        <w:t xml:space="preserve"> 2011</w:t>
      </w:r>
      <w:r w:rsidR="00C4539C">
        <w:rPr>
          <w:rFonts w:ascii="Times New Roman" w:hAnsi="Times New Roman" w:cs="Times New Roman"/>
        </w:rPr>
        <w:t>,</w:t>
      </w:r>
      <w:r w:rsidRPr="00EB26AB">
        <w:rPr>
          <w:rFonts w:ascii="Times New Roman" w:hAnsi="Times New Roman" w:cs="Times New Roman"/>
        </w:rPr>
        <w:t xml:space="preserve"> t. II część druga – takiego wycofania oświadczenia można dokonać w całości lub w części.</w:t>
      </w:r>
    </w:p>
    <w:p w14:paraId="4AF8C3E5" w14:textId="77777777" w:rsidR="00EB26AB" w:rsidRPr="00EB26AB" w:rsidRDefault="00EB26AB" w:rsidP="00EB26AB">
      <w:pPr>
        <w:pStyle w:val="NIEARTTEKSTtekstnieartykuowanynppodstprawnarozplubpreambua"/>
        <w:rPr>
          <w:rFonts w:ascii="Times New Roman" w:hAnsi="Times New Roman" w:cs="Times New Roman"/>
        </w:rPr>
      </w:pPr>
      <w:r w:rsidRPr="00EB26AB">
        <w:rPr>
          <w:rFonts w:ascii="Times New Roman" w:hAnsi="Times New Roman" w:cs="Times New Roman"/>
        </w:rPr>
        <w:t>W związku z tym częściowe wycofanie powiadomienia, o którym mowa w art. 603 (ograniczenie zakresu wyjątku dotyczącego obywatelstwa), jest prawnie dopuszczalne w każdym czasie. Tylko ewentualne rozszerzenie zakresu wyjątku ze względu na obywatelstwo przy wykonywaniu nakazu aresztowania na podstawie Umowy o handlu i współpracy byłoby równoznaczne ze złożeniem „nowego powiadomienia” i byłoby dopuszczalne tylko w terminie przewidzianym w art. 630 Umowy (tj. w okresie trzech miesięcy poprzedzających piątą rocznicę wejścia w życie Umowy o handlu i współpracy, a następnie co każde pięć lat, pod warunkiem, że nastąpi wtedy spełnienie warunków określonych w art. 603 ust. 2 Umowy o handlu i współpracy).</w:t>
      </w:r>
    </w:p>
    <w:p w14:paraId="44800C72" w14:textId="5C458B9D" w:rsidR="00EB26AB" w:rsidRPr="00EB26AB" w:rsidRDefault="00EB26AB" w:rsidP="00EB26AB">
      <w:pPr>
        <w:pStyle w:val="ARTartustawynprozporzdzenia"/>
        <w:rPr>
          <w:rFonts w:ascii="Times New Roman" w:hAnsi="Times New Roman" w:cs="Times New Roman"/>
        </w:rPr>
      </w:pPr>
      <w:r w:rsidRPr="00EB26AB">
        <w:rPr>
          <w:rFonts w:ascii="Times New Roman" w:hAnsi="Times New Roman" w:cs="Times New Roman"/>
        </w:rPr>
        <w:t>Z powyższych względów w art. 3 projektu proponuje się, że projektowana ustawa wejdzie w życie po upływie trzech miesięcy od dnia jej ogłoszenia, co zapewni wystarczająco dużo czasu na złożenie stosownego powiadomienia oraz przygotowanie do jej stosowania po stronie organów krajowych.</w:t>
      </w:r>
    </w:p>
    <w:p w14:paraId="7F6A4C99" w14:textId="77777777" w:rsidR="00EB26AB" w:rsidRPr="00EB26AB" w:rsidRDefault="00EB26AB" w:rsidP="00EB26AB">
      <w:pPr>
        <w:pStyle w:val="NIEARTTEKSTtekstnieartykuowanynppodstprawnarozplubpreambua"/>
        <w:rPr>
          <w:rFonts w:ascii="Times New Roman" w:hAnsi="Times New Roman" w:cs="Times New Roman"/>
        </w:rPr>
      </w:pPr>
      <w:r w:rsidRPr="00EB26AB">
        <w:rPr>
          <w:rFonts w:ascii="Times New Roman" w:hAnsi="Times New Roman" w:cs="Times New Roman"/>
        </w:rPr>
        <w:lastRenderedPageBreak/>
        <w:t>Projekt ustawy nie jest sprzeczny z prawem Unii Europejskiej.</w:t>
      </w:r>
    </w:p>
    <w:p w14:paraId="2C098BF5" w14:textId="77777777" w:rsidR="00EB26AB" w:rsidRPr="00EB26AB" w:rsidRDefault="00EB26AB" w:rsidP="00EB26AB">
      <w:pPr>
        <w:pStyle w:val="ARTartustawynprozporzdzenia"/>
        <w:rPr>
          <w:rFonts w:ascii="Times New Roman" w:hAnsi="Times New Roman" w:cs="Times New Roman"/>
        </w:rPr>
      </w:pPr>
      <w:r w:rsidRPr="00EB26AB">
        <w:rPr>
          <w:rFonts w:ascii="Times New Roman" w:hAnsi="Times New Roman" w:cs="Times New Roman"/>
        </w:rPr>
        <w:t xml:space="preserve">Projektowana ustawa nie podlega notyfikacji Komisji Europejskiej na podstawie § 4 rozporządzenia Rady Ministrów z dnia 23 grudnia 2002 r. w sprawie sposobu funkcjonowania krajowego systemu notyfikacji norm i aktów prawnych (Dz. U. poz. 2039 oraz z 2004 r. poz. 597). Projekt nie został przedstawiony innym organom i instytucjom Unii Europejskiej, w tym Europejskiemu Bankowi Centralnemu, w celu uzyskania opinii, dokonania powiadomienia, konsultacji albo uzgodnienia. </w:t>
      </w:r>
    </w:p>
    <w:p w14:paraId="054B11F2" w14:textId="7309E14C" w:rsidR="00EB26AB" w:rsidRPr="00EB26AB" w:rsidRDefault="00EB26AB" w:rsidP="00EB26AB">
      <w:pPr>
        <w:pStyle w:val="ARTartustawynprozporzdzenia"/>
        <w:rPr>
          <w:rFonts w:ascii="Times New Roman" w:hAnsi="Times New Roman" w:cs="Times New Roman"/>
        </w:rPr>
      </w:pPr>
      <w:r w:rsidRPr="00EB26AB">
        <w:rPr>
          <w:rFonts w:ascii="Times New Roman" w:hAnsi="Times New Roman" w:cs="Times New Roman"/>
        </w:rPr>
        <w:t>Zgodnie z wymogiem art. 5 ustawy z dnia 7 lipca 2005 r. o działalności lobbingowej w procesie stanowienia prawa (Dz. U. z 2017 r. poz. 248) projekt ustawy został zamieszczony na stronie Biuletynu Informacji Publicznej Rządowego Centrum Legislacji.</w:t>
      </w:r>
      <w:r w:rsidR="00D92389">
        <w:rPr>
          <w:rFonts w:ascii="Times New Roman" w:hAnsi="Times New Roman" w:cs="Times New Roman"/>
        </w:rPr>
        <w:t xml:space="preserve"> </w:t>
      </w:r>
      <w:r w:rsidRPr="00EB26AB">
        <w:rPr>
          <w:rFonts w:ascii="Times New Roman" w:hAnsi="Times New Roman" w:cs="Times New Roman"/>
        </w:rPr>
        <w:t>Uprawnione podmioty nie wyraziły zainteresowania pracami nad projektem.</w:t>
      </w:r>
      <w:r w:rsidR="00D92389">
        <w:rPr>
          <w:rFonts w:ascii="Times New Roman" w:hAnsi="Times New Roman" w:cs="Times New Roman"/>
        </w:rPr>
        <w:t xml:space="preserve"> </w:t>
      </w:r>
    </w:p>
    <w:p w14:paraId="2BFC1F85" w14:textId="0A378FC0" w:rsidR="00D275BE" w:rsidRPr="00EB26AB" w:rsidRDefault="00EB26AB" w:rsidP="00D92389">
      <w:pPr>
        <w:pStyle w:val="NIEARTTEKSTtekstnieartykuowanynppodstprawnarozplubpreambua"/>
        <w:rPr>
          <w:rFonts w:ascii="Times New Roman" w:hAnsi="Times New Roman" w:cs="Times New Roman"/>
        </w:rPr>
      </w:pPr>
      <w:r w:rsidRPr="00EB26AB">
        <w:rPr>
          <w:rFonts w:ascii="Times New Roman" w:hAnsi="Times New Roman" w:cs="Times New Roman"/>
        </w:rPr>
        <w:t xml:space="preserve">OSR projektu nie był oceniany w trybie § 32 uchwały </w:t>
      </w:r>
      <w:r w:rsidR="00322FBC">
        <w:rPr>
          <w:rFonts w:ascii="Times New Roman" w:hAnsi="Times New Roman" w:cs="Times New Roman"/>
        </w:rPr>
        <w:t>n</w:t>
      </w:r>
      <w:r w:rsidRPr="00EB26AB">
        <w:rPr>
          <w:rFonts w:ascii="Times New Roman" w:hAnsi="Times New Roman" w:cs="Times New Roman"/>
        </w:rPr>
        <w:t xml:space="preserve">r 190 Rady Ministrów z dnia 29 października 2013 r. – Regulamin pracy Rady Ministrów (M.P. z 2022 r. poz. 348). W celu spełnienia wymogu, o którym mowa w § 42 ust. 1 uchwały </w:t>
      </w:r>
      <w:r w:rsidR="00A2251B">
        <w:rPr>
          <w:rFonts w:ascii="Times New Roman" w:hAnsi="Times New Roman" w:cs="Times New Roman"/>
        </w:rPr>
        <w:t>n</w:t>
      </w:r>
      <w:r w:rsidRPr="00EB26AB">
        <w:rPr>
          <w:rFonts w:ascii="Times New Roman" w:hAnsi="Times New Roman" w:cs="Times New Roman"/>
        </w:rPr>
        <w:t>r 190 Rady Ministrów – Regulamin pracy Rady Ministrów, projekt ustawy zostanie skierowany do Koordynatora OSR przed przedłożeniem dokumentu do rozpatrzenia przez Radę Ministrów. OSR projektu uzyskał pozytywną ocenę Centrum Analiz Strategicznych KPRM.</w:t>
      </w:r>
    </w:p>
    <w:sectPr w:rsidR="00D275BE" w:rsidRPr="00EB26AB" w:rsidSect="00EB26AB">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51DC29" w14:textId="77777777" w:rsidR="00455CE9" w:rsidRDefault="00455CE9" w:rsidP="00EB26AB">
      <w:pPr>
        <w:spacing w:after="0" w:line="240" w:lineRule="auto"/>
      </w:pPr>
      <w:r>
        <w:separator/>
      </w:r>
    </w:p>
  </w:endnote>
  <w:endnote w:type="continuationSeparator" w:id="0">
    <w:p w14:paraId="5949B666" w14:textId="77777777" w:rsidR="00455CE9" w:rsidRDefault="00455CE9" w:rsidP="00EB2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3492670"/>
      <w:docPartObj>
        <w:docPartGallery w:val="Page Numbers (Bottom of Page)"/>
        <w:docPartUnique/>
      </w:docPartObj>
    </w:sdtPr>
    <w:sdtEndPr>
      <w:rPr>
        <w:rFonts w:ascii="Times New Roman" w:hAnsi="Times New Roman" w:cs="Times New Roman"/>
        <w:sz w:val="24"/>
        <w:szCs w:val="24"/>
      </w:rPr>
    </w:sdtEndPr>
    <w:sdtContent>
      <w:p w14:paraId="386C230C" w14:textId="7079CAEE" w:rsidR="00EB26AB" w:rsidRPr="00EB26AB" w:rsidRDefault="00EB26AB">
        <w:pPr>
          <w:pStyle w:val="Stopka"/>
          <w:jc w:val="center"/>
          <w:rPr>
            <w:rFonts w:ascii="Times New Roman" w:hAnsi="Times New Roman" w:cs="Times New Roman"/>
            <w:sz w:val="24"/>
            <w:szCs w:val="24"/>
          </w:rPr>
        </w:pPr>
        <w:r w:rsidRPr="00EB26AB">
          <w:rPr>
            <w:rFonts w:ascii="Times New Roman" w:hAnsi="Times New Roman" w:cs="Times New Roman"/>
            <w:sz w:val="24"/>
            <w:szCs w:val="24"/>
          </w:rPr>
          <w:fldChar w:fldCharType="begin"/>
        </w:r>
        <w:r w:rsidRPr="00EB26AB">
          <w:rPr>
            <w:rFonts w:ascii="Times New Roman" w:hAnsi="Times New Roman" w:cs="Times New Roman"/>
            <w:sz w:val="24"/>
            <w:szCs w:val="24"/>
          </w:rPr>
          <w:instrText>PAGE   \* MERGEFORMAT</w:instrText>
        </w:r>
        <w:r w:rsidRPr="00EB26AB">
          <w:rPr>
            <w:rFonts w:ascii="Times New Roman" w:hAnsi="Times New Roman" w:cs="Times New Roman"/>
            <w:sz w:val="24"/>
            <w:szCs w:val="24"/>
          </w:rPr>
          <w:fldChar w:fldCharType="separate"/>
        </w:r>
        <w:r w:rsidR="000C4D23">
          <w:rPr>
            <w:rFonts w:ascii="Times New Roman" w:hAnsi="Times New Roman" w:cs="Times New Roman"/>
            <w:noProof/>
            <w:sz w:val="24"/>
            <w:szCs w:val="24"/>
          </w:rPr>
          <w:t>8</w:t>
        </w:r>
        <w:r w:rsidRPr="00EB26AB">
          <w:rPr>
            <w:rFonts w:ascii="Times New Roman" w:hAnsi="Times New Roman" w:cs="Times New Roman"/>
            <w:sz w:val="24"/>
            <w:szCs w:val="24"/>
          </w:rPr>
          <w:fldChar w:fldCharType="end"/>
        </w:r>
      </w:p>
    </w:sdtContent>
  </w:sdt>
  <w:p w14:paraId="27896033" w14:textId="77777777" w:rsidR="00EB26AB" w:rsidRDefault="00EB26A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2F1580" w14:textId="77777777" w:rsidR="00455CE9" w:rsidRDefault="00455CE9" w:rsidP="00EB26AB">
      <w:pPr>
        <w:spacing w:after="0" w:line="240" w:lineRule="auto"/>
      </w:pPr>
      <w:r>
        <w:separator/>
      </w:r>
    </w:p>
  </w:footnote>
  <w:footnote w:type="continuationSeparator" w:id="0">
    <w:p w14:paraId="4165C2CF" w14:textId="77777777" w:rsidR="00455CE9" w:rsidRDefault="00455CE9" w:rsidP="00EB26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C51BD2"/>
    <w:multiLevelType w:val="hybridMultilevel"/>
    <w:tmpl w:val="50B0DE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6AB"/>
    <w:rsid w:val="00013604"/>
    <w:rsid w:val="00075F7D"/>
    <w:rsid w:val="000C4D23"/>
    <w:rsid w:val="000D589C"/>
    <w:rsid w:val="00116C5D"/>
    <w:rsid w:val="00155113"/>
    <w:rsid w:val="001B193D"/>
    <w:rsid w:val="00254522"/>
    <w:rsid w:val="002C19C8"/>
    <w:rsid w:val="002D618D"/>
    <w:rsid w:val="00322FBC"/>
    <w:rsid w:val="003625F4"/>
    <w:rsid w:val="003E5C7B"/>
    <w:rsid w:val="004213D7"/>
    <w:rsid w:val="00455CE9"/>
    <w:rsid w:val="004763DC"/>
    <w:rsid w:val="00507150"/>
    <w:rsid w:val="00635FE1"/>
    <w:rsid w:val="006B689D"/>
    <w:rsid w:val="00700277"/>
    <w:rsid w:val="00764199"/>
    <w:rsid w:val="007D39C8"/>
    <w:rsid w:val="008623B9"/>
    <w:rsid w:val="00880E65"/>
    <w:rsid w:val="008A5CD8"/>
    <w:rsid w:val="009C0AF1"/>
    <w:rsid w:val="00A2251B"/>
    <w:rsid w:val="00AE394A"/>
    <w:rsid w:val="00B07245"/>
    <w:rsid w:val="00B43DF0"/>
    <w:rsid w:val="00B758F5"/>
    <w:rsid w:val="00C4539C"/>
    <w:rsid w:val="00C459ED"/>
    <w:rsid w:val="00CA5B53"/>
    <w:rsid w:val="00CC6296"/>
    <w:rsid w:val="00CF19B3"/>
    <w:rsid w:val="00D275BE"/>
    <w:rsid w:val="00D92389"/>
    <w:rsid w:val="00D95E4D"/>
    <w:rsid w:val="00E14CFE"/>
    <w:rsid w:val="00E544CC"/>
    <w:rsid w:val="00EA475B"/>
    <w:rsid w:val="00EB26AB"/>
    <w:rsid w:val="00EC2443"/>
    <w:rsid w:val="00EE02CB"/>
    <w:rsid w:val="00F11E0D"/>
    <w:rsid w:val="00FA2848"/>
    <w:rsid w:val="00FB690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A9118"/>
  <w15:chartTrackingRefBased/>
  <w15:docId w15:val="{567FC807-CC88-49D6-9D47-6044A7E09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B26A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EB26AB"/>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B26AB"/>
    <w:rPr>
      <w:bCs/>
    </w:rPr>
  </w:style>
  <w:style w:type="paragraph" w:customStyle="1" w:styleId="OZNRODZAKTUtznustawalubrozporzdzenieiorganwydajcy">
    <w:name w:val="OZN_RODZ_AKTU – tzn. ustawa lub rozporządzenie i organ wydający"/>
    <w:next w:val="Normalny"/>
    <w:uiPriority w:val="5"/>
    <w:qFormat/>
    <w:rsid w:val="00EB26AB"/>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PKTpunkt">
    <w:name w:val="PKT – punkt"/>
    <w:uiPriority w:val="13"/>
    <w:qFormat/>
    <w:rsid w:val="00EB26AB"/>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EB26AB"/>
    <w:pPr>
      <w:ind w:left="986" w:hanging="476"/>
    </w:pPr>
  </w:style>
  <w:style w:type="character" w:customStyle="1" w:styleId="Ppogrubienie">
    <w:name w:val="_P_ – pogrubienie"/>
    <w:basedOn w:val="Domylnaczcionkaakapitu"/>
    <w:uiPriority w:val="1"/>
    <w:qFormat/>
    <w:rsid w:val="00EB26AB"/>
    <w:rPr>
      <w:b/>
    </w:rPr>
  </w:style>
  <w:style w:type="character" w:customStyle="1" w:styleId="Kkursywa">
    <w:name w:val="_K_ – kursywa"/>
    <w:basedOn w:val="Domylnaczcionkaakapitu"/>
    <w:uiPriority w:val="1"/>
    <w:qFormat/>
    <w:rsid w:val="00EB26AB"/>
    <w:rPr>
      <w:i/>
    </w:rPr>
  </w:style>
  <w:style w:type="paragraph" w:styleId="Tekstdymka">
    <w:name w:val="Balloon Text"/>
    <w:basedOn w:val="Normalny"/>
    <w:link w:val="TekstdymkaZnak"/>
    <w:uiPriority w:val="99"/>
    <w:semiHidden/>
    <w:unhideWhenUsed/>
    <w:rsid w:val="00EB26A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B26AB"/>
    <w:rPr>
      <w:rFonts w:ascii="Segoe UI" w:hAnsi="Segoe UI" w:cs="Segoe UI"/>
      <w:sz w:val="18"/>
      <w:szCs w:val="18"/>
    </w:rPr>
  </w:style>
  <w:style w:type="paragraph" w:styleId="Nagwek">
    <w:name w:val="header"/>
    <w:basedOn w:val="Normalny"/>
    <w:link w:val="NagwekZnak"/>
    <w:uiPriority w:val="99"/>
    <w:unhideWhenUsed/>
    <w:rsid w:val="00EB26A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B26AB"/>
  </w:style>
  <w:style w:type="paragraph" w:styleId="Stopka">
    <w:name w:val="footer"/>
    <w:basedOn w:val="Normalny"/>
    <w:link w:val="StopkaZnak"/>
    <w:uiPriority w:val="99"/>
    <w:unhideWhenUsed/>
    <w:rsid w:val="00EB26A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B26AB"/>
  </w:style>
  <w:style w:type="character" w:styleId="Odwoaniedokomentarza">
    <w:name w:val="annotation reference"/>
    <w:basedOn w:val="Domylnaczcionkaakapitu"/>
    <w:uiPriority w:val="99"/>
    <w:semiHidden/>
    <w:unhideWhenUsed/>
    <w:rsid w:val="00B758F5"/>
    <w:rPr>
      <w:sz w:val="16"/>
      <w:szCs w:val="16"/>
    </w:rPr>
  </w:style>
  <w:style w:type="paragraph" w:styleId="Tekstkomentarza">
    <w:name w:val="annotation text"/>
    <w:basedOn w:val="Normalny"/>
    <w:link w:val="TekstkomentarzaZnak"/>
    <w:uiPriority w:val="99"/>
    <w:semiHidden/>
    <w:unhideWhenUsed/>
    <w:rsid w:val="00B758F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758F5"/>
    <w:rPr>
      <w:sz w:val="20"/>
      <w:szCs w:val="20"/>
    </w:rPr>
  </w:style>
  <w:style w:type="paragraph" w:styleId="Tematkomentarza">
    <w:name w:val="annotation subject"/>
    <w:basedOn w:val="Tekstkomentarza"/>
    <w:next w:val="Tekstkomentarza"/>
    <w:link w:val="TematkomentarzaZnak"/>
    <w:uiPriority w:val="99"/>
    <w:semiHidden/>
    <w:unhideWhenUsed/>
    <w:rsid w:val="00B758F5"/>
    <w:rPr>
      <w:b/>
      <w:bCs/>
    </w:rPr>
  </w:style>
  <w:style w:type="character" w:customStyle="1" w:styleId="TematkomentarzaZnak">
    <w:name w:val="Temat komentarza Znak"/>
    <w:basedOn w:val="TekstkomentarzaZnak"/>
    <w:link w:val="Tematkomentarza"/>
    <w:uiPriority w:val="99"/>
    <w:semiHidden/>
    <w:rsid w:val="00B758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2601</Words>
  <Characters>15609</Characters>
  <Application>Microsoft Office Word</Application>
  <DocSecurity>0</DocSecurity>
  <Lines>130</Lines>
  <Paragraphs>36</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18174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Kołakowska Iwona</dc:creator>
  <cp:keywords/>
  <dc:description/>
  <cp:lastModifiedBy>Kołakowska Iwona</cp:lastModifiedBy>
  <cp:revision>3</cp:revision>
  <dcterms:created xsi:type="dcterms:W3CDTF">2023-02-03T07:06:00Z</dcterms:created>
  <dcterms:modified xsi:type="dcterms:W3CDTF">2023-02-03T07:06:00Z</dcterms:modified>
</cp:coreProperties>
</file>