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A72" w:rsidRDefault="001C6A72" w:rsidP="00894575">
      <w:pPr>
        <w:pStyle w:val="OZNRODZAKTUtznustawalubrozporzdzenieiorganwydajcy"/>
      </w:pPr>
      <w:bookmarkStart w:id="0" w:name="_GoBack"/>
      <w:bookmarkEnd w:id="0"/>
      <w:r w:rsidRPr="009477BA">
        <w:t xml:space="preserve">UZASADNIENIE </w:t>
      </w:r>
    </w:p>
    <w:p w:rsidR="001C6A72" w:rsidRDefault="001C6A72" w:rsidP="00D6283F">
      <w:pPr>
        <w:pStyle w:val="DATAAKTUdatauchwalenialubwydaniaaktu"/>
      </w:pPr>
    </w:p>
    <w:p w:rsidR="001C6A72" w:rsidRPr="000F0E53" w:rsidRDefault="001C6A72" w:rsidP="00E07B56">
      <w:pPr>
        <w:pStyle w:val="ROZDZODDZPRZEDMprzedmiotregulacjirozdziauluboddziau"/>
        <w:jc w:val="both"/>
        <w:rPr>
          <w:rStyle w:val="Ppogrubienie"/>
          <w:b/>
        </w:rPr>
      </w:pPr>
      <w:r w:rsidRPr="000F0E53">
        <w:rPr>
          <w:rStyle w:val="Ppogrubienie"/>
          <w:b/>
        </w:rPr>
        <w:t>1. Cel projektowanej ustawy</w:t>
      </w:r>
    </w:p>
    <w:p w:rsidR="001C6A72" w:rsidRDefault="001C6A72" w:rsidP="00EB0F6A">
      <w:pPr>
        <w:pStyle w:val="NIEARTTEKSTtekstnieartykuowanynppodstprawnarozplubpreambua"/>
      </w:pPr>
      <w:r w:rsidRPr="00D6283F">
        <w:t xml:space="preserve">Celem nowelizacji jest </w:t>
      </w:r>
      <w:r>
        <w:t xml:space="preserve">wprowadzenie rozwiązań prawnych pozwalających na zwrot pracownikom kosztów używania prywatnych samochodów o napędzie alternatywnym, do celów służbowych związanych z wykonywaniem pracy na rzecz </w:t>
      </w:r>
      <w:r w:rsidRPr="00AF3FCE">
        <w:t xml:space="preserve">pracodawcy, co </w:t>
      </w:r>
      <w:r>
        <w:t xml:space="preserve">jest adekwatne do bieżących warunków technologicznych. </w:t>
      </w:r>
    </w:p>
    <w:p w:rsidR="001C6A72" w:rsidRDefault="001C6A72" w:rsidP="00EB0F6A">
      <w:pPr>
        <w:pStyle w:val="NIEARTTEKSTtekstnieartykuowanynppodstprawnarozplubpreambua"/>
      </w:pPr>
      <w:r>
        <w:t>Obecnie generalną</w:t>
      </w:r>
      <w:r w:rsidRPr="00A31D50">
        <w:t xml:space="preserve"> możliwoś</w:t>
      </w:r>
      <w:r>
        <w:t>ć</w:t>
      </w:r>
      <w:r w:rsidRPr="00A31D50">
        <w:t xml:space="preserve"> używania do celów służbowych</w:t>
      </w:r>
      <w:r>
        <w:t>,</w:t>
      </w:r>
      <w:r w:rsidRPr="00A31D50">
        <w:t xml:space="preserve"> na podstawie um</w:t>
      </w:r>
      <w:r>
        <w:t>owy</w:t>
      </w:r>
      <w:r w:rsidRPr="00A31D50">
        <w:t xml:space="preserve"> cywilnoprawn</w:t>
      </w:r>
      <w:r>
        <w:t>ej,</w:t>
      </w:r>
      <w:r w:rsidRPr="00A31D50">
        <w:t xml:space="preserve"> samochodów osobowych, motocykli i motorowerów</w:t>
      </w:r>
      <w:r>
        <w:t>,</w:t>
      </w:r>
      <w:r w:rsidRPr="00A31D50">
        <w:t xml:space="preserve"> </w:t>
      </w:r>
      <w:r>
        <w:t>niebędących</w:t>
      </w:r>
      <w:r w:rsidRPr="00A31D50">
        <w:t xml:space="preserve"> własnością pracodawcy</w:t>
      </w:r>
      <w:r>
        <w:t>,</w:t>
      </w:r>
      <w:r w:rsidRPr="00A31D50">
        <w:t xml:space="preserve"> </w:t>
      </w:r>
      <w:r>
        <w:t xml:space="preserve">normuje przepis art. 34a ust. 1 </w:t>
      </w:r>
      <w:r w:rsidRPr="008903E4">
        <w:t>ustaw</w:t>
      </w:r>
      <w:r>
        <w:t>y z dnia 6 września 2001 r. o </w:t>
      </w:r>
      <w:r w:rsidRPr="008903E4">
        <w:t>transporcie drogowym (Dz. U. z 2022 r. poz. 2201)</w:t>
      </w:r>
      <w:r>
        <w:t xml:space="preserve">. Podkreślenia wymaga, że do wskazanej regulacji oraz do przepisów wydanych na podstawie omawianego poniżej </w:t>
      </w:r>
      <w:r w:rsidRPr="00D624E5">
        <w:t xml:space="preserve">art. 34a </w:t>
      </w:r>
      <w:r>
        <w:t>u</w:t>
      </w:r>
      <w:r w:rsidRPr="00D624E5">
        <w:t xml:space="preserve">st. 2 </w:t>
      </w:r>
      <w:r>
        <w:t xml:space="preserve">tej ustawy, </w:t>
      </w:r>
      <w:r w:rsidRPr="00D624E5">
        <w:t>odsyła wiele innych przepisów regulujących</w:t>
      </w:r>
      <w:r>
        <w:t xml:space="preserve"> kwestie rozliczeń związanych z </w:t>
      </w:r>
      <w:r w:rsidRPr="00D624E5">
        <w:t xml:space="preserve">dojazdem </w:t>
      </w:r>
      <w:r>
        <w:t>lub używaniem samochodu prywatnego w celach służbowych.</w:t>
      </w:r>
    </w:p>
    <w:p w:rsidR="001C6A72" w:rsidRDefault="001C6A72" w:rsidP="00EB0F6A">
      <w:pPr>
        <w:pStyle w:val="NIEARTTEKSTtekstnieartykuowanynppodstprawnarozplubpreambua"/>
      </w:pPr>
      <w:r>
        <w:t>U</w:t>
      </w:r>
      <w:r w:rsidRPr="00A31D50">
        <w:t xml:space="preserve">st. 2 </w:t>
      </w:r>
      <w:r>
        <w:t>w a</w:t>
      </w:r>
      <w:r w:rsidRPr="00A31D50">
        <w:t xml:space="preserve">rt. </w:t>
      </w:r>
      <w:r>
        <w:t xml:space="preserve">34a </w:t>
      </w:r>
      <w:r w:rsidRPr="00A31D50">
        <w:t xml:space="preserve">ustawy o transporcie </w:t>
      </w:r>
      <w:r w:rsidRPr="008903E4">
        <w:t>drogowym</w:t>
      </w:r>
      <w:r w:rsidRPr="00A31D50">
        <w:t xml:space="preserve"> zawiera </w:t>
      </w:r>
      <w:r>
        <w:t xml:space="preserve">z kolei </w:t>
      </w:r>
      <w:r w:rsidRPr="00A31D50">
        <w:t>delegację ustawową dla właściwego ministra do określenia warunków ustalania oraz sposobu dokonywania zwrotu kosztów używania pojazdów, o których mowa w ust. 1 (sa</w:t>
      </w:r>
      <w:r>
        <w:t xml:space="preserve">mochodów osobowych, motocykli i </w:t>
      </w:r>
      <w:r w:rsidRPr="00A31D50">
        <w:t xml:space="preserve">motorowerów). Zgodnie z </w:t>
      </w:r>
      <w:r>
        <w:t xml:space="preserve">tym przepisem </w:t>
      </w:r>
      <w:r w:rsidRPr="00A31D50">
        <w:t>minister</w:t>
      </w:r>
      <w:r>
        <w:t xml:space="preserve"> właściwy do spraw transportu w </w:t>
      </w:r>
      <w:r w:rsidRPr="00A31D50">
        <w:t xml:space="preserve">porozumieniu z ministrem właściwym do spraw finansów publicznych określa, w drodze rozporządzenia, warunki ustalania oraz sposób dokonywania zwrotu kosztów używania pojazdów, o których mowa w ust. 1, uwzględniając rodzaj pojazdu mechanicznego, jego pojemność oraz limit kilometrów w zależności od liczby mieszkańców w danej gminie lub mieście, właściwych ze względu na miejsce zatrudnienia pracownika. </w:t>
      </w:r>
      <w:r>
        <w:t>Obecnie jest to </w:t>
      </w:r>
      <w:r w:rsidRPr="00B82DAE">
        <w:t>rozporządzenie Ministra Infrastruktury z dnia 25 marca 2002 r. w sprawie warunków ustalania oraz sposobu dokonywania zwrotu kosztów używania do celów służbowych samochodów osobowych, motocykli i motorowerów niebędących włas</w:t>
      </w:r>
      <w:r>
        <w:t>nością pracodawcy (Dz. U.</w:t>
      </w:r>
      <w:r w:rsidRPr="00B82DAE">
        <w:t xml:space="preserve"> poz. 271</w:t>
      </w:r>
      <w:r>
        <w:t>,</w:t>
      </w:r>
      <w:r w:rsidRPr="00B82DAE">
        <w:t xml:space="preserve"> </w:t>
      </w:r>
      <w:r w:rsidRPr="008332E5">
        <w:t>z 2004 r. poz. 2376, z 2007 r. poz. 1462</w:t>
      </w:r>
      <w:r>
        <w:t>,</w:t>
      </w:r>
      <w:r w:rsidRPr="008332E5">
        <w:t xml:space="preserve"> z 2011 r. poz. 308</w:t>
      </w:r>
      <w:r>
        <w:t xml:space="preserve"> </w:t>
      </w:r>
      <w:r w:rsidRPr="008332E5">
        <w:t>oraz</w:t>
      </w:r>
      <w:r>
        <w:t xml:space="preserve"> z 2023 r. poz. </w:t>
      </w:r>
      <w:r w:rsidRPr="00BA0A7D">
        <w:t>5</w:t>
      </w:r>
      <w:r>
        <w:t>).</w:t>
      </w:r>
    </w:p>
    <w:p w:rsidR="001C6A72" w:rsidRDefault="001C6A72" w:rsidP="00EB0F6A">
      <w:pPr>
        <w:pStyle w:val="NIEARTTEKSTtekstnieartykuowanynppodstprawnarozplubpreambua"/>
      </w:pPr>
      <w:r w:rsidRPr="0050390B">
        <w:t xml:space="preserve">W § 1 ust. 1 </w:t>
      </w:r>
      <w:r>
        <w:t xml:space="preserve">ww. </w:t>
      </w:r>
      <w:r w:rsidRPr="0050390B">
        <w:t>rozporządzenia sprecyzowano, że zwrot kosztów używania przez pracownika w celach służbowych do jazd lokalnych sa</w:t>
      </w:r>
      <w:r>
        <w:t>mochodów osobowych, motocykli i </w:t>
      </w:r>
      <w:r w:rsidRPr="0050390B">
        <w:t xml:space="preserve">motorowerów niebędących własnością pracodawcy, na warunkach określonych </w:t>
      </w:r>
      <w:r w:rsidRPr="0050390B">
        <w:lastRenderedPageBreak/>
        <w:t>w</w:t>
      </w:r>
      <w:r>
        <w:t> </w:t>
      </w:r>
      <w:r w:rsidRPr="0050390B">
        <w:t>rozporządzeniu, następuje na podstawie umowy cywilnoprawnej zawartej między pracodawcą a pracownikiem o używanie pojazdu do celów służbowych.</w:t>
      </w:r>
    </w:p>
    <w:p w:rsidR="001C6A72" w:rsidRDefault="001C6A72" w:rsidP="00EB0F6A">
      <w:pPr>
        <w:pStyle w:val="NIEARTTEKSTtekstnieartykuowanynppodstprawnarozplubpreambua"/>
      </w:pPr>
      <w:r>
        <w:t>W § 2 niniejszego rozporządzenia określono maksymalne stawki kosztów używania pojazdów do celów służbowych w następującej wysokości za 1 kilometr przebiegu pojazdu:</w:t>
      </w:r>
    </w:p>
    <w:p w:rsidR="001C6A72" w:rsidRDefault="001C6A72" w:rsidP="00523F37">
      <w:pPr>
        <w:pStyle w:val="PKTpunkt"/>
      </w:pPr>
      <w:r>
        <w:t>1)</w:t>
      </w:r>
      <w:r>
        <w:tab/>
        <w:t>dla samochodu osobowego:</w:t>
      </w:r>
    </w:p>
    <w:p w:rsidR="001C6A72" w:rsidRDefault="001C6A72" w:rsidP="00523F37">
      <w:pPr>
        <w:pStyle w:val="LITlitera"/>
      </w:pPr>
      <w:r>
        <w:t>a)</w:t>
      </w:r>
      <w:r>
        <w:tab/>
        <w:t>o pojemności skokowej silnika do 900 cm</w:t>
      </w:r>
      <w:r w:rsidRPr="00523F37">
        <w:rPr>
          <w:rStyle w:val="IGindeksgrny"/>
        </w:rPr>
        <w:t>3</w:t>
      </w:r>
      <w:r>
        <w:t xml:space="preserve"> – 0,89 zł,</w:t>
      </w:r>
    </w:p>
    <w:p w:rsidR="001C6A72" w:rsidRDefault="001C6A72" w:rsidP="00523F37">
      <w:pPr>
        <w:pStyle w:val="LITlitera"/>
      </w:pPr>
      <w:r>
        <w:t>b)</w:t>
      </w:r>
      <w:r>
        <w:tab/>
        <w:t>o pojemności skokowej silnika powyżej 900 cm</w:t>
      </w:r>
      <w:r w:rsidRPr="00523F37">
        <w:rPr>
          <w:rStyle w:val="IGindeksgrny"/>
        </w:rPr>
        <w:t>3</w:t>
      </w:r>
      <w:r>
        <w:t xml:space="preserve"> – 1,15 zł;</w:t>
      </w:r>
    </w:p>
    <w:p w:rsidR="001C6A72" w:rsidRDefault="001C6A72" w:rsidP="00523F37">
      <w:pPr>
        <w:pStyle w:val="PKTpunkt"/>
      </w:pPr>
      <w:r>
        <w:t>2)</w:t>
      </w:r>
      <w:r>
        <w:tab/>
        <w:t>dla motocykla – 0,69 zł;</w:t>
      </w:r>
    </w:p>
    <w:p w:rsidR="001C6A72" w:rsidRDefault="001C6A72" w:rsidP="00523F37">
      <w:pPr>
        <w:pStyle w:val="PKTpunkt"/>
      </w:pPr>
      <w:r>
        <w:t>3)</w:t>
      </w:r>
      <w:r>
        <w:tab/>
        <w:t>dla motoroweru – 0,42 zł.</w:t>
      </w:r>
    </w:p>
    <w:p w:rsidR="001C6A72" w:rsidRDefault="001C6A72" w:rsidP="00516655">
      <w:pPr>
        <w:pStyle w:val="NIEARTTEKSTtekstnieartykuowanynppodstprawnarozplubpreambua"/>
      </w:pPr>
      <w:r>
        <w:t>Miesięczny limit kilometrów na jazdy lokalne ustala pracodawca. Limit ten (zgodnie z § 3 rozporządzenia), ustalony w zależności od liczby mieszkańców gminy lub miasta, w których pracownik jest zatrudniony, nie może przekroczyć:</w:t>
      </w:r>
    </w:p>
    <w:p w:rsidR="001C6A72" w:rsidRDefault="001C6A72" w:rsidP="00523F37">
      <w:pPr>
        <w:pStyle w:val="PKTpunkt"/>
      </w:pPr>
      <w:r>
        <w:t>1)</w:t>
      </w:r>
      <w:r>
        <w:tab/>
        <w:t>300 km – do 100 tys. mieszkańców,</w:t>
      </w:r>
    </w:p>
    <w:p w:rsidR="001C6A72" w:rsidRDefault="001C6A72" w:rsidP="00523F37">
      <w:pPr>
        <w:pStyle w:val="PKTpunkt"/>
      </w:pPr>
      <w:r>
        <w:t>2)</w:t>
      </w:r>
      <w:r>
        <w:tab/>
        <w:t xml:space="preserve">500 km </w:t>
      </w:r>
      <w:r w:rsidRPr="00523F37">
        <w:t>–</w:t>
      </w:r>
      <w:r>
        <w:t xml:space="preserve"> ponad 100 tys. do 500 tys. mieszkańców,</w:t>
      </w:r>
    </w:p>
    <w:p w:rsidR="001C6A72" w:rsidRDefault="001C6A72" w:rsidP="00523F37">
      <w:pPr>
        <w:pStyle w:val="PKTpunkt"/>
      </w:pPr>
      <w:r>
        <w:t>3)</w:t>
      </w:r>
      <w:r>
        <w:tab/>
        <w:t xml:space="preserve">700 km </w:t>
      </w:r>
      <w:r w:rsidRPr="00523F37">
        <w:t>–</w:t>
      </w:r>
      <w:r>
        <w:t xml:space="preserve"> ponad 500 tys. mieszkańców.</w:t>
      </w:r>
    </w:p>
    <w:p w:rsidR="001C6A72" w:rsidRDefault="001C6A72" w:rsidP="00516655">
      <w:pPr>
        <w:pStyle w:val="NIEARTTEKSTtekstnieartykuowanynppodstprawnarozplubpreambua"/>
      </w:pPr>
      <w:r>
        <w:t xml:space="preserve">Istotą projektu są następujące założenia: </w:t>
      </w:r>
    </w:p>
    <w:p w:rsidR="001C6A72" w:rsidRDefault="001C6A72" w:rsidP="009F6AC4">
      <w:pPr>
        <w:pStyle w:val="PKTpunkt"/>
      </w:pPr>
      <w:r>
        <w:t>–</w:t>
      </w:r>
      <w:r>
        <w:tab/>
        <w:t xml:space="preserve">objęcie </w:t>
      </w:r>
      <w:r w:rsidRPr="00002361">
        <w:t>możliwoś</w:t>
      </w:r>
      <w:r>
        <w:t xml:space="preserve">cią </w:t>
      </w:r>
      <w:r w:rsidRPr="00002361">
        <w:t>używania do celów służbowych, na podstawie umowy cywilnoprawnej</w:t>
      </w:r>
      <w:r>
        <w:t>, wszystkich samochodów, w tym również napędzanych alternatywnie, tj. stanowiących</w:t>
      </w:r>
      <w:r w:rsidRPr="004F06FE">
        <w:t xml:space="preserve"> pojazd</w:t>
      </w:r>
      <w:r>
        <w:t>y elektryczne</w:t>
      </w:r>
      <w:r w:rsidRPr="004F06FE">
        <w:t xml:space="preserve"> </w:t>
      </w:r>
      <w:r>
        <w:t xml:space="preserve">lub hybrydowe </w:t>
      </w:r>
      <w:r w:rsidRPr="004F06FE">
        <w:t xml:space="preserve">w rozumieniu </w:t>
      </w:r>
      <w:r>
        <w:t xml:space="preserve">odpowiednio </w:t>
      </w:r>
      <w:r w:rsidRPr="004F06FE">
        <w:t xml:space="preserve">art. 2 pkt 12 </w:t>
      </w:r>
      <w:r>
        <w:t xml:space="preserve">i 13 </w:t>
      </w:r>
      <w:r w:rsidRPr="004F06FE">
        <w:t xml:space="preserve">ustawy z dnia 11 stycznia 2018 r. o elektromobilności i paliwach alternatywnych (Dz. </w:t>
      </w:r>
      <w:r>
        <w:t>U. z 2022 r. poz. 1083, 1260</w:t>
      </w:r>
      <w:r w:rsidRPr="00A13745">
        <w:t xml:space="preserve"> i 2687</w:t>
      </w:r>
      <w:r>
        <w:t>) oraz</w:t>
      </w:r>
      <w:r w:rsidRPr="004F06FE">
        <w:t xml:space="preserve"> pojazd</w:t>
      </w:r>
      <w:r>
        <w:t>y napędzane</w:t>
      </w:r>
      <w:r w:rsidRPr="004F06FE">
        <w:t xml:space="preserve"> wodorem w rozu</w:t>
      </w:r>
      <w:r>
        <w:t xml:space="preserve">mieniu art. 2 pkt 15 tej ustawy – propozycja zmiany w art. 34a ust. 1 ustawy </w:t>
      </w:r>
      <w:r w:rsidRPr="004F06FE">
        <w:t>o transporcie drogowym</w:t>
      </w:r>
      <w:r>
        <w:t xml:space="preserve"> (art. 1 projektu);</w:t>
      </w:r>
    </w:p>
    <w:p w:rsidR="001C6A72" w:rsidRDefault="001C6A72" w:rsidP="009F6AC4">
      <w:pPr>
        <w:pStyle w:val="PKTpunkt"/>
      </w:pPr>
      <w:r>
        <w:t>–</w:t>
      </w:r>
      <w:r>
        <w:tab/>
        <w:t xml:space="preserve">zmiana w zakresie wytycznych do wydania aktu wykonawczego na podstawie </w:t>
      </w:r>
      <w:r w:rsidRPr="004F06FE">
        <w:t xml:space="preserve">w art. 34a </w:t>
      </w:r>
      <w:r>
        <w:t>u</w:t>
      </w:r>
      <w:r w:rsidRPr="004F06FE">
        <w:t>st. 2 ustawy o transporcie drogowym</w:t>
      </w:r>
      <w:r w:rsidRPr="00E64786">
        <w:t xml:space="preserve">, </w:t>
      </w:r>
      <w:r>
        <w:t xml:space="preserve">przewidująca, że przy określaniu wysokości stawek </w:t>
      </w:r>
      <w:r w:rsidRPr="004370AA">
        <w:t>kosztów używania pojazdów do celów służbowych</w:t>
      </w:r>
      <w:r>
        <w:t xml:space="preserve">, tzw. „kilometrówki”, może być brana pod uwagę moc silnika (art. 1 projektu). </w:t>
      </w:r>
    </w:p>
    <w:p w:rsidR="001C6A72" w:rsidRPr="00EC4A7D" w:rsidRDefault="001C6A72" w:rsidP="00500243">
      <w:pPr>
        <w:pStyle w:val="NIEARTTEKSTtekstnieartykuowanynppodstprawnarozplubpreambua"/>
      </w:pPr>
      <w:r>
        <w:t xml:space="preserve">W art. 2 projektu proponuje się przepis intertemporalny regulujący kwestię dostosowania </w:t>
      </w:r>
      <w:r w:rsidRPr="00500243">
        <w:t xml:space="preserve">do warunków określonych w </w:t>
      </w:r>
      <w:r>
        <w:t xml:space="preserve">nowych </w:t>
      </w:r>
      <w:r w:rsidRPr="00500243">
        <w:t>przepisach</w:t>
      </w:r>
      <w:r>
        <w:t xml:space="preserve"> wykonawczych, dotychczasowych u</w:t>
      </w:r>
      <w:r w:rsidRPr="00500243">
        <w:t>m</w:t>
      </w:r>
      <w:r>
        <w:t>ów</w:t>
      </w:r>
      <w:r w:rsidRPr="00500243">
        <w:t xml:space="preserve"> cywilnoprawn</w:t>
      </w:r>
      <w:r>
        <w:t>ych</w:t>
      </w:r>
      <w:r w:rsidRPr="00500243">
        <w:t xml:space="preserve"> o używanie poj</w:t>
      </w:r>
      <w:r>
        <w:t>azdu do celów służbowych zawartych</w:t>
      </w:r>
      <w:r w:rsidRPr="00500243">
        <w:t xml:space="preserve"> pomiędzy pracodawcą</w:t>
      </w:r>
      <w:r>
        <w:t xml:space="preserve"> a pracownikiem.</w:t>
      </w:r>
    </w:p>
    <w:p w:rsidR="001C6A72" w:rsidRDefault="001C6A72" w:rsidP="002D5A2F">
      <w:pPr>
        <w:pStyle w:val="NIEARTTEKSTtekstnieartykuowanynppodstprawnarozplubpreambua"/>
      </w:pPr>
      <w:r>
        <w:lastRenderedPageBreak/>
        <w:t>Z</w:t>
      </w:r>
      <w:r w:rsidRPr="002D5A2F">
        <w:t>godnie z § 32 ust. 2 Zasad techniki p</w:t>
      </w:r>
      <w:r>
        <w:t>rawodawczej wskazującym jedną z </w:t>
      </w:r>
      <w:r w:rsidRPr="002D5A2F">
        <w:t>podstawowych reguł walidacyjnych rządzących obowiązywaniem aktów wykonawczych, dany akt wykonawczy traci moc obowiązującą w przypadku gdy następuje zmiana treści przepisu upoważniającego do wydania aktu wykonawczego w ten sposób, że zmienia się rodzaj aktu wykonawczego, zakres spraw przekazanych do uregulowania aktem wykonawczym lub wytyczne dotyczące treści danego aktu. Utrata mocy obowiązującej następuje z dniem wejścia w życie przepisu zmieniającego</w:t>
      </w:r>
      <w:r>
        <w:t xml:space="preserve"> treść przepisu upoważniającego. </w:t>
      </w:r>
    </w:p>
    <w:p w:rsidR="001C6A72" w:rsidRDefault="001C6A72" w:rsidP="002D5A2F">
      <w:pPr>
        <w:pStyle w:val="NIEARTTEKSTtekstnieartykuowanynppodstprawnarozplubpreambua"/>
      </w:pPr>
      <w:r>
        <w:t xml:space="preserve">W związku z tym proponuje się, </w:t>
      </w:r>
      <w:r w:rsidRPr="009A68D0">
        <w:t xml:space="preserve">by ustawa weszła w życie pierwszego dnia miesiąca następującego po upływie </w:t>
      </w:r>
      <w:r>
        <w:t xml:space="preserve">3 </w:t>
      </w:r>
      <w:r w:rsidRPr="009A68D0">
        <w:t>miesi</w:t>
      </w:r>
      <w:r>
        <w:t xml:space="preserve">ęcy od dnia ogłoszenia (art. 3 projektu) – takie rozwiązanie zapewnia właściwemu ministrowi odpowiedni czas na przeprowadzenie procesu legislacyjnego w zakresie wydania aktu wykonawczego (bądź znowelizowania obecnego rozporządzenia) w oparciu o przepis art. 34a ust. 2 </w:t>
      </w:r>
      <w:r w:rsidRPr="002D5A2F">
        <w:t xml:space="preserve">ustawy </w:t>
      </w:r>
      <w:r>
        <w:t xml:space="preserve">o </w:t>
      </w:r>
      <w:r w:rsidRPr="002D5A2F">
        <w:t>transporcie drogowym</w:t>
      </w:r>
      <w:r>
        <w:t xml:space="preserve"> w brzmieniu nadawanym niniejszą ustawą nowelizującą.</w:t>
      </w:r>
      <w:r w:rsidRPr="009A68D0">
        <w:t xml:space="preserve"> </w:t>
      </w:r>
    </w:p>
    <w:p w:rsidR="001C6A72" w:rsidRDefault="001C6A72" w:rsidP="002D5A2F">
      <w:pPr>
        <w:pStyle w:val="NIEARTTEKSTtekstnieartykuowanynppodstprawnarozplubpreambua"/>
        <w:rPr>
          <w:rStyle w:val="Kkursywa"/>
        </w:rPr>
      </w:pPr>
      <w:r>
        <w:t xml:space="preserve">Proponowane rozwiązanie </w:t>
      </w:r>
      <w:r w:rsidRPr="009A68D0">
        <w:t xml:space="preserve">zapewni także zachowanie odpowiednio długiego okresu </w:t>
      </w:r>
      <w:r w:rsidRPr="009A68D0">
        <w:rPr>
          <w:rStyle w:val="Kkursywa"/>
        </w:rPr>
        <w:t>vacatio legis.</w:t>
      </w:r>
    </w:p>
    <w:p w:rsidR="001C6A72" w:rsidRPr="00FD2887" w:rsidRDefault="001C6A72" w:rsidP="00FD2887"/>
    <w:p w:rsidR="001C6A72" w:rsidRPr="000F0E53" w:rsidRDefault="001C6A72" w:rsidP="00EF76F9">
      <w:pPr>
        <w:pStyle w:val="ROZDZODDZPRZEDMprzedmiotregulacjirozdziauluboddziau"/>
        <w:jc w:val="both"/>
        <w:rPr>
          <w:rStyle w:val="Ppogrubienie"/>
          <w:b/>
        </w:rPr>
      </w:pPr>
      <w:r w:rsidRPr="000F0E53">
        <w:rPr>
          <w:rStyle w:val="Ppogrubienie"/>
          <w:b/>
        </w:rPr>
        <w:t>2. Założenia aktów wykonawczych</w:t>
      </w:r>
    </w:p>
    <w:p w:rsidR="001C6A72" w:rsidRDefault="001C6A72" w:rsidP="00836265">
      <w:pPr>
        <w:pStyle w:val="ARTartustawynprozporzdzenia"/>
      </w:pPr>
      <w:r>
        <w:t xml:space="preserve">Wejście w życie niniejszej ustawy spowoduje konieczność zmiany rozporządzenia </w:t>
      </w:r>
      <w:r w:rsidRPr="0097617A">
        <w:t>Ministra Infrastruktury z dnia 25 marca 2002 r. w sprawie warunków ustalania oraz sposobu dokonywania zwrotu kosztów używania do celów służbowych samochodów osobowych, motocykli i motorowerów niebędących własnością pracodawcy</w:t>
      </w:r>
      <w:r>
        <w:t xml:space="preserve">. Zmiana rozporządzenia powinna uwzględniać </w:t>
      </w:r>
      <w:r w:rsidRPr="0097617A">
        <w:t>objęcie możliwością używania do celów służbowych, na p</w:t>
      </w:r>
      <w:r>
        <w:t>odstawie umowy cywilnoprawnej, również samochodów</w:t>
      </w:r>
      <w:r w:rsidRPr="0097617A">
        <w:t xml:space="preserve"> sta</w:t>
      </w:r>
      <w:r>
        <w:t>nowiących pojazdy elektryczne lub hybrydowe w r</w:t>
      </w:r>
      <w:r w:rsidRPr="0097617A">
        <w:t xml:space="preserve">ozumieniu </w:t>
      </w:r>
      <w:r>
        <w:t xml:space="preserve">odpowiednio </w:t>
      </w:r>
      <w:r w:rsidRPr="0097617A">
        <w:t>art. 2 pkt 12</w:t>
      </w:r>
      <w:r>
        <w:t xml:space="preserve"> i 13</w:t>
      </w:r>
      <w:r w:rsidRPr="0097617A">
        <w:t xml:space="preserve"> usta</w:t>
      </w:r>
      <w:r>
        <w:t>wy z dnia 11 stycznia 2018 r. o </w:t>
      </w:r>
      <w:r w:rsidRPr="0097617A">
        <w:t>elektromobilności i paliwach alternat</w:t>
      </w:r>
      <w:r>
        <w:t xml:space="preserve">ywnych </w:t>
      </w:r>
      <w:r w:rsidRPr="0097617A">
        <w:t>o</w:t>
      </w:r>
      <w:r>
        <w:t>raz pojazdy napędzane wodorem w </w:t>
      </w:r>
      <w:r w:rsidRPr="0097617A">
        <w:t>rozumieniu art. 2 pkt 15 tej ustawy</w:t>
      </w:r>
      <w:r>
        <w:t xml:space="preserve">. W przedmiotowym akcie wykonawczym właściwy minister może także uzależnić </w:t>
      </w:r>
      <w:r w:rsidRPr="0097617A">
        <w:t>wysokoś</w:t>
      </w:r>
      <w:r>
        <w:t xml:space="preserve">ć </w:t>
      </w:r>
      <w:r w:rsidRPr="0097617A">
        <w:t>stawek kosztów używani</w:t>
      </w:r>
      <w:r>
        <w:t xml:space="preserve">a pojazdów do celów służbowych od </w:t>
      </w:r>
      <w:r w:rsidRPr="0097617A">
        <w:t>moc</w:t>
      </w:r>
      <w:r>
        <w:t>y</w:t>
      </w:r>
      <w:r w:rsidRPr="0097617A">
        <w:t xml:space="preserve"> silnika</w:t>
      </w:r>
      <w:r>
        <w:t>, co umożliwi objęcie przedmiotowym uregulowaniem wszystkich pojazdów (także napędzanych alternatywnie).</w:t>
      </w:r>
    </w:p>
    <w:p w:rsidR="001C6A72" w:rsidRDefault="001C6A72" w:rsidP="00836265">
      <w:pPr>
        <w:pStyle w:val="ARTartustawynprozporzdzenia"/>
      </w:pPr>
    </w:p>
    <w:p w:rsidR="001C6A72" w:rsidRPr="000F0E53" w:rsidRDefault="001C6A72" w:rsidP="00443144">
      <w:pPr>
        <w:pStyle w:val="ROZDZODDZPRZEDMprzedmiotregulacjirozdziauluboddziau"/>
        <w:jc w:val="both"/>
        <w:rPr>
          <w:rStyle w:val="Ppogrubienie"/>
          <w:b/>
        </w:rPr>
      </w:pPr>
      <w:r w:rsidRPr="000F0E53">
        <w:rPr>
          <w:rStyle w:val="Ppogrubienie"/>
          <w:b/>
        </w:rPr>
        <w:lastRenderedPageBreak/>
        <w:t>3. Skutki i wyniki konsultacji</w:t>
      </w:r>
    </w:p>
    <w:p w:rsidR="001C6A72" w:rsidRDefault="001C6A72" w:rsidP="00D8785C">
      <w:pPr>
        <w:pStyle w:val="NIEARTTEKSTtekstnieartykuowanynppodstprawnarozplubpreambua"/>
      </w:pPr>
      <w:r>
        <w:t>Oczekiwane skutki społeczne, gospodarcze i finansowe projektowanej ustawy zostały przedstawione w ocenie skutków regulacji. Projektowana ustawa została poddana konsultacjom, a przedstawione w ich ramach opinie i uwagi zostały zamieszczone na senackiej stronie internetowej. Wyniki tych konsultacji zostały przedstawione w ocenie skutków regulacji.</w:t>
      </w:r>
    </w:p>
    <w:p w:rsidR="001C6A72" w:rsidRPr="00F123B1" w:rsidRDefault="001C6A72" w:rsidP="00F123B1">
      <w:pPr>
        <w:pStyle w:val="ARTartustawynprozporzdzenia"/>
      </w:pPr>
    </w:p>
    <w:p w:rsidR="001C6A72" w:rsidRPr="009477BA" w:rsidRDefault="001C6A72" w:rsidP="00EF76F9">
      <w:pPr>
        <w:pStyle w:val="ROZDZODDZPRZEDMprzedmiotregulacjirozdziauluboddziau"/>
        <w:jc w:val="both"/>
      </w:pPr>
      <w:r>
        <w:t>4. Oświadczenie o zgodności</w:t>
      </w:r>
      <w:r w:rsidRPr="009477BA">
        <w:t xml:space="preserve"> z </w:t>
      </w:r>
      <w:r>
        <w:t>p</w:t>
      </w:r>
      <w:r w:rsidRPr="009477BA">
        <w:t>rawem Unii Europejskiej</w:t>
      </w:r>
    </w:p>
    <w:p w:rsidR="001C6A72" w:rsidRPr="009477BA" w:rsidRDefault="001C6A72" w:rsidP="00894575">
      <w:pPr>
        <w:pStyle w:val="NIEARTTEKSTtekstnieartykuowanynppodstprawnarozplubpreambua"/>
      </w:pPr>
      <w:r w:rsidRPr="009477BA">
        <w:t>Projekt</w:t>
      </w:r>
      <w:r>
        <w:t xml:space="preserve"> ustawy jest zgodny z prawem</w:t>
      </w:r>
      <w:r w:rsidRPr="009477BA">
        <w:t xml:space="preserve"> Unii Europejskiej.</w:t>
      </w:r>
    </w:p>
    <w:p w:rsidR="001C6A72" w:rsidRPr="001B342E" w:rsidRDefault="001C6A72" w:rsidP="009168FD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</w:pPr>
    </w:p>
    <w:sectPr w:rsidR="001C6A72" w:rsidRPr="001B342E" w:rsidSect="001C6A72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F5C" w:rsidRDefault="00834F5C">
      <w:r>
        <w:separator/>
      </w:r>
    </w:p>
  </w:endnote>
  <w:endnote w:type="continuationSeparator" w:id="0">
    <w:p w:rsidR="00834F5C" w:rsidRDefault="0083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F5C" w:rsidRDefault="00834F5C">
      <w:r>
        <w:separator/>
      </w:r>
    </w:p>
  </w:footnote>
  <w:footnote w:type="continuationSeparator" w:id="0">
    <w:p w:rsidR="00834F5C" w:rsidRDefault="00834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6608B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F530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0E53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0DE0"/>
    <w:rsid w:val="00125A9C"/>
    <w:rsid w:val="00134CA0"/>
    <w:rsid w:val="0014026F"/>
    <w:rsid w:val="00153A3B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49FB"/>
    <w:rsid w:val="001A5BEF"/>
    <w:rsid w:val="001A7F15"/>
    <w:rsid w:val="001B342E"/>
    <w:rsid w:val="001C1832"/>
    <w:rsid w:val="001C188C"/>
    <w:rsid w:val="001C6A72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2D5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1262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08B0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4F5C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68FD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9F5302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54F0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D6099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4104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C7B1A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11088A7-075B-4F07-A427-874E2469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54F0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28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120DE0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120DE0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20DE0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20DE0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17</TotalTime>
  <Pages>4</Pages>
  <Words>973</Words>
  <Characters>5842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6802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9</cp:revision>
  <cp:lastPrinted>2023-03-09T11:11:00Z</cp:lastPrinted>
  <dcterms:created xsi:type="dcterms:W3CDTF">2023-01-13T08:27:00Z</dcterms:created>
  <dcterms:modified xsi:type="dcterms:W3CDTF">2023-03-24T09:12:00Z</dcterms:modified>
</cp:coreProperties>
</file>