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6625F" w14:textId="08AA4DDA" w:rsidR="00D46F89" w:rsidRPr="00D36DC9" w:rsidRDefault="00D46F89" w:rsidP="00D46F89">
      <w:pPr>
        <w:keepNext/>
        <w:widowControl/>
        <w:suppressAutoHyphens/>
        <w:autoSpaceDE/>
        <w:adjustRightInd/>
        <w:spacing w:after="240"/>
        <w:jc w:val="center"/>
        <w:rPr>
          <w:rFonts w:eastAsia="Times New Roman" w:cs="Times New Roman"/>
          <w:bCs/>
          <w:caps/>
          <w:kern w:val="24"/>
          <w:szCs w:val="24"/>
        </w:rPr>
      </w:pPr>
      <w:bookmarkStart w:id="0" w:name="_GoBack"/>
      <w:bookmarkEnd w:id="0"/>
      <w:r w:rsidRPr="00D36DC9">
        <w:rPr>
          <w:rFonts w:eastAsia="Times New Roman" w:cs="Times New Roman"/>
          <w:bCs/>
          <w:caps/>
          <w:kern w:val="24"/>
          <w:szCs w:val="24"/>
        </w:rPr>
        <w:t>UZASADNIENIE</w:t>
      </w:r>
    </w:p>
    <w:p w14:paraId="08794EAF" w14:textId="3C945ECE" w:rsidR="00D36DC9" w:rsidRPr="00D36DC9" w:rsidRDefault="00D36DC9" w:rsidP="00D36DC9">
      <w:pPr>
        <w:keepNext/>
        <w:widowControl/>
        <w:suppressAutoHyphens/>
        <w:autoSpaceDE/>
        <w:adjustRightInd/>
        <w:spacing w:after="240"/>
        <w:jc w:val="center"/>
        <w:rPr>
          <w:rFonts w:eastAsia="Times New Roman" w:cs="Times New Roman"/>
          <w:bCs/>
          <w:szCs w:val="24"/>
        </w:rPr>
      </w:pPr>
      <w:r w:rsidRPr="00D36DC9">
        <w:rPr>
          <w:rFonts w:eastAsia="Times New Roman" w:cs="Times New Roman"/>
          <w:bCs/>
          <w:szCs w:val="24"/>
        </w:rPr>
        <w:t>do projektu ustawy o zmianie ustawy – Prawo o notariacie oraz innych ustaw</w:t>
      </w:r>
    </w:p>
    <w:p w14:paraId="2305EB6A" w14:textId="77777777" w:rsidR="00D36DC9" w:rsidRPr="00D36DC9" w:rsidRDefault="00D36DC9" w:rsidP="00D36DC9">
      <w:pPr>
        <w:keepNext/>
        <w:widowControl/>
        <w:suppressAutoHyphens/>
        <w:autoSpaceDE/>
        <w:adjustRightInd/>
        <w:spacing w:after="240"/>
        <w:jc w:val="center"/>
        <w:rPr>
          <w:rFonts w:eastAsia="Times New Roman" w:cs="Times New Roman"/>
          <w:bCs/>
          <w:caps/>
          <w:spacing w:val="54"/>
          <w:kern w:val="24"/>
          <w:szCs w:val="24"/>
        </w:rPr>
      </w:pPr>
    </w:p>
    <w:p w14:paraId="1698C256"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Zmieniający się obrót prawny, także w wymiarze transgranicznym, oraz oczekiwania społeczne, związane w szczególności z sytuacją na rynku nieruchomości, powodują konieczność zrewidowania dotychczasowych regulacji dotyczących ustroju notariatu i uprawnień notariuszy. Niniejszy projekt stanowi również odpowiedź na trendy pojawiające się w ustawodawstwie innych państw europejskich, a także kontynuację zamierzeń ustawodawczych w zakresie ograniczania kognicji sądów, pozostawiając w ich właściwości wyłącznie sprawy o dużym faktycznym i prawnym stopniu skomplikowania. </w:t>
      </w:r>
    </w:p>
    <w:p w14:paraId="7D641F67" w14:textId="6F2C6CB4" w:rsidR="00D46F89" w:rsidRPr="00D36DC9" w:rsidRDefault="00D46F89" w:rsidP="00D46F89">
      <w:pPr>
        <w:widowControl/>
        <w:tabs>
          <w:tab w:val="left" w:pos="426"/>
        </w:tabs>
        <w:suppressAutoHyphens/>
        <w:spacing w:before="120"/>
        <w:jc w:val="both"/>
        <w:rPr>
          <w:rFonts w:eastAsia="Times New Roman" w:cs="Times New Roman"/>
          <w:bCs/>
          <w:szCs w:val="24"/>
        </w:rPr>
      </w:pPr>
      <w:r w:rsidRPr="00D36DC9">
        <w:rPr>
          <w:rFonts w:eastAsia="Times New Roman" w:cs="Times New Roman"/>
          <w:bCs/>
          <w:szCs w:val="24"/>
        </w:rPr>
        <w:t>1.</w:t>
      </w:r>
      <w:r w:rsidRPr="00D36DC9">
        <w:rPr>
          <w:rFonts w:eastAsia="Times New Roman" w:cs="Times New Roman"/>
          <w:bCs/>
          <w:szCs w:val="24"/>
        </w:rPr>
        <w:tab/>
        <w:t>Pozycja ustrojowa notariusza już w aktualnym stanie prawnym jest złożona i wykracza poza charakterystykę typowego zawodu zaufania publicznego. Zakres kompetencji notariusza i ich charakter powodują, że nie może być traktowany jako typowy przedstawiciel tego rodzaju zawodu.</w:t>
      </w:r>
    </w:p>
    <w:p w14:paraId="05159B2C" w14:textId="65CBC7F4"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Stosownie do przepisu art. 2 ustawy z dnia 14 lutego 1991 r. – Prawo o notariacie </w:t>
      </w:r>
      <w:r w:rsidR="005917FB" w:rsidRPr="00D36DC9">
        <w:rPr>
          <w:rFonts w:eastAsia="Times New Roman" w:cs="Times New Roman"/>
          <w:bCs/>
          <w:szCs w:val="24"/>
        </w:rPr>
        <w:br/>
      </w:r>
      <w:r w:rsidRPr="00D36DC9">
        <w:rPr>
          <w:rFonts w:eastAsia="Times New Roman" w:cs="Times New Roman"/>
          <w:bCs/>
          <w:szCs w:val="24"/>
        </w:rPr>
        <w:t xml:space="preserve">(Dz. U. z 2022 r. poz. 1799), zwanej dalej „ustawą – Prawo o notariacie”, notariusz w zakresie swoich uprawnień działa jako osoba zaufania publicznego, korzystając z ochrony przysługującej funkcjonariuszom publicznym. Natomiast na gruncie kodeksu karnego został zaliczony wprost do funkcjonariuszy publicznych, obok sędziego i komornika sądowego </w:t>
      </w:r>
      <w:r w:rsidR="005917FB" w:rsidRPr="00D36DC9">
        <w:rPr>
          <w:rFonts w:eastAsia="Times New Roman" w:cs="Times New Roman"/>
          <w:bCs/>
          <w:szCs w:val="24"/>
        </w:rPr>
        <w:br/>
      </w:r>
      <w:r w:rsidRPr="00D36DC9">
        <w:rPr>
          <w:rFonts w:eastAsia="Times New Roman" w:cs="Times New Roman"/>
          <w:bCs/>
          <w:szCs w:val="24"/>
        </w:rPr>
        <w:t xml:space="preserve">(art. 115 § 13 pkt 3 ustawy z dnia 6 czerwca 1997 r. – Kodeks karny (Dz. U. z 2022 r. </w:t>
      </w:r>
      <w:r w:rsidR="005917FB" w:rsidRPr="00D36DC9">
        <w:rPr>
          <w:rFonts w:eastAsia="Times New Roman" w:cs="Times New Roman"/>
          <w:bCs/>
          <w:szCs w:val="24"/>
        </w:rPr>
        <w:br/>
      </w:r>
      <w:r w:rsidRPr="00D36DC9">
        <w:rPr>
          <w:rFonts w:eastAsia="Times New Roman" w:cs="Times New Roman"/>
          <w:bCs/>
          <w:szCs w:val="24"/>
        </w:rPr>
        <w:t>poz. 1138, 1726 i 1855)</w:t>
      </w:r>
      <w:r w:rsidR="00EA39DF" w:rsidRPr="00D36DC9">
        <w:rPr>
          <w:rFonts w:eastAsia="Times New Roman" w:cs="Times New Roman"/>
          <w:bCs/>
          <w:szCs w:val="24"/>
        </w:rPr>
        <w:t>.</w:t>
      </w:r>
    </w:p>
    <w:p w14:paraId="28EE9810" w14:textId="0B97727D"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Zadaniem notariusza jest przede wszystkim zapewnienie bezpieczeństwa obrotu prawnego. Realizowane jest ono przez dokonywanie czynności, które ustawodawca uznał za doniosłe </w:t>
      </w:r>
      <w:r w:rsidR="005917FB" w:rsidRPr="00D36DC9">
        <w:rPr>
          <w:rFonts w:eastAsia="Times New Roman" w:cs="Times New Roman"/>
          <w:bCs/>
          <w:szCs w:val="24"/>
        </w:rPr>
        <w:br/>
      </w:r>
      <w:r w:rsidRPr="00D36DC9">
        <w:rPr>
          <w:rFonts w:eastAsia="Times New Roman" w:cs="Times New Roman"/>
          <w:bCs/>
          <w:szCs w:val="24"/>
        </w:rPr>
        <w:t xml:space="preserve">pod względem prawnym i społecznym. Dokonywanie tych czynności z udziałem notariusza </w:t>
      </w:r>
      <w:r w:rsidR="005917FB" w:rsidRPr="00D36DC9">
        <w:rPr>
          <w:rFonts w:eastAsia="Times New Roman" w:cs="Times New Roman"/>
          <w:bCs/>
          <w:szCs w:val="24"/>
        </w:rPr>
        <w:br/>
      </w:r>
      <w:r w:rsidRPr="00D36DC9">
        <w:rPr>
          <w:rFonts w:eastAsia="Times New Roman" w:cs="Times New Roman"/>
          <w:bCs/>
          <w:szCs w:val="24"/>
        </w:rPr>
        <w:t xml:space="preserve">ma zapewniać wszystkim ich uczestnikom bezpieczeństwo prawne, a także eliminować </w:t>
      </w:r>
      <w:r w:rsidR="005917FB" w:rsidRPr="00D36DC9">
        <w:rPr>
          <w:rFonts w:eastAsia="Times New Roman" w:cs="Times New Roman"/>
          <w:bCs/>
          <w:szCs w:val="24"/>
        </w:rPr>
        <w:br/>
      </w:r>
      <w:r w:rsidRPr="00D36DC9">
        <w:rPr>
          <w:rFonts w:eastAsia="Times New Roman" w:cs="Times New Roman"/>
          <w:bCs/>
          <w:szCs w:val="24"/>
        </w:rPr>
        <w:t>lub ograniczać ryzyko przyszłego sporu przed sądem. Jeżeli natomiast do takiego sporu dojdzie, okoliczność, że czynność była dokonywana z udziałem notariusza, ma w założeniu pozytywnie wpływać na usprawnienie postępowania sądowego przez dostarczanie jednoznacznych dowodów.</w:t>
      </w:r>
    </w:p>
    <w:p w14:paraId="644C76AD"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Niewątpliwie pozycja notariusza różni się od pozycji innych zawodów zajmujących się świadczeniem usług prawnych: adwokatów, radców prawnych czy doradców podatkowych. </w:t>
      </w:r>
      <w:r w:rsidRPr="00D36DC9">
        <w:rPr>
          <w:rFonts w:eastAsia="Times New Roman" w:cs="Times New Roman"/>
          <w:bCs/>
          <w:szCs w:val="24"/>
        </w:rPr>
        <w:lastRenderedPageBreak/>
        <w:t>Ponadto, co należy podkreślić, notariusz pełni funkcje pomocnicze w stosunku do wymiaru sprawiedliwości. Polegają one na świadczeniu czynności z zakresu ochrony prawnej, w tym sporządzaniu aktów poświadczenia dziedziczenia. Wreszcie notariusz wykonuje szereg czynności o charakterze urzędowym, m.in. na podstawie odrębnych przepisów pobiera podatki i opłaty skarbowe. Dodatkowo przedstawiony projekt przewiduje powierzenie notariuszom dodatkowych zadań dotychczas leżących w kompetencji sądów powszechnych, a mianowicie wykonywanie zadań z zakresu szczególnej ochrony prawnej, tj. w określonych przypadkach dokonywania wpisów w księdze wieczystej oraz wydawania notarialnych nakazów zapłaty.</w:t>
      </w:r>
    </w:p>
    <w:p w14:paraId="5DE03530" w14:textId="32F86757" w:rsidR="00D245F5" w:rsidRDefault="00D46F89" w:rsidP="005330C7">
      <w:pPr>
        <w:widowControl/>
        <w:suppressAutoHyphens/>
        <w:spacing w:before="120"/>
        <w:jc w:val="both"/>
        <w:rPr>
          <w:rFonts w:eastAsia="Times New Roman" w:cs="Times New Roman"/>
          <w:szCs w:val="24"/>
        </w:rPr>
      </w:pPr>
      <w:r w:rsidRPr="00D36DC9">
        <w:rPr>
          <w:rFonts w:eastAsia="Times New Roman" w:cs="Times New Roman"/>
          <w:szCs w:val="24"/>
        </w:rPr>
        <w:t xml:space="preserve">Z tego względu proponuje się nowelizację przepisu art. 1 ustawy – Prawo o notariacie przez wyszczególnienie, że notariusz jest powołany </w:t>
      </w:r>
      <w:r w:rsidR="005330C7" w:rsidRPr="00D36DC9">
        <w:rPr>
          <w:rFonts w:eastAsia="Times New Roman" w:cs="Times New Roman"/>
          <w:szCs w:val="24"/>
        </w:rPr>
        <w:t xml:space="preserve">do dokonywania czynności, którym strony </w:t>
      </w:r>
      <w:r w:rsidR="005917FB" w:rsidRPr="00D36DC9">
        <w:rPr>
          <w:rFonts w:eastAsia="Times New Roman" w:cs="Times New Roman"/>
          <w:szCs w:val="24"/>
        </w:rPr>
        <w:br/>
      </w:r>
      <w:r w:rsidR="005330C7" w:rsidRPr="00D36DC9">
        <w:rPr>
          <w:rFonts w:eastAsia="Times New Roman" w:cs="Times New Roman"/>
          <w:szCs w:val="24"/>
        </w:rPr>
        <w:t xml:space="preserve">są obowiązane lub którym pragną nadać formę notarialną oraz do dokonywania czynności </w:t>
      </w:r>
      <w:r w:rsidR="005917FB" w:rsidRPr="00D36DC9">
        <w:rPr>
          <w:rFonts w:eastAsia="Times New Roman" w:cs="Times New Roman"/>
          <w:szCs w:val="24"/>
        </w:rPr>
        <w:br/>
      </w:r>
      <w:r w:rsidR="005330C7" w:rsidRPr="00D36DC9">
        <w:rPr>
          <w:rFonts w:eastAsia="Times New Roman" w:cs="Times New Roman"/>
          <w:szCs w:val="24"/>
        </w:rPr>
        <w:t>z zakresu szczególnej ochrony prawnej, o których mowa w art. 79 pkt 1d i pkt 5a (czynności notarialne)</w:t>
      </w:r>
      <w:r w:rsidR="00D245F5" w:rsidRPr="00D36DC9">
        <w:rPr>
          <w:rFonts w:eastAsia="Times New Roman" w:cs="Times New Roman"/>
          <w:szCs w:val="24"/>
        </w:rPr>
        <w:t xml:space="preserve">, która ma na celu </w:t>
      </w:r>
      <w:r w:rsidR="005A7D26" w:rsidRPr="00D36DC9">
        <w:rPr>
          <w:rFonts w:eastAsia="Times New Roman" w:cs="Times New Roman"/>
          <w:szCs w:val="24"/>
        </w:rPr>
        <w:t xml:space="preserve">podkreślenie </w:t>
      </w:r>
      <w:r w:rsidR="00D245F5" w:rsidRPr="00D36DC9">
        <w:rPr>
          <w:rFonts w:eastAsia="Times New Roman" w:cs="Times New Roman"/>
          <w:szCs w:val="24"/>
        </w:rPr>
        <w:t>hybrydowego charakteru czynności</w:t>
      </w:r>
      <w:r w:rsidR="005A7D26" w:rsidRPr="00D36DC9">
        <w:rPr>
          <w:rFonts w:eastAsia="Times New Roman" w:cs="Times New Roman"/>
          <w:szCs w:val="24"/>
        </w:rPr>
        <w:br/>
      </w:r>
      <w:r w:rsidR="00D245F5" w:rsidRPr="00D36DC9">
        <w:rPr>
          <w:rFonts w:eastAsia="Times New Roman" w:cs="Times New Roman"/>
          <w:szCs w:val="24"/>
        </w:rPr>
        <w:t>z zakresu szczególnej ochrony prawnej, które stanowią jednocześnie czynności notarialne.</w:t>
      </w:r>
    </w:p>
    <w:p w14:paraId="7EA134D1" w14:textId="4C7B39EB" w:rsidR="00D36DC9" w:rsidRPr="00D36DC9" w:rsidRDefault="00D36DC9" w:rsidP="005330C7">
      <w:pPr>
        <w:widowControl/>
        <w:suppressAutoHyphens/>
        <w:spacing w:before="120"/>
        <w:jc w:val="both"/>
        <w:rPr>
          <w:rFonts w:eastAsia="Times New Roman" w:cs="Times New Roman"/>
          <w:szCs w:val="24"/>
        </w:rPr>
      </w:pPr>
      <w:r>
        <w:rPr>
          <w:rFonts w:eastAsia="Times New Roman" w:cs="Times New Roman"/>
          <w:szCs w:val="24"/>
        </w:rPr>
        <w:t xml:space="preserve">Z uwagi na przyznanie również zastępcom notarialnym uprawnień do dokonywania wpisów </w:t>
      </w:r>
      <w:r>
        <w:rPr>
          <w:rFonts w:eastAsia="Times New Roman" w:cs="Times New Roman"/>
          <w:szCs w:val="24"/>
        </w:rPr>
        <w:br/>
        <w:t>w księgach wieczystych oraz sporządzania notarialnych nakazów zapłaty</w:t>
      </w:r>
      <w:r w:rsidR="002901A9">
        <w:rPr>
          <w:rFonts w:eastAsia="Times New Roman" w:cs="Times New Roman"/>
          <w:szCs w:val="24"/>
        </w:rPr>
        <w:t xml:space="preserve"> – a więc czynności </w:t>
      </w:r>
      <w:r w:rsidR="002901A9">
        <w:rPr>
          <w:rFonts w:eastAsia="Times New Roman" w:cs="Times New Roman"/>
          <w:szCs w:val="24"/>
        </w:rPr>
        <w:br/>
        <w:t>z zakresu szczególnej ochrony prawnej z art. 79 pkt 1d i pkt 5a – wg brzmienia zmienianej ustawy, konieczne było również odpowiednie odniesienie przepisów dotyczących notariuszy do zastępców notarialnych (art. 1 pkt b).</w:t>
      </w:r>
    </w:p>
    <w:p w14:paraId="611B3F50" w14:textId="7DDEBDB0" w:rsidR="00D46F89" w:rsidRPr="00D36DC9" w:rsidRDefault="00D46F89" w:rsidP="00D46F89">
      <w:pPr>
        <w:widowControl/>
        <w:autoSpaceDE/>
        <w:adjustRightInd/>
        <w:spacing w:before="120"/>
        <w:jc w:val="both"/>
        <w:rPr>
          <w:rFonts w:eastAsia="Times New Roman" w:cs="Times New Roman"/>
          <w:szCs w:val="24"/>
        </w:rPr>
      </w:pPr>
      <w:r w:rsidRPr="00D36DC9">
        <w:rPr>
          <w:rFonts w:eastAsia="Times New Roman" w:cs="Times New Roman"/>
          <w:szCs w:val="24"/>
        </w:rPr>
        <w:t xml:space="preserve">Zadania z zakresu szczególnej ochrony prawnej przyznane notariuszom obejmują czynności, </w:t>
      </w:r>
      <w:r w:rsidR="00557085" w:rsidRPr="00D36DC9">
        <w:rPr>
          <w:rFonts w:eastAsia="Times New Roman" w:cs="Times New Roman"/>
          <w:szCs w:val="24"/>
        </w:rPr>
        <w:br/>
      </w:r>
      <w:r w:rsidRPr="00D36DC9">
        <w:rPr>
          <w:rFonts w:eastAsia="Times New Roman" w:cs="Times New Roman"/>
          <w:szCs w:val="24"/>
        </w:rPr>
        <w:t xml:space="preserve">w których nie występuje spór między uczestnikami. Sporządzenie przez notariusza nakazu zapłaty czy dokonanie wpisu do księgi wieczystej nie powinno być utożsamiane z kompetencją sądu do sprawowania wymiaru sprawiedliwości, lecz ma charakter udzielenia ochrony prawnej </w:t>
      </w:r>
      <w:r w:rsidR="005917FB" w:rsidRPr="00D36DC9">
        <w:rPr>
          <w:rFonts w:eastAsia="Times New Roman" w:cs="Times New Roman"/>
          <w:szCs w:val="24"/>
        </w:rPr>
        <w:br/>
      </w:r>
      <w:r w:rsidRPr="00D36DC9">
        <w:rPr>
          <w:rFonts w:eastAsia="Times New Roman" w:cs="Times New Roman"/>
          <w:szCs w:val="24"/>
        </w:rPr>
        <w:t>i uwzględnia istniejące już rozwiązania w zakresie wydawania aktu poświadczenia dziedziczenia, które zastępuje orzeczenie sądu wydawane w postępowaniu o stwierdzeniu nabycia spadku.</w:t>
      </w:r>
    </w:p>
    <w:p w14:paraId="6D58D8B2" w14:textId="35250E89" w:rsidR="00D46F89" w:rsidRPr="00D36DC9" w:rsidRDefault="00D46F89" w:rsidP="00D46F89">
      <w:pPr>
        <w:widowControl/>
        <w:autoSpaceDE/>
        <w:adjustRightInd/>
        <w:spacing w:before="120"/>
        <w:jc w:val="both"/>
        <w:rPr>
          <w:rFonts w:eastAsia="Calibri" w:cs="Times New Roman"/>
          <w:spacing w:val="-2"/>
          <w:szCs w:val="24"/>
          <w:lang w:eastAsia="en-US"/>
        </w:rPr>
      </w:pPr>
      <w:r w:rsidRPr="00D36DC9">
        <w:rPr>
          <w:rFonts w:eastAsia="Times New Roman" w:cs="Times New Roman"/>
          <w:szCs w:val="24"/>
        </w:rPr>
        <w:t>W związku z powyższym podniesiono także do 28 lat minimalny wiek, w którym będzie można się ubiegać o powołanie na stanowisko notariusza. W</w:t>
      </w:r>
      <w:r w:rsidRPr="00D36DC9">
        <w:rPr>
          <w:rFonts w:eastAsia="Calibri" w:cs="Times New Roman"/>
          <w:spacing w:val="-2"/>
          <w:szCs w:val="24"/>
          <w:lang w:eastAsia="en-US"/>
        </w:rPr>
        <w:t xml:space="preserve"> aktualnym stanie prawnym kryterium wieku dostępu do zawodów prawniczych funkcjonuje w odniesieniu do prokuratorów </w:t>
      </w:r>
      <w:r w:rsidR="00DB44D1" w:rsidRPr="00D36DC9">
        <w:rPr>
          <w:rFonts w:eastAsia="Calibri" w:cs="Times New Roman"/>
          <w:spacing w:val="-2"/>
          <w:szCs w:val="24"/>
          <w:lang w:eastAsia="en-US"/>
        </w:rPr>
        <w:t>[</w:t>
      </w:r>
      <w:r w:rsidRPr="00D36DC9">
        <w:rPr>
          <w:rFonts w:eastAsia="Calibri" w:cs="Times New Roman"/>
          <w:spacing w:val="-2"/>
          <w:szCs w:val="24"/>
          <w:lang w:eastAsia="en-US"/>
        </w:rPr>
        <w:t>ukończone 26 lat – art. 75 § 1 pkt 5 ustawy z dnia 28 stycznia 2016 r.</w:t>
      </w:r>
      <w:r w:rsidR="00D36DC9">
        <w:rPr>
          <w:rFonts w:eastAsia="Calibri" w:cs="Times New Roman"/>
          <w:spacing w:val="-2"/>
          <w:szCs w:val="24"/>
          <w:lang w:eastAsia="en-US"/>
        </w:rPr>
        <w:t xml:space="preserve"> </w:t>
      </w:r>
      <w:r w:rsidRPr="00D36DC9">
        <w:rPr>
          <w:rFonts w:eastAsia="Calibri" w:cs="Times New Roman"/>
          <w:spacing w:val="-2"/>
          <w:szCs w:val="24"/>
          <w:lang w:eastAsia="en-US"/>
        </w:rPr>
        <w:t>– Prawo o prokuraturze (Dz. U. z</w:t>
      </w:r>
      <w:r w:rsidRPr="00D36DC9">
        <w:rPr>
          <w:rFonts w:eastAsia="Calibri" w:cs="Times New Roman"/>
          <w:spacing w:val="-2"/>
        </w:rPr>
        <w:t xml:space="preserve"> 2022 r. poz. 1247 i 1259</w:t>
      </w:r>
      <w:r w:rsidRPr="00D36DC9">
        <w:rPr>
          <w:rFonts w:eastAsia="Calibri" w:cs="Times New Roman"/>
          <w:spacing w:val="-2"/>
          <w:szCs w:val="24"/>
          <w:lang w:eastAsia="en-US"/>
        </w:rPr>
        <w:t>), sędziów (ukończone 29 lat – art. 61 § 1 pkt 5 ustawy z dnia 27 lipca 2001 r. – Prawo o ustroju sądów powszechnych</w:t>
      </w:r>
      <w:r w:rsidR="002F6FF6" w:rsidRPr="00D36DC9">
        <w:rPr>
          <w:rFonts w:eastAsia="Calibri" w:cs="Times New Roman"/>
          <w:spacing w:val="-2"/>
          <w:szCs w:val="24"/>
          <w:lang w:eastAsia="en-US"/>
        </w:rPr>
        <w:t xml:space="preserve"> </w:t>
      </w:r>
      <w:r w:rsidRPr="00D36DC9">
        <w:rPr>
          <w:rFonts w:eastAsia="Calibri" w:cs="Times New Roman"/>
          <w:spacing w:val="-2"/>
          <w:szCs w:val="24"/>
          <w:lang w:eastAsia="en-US"/>
        </w:rPr>
        <w:t>(</w:t>
      </w:r>
      <w:r w:rsidRPr="00D36DC9">
        <w:rPr>
          <w:rFonts w:eastAsia="Calibri" w:cs="Times New Roman"/>
          <w:spacing w:val="-2"/>
        </w:rPr>
        <w:t>Dz. U. z 2020 r. poz. 2072, z późn. zm.</w:t>
      </w:r>
      <w:r w:rsidRPr="00D36DC9">
        <w:rPr>
          <w:rFonts w:eastAsia="Calibri" w:cs="Times New Roman"/>
          <w:spacing w:val="-2"/>
          <w:szCs w:val="24"/>
          <w:lang w:eastAsia="en-US"/>
        </w:rPr>
        <w:t xml:space="preserve">) oraz komorników (ukończone 28 lat – art. 11 ust. 1 pkt 11 ustawy </w:t>
      </w:r>
      <w:r w:rsidRPr="00D36DC9">
        <w:t xml:space="preserve">z dnia 22 marca 2018 r. </w:t>
      </w:r>
      <w:r w:rsidRPr="00D36DC9">
        <w:rPr>
          <w:rFonts w:eastAsia="Calibri" w:cs="Times New Roman"/>
          <w:spacing w:val="-2"/>
          <w:szCs w:val="24"/>
          <w:lang w:eastAsia="en-US"/>
        </w:rPr>
        <w:lastRenderedPageBreak/>
        <w:t>o komornikach sądowych (</w:t>
      </w:r>
      <w:r w:rsidRPr="00D36DC9">
        <w:rPr>
          <w:rFonts w:eastAsia="Calibri" w:cs="Times New Roman"/>
          <w:spacing w:val="-2"/>
        </w:rPr>
        <w:t>Dz. U. z 2022 r. poz. 1168 i 1301</w:t>
      </w:r>
      <w:r w:rsidRPr="00D36DC9">
        <w:rPr>
          <w:rFonts w:eastAsia="Calibri" w:cs="Times New Roman"/>
          <w:spacing w:val="-2"/>
          <w:szCs w:val="24"/>
          <w:lang w:eastAsia="en-US"/>
        </w:rPr>
        <w:t>)</w:t>
      </w:r>
      <w:r w:rsidR="00DB44D1" w:rsidRPr="00D36DC9">
        <w:rPr>
          <w:rFonts w:eastAsia="Calibri" w:cs="Times New Roman"/>
          <w:spacing w:val="-2"/>
          <w:szCs w:val="24"/>
          <w:lang w:eastAsia="en-US"/>
        </w:rPr>
        <w:t>]</w:t>
      </w:r>
      <w:r w:rsidRPr="00D36DC9">
        <w:rPr>
          <w:rFonts w:eastAsia="Calibri" w:cs="Times New Roman"/>
          <w:spacing w:val="-2"/>
          <w:szCs w:val="24"/>
          <w:lang w:eastAsia="en-US"/>
        </w:rPr>
        <w:t xml:space="preserve">. Wymóg wieku nie obowiązuje w odniesieniu do ubiegania się o wpis na listę adwokatów, radców prawnych lub doradców podatkowych. Należy przy tym zauważyć, że wymóg wieku został obniżony w stosunku </w:t>
      </w:r>
      <w:r w:rsidR="005917FB" w:rsidRPr="00D36DC9">
        <w:rPr>
          <w:rFonts w:eastAsia="Calibri" w:cs="Times New Roman"/>
          <w:spacing w:val="-2"/>
          <w:szCs w:val="24"/>
          <w:lang w:eastAsia="en-US"/>
        </w:rPr>
        <w:br/>
      </w:r>
      <w:r w:rsidRPr="00D36DC9">
        <w:rPr>
          <w:rFonts w:eastAsia="Calibri" w:cs="Times New Roman"/>
          <w:spacing w:val="-2"/>
          <w:szCs w:val="24"/>
          <w:lang w:eastAsia="en-US"/>
        </w:rPr>
        <w:t>do wymogu ukończenia 30 lat stawianego przedwojennym kandydatom na notariuszy (art. 7</w:t>
      </w:r>
      <w:r w:rsidR="007B6EC9" w:rsidRPr="00D36DC9">
        <w:rPr>
          <w:rFonts w:eastAsia="Calibri" w:cs="Times New Roman"/>
          <w:spacing w:val="-2"/>
          <w:szCs w:val="24"/>
          <w:lang w:eastAsia="en-US"/>
        </w:rPr>
        <w:br/>
      </w:r>
      <w:r w:rsidRPr="00D36DC9">
        <w:rPr>
          <w:rFonts w:eastAsia="Calibri" w:cs="Times New Roman"/>
          <w:spacing w:val="-2"/>
          <w:szCs w:val="24"/>
          <w:lang w:eastAsia="en-US"/>
        </w:rPr>
        <w:t xml:space="preserve">pkt 3 rozporządzenia Prezydenta Rzeczypospolitej z dnia 27 października 1933 r. – Prawo </w:t>
      </w:r>
      <w:r w:rsidR="005917FB" w:rsidRPr="00D36DC9">
        <w:rPr>
          <w:rFonts w:eastAsia="Calibri" w:cs="Times New Roman"/>
          <w:spacing w:val="-2"/>
          <w:szCs w:val="24"/>
          <w:lang w:eastAsia="en-US"/>
        </w:rPr>
        <w:br/>
      </w:r>
      <w:r w:rsidRPr="00D36DC9">
        <w:rPr>
          <w:rFonts w:eastAsia="Calibri" w:cs="Times New Roman"/>
          <w:spacing w:val="-2"/>
          <w:szCs w:val="24"/>
          <w:lang w:eastAsia="en-US"/>
        </w:rPr>
        <w:t>o notariacie, (Dz. U. poz. 609 z późn. zm.)</w:t>
      </w:r>
      <w:r w:rsidR="00557085" w:rsidRPr="00D36DC9">
        <w:rPr>
          <w:rFonts w:eastAsia="Calibri" w:cs="Times New Roman"/>
          <w:spacing w:val="-2"/>
          <w:szCs w:val="24"/>
          <w:lang w:eastAsia="en-US"/>
        </w:rPr>
        <w:t>.</w:t>
      </w:r>
    </w:p>
    <w:p w14:paraId="047E0F71" w14:textId="558D2AE7" w:rsidR="00D46F89" w:rsidRPr="00D36DC9" w:rsidRDefault="00D46F89" w:rsidP="00D46F89">
      <w:pPr>
        <w:widowControl/>
        <w:suppressAutoHyphens/>
        <w:spacing w:before="120"/>
        <w:jc w:val="both"/>
        <w:rPr>
          <w:rFonts w:eastAsia="Times New Roman" w:cs="Times New Roman"/>
          <w:szCs w:val="24"/>
          <w:shd w:val="clear" w:color="auto" w:fill="FFFFFF"/>
        </w:rPr>
      </w:pPr>
      <w:r w:rsidRPr="00D36DC9">
        <w:rPr>
          <w:rFonts w:eastAsia="Times New Roman" w:cs="Times New Roman"/>
          <w:bCs/>
          <w:szCs w:val="24"/>
        </w:rPr>
        <w:t xml:space="preserve">Z kolei w art. 2 § 1 przesądzono, że notariusz jest funkcjonariuszem publicznym nie tylko </w:t>
      </w:r>
      <w:r w:rsidR="005917FB" w:rsidRPr="00D36DC9">
        <w:rPr>
          <w:rFonts w:eastAsia="Times New Roman" w:cs="Times New Roman"/>
          <w:bCs/>
          <w:szCs w:val="24"/>
        </w:rPr>
        <w:br/>
      </w:r>
      <w:r w:rsidRPr="00D36DC9">
        <w:rPr>
          <w:rFonts w:eastAsia="Times New Roman" w:cs="Times New Roman"/>
          <w:bCs/>
          <w:szCs w:val="24"/>
        </w:rPr>
        <w:t xml:space="preserve">na gruncie prawa karnego. </w:t>
      </w:r>
      <w:r w:rsidRPr="00D36DC9">
        <w:rPr>
          <w:rFonts w:eastAsia="Times New Roman" w:cs="Times New Roman"/>
          <w:szCs w:val="24"/>
        </w:rPr>
        <w:t>Jak wskazano w doktrynie, „</w:t>
      </w:r>
      <w:r w:rsidRPr="00D36DC9">
        <w:rPr>
          <w:rFonts w:eastAsia="Times New Roman" w:cs="Times New Roman"/>
          <w:szCs w:val="24"/>
          <w:shd w:val="clear" w:color="auto" w:fill="FFFFFF"/>
        </w:rPr>
        <w:t xml:space="preserve">definicji zawartej w ustawie karnej </w:t>
      </w:r>
      <w:r w:rsidR="005917FB" w:rsidRPr="00D36DC9">
        <w:rPr>
          <w:rFonts w:eastAsia="Times New Roman" w:cs="Times New Roman"/>
          <w:szCs w:val="24"/>
          <w:shd w:val="clear" w:color="auto" w:fill="FFFFFF"/>
        </w:rPr>
        <w:br/>
      </w:r>
      <w:r w:rsidRPr="00D36DC9">
        <w:rPr>
          <w:rFonts w:eastAsia="Times New Roman" w:cs="Times New Roman"/>
          <w:szCs w:val="24"/>
          <w:shd w:val="clear" w:color="auto" w:fill="FFFFFF"/>
        </w:rPr>
        <w:t xml:space="preserve">nie należy przyznawać waloru ogólnosystemowego i w konsekwencji nie należy ujmować statusu notariusza jako funkcjonariusza publicznego wyłącznie w kontekście jego ochrony prawnokarnej i odpowiedzialności karnej” (T. Ereciński, </w:t>
      </w:r>
      <w:r w:rsidRPr="00D36DC9">
        <w:rPr>
          <w:rFonts w:eastAsia="Times New Roman" w:cs="Times New Roman"/>
          <w:i/>
          <w:szCs w:val="24"/>
          <w:shd w:val="clear" w:color="auto" w:fill="FFFFFF"/>
        </w:rPr>
        <w:t xml:space="preserve">Kilka uwag </w:t>
      </w:r>
      <w:r w:rsidRPr="00D36DC9">
        <w:rPr>
          <w:i/>
        </w:rPr>
        <w:t>o pozycji ustrojowej notariusza, jego odpowiedzialności cywilnej oraz sądownictwie dyscyplinarnym</w:t>
      </w:r>
      <w:r w:rsidRPr="00D36DC9">
        <w:rPr>
          <w:rFonts w:eastAsia="Times New Roman" w:cs="Times New Roman"/>
          <w:szCs w:val="24"/>
          <w:shd w:val="clear" w:color="auto" w:fill="FFFFFF"/>
        </w:rPr>
        <w:t xml:space="preserve">, „Rejent” 2006, z. 5 (181), s. 44 i n., za: A. J. Szereda (red.), </w:t>
      </w:r>
      <w:r w:rsidRPr="00D36DC9">
        <w:rPr>
          <w:rFonts w:eastAsia="Times New Roman" w:cs="Times New Roman"/>
          <w:i/>
          <w:szCs w:val="24"/>
          <w:shd w:val="clear" w:color="auto" w:fill="FFFFFF"/>
        </w:rPr>
        <w:t>Prawo o notariacie. Komentarz</w:t>
      </w:r>
      <w:r w:rsidRPr="00D36DC9">
        <w:rPr>
          <w:rFonts w:eastAsia="Times New Roman" w:cs="Times New Roman"/>
          <w:szCs w:val="24"/>
          <w:shd w:val="clear" w:color="auto" w:fill="FFFFFF"/>
        </w:rPr>
        <w:t>, Warszawa 2022, Legalis).</w:t>
      </w:r>
    </w:p>
    <w:p w14:paraId="23B3CA8B" w14:textId="37C63E05" w:rsidR="00C8404C" w:rsidRPr="00D36DC9" w:rsidRDefault="00A41C60" w:rsidP="00D46F89">
      <w:pPr>
        <w:widowControl/>
        <w:suppressAutoHyphens/>
        <w:spacing w:before="120"/>
        <w:jc w:val="both"/>
        <w:rPr>
          <w:rFonts w:eastAsia="Times New Roman" w:cs="Times New Roman"/>
          <w:szCs w:val="24"/>
          <w:shd w:val="clear" w:color="auto" w:fill="FFFFFF"/>
        </w:rPr>
      </w:pPr>
      <w:r w:rsidRPr="00D36DC9">
        <w:rPr>
          <w:rFonts w:eastAsia="Times New Roman" w:cs="Times New Roman"/>
          <w:szCs w:val="24"/>
          <w:shd w:val="clear" w:color="auto" w:fill="FFFFFF"/>
        </w:rPr>
        <w:t xml:space="preserve">Rozwiązanie to stanowi </w:t>
      </w:r>
      <w:r w:rsidR="00F463BF" w:rsidRPr="00D36DC9">
        <w:rPr>
          <w:rFonts w:eastAsia="Times New Roman" w:cs="Times New Roman"/>
          <w:szCs w:val="24"/>
          <w:shd w:val="clear" w:color="auto" w:fill="FFFFFF"/>
        </w:rPr>
        <w:t>uregulowanie</w:t>
      </w:r>
      <w:r w:rsidRPr="00D36DC9">
        <w:rPr>
          <w:rFonts w:eastAsia="Times New Roman" w:cs="Times New Roman"/>
          <w:szCs w:val="24"/>
          <w:shd w:val="clear" w:color="auto" w:fill="FFFFFF"/>
        </w:rPr>
        <w:t xml:space="preserve"> podnoszone</w:t>
      </w:r>
      <w:r w:rsidR="00F463BF" w:rsidRPr="00D36DC9">
        <w:rPr>
          <w:rFonts w:eastAsia="Times New Roman" w:cs="Times New Roman"/>
          <w:szCs w:val="24"/>
          <w:shd w:val="clear" w:color="auto" w:fill="FFFFFF"/>
        </w:rPr>
        <w:t>j</w:t>
      </w:r>
      <w:r w:rsidRPr="00D36DC9">
        <w:rPr>
          <w:rFonts w:eastAsia="Times New Roman" w:cs="Times New Roman"/>
          <w:szCs w:val="24"/>
          <w:shd w:val="clear" w:color="auto" w:fill="FFFFFF"/>
        </w:rPr>
        <w:t xml:space="preserve"> od wielu lat w doktrynie</w:t>
      </w:r>
      <w:r w:rsidR="00F463BF" w:rsidRPr="00D36DC9">
        <w:rPr>
          <w:rFonts w:eastAsia="Times New Roman" w:cs="Times New Roman"/>
          <w:szCs w:val="24"/>
          <w:shd w:val="clear" w:color="auto" w:fill="FFFFFF"/>
        </w:rPr>
        <w:t xml:space="preserve"> i orzecznictwie kwestii statusu notariusza jako szczególnego rodzaju przedstawiciela zawodów prawniczych, stojącego na straży bezpieczeństwa obrotu i zobowiązanego do bezstronności podczas dokonywania czynności notarialnych: „</w:t>
      </w:r>
      <w:r w:rsidR="00C8404C" w:rsidRPr="00D36DC9">
        <w:rPr>
          <w:rFonts w:eastAsia="Times New Roman" w:cs="Times New Roman"/>
          <w:szCs w:val="24"/>
          <w:shd w:val="clear" w:color="auto" w:fill="FFFFFF"/>
        </w:rPr>
        <w:t>Notariusz nie jest świadczącym określone usługi prawne wolnym zawodem prawniczym, a raczej szczególnego rodzaju funkcjonariuszem publicznym powiązanym organizacyjnie z wymiarem sprawiedliwości. Innymi słowy, notariuszom przyznano status przedstawicieli władzy publicznej, na których ciążą obowiązki wykonywania określonych czynności urzędowych</w:t>
      </w:r>
      <w:r w:rsidR="00F463BF" w:rsidRPr="00D36DC9">
        <w:rPr>
          <w:rFonts w:eastAsia="Times New Roman" w:cs="Times New Roman"/>
          <w:szCs w:val="24"/>
          <w:shd w:val="clear" w:color="auto" w:fill="FFFFFF"/>
        </w:rPr>
        <w:t>”</w:t>
      </w:r>
      <w:r w:rsidR="00C8404C" w:rsidRPr="00D36DC9">
        <w:rPr>
          <w:rFonts w:eastAsia="Times New Roman" w:cs="Times New Roman"/>
          <w:szCs w:val="24"/>
          <w:shd w:val="clear" w:color="auto" w:fill="FFFFFF"/>
        </w:rPr>
        <w:t xml:space="preserve"> (postanowienie T</w:t>
      </w:r>
      <w:r w:rsidR="00771C17" w:rsidRPr="00D36DC9">
        <w:rPr>
          <w:rFonts w:eastAsia="Times New Roman" w:cs="Times New Roman"/>
          <w:szCs w:val="24"/>
          <w:shd w:val="clear" w:color="auto" w:fill="FFFFFF"/>
        </w:rPr>
        <w:t>rybunału</w:t>
      </w:r>
      <w:r w:rsidR="002901A9">
        <w:rPr>
          <w:rFonts w:eastAsia="Times New Roman" w:cs="Times New Roman"/>
          <w:szCs w:val="24"/>
          <w:shd w:val="clear" w:color="auto" w:fill="FFFFFF"/>
        </w:rPr>
        <w:t xml:space="preserve"> </w:t>
      </w:r>
      <w:r w:rsidR="00F463BF" w:rsidRPr="00D36DC9">
        <w:rPr>
          <w:rFonts w:eastAsia="Times New Roman" w:cs="Times New Roman"/>
          <w:szCs w:val="24"/>
          <w:shd w:val="clear" w:color="auto" w:fill="FFFFFF"/>
        </w:rPr>
        <w:t>Konstytucyjnego</w:t>
      </w:r>
      <w:r w:rsidR="00D94D60" w:rsidRPr="00D36DC9">
        <w:rPr>
          <w:rFonts w:eastAsia="Times New Roman" w:cs="Times New Roman"/>
          <w:szCs w:val="24"/>
          <w:shd w:val="clear" w:color="auto" w:fill="FFFFFF"/>
        </w:rPr>
        <w:t xml:space="preserve"> </w:t>
      </w:r>
      <w:r w:rsidR="00C8404C" w:rsidRPr="00D36DC9">
        <w:rPr>
          <w:rFonts w:eastAsia="Times New Roman" w:cs="Times New Roman"/>
          <w:szCs w:val="24"/>
          <w:shd w:val="clear" w:color="auto" w:fill="FFFFFF"/>
        </w:rPr>
        <w:t xml:space="preserve"> z</w:t>
      </w:r>
      <w:r w:rsidR="00771C17" w:rsidRPr="00D36DC9">
        <w:rPr>
          <w:rFonts w:eastAsia="Times New Roman" w:cs="Times New Roman"/>
          <w:szCs w:val="24"/>
          <w:shd w:val="clear" w:color="auto" w:fill="FFFFFF"/>
        </w:rPr>
        <w:t xml:space="preserve"> dnia </w:t>
      </w:r>
      <w:r w:rsidR="00C8404C" w:rsidRPr="00D36DC9">
        <w:rPr>
          <w:rFonts w:eastAsia="Times New Roman" w:cs="Times New Roman"/>
          <w:szCs w:val="24"/>
          <w:shd w:val="clear" w:color="auto" w:fill="FFFFFF"/>
        </w:rPr>
        <w:t xml:space="preserve">17 grudnia 2008 r., sygn. </w:t>
      </w:r>
      <w:r w:rsidR="00771C17" w:rsidRPr="00D36DC9">
        <w:rPr>
          <w:rFonts w:eastAsia="Times New Roman" w:cs="Times New Roman"/>
          <w:szCs w:val="24"/>
          <w:shd w:val="clear" w:color="auto" w:fill="FFFFFF"/>
        </w:rPr>
        <w:t>akt.</w:t>
      </w:r>
      <w:r w:rsidR="00C8404C" w:rsidRPr="00D36DC9">
        <w:rPr>
          <w:rFonts w:eastAsia="Times New Roman" w:cs="Times New Roman"/>
          <w:szCs w:val="24"/>
          <w:shd w:val="clear" w:color="auto" w:fill="FFFFFF"/>
        </w:rPr>
        <w:t>Ts 255/07).</w:t>
      </w:r>
    </w:p>
    <w:p w14:paraId="73230F61" w14:textId="0A9323E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Rozwiązanie z art. 2 § 1 </w:t>
      </w:r>
      <w:r w:rsidR="002901A9">
        <w:rPr>
          <w:rFonts w:eastAsia="Times New Roman" w:cs="Times New Roman"/>
          <w:bCs/>
          <w:szCs w:val="24"/>
        </w:rPr>
        <w:t xml:space="preserve">projektowanej  </w:t>
      </w:r>
      <w:r w:rsidRPr="00D36DC9">
        <w:rPr>
          <w:rFonts w:eastAsia="Times New Roman" w:cs="Times New Roman"/>
          <w:bCs/>
          <w:szCs w:val="24"/>
        </w:rPr>
        <w:t xml:space="preserve">ustawy – Prawo o notariacie to rozwiązanie, które nawiązuje wprost do rozwiązań istniejących przynajmniej od 1945 r. w prawie francuskim. </w:t>
      </w:r>
    </w:p>
    <w:p w14:paraId="2311F852" w14:textId="4F0DAC9D"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Ten status notariuszy w prawie francuskim wprowadziło pozostające w mocy rozporządzenie (z mocą ustawy) francuskiego rządu z dnia 2 listopada 1945 r. (</w:t>
      </w:r>
      <w:r w:rsidRPr="00D36DC9">
        <w:rPr>
          <w:rFonts w:eastAsia="Times New Roman" w:cs="Times New Roman"/>
          <w:bCs/>
          <w:i/>
          <w:iCs/>
          <w:szCs w:val="24"/>
        </w:rPr>
        <w:t>Ordonnance n° 45-2590 du</w:t>
      </w:r>
      <w:r w:rsidR="00D94D60" w:rsidRPr="00D36DC9">
        <w:rPr>
          <w:rFonts w:eastAsia="Times New Roman" w:cs="Times New Roman"/>
          <w:bCs/>
          <w:i/>
          <w:iCs/>
          <w:szCs w:val="24"/>
        </w:rPr>
        <w:br/>
      </w:r>
      <w:r w:rsidRPr="00D36DC9">
        <w:rPr>
          <w:rFonts w:eastAsia="Times New Roman" w:cs="Times New Roman"/>
          <w:bCs/>
          <w:i/>
          <w:iCs/>
          <w:szCs w:val="24"/>
        </w:rPr>
        <w:t>2 novembre 1945 relative au statut du notariat</w:t>
      </w:r>
      <w:r w:rsidRPr="00D36DC9">
        <w:rPr>
          <w:rFonts w:eastAsia="Times New Roman" w:cs="Times New Roman"/>
          <w:bCs/>
          <w:szCs w:val="24"/>
        </w:rPr>
        <w:t>). Zgodnie z art. 1 tego rozporządzenia notariusze są funkcjonariuszami państwowymi (</w:t>
      </w:r>
      <w:r w:rsidRPr="00D36DC9">
        <w:rPr>
          <w:rFonts w:eastAsia="Times New Roman" w:cs="Times New Roman"/>
          <w:bCs/>
          <w:i/>
          <w:iCs/>
          <w:szCs w:val="24"/>
        </w:rPr>
        <w:t>officier publique</w:t>
      </w:r>
      <w:r w:rsidRPr="00D36DC9">
        <w:rPr>
          <w:rFonts w:eastAsia="Times New Roman" w:cs="Times New Roman"/>
          <w:bCs/>
          <w:szCs w:val="24"/>
        </w:rPr>
        <w:t xml:space="preserve">). </w:t>
      </w:r>
    </w:p>
    <w:p w14:paraId="037033D7" w14:textId="7C5E481C"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Status notariusza jako funkcjonariusza publicznego w francuskim porządku prawnym oznacza, że notariusz, działając w imieniu państwa, jest powoływany przez organ władzy państwowej (Ministra Sprawiedliwości), korzysta z prerogatyw władzy publicznej, którą otrzymuje </w:t>
      </w:r>
      <w:r w:rsidR="005917FB" w:rsidRPr="00D36DC9">
        <w:rPr>
          <w:rFonts w:eastAsia="Times New Roman" w:cs="Times New Roman"/>
          <w:bCs/>
          <w:szCs w:val="24"/>
        </w:rPr>
        <w:br/>
      </w:r>
      <w:r w:rsidRPr="00D36DC9">
        <w:rPr>
          <w:rFonts w:eastAsia="Times New Roman" w:cs="Times New Roman"/>
          <w:bCs/>
          <w:szCs w:val="24"/>
        </w:rPr>
        <w:lastRenderedPageBreak/>
        <w:t xml:space="preserve">od państwa, w zakresie potwierdzania autentyczności dokumentów i wydawania dokumentów urzędowych. </w:t>
      </w:r>
    </w:p>
    <w:p w14:paraId="02816E9D" w14:textId="23FDD145"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Rolą notariusza jako funkcjonariusza publicznego we francuskim porządku prawnym jest zabezpieczenie stosunków prawnych w najważniejszych czynnościach życia osobistego </w:t>
      </w:r>
      <w:r w:rsidR="00D36DC9">
        <w:rPr>
          <w:rFonts w:eastAsia="Times New Roman" w:cs="Times New Roman"/>
          <w:bCs/>
          <w:szCs w:val="24"/>
        </w:rPr>
        <w:br/>
      </w:r>
      <w:r w:rsidRPr="00D36DC9">
        <w:rPr>
          <w:rFonts w:eastAsia="Times New Roman" w:cs="Times New Roman"/>
          <w:bCs/>
          <w:szCs w:val="24"/>
        </w:rPr>
        <w:t>(np.</w:t>
      </w:r>
      <w:r w:rsidR="00D36DC9">
        <w:rPr>
          <w:rFonts w:eastAsia="Times New Roman" w:cs="Times New Roman"/>
          <w:bCs/>
          <w:szCs w:val="24"/>
        </w:rPr>
        <w:t xml:space="preserve"> </w:t>
      </w:r>
      <w:r w:rsidRPr="00D36DC9">
        <w:rPr>
          <w:rFonts w:eastAsia="Times New Roman" w:cs="Times New Roman"/>
          <w:bCs/>
          <w:szCs w:val="24"/>
        </w:rPr>
        <w:t xml:space="preserve">w zakresie prawa spadkowego oraz rzeczowego) i gospodarczego (w zakresie prawa spółek </w:t>
      </w:r>
      <w:r w:rsidR="00D94D60" w:rsidRPr="00D36DC9">
        <w:rPr>
          <w:rFonts w:eastAsia="Times New Roman" w:cs="Times New Roman"/>
          <w:bCs/>
          <w:szCs w:val="24"/>
        </w:rPr>
        <w:br/>
      </w:r>
      <w:r w:rsidRPr="00D36DC9">
        <w:rPr>
          <w:rFonts w:eastAsia="Times New Roman" w:cs="Times New Roman"/>
          <w:bCs/>
          <w:szCs w:val="24"/>
        </w:rPr>
        <w:t>– np. sporządzenie umowy spółki) obywateli oraz zagwarantowanie wartości przeprowadzonych transakcji. Prawo francuskie przewiduje również obligatoryjne odwołanie do czynności notariusza w niektórych obszarach prawa rodzinnego, takich jak np. sporządzenie umowy majątkowej małżeńskiej lub ogłoszenie rozwodu za obopólną zgodą małżonków.</w:t>
      </w:r>
    </w:p>
    <w:p w14:paraId="3A7D36A8" w14:textId="70CAD0E0"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Status notariusza jako funkcjonariusza publicznego jest potwierdzony obowiązkiem stosowania się przez notariuszy francuskich do wymogów deontologicznych określonych przez organy samorządu zawodowego. Francuska ustawa z dnia 22 grudnia 2021 r. o zaufaniu do wymiaru sprawiedliwości (</w:t>
      </w:r>
      <w:r w:rsidRPr="00D36DC9">
        <w:rPr>
          <w:rFonts w:eastAsia="Times New Roman" w:cs="Times New Roman"/>
          <w:bCs/>
          <w:i/>
          <w:iCs/>
          <w:szCs w:val="24"/>
        </w:rPr>
        <w:t>Loi n° 2021-1729 du 22 décembre 2021 pour la confiance dans l'institution judiciaire</w:t>
      </w:r>
      <w:r w:rsidRPr="00D36DC9">
        <w:rPr>
          <w:rFonts w:eastAsia="Times New Roman" w:cs="Times New Roman"/>
          <w:bCs/>
          <w:szCs w:val="24"/>
        </w:rPr>
        <w:t xml:space="preserve">) upoważniła francuską Naczelną Radę Notarialną do przygotowania kodeksu etycznego obowiązującego wszystkich notariuszy we Francji. Kodeks ten jest przyjmowany </w:t>
      </w:r>
      <w:r w:rsidR="005917FB" w:rsidRPr="00D36DC9">
        <w:rPr>
          <w:rFonts w:eastAsia="Times New Roman" w:cs="Times New Roman"/>
          <w:bCs/>
          <w:szCs w:val="24"/>
        </w:rPr>
        <w:br/>
      </w:r>
      <w:r w:rsidRPr="00D36DC9">
        <w:rPr>
          <w:rFonts w:eastAsia="Times New Roman" w:cs="Times New Roman"/>
          <w:bCs/>
          <w:szCs w:val="24"/>
        </w:rPr>
        <w:t xml:space="preserve">w formie dekretu przez francuską Radę Stanu. </w:t>
      </w:r>
    </w:p>
    <w:p w14:paraId="70A698A8"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Status notariuszy jako urzędników państwowych jest podkreślony przez wykonywanie przez notariuszy swoich czynności w ramach kancelarii notarialnych, których siedziby są wyznaczane i modyfikowane przez francuskiego Ministra Sprawiedliwości, w celu zapewnienia właściwego objęcia dostępem do usług notarialnych całości terytorium państwa. </w:t>
      </w:r>
    </w:p>
    <w:p w14:paraId="423B5CC4" w14:textId="23A85795" w:rsidR="00D46F89" w:rsidRPr="00D36DC9" w:rsidRDefault="00D94D60"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Opisywaną </w:t>
      </w:r>
      <w:r w:rsidR="00D46F89" w:rsidRPr="00D36DC9">
        <w:rPr>
          <w:rFonts w:eastAsia="Times New Roman" w:cs="Times New Roman"/>
          <w:bCs/>
          <w:szCs w:val="24"/>
        </w:rPr>
        <w:t xml:space="preserve">w komentarzach doktryny francuskiej cechą funkcji notariusza wskazującą na jego charakter funkcjonariusza publicznego jest system surowych sankcji dyscyplinarnych </w:t>
      </w:r>
      <w:r w:rsidR="005917FB" w:rsidRPr="00D36DC9">
        <w:rPr>
          <w:rFonts w:eastAsia="Times New Roman" w:cs="Times New Roman"/>
          <w:bCs/>
          <w:szCs w:val="24"/>
        </w:rPr>
        <w:br/>
      </w:r>
      <w:r w:rsidR="00D46F89" w:rsidRPr="00D36DC9">
        <w:rPr>
          <w:rFonts w:eastAsia="Times New Roman" w:cs="Times New Roman"/>
          <w:bCs/>
          <w:szCs w:val="24"/>
        </w:rPr>
        <w:t>i karnych za naruszanie obowiązków i nadużywanie uprawnień przez notariuszy.</w:t>
      </w:r>
    </w:p>
    <w:p w14:paraId="7A62AF3B" w14:textId="49D518CD" w:rsidR="00D46F8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Mając na względzie przedstawione informacje, należy skonstatować, że projektowana regulacja nawiązuje do dobrych, sprawdzonych wzorów, zarówno polskich – przedwojennych, jak </w:t>
      </w:r>
      <w:r w:rsidR="005917FB" w:rsidRPr="00D36DC9">
        <w:rPr>
          <w:rFonts w:eastAsia="Times New Roman" w:cs="Times New Roman"/>
          <w:bCs/>
          <w:szCs w:val="24"/>
        </w:rPr>
        <w:br/>
      </w:r>
      <w:r w:rsidRPr="00D36DC9">
        <w:rPr>
          <w:rFonts w:eastAsia="Times New Roman" w:cs="Times New Roman"/>
          <w:bCs/>
          <w:szCs w:val="24"/>
        </w:rPr>
        <w:t>i europejskich.</w:t>
      </w:r>
    </w:p>
    <w:p w14:paraId="0F25600B" w14:textId="77777777" w:rsidR="002901A9" w:rsidRPr="00D36DC9" w:rsidRDefault="002901A9" w:rsidP="00D46F89">
      <w:pPr>
        <w:widowControl/>
        <w:suppressAutoHyphens/>
        <w:spacing w:before="120"/>
        <w:jc w:val="both"/>
        <w:rPr>
          <w:rFonts w:eastAsia="Times New Roman" w:cs="Times New Roman"/>
          <w:bCs/>
          <w:szCs w:val="24"/>
        </w:rPr>
      </w:pPr>
    </w:p>
    <w:p w14:paraId="36E95715" w14:textId="76BFB10E" w:rsidR="00D46F89" w:rsidRPr="00D36DC9" w:rsidRDefault="00D46F89" w:rsidP="00D46F89">
      <w:pPr>
        <w:widowControl/>
        <w:tabs>
          <w:tab w:val="left" w:pos="426"/>
        </w:tabs>
        <w:suppressAutoHyphens/>
        <w:spacing w:before="120"/>
        <w:jc w:val="both"/>
        <w:rPr>
          <w:rFonts w:eastAsia="Calibri" w:cs="Times New Roman"/>
          <w:szCs w:val="24"/>
          <w:lang w:eastAsia="en-US"/>
        </w:rPr>
      </w:pPr>
      <w:r w:rsidRPr="00D36DC9">
        <w:rPr>
          <w:rFonts w:eastAsia="Times New Roman" w:cs="Times New Roman"/>
          <w:bCs/>
          <w:szCs w:val="24"/>
        </w:rPr>
        <w:t>2.</w:t>
      </w:r>
      <w:r w:rsidRPr="00D36DC9">
        <w:rPr>
          <w:rFonts w:eastAsia="Times New Roman" w:cs="Times New Roman"/>
          <w:bCs/>
          <w:szCs w:val="24"/>
        </w:rPr>
        <w:tab/>
      </w:r>
      <w:r w:rsidRPr="00D36DC9">
        <w:rPr>
          <w:rFonts w:eastAsia="Calibri" w:cs="Times New Roman"/>
          <w:szCs w:val="24"/>
          <w:lang w:eastAsia="en-US"/>
        </w:rPr>
        <w:t>Projektowane rozwiązania umożliwiające notariuszom</w:t>
      </w:r>
      <w:r w:rsidR="00771C17" w:rsidRPr="00D36DC9">
        <w:rPr>
          <w:rFonts w:eastAsia="Calibri" w:cs="Times New Roman"/>
          <w:szCs w:val="24"/>
          <w:lang w:eastAsia="en-US"/>
        </w:rPr>
        <w:t xml:space="preserve">, a także </w:t>
      </w:r>
      <w:r w:rsidR="006F4B73" w:rsidRPr="00D36DC9">
        <w:rPr>
          <w:rFonts w:eastAsia="Calibri" w:cs="Times New Roman"/>
          <w:szCs w:val="24"/>
          <w:lang w:eastAsia="en-US"/>
        </w:rPr>
        <w:t>zastępcom notarialnym</w:t>
      </w:r>
      <w:r w:rsidR="00D94D60" w:rsidRPr="00D36DC9">
        <w:rPr>
          <w:rFonts w:eastAsia="Calibri" w:cs="Times New Roman"/>
          <w:szCs w:val="24"/>
          <w:lang w:eastAsia="en-US"/>
        </w:rPr>
        <w:t>,</w:t>
      </w:r>
      <w:r w:rsidRPr="00D36DC9">
        <w:rPr>
          <w:rFonts w:eastAsia="Calibri" w:cs="Times New Roman"/>
          <w:szCs w:val="24"/>
          <w:lang w:eastAsia="en-US"/>
        </w:rPr>
        <w:t xml:space="preserve"> dokonywanie</w:t>
      </w:r>
      <w:r w:rsidR="00D36DC9">
        <w:rPr>
          <w:rFonts w:eastAsia="Calibri" w:cs="Times New Roman"/>
          <w:szCs w:val="24"/>
          <w:lang w:eastAsia="en-US"/>
        </w:rPr>
        <w:t xml:space="preserve"> </w:t>
      </w:r>
      <w:r w:rsidRPr="00D36DC9">
        <w:rPr>
          <w:rFonts w:eastAsia="Calibri" w:cs="Times New Roman"/>
          <w:szCs w:val="24"/>
          <w:lang w:eastAsia="en-US"/>
        </w:rPr>
        <w:t xml:space="preserve">w określonych przypadkach wpisów w księgach wieczystych odpowiadają na zapotrzebowanie społeczne, tak aby umowy przenoszące prawo własności i ustanawiające ograniczone prawa rzeczowe były wykonywane niezwłocznie. </w:t>
      </w:r>
    </w:p>
    <w:p w14:paraId="30BE82CB"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Calibri" w:cs="Times New Roman"/>
          <w:bCs/>
          <w:szCs w:val="24"/>
          <w:lang w:eastAsia="en-US"/>
        </w:rPr>
        <w:lastRenderedPageBreak/>
        <w:t xml:space="preserve">Analiza sytuacji kredytobiorców oczekujących na wpis do księgi wieczystej, ponoszących koszty zwiększonej marży („pomostowej”), pokazuje, że </w:t>
      </w:r>
      <w:r w:rsidRPr="00D36DC9">
        <w:rPr>
          <w:rFonts w:eastAsia="Calibri" w:cs="Times New Roman"/>
          <w:szCs w:val="24"/>
          <w:lang w:eastAsia="en-US"/>
        </w:rPr>
        <w:t>konieczne jest podejmowanie działań mających na celu usprawnienie i przyspieszenie procesu dokonywania wpisów i tym samym poprawa efektywności działania systemu związanego z obrotem nieruchomościami, przy jednoczesnym ułatwieniu obywatelom uzyskiwania wpisów ustanawianej na ich rzecz własności i równoczesnej redukcji kosztów kredytów hipotecznych.</w:t>
      </w:r>
    </w:p>
    <w:p w14:paraId="17AC6823" w14:textId="121C77A9"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 tego względu projektowana ustawa przyznaje notariuszom uprawnienie do dokonywania </w:t>
      </w:r>
      <w:r w:rsidR="005917FB" w:rsidRPr="00D36DC9">
        <w:rPr>
          <w:rFonts w:eastAsia="Times New Roman" w:cs="Times New Roman"/>
          <w:bCs/>
          <w:szCs w:val="24"/>
        </w:rPr>
        <w:br/>
      </w:r>
      <w:r w:rsidRPr="00D36DC9">
        <w:rPr>
          <w:rFonts w:eastAsia="Times New Roman" w:cs="Times New Roman"/>
          <w:bCs/>
          <w:szCs w:val="24"/>
        </w:rPr>
        <w:t>w księgach wieczystych wpisów własności nieruchomości związanych z ustanowieniem odrębnej własności lokali oraz ustanowieniem i obciążeniem odrębnej własności lokalu ograniczonymi prawami rzeczowymi oraz innymi roszczeniami dotyczącymi tego lokalu. Chodzi przede wszystkim o zakładanie nowych ksiąg wieczystych przez wyodrębnienie nieruchomości lokalowej z zabudowanej nieruchomości gruntowej, a także o wpis hipoteki obciążającej nieruchomość. Jeżeli chodzi o wpisy dotyczące ograniczonych praw rzeczowych, to będą one przez notariusza dokonywane jedynie w zakresie niezbędnym dla ustanowienia odrębnej własności lokalu.</w:t>
      </w:r>
    </w:p>
    <w:p w14:paraId="4C23B7A5" w14:textId="16BB7AA0"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Powierzenie dokonywania wpisów do ksiąg wieczystych notariuszom ma stanowić alternatywne rozwiązanie, uzależnione od woli stron. Nadal zostanie utrzymane rozwiązanie dotyczące dokonywania wpisów do ksiąg wieczystych przez sądy. W konsekwencji </w:t>
      </w:r>
      <w:r w:rsidR="005917FB" w:rsidRPr="00D36DC9">
        <w:rPr>
          <w:rFonts w:eastAsia="Times New Roman" w:cs="Times New Roman"/>
          <w:bCs/>
          <w:szCs w:val="24"/>
        </w:rPr>
        <w:br/>
      </w:r>
      <w:r w:rsidRPr="00D36DC9">
        <w:rPr>
          <w:rFonts w:eastAsia="Times New Roman" w:cs="Times New Roman"/>
          <w:bCs/>
          <w:szCs w:val="24"/>
        </w:rPr>
        <w:t xml:space="preserve">to obywatelom i innym uczestnikom obrotu prawnego będzie przysługiwać prawo </w:t>
      </w:r>
      <w:r w:rsidR="00BA2F89" w:rsidRPr="00D36DC9">
        <w:rPr>
          <w:rFonts w:eastAsia="Times New Roman" w:cs="Times New Roman"/>
          <w:bCs/>
          <w:szCs w:val="24"/>
        </w:rPr>
        <w:br/>
      </w:r>
      <w:r w:rsidRPr="00D36DC9">
        <w:rPr>
          <w:rFonts w:eastAsia="Times New Roman" w:cs="Times New Roman"/>
          <w:bCs/>
          <w:szCs w:val="24"/>
        </w:rPr>
        <w:t xml:space="preserve">do dokonania wyboru sposobu dokonania wpisu tych praw do księgi wieczystej. Wpisów będą dokonywać jedynie notariusze, którzy wyrażą takie zainteresowanie, dlatego rozwiązanie to </w:t>
      </w:r>
      <w:r w:rsidR="00BA2F89" w:rsidRPr="00D36DC9">
        <w:rPr>
          <w:rFonts w:eastAsia="Times New Roman" w:cs="Times New Roman"/>
          <w:bCs/>
          <w:szCs w:val="24"/>
        </w:rPr>
        <w:br/>
      </w:r>
      <w:r w:rsidRPr="00D36DC9">
        <w:rPr>
          <w:rFonts w:eastAsia="Times New Roman" w:cs="Times New Roman"/>
          <w:bCs/>
          <w:szCs w:val="24"/>
        </w:rPr>
        <w:t>nie wpłynie niekorzystnie na dostępność obywateli i przedsiębiorców do innych usług świadczonych przez notariuszy, a także na konkurencyjność usług świadczonych przez różne grupy notariuszy.</w:t>
      </w:r>
    </w:p>
    <w:p w14:paraId="1148FFDF" w14:textId="005909F8"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Uprawnienie do dokonywania wpisów do ksiąg wieczystych (i wydawania notarialnych nakazów zapłaty) będzie przysługiwało jedynie notariuszom</w:t>
      </w:r>
      <w:r w:rsidR="006F4B73" w:rsidRPr="00D36DC9">
        <w:rPr>
          <w:rFonts w:eastAsia="Times New Roman" w:cs="Times New Roman"/>
          <w:bCs/>
          <w:szCs w:val="24"/>
        </w:rPr>
        <w:t xml:space="preserve"> i</w:t>
      </w:r>
      <w:r w:rsidR="00DB44AF" w:rsidRPr="00D36DC9">
        <w:rPr>
          <w:rFonts w:eastAsia="Times New Roman" w:cs="Times New Roman"/>
          <w:bCs/>
          <w:szCs w:val="24"/>
        </w:rPr>
        <w:t xml:space="preserve"> </w:t>
      </w:r>
      <w:r w:rsidR="00C8404C" w:rsidRPr="00D36DC9">
        <w:rPr>
          <w:rFonts w:eastAsia="Times New Roman" w:cs="Times New Roman"/>
          <w:bCs/>
          <w:szCs w:val="24"/>
        </w:rPr>
        <w:t>zastępc</w:t>
      </w:r>
      <w:r w:rsidR="00DB44AF" w:rsidRPr="00D36DC9">
        <w:rPr>
          <w:rFonts w:eastAsia="Times New Roman" w:cs="Times New Roman"/>
          <w:bCs/>
          <w:szCs w:val="24"/>
        </w:rPr>
        <w:t>om</w:t>
      </w:r>
      <w:r w:rsidR="00C8404C" w:rsidRPr="00D36DC9">
        <w:rPr>
          <w:rFonts w:eastAsia="Times New Roman" w:cs="Times New Roman"/>
          <w:bCs/>
          <w:szCs w:val="24"/>
        </w:rPr>
        <w:t xml:space="preserve"> notarialnym</w:t>
      </w:r>
      <w:r w:rsidR="006F4B73" w:rsidRPr="00D36DC9">
        <w:t xml:space="preserve"> </w:t>
      </w:r>
      <w:r w:rsidRPr="00D36DC9">
        <w:rPr>
          <w:rFonts w:eastAsia="Times New Roman" w:cs="Times New Roman"/>
          <w:bCs/>
          <w:szCs w:val="24"/>
        </w:rPr>
        <w:t xml:space="preserve">spełniającym określone ustawą wymagania, tj. legitymującym się </w:t>
      </w:r>
      <w:r w:rsidR="00C8404C" w:rsidRPr="00D36DC9">
        <w:rPr>
          <w:rFonts w:eastAsia="Times New Roman" w:cs="Times New Roman"/>
          <w:bCs/>
          <w:szCs w:val="24"/>
        </w:rPr>
        <w:t>2</w:t>
      </w:r>
      <w:r w:rsidRPr="00D36DC9">
        <w:rPr>
          <w:rFonts w:eastAsia="Times New Roman" w:cs="Times New Roman"/>
          <w:bCs/>
          <w:szCs w:val="24"/>
        </w:rPr>
        <w:t>-letnim okresem nienagannego prowadzenia kancelarii</w:t>
      </w:r>
      <w:r w:rsidR="004B0C04" w:rsidRPr="00D36DC9">
        <w:rPr>
          <w:rFonts w:eastAsia="Times New Roman" w:cs="Times New Roman"/>
          <w:bCs/>
          <w:szCs w:val="24"/>
        </w:rPr>
        <w:t>,</w:t>
      </w:r>
      <w:r w:rsidR="00C8404C" w:rsidRPr="00D36DC9">
        <w:rPr>
          <w:rFonts w:eastAsia="Times New Roman" w:cs="Times New Roman"/>
          <w:bCs/>
          <w:szCs w:val="24"/>
        </w:rPr>
        <w:t xml:space="preserve"> a w </w:t>
      </w:r>
      <w:r w:rsidR="00C8404C" w:rsidRPr="00D36DC9">
        <w:rPr>
          <w:rFonts w:eastAsia="Calibri" w:cs="Times New Roman"/>
          <w:spacing w:val="-2"/>
        </w:rPr>
        <w:t>przypadku zastępców notarialnych</w:t>
      </w:r>
      <w:r w:rsidR="004B0C04" w:rsidRPr="00D36DC9">
        <w:rPr>
          <w:rFonts w:eastAsia="Calibri" w:cs="Times New Roman"/>
          <w:spacing w:val="-2"/>
        </w:rPr>
        <w:t>,</w:t>
      </w:r>
      <w:r w:rsidR="00C8404C" w:rsidRPr="00D36DC9">
        <w:rPr>
          <w:rFonts w:eastAsia="Calibri" w:cs="Times New Roman"/>
          <w:spacing w:val="-2"/>
        </w:rPr>
        <w:t xml:space="preserve"> </w:t>
      </w:r>
      <w:r w:rsidR="006F4B73" w:rsidRPr="00D36DC9">
        <w:t>po upływie co najmniej 2 lat okresu zatrudnienia w tym charakterze w kancelarii notarialnej, jeżeli nie wydano przeciwko nim prawomocnego orzeczenia o nałożeniu kary dyscyplinarnej.</w:t>
      </w:r>
      <w:r w:rsidRPr="00D36DC9">
        <w:rPr>
          <w:rFonts w:eastAsia="Times New Roman" w:cs="Times New Roman"/>
          <w:bCs/>
          <w:szCs w:val="24"/>
        </w:rPr>
        <w:t xml:space="preserve"> </w:t>
      </w:r>
      <w:r w:rsidRPr="00D36DC9">
        <w:rPr>
          <w:rFonts w:eastAsia="Calibri" w:cs="Times New Roman"/>
          <w:szCs w:val="24"/>
          <w:lang w:eastAsia="en-US"/>
        </w:rPr>
        <w:t>Wymóg ten jest podyktowany koniecznością zapewnienia odpowiedniego poziomu merytorycznego notariuszy</w:t>
      </w:r>
      <w:r w:rsidR="006F4B73" w:rsidRPr="00D36DC9">
        <w:rPr>
          <w:rFonts w:eastAsia="Calibri" w:cs="Times New Roman"/>
          <w:szCs w:val="24"/>
          <w:lang w:eastAsia="en-US"/>
        </w:rPr>
        <w:t xml:space="preserve"> i</w:t>
      </w:r>
      <w:r w:rsidRPr="00D36DC9">
        <w:rPr>
          <w:rFonts w:eastAsia="Calibri" w:cs="Times New Roman"/>
          <w:szCs w:val="24"/>
          <w:lang w:eastAsia="en-US"/>
        </w:rPr>
        <w:t xml:space="preserve"> </w:t>
      </w:r>
      <w:r w:rsidR="00C8404C" w:rsidRPr="00D36DC9">
        <w:rPr>
          <w:rFonts w:eastAsia="Calibri" w:cs="Times New Roman"/>
          <w:szCs w:val="24"/>
          <w:lang w:eastAsia="en-US"/>
        </w:rPr>
        <w:t>zastępców notarialnych</w:t>
      </w:r>
      <w:r w:rsidR="00DB44AF" w:rsidRPr="00D36DC9">
        <w:t xml:space="preserve"> </w:t>
      </w:r>
      <w:r w:rsidRPr="00D36DC9">
        <w:rPr>
          <w:rFonts w:eastAsia="Calibri" w:cs="Times New Roman"/>
          <w:szCs w:val="24"/>
          <w:lang w:eastAsia="en-US"/>
        </w:rPr>
        <w:t xml:space="preserve">dokonujących wpisów. Analogiczne unormowania, odnoszące się do </w:t>
      </w:r>
      <w:r w:rsidRPr="00D36DC9">
        <w:rPr>
          <w:rFonts w:eastAsia="Calibri" w:cs="Times New Roman"/>
          <w:szCs w:val="24"/>
          <w:lang w:eastAsia="en-US"/>
        </w:rPr>
        <w:lastRenderedPageBreak/>
        <w:t xml:space="preserve">uzyskania </w:t>
      </w:r>
      <w:r w:rsidR="00523412" w:rsidRPr="00D36DC9">
        <w:rPr>
          <w:rFonts w:eastAsia="Calibri" w:cs="Times New Roman"/>
          <w:szCs w:val="24"/>
          <w:lang w:eastAsia="en-US"/>
        </w:rPr>
        <w:t xml:space="preserve">odpowiedniego </w:t>
      </w:r>
      <w:r w:rsidRPr="00D36DC9">
        <w:rPr>
          <w:rFonts w:eastAsia="Calibri" w:cs="Times New Roman"/>
          <w:szCs w:val="24"/>
          <w:lang w:eastAsia="en-US"/>
        </w:rPr>
        <w:t>doświadczenia zawodowego, funkcjonują w ustawie z dnia 15 czerwca 2007 r. o licencji doradcy restrukturyzacyjnego (art. 3 ust. 1 pkt 6).</w:t>
      </w:r>
    </w:p>
    <w:p w14:paraId="388CDA11" w14:textId="39AF7AB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związku z faktem, że z dotychczasowej praktyki sądowej wynika, że sprawy o wpis </w:t>
      </w:r>
      <w:r w:rsidR="005917FB" w:rsidRPr="00D36DC9">
        <w:rPr>
          <w:rFonts w:eastAsia="Times New Roman" w:cs="Times New Roman"/>
          <w:bCs/>
          <w:szCs w:val="24"/>
        </w:rPr>
        <w:br/>
      </w:r>
      <w:r w:rsidRPr="00D36DC9">
        <w:rPr>
          <w:rFonts w:eastAsia="Times New Roman" w:cs="Times New Roman"/>
          <w:bCs/>
          <w:szCs w:val="24"/>
        </w:rPr>
        <w:t xml:space="preserve">we wskazanych powyżej przypadkach nie nasuwają większych problemów prawnych, należy zakładać, że podobnie będzie w odniesieniu do wpisów dokonywanych przez notariuszy. </w:t>
      </w:r>
    </w:p>
    <w:p w14:paraId="0E967FAB" w14:textId="3BEA053D"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W związku z ograniczeniem projektowanych zmian tylko do wybranej kategorii czynności cywilnoprawnych ryzyko niejednolitej praktyki będzie znacznie ograniczone. Natomiast względy organizacyjne wymagają przypisania notariusza dokonującego wpisu do księgi wieczystej do sądu, który prowadzi te księgi wieczyste. W odniesieniu do procedury rozpoznawania wniosków o wpis w księdze wieczystej znajdą</w:t>
      </w:r>
      <w:r w:rsidR="000E7A3D" w:rsidRPr="00D36DC9">
        <w:rPr>
          <w:rFonts w:eastAsia="Times New Roman" w:cs="Times New Roman"/>
          <w:bCs/>
          <w:szCs w:val="24"/>
        </w:rPr>
        <w:t xml:space="preserve"> odpowiednio</w:t>
      </w:r>
      <w:r w:rsidRPr="00D36DC9">
        <w:rPr>
          <w:rFonts w:eastAsia="Times New Roman" w:cs="Times New Roman"/>
          <w:bCs/>
          <w:szCs w:val="24"/>
        </w:rPr>
        <w:t xml:space="preserve"> zastosowanie przepisy o postępowaniu wieczystoksięgowym ustawy z dnia 17 listopada 1964 r. – Kodeks postępowania cywilnego (Dz. U. z 2021 r. poz. 1805, z późn. zm.), zwanej dalej „k.p.c.”. </w:t>
      </w:r>
      <w:r w:rsidR="005917FB" w:rsidRPr="00D36DC9">
        <w:rPr>
          <w:rFonts w:eastAsia="Times New Roman" w:cs="Times New Roman"/>
          <w:bCs/>
          <w:szCs w:val="24"/>
        </w:rPr>
        <w:br/>
      </w:r>
      <w:r w:rsidRPr="00D36DC9">
        <w:rPr>
          <w:rFonts w:eastAsia="Times New Roman" w:cs="Times New Roman"/>
          <w:bCs/>
          <w:szCs w:val="24"/>
        </w:rPr>
        <w:t xml:space="preserve">Na wpis dokonany przez notariusza będzie przysługiwała skarga do sądu rejonowego, w którym jest prowadzona księga wieczysta. Po wniesieniu skargi sąd będzie rozpoznawał sprawę </w:t>
      </w:r>
      <w:r w:rsidR="005917FB" w:rsidRPr="00D36DC9">
        <w:rPr>
          <w:rFonts w:eastAsia="Times New Roman" w:cs="Times New Roman"/>
          <w:bCs/>
          <w:szCs w:val="24"/>
        </w:rPr>
        <w:br/>
      </w:r>
      <w:r w:rsidRPr="00D36DC9">
        <w:rPr>
          <w:rFonts w:eastAsia="Times New Roman" w:cs="Times New Roman"/>
          <w:bCs/>
          <w:szCs w:val="24"/>
        </w:rPr>
        <w:t xml:space="preserve">jako sąd pierwszej instancji, lecz dla zachowania zasady pewności obrotu postanowiono, </w:t>
      </w:r>
      <w:r w:rsidR="005917FB" w:rsidRPr="00D36DC9">
        <w:rPr>
          <w:rFonts w:eastAsia="Times New Roman" w:cs="Times New Roman"/>
          <w:bCs/>
          <w:szCs w:val="24"/>
        </w:rPr>
        <w:br/>
      </w:r>
      <w:r w:rsidRPr="00D36DC9">
        <w:rPr>
          <w:rFonts w:eastAsia="Times New Roman" w:cs="Times New Roman"/>
          <w:bCs/>
          <w:szCs w:val="24"/>
        </w:rPr>
        <w:t xml:space="preserve">że – analogicznie jak ma to miejsce w przypadku skargi na wpis referendarza sądowego – </w:t>
      </w:r>
      <w:r w:rsidR="005917FB" w:rsidRPr="00D36DC9">
        <w:rPr>
          <w:rFonts w:eastAsia="Times New Roman" w:cs="Times New Roman"/>
          <w:bCs/>
          <w:szCs w:val="24"/>
        </w:rPr>
        <w:br/>
      </w:r>
      <w:r w:rsidRPr="00D36DC9">
        <w:rPr>
          <w:rFonts w:eastAsia="Times New Roman" w:cs="Times New Roman"/>
          <w:bCs/>
          <w:szCs w:val="24"/>
        </w:rPr>
        <w:t>do czasu rozstrzygnięcia sprawy przez sąd wpis będzie pozostawał w mocy. Wymogi formalne skargi, a także sposób jej rozpoznania, przez odwołanie do przepisu art. 398</w:t>
      </w:r>
      <w:r w:rsidRPr="00D36DC9">
        <w:rPr>
          <w:rFonts w:eastAsia="Times New Roman" w:cs="Times New Roman"/>
          <w:bCs/>
          <w:szCs w:val="24"/>
          <w:vertAlign w:val="superscript"/>
        </w:rPr>
        <w:t>24</w:t>
      </w:r>
      <w:r w:rsidRPr="00D36DC9">
        <w:rPr>
          <w:rFonts w:eastAsia="Times New Roman" w:cs="Times New Roman"/>
          <w:bCs/>
          <w:szCs w:val="24"/>
        </w:rPr>
        <w:t xml:space="preserve"> k.p.c., zostały uregulowane analogicznie do wymogów formalnych </w:t>
      </w:r>
      <w:r w:rsidR="004B0C04" w:rsidRPr="00D36DC9">
        <w:rPr>
          <w:rFonts w:eastAsia="Times New Roman" w:cs="Times New Roman"/>
          <w:bCs/>
          <w:szCs w:val="24"/>
        </w:rPr>
        <w:t xml:space="preserve"> zażalenia </w:t>
      </w:r>
      <w:r w:rsidRPr="00D36DC9">
        <w:rPr>
          <w:rFonts w:eastAsia="Times New Roman" w:cs="Times New Roman"/>
          <w:bCs/>
          <w:szCs w:val="24"/>
        </w:rPr>
        <w:t>Przepisy dotyczące środków odwoławczych w kodeksie postępowania cywilnego są tak obszerne, że bezcelowym byłoby zastosowanie odwołania do poszczególnych jednostek redakcyjnych, stąd zastosowano odstępstwo od zasady wyrażonej</w:t>
      </w:r>
      <w:r w:rsidR="002901A9">
        <w:rPr>
          <w:rFonts w:eastAsia="Times New Roman" w:cs="Times New Roman"/>
          <w:bCs/>
          <w:szCs w:val="24"/>
        </w:rPr>
        <w:t xml:space="preserve"> </w:t>
      </w:r>
      <w:r w:rsidRPr="00D36DC9">
        <w:rPr>
          <w:rFonts w:eastAsia="Times New Roman" w:cs="Times New Roman"/>
          <w:bCs/>
          <w:szCs w:val="24"/>
        </w:rPr>
        <w:t xml:space="preserve">w § 157 rozporządzenia Prezesa Rady Ministrów z dnia </w:t>
      </w:r>
      <w:r w:rsidR="002901A9">
        <w:rPr>
          <w:rFonts w:eastAsia="Times New Roman" w:cs="Times New Roman"/>
          <w:bCs/>
          <w:szCs w:val="24"/>
        </w:rPr>
        <w:br/>
      </w:r>
      <w:r w:rsidRPr="00D36DC9">
        <w:rPr>
          <w:rFonts w:eastAsia="Times New Roman" w:cs="Times New Roman"/>
          <w:bCs/>
          <w:szCs w:val="24"/>
        </w:rPr>
        <w:t>20 czerwca 2002 r. w sprawie „Zasad techniki prawodawczej” (Dz. U. z 2016 r. poz. 283).</w:t>
      </w:r>
    </w:p>
    <w:p w14:paraId="3EAC6D28" w14:textId="1C77261D"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Projekt ustawy zakłada, że notariusze będą uprawnieni do dokonania wpisu w księdze wieczystej jedynie w określonej kategorii spraw. Takie założenie jest uzasadnione złożonością planowanego przedsięwzięcia i koniecznością ograniczenia go w pierwszym etapie </w:t>
      </w:r>
      <w:r w:rsidR="005917FB" w:rsidRPr="00D36DC9">
        <w:rPr>
          <w:rFonts w:eastAsia="Times New Roman" w:cs="Times New Roman"/>
          <w:bCs/>
          <w:szCs w:val="24"/>
        </w:rPr>
        <w:br/>
      </w:r>
      <w:r w:rsidRPr="00D36DC9">
        <w:rPr>
          <w:rFonts w:eastAsia="Times New Roman" w:cs="Times New Roman"/>
          <w:bCs/>
          <w:szCs w:val="24"/>
        </w:rPr>
        <w:t xml:space="preserve">do określonego kręgu podmiotów. Po zebraniu doświadczeń związanych z wdrażaniem </w:t>
      </w:r>
      <w:r w:rsidR="005917FB" w:rsidRPr="00D36DC9">
        <w:rPr>
          <w:rFonts w:eastAsia="Times New Roman" w:cs="Times New Roman"/>
          <w:bCs/>
          <w:szCs w:val="24"/>
        </w:rPr>
        <w:br/>
      </w:r>
      <w:r w:rsidRPr="00D36DC9">
        <w:rPr>
          <w:rFonts w:eastAsia="Times New Roman" w:cs="Times New Roman"/>
          <w:bCs/>
          <w:szCs w:val="24"/>
        </w:rPr>
        <w:t>i następnie funkcjonowaniem tego systemu w tym ograniczonym zakresie będzie możliwe rozważenie rozszerzenia kompetencji notariuszy do dokonywania wpisów do księgi wieczystej w pozostałych przypadkach.</w:t>
      </w:r>
    </w:p>
    <w:p w14:paraId="77E46D8C" w14:textId="37F4F74B"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Warunkiem wdrożenia proponowanych zmian jest powierzenie notariuszom uprawnień umożliwiających im obsługę systemu teleinformatycznego. Proponuje się wprowadzenie rozwiązań polegających na wydawaniu przez Ministra Sprawiedliwości decyzji w przedmiocie </w:t>
      </w:r>
      <w:r w:rsidRPr="00D36DC9">
        <w:rPr>
          <w:rFonts w:eastAsia="Times New Roman" w:cs="Times New Roman"/>
          <w:bCs/>
          <w:szCs w:val="24"/>
        </w:rPr>
        <w:lastRenderedPageBreak/>
        <w:t>udzielenia poszczególnym notariuszom</w:t>
      </w:r>
      <w:r w:rsidR="006F4B73" w:rsidRPr="00D36DC9">
        <w:rPr>
          <w:rFonts w:eastAsia="Times New Roman" w:cs="Times New Roman"/>
          <w:bCs/>
          <w:szCs w:val="24"/>
        </w:rPr>
        <w:t xml:space="preserve"> i</w:t>
      </w:r>
      <w:r w:rsidR="004B0C04" w:rsidRPr="00D36DC9">
        <w:rPr>
          <w:rFonts w:eastAsia="Times New Roman" w:cs="Times New Roman"/>
          <w:bCs/>
          <w:szCs w:val="24"/>
        </w:rPr>
        <w:t xml:space="preserve"> zastępcom notarialnym</w:t>
      </w:r>
      <w:r w:rsidR="006F4B73" w:rsidRPr="00D36DC9">
        <w:rPr>
          <w:rFonts w:eastAsia="Times New Roman" w:cs="Times New Roman"/>
          <w:bCs/>
          <w:szCs w:val="24"/>
        </w:rPr>
        <w:t>.</w:t>
      </w:r>
      <w:r w:rsidRPr="00D36DC9">
        <w:rPr>
          <w:rFonts w:eastAsia="Times New Roman" w:cs="Times New Roman"/>
          <w:bCs/>
          <w:szCs w:val="24"/>
        </w:rPr>
        <w:t xml:space="preserve"> spełniającym określone wymagania, dostępu do systemu teleinformatycznego, z uwzględnieniem zasad bezpieczeństwa informatycznego. </w:t>
      </w:r>
    </w:p>
    <w:p w14:paraId="114B81C8" w14:textId="5EAF119E" w:rsidR="00D46F89" w:rsidRPr="00D36DC9" w:rsidRDefault="00D46F89"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bCs/>
          <w:szCs w:val="24"/>
        </w:rPr>
        <w:t>3.</w:t>
      </w:r>
      <w:r w:rsidRPr="00D36DC9">
        <w:rPr>
          <w:rFonts w:eastAsia="Times New Roman" w:cs="Times New Roman"/>
          <w:bCs/>
          <w:szCs w:val="24"/>
        </w:rPr>
        <w:tab/>
      </w:r>
      <w:r w:rsidRPr="00D36DC9">
        <w:rPr>
          <w:rFonts w:eastAsia="Times New Roman" w:cs="Times New Roman"/>
          <w:szCs w:val="24"/>
        </w:rPr>
        <w:t>Kolejną istotną zmianą wprowadzaną projektowaną ustawą jest powierzenie notariuszom</w:t>
      </w:r>
      <w:r w:rsidR="00DB44AF" w:rsidRPr="00D36DC9">
        <w:rPr>
          <w:rFonts w:eastAsia="Times New Roman" w:cs="Times New Roman"/>
          <w:szCs w:val="24"/>
        </w:rPr>
        <w:t>,</w:t>
      </w:r>
      <w:r w:rsidRPr="00D36DC9">
        <w:rPr>
          <w:rFonts w:eastAsia="Times New Roman" w:cs="Times New Roman"/>
          <w:szCs w:val="24"/>
        </w:rPr>
        <w:t xml:space="preserve"> </w:t>
      </w:r>
      <w:r w:rsidR="006F4B73" w:rsidRPr="00D36DC9">
        <w:rPr>
          <w:rFonts w:eastAsia="Times New Roman" w:cs="Times New Roman"/>
          <w:szCs w:val="24"/>
        </w:rPr>
        <w:t xml:space="preserve">i </w:t>
      </w:r>
      <w:r w:rsidR="00DB44AF" w:rsidRPr="00D36DC9">
        <w:rPr>
          <w:rFonts w:eastAsia="Times New Roman" w:cs="Times New Roman"/>
          <w:szCs w:val="24"/>
        </w:rPr>
        <w:t>zastępc</w:t>
      </w:r>
      <w:r w:rsidR="004B0C04" w:rsidRPr="00D36DC9">
        <w:rPr>
          <w:rFonts w:eastAsia="Times New Roman" w:cs="Times New Roman"/>
          <w:szCs w:val="24"/>
        </w:rPr>
        <w:t>om</w:t>
      </w:r>
      <w:r w:rsidR="00DB44AF" w:rsidRPr="00D36DC9">
        <w:rPr>
          <w:rFonts w:eastAsia="Times New Roman" w:cs="Times New Roman"/>
          <w:szCs w:val="24"/>
        </w:rPr>
        <w:t xml:space="preserve"> notarialnym</w:t>
      </w:r>
      <w:r w:rsidR="006F4B73" w:rsidRPr="00D36DC9">
        <w:rPr>
          <w:rFonts w:eastAsia="Times New Roman" w:cs="Times New Roman"/>
          <w:szCs w:val="24"/>
        </w:rPr>
        <w:t xml:space="preserve"> </w:t>
      </w:r>
      <w:r w:rsidRPr="00D36DC9">
        <w:rPr>
          <w:rFonts w:eastAsia="Times New Roman" w:cs="Times New Roman"/>
          <w:szCs w:val="24"/>
        </w:rPr>
        <w:t xml:space="preserve">kompetencji do wydawania notarialnych nakazów zapłaty. </w:t>
      </w:r>
    </w:p>
    <w:p w14:paraId="18BE9B1E" w14:textId="78FBCFAA"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bCs/>
          <w:szCs w:val="24"/>
        </w:rPr>
        <w:t xml:space="preserve">Regulacja dotycząca notarialnego nakazu zapłaty jest regulacją </w:t>
      </w:r>
      <w:r w:rsidRPr="00D36DC9">
        <w:rPr>
          <w:rFonts w:eastAsia="Times New Roman" w:cs="Times New Roman"/>
          <w:bCs/>
          <w:i/>
          <w:iCs/>
          <w:szCs w:val="24"/>
        </w:rPr>
        <w:t>sui generis</w:t>
      </w:r>
      <w:r w:rsidRPr="00D36DC9">
        <w:rPr>
          <w:rFonts w:eastAsia="Times New Roman" w:cs="Times New Roman"/>
          <w:bCs/>
          <w:szCs w:val="24"/>
        </w:rPr>
        <w:t xml:space="preserve">, a sam nakaz </w:t>
      </w:r>
      <w:r w:rsidR="005917FB" w:rsidRPr="00D36DC9">
        <w:rPr>
          <w:rFonts w:eastAsia="Times New Roman" w:cs="Times New Roman"/>
          <w:bCs/>
          <w:szCs w:val="24"/>
        </w:rPr>
        <w:br/>
      </w:r>
      <w:r w:rsidRPr="00D36DC9">
        <w:rPr>
          <w:rFonts w:eastAsia="Times New Roman" w:cs="Times New Roman"/>
          <w:bCs/>
          <w:szCs w:val="24"/>
        </w:rPr>
        <w:t xml:space="preserve">nie będzie miał w obrocie skutków prawomocnego wyroku. Jego skutki można natomiast porównać przez analogię do skutków ugody pozasądowej zawartej w formie aktu notarialnego przez strony, w której dłużnik poddaje się egzekucji, co stanowi następnie podstawę do nadania przez sąd klauzuli wykonalności. Projektowane przepisy będą stanowić odrębną podstawę wydania nakazu zapłaty, niezależną od postępowań uregulowanych w k.p.c. </w:t>
      </w:r>
      <w:r w:rsidRPr="00D36DC9">
        <w:rPr>
          <w:rFonts w:eastAsia="Times New Roman" w:cs="Times New Roman"/>
          <w:szCs w:val="24"/>
        </w:rPr>
        <w:t>Podobne rozwiązania funkcjonują już w innych krajach europejskich (np. Hiszpania, Chorwacja, Rumunia) i są wyjściem naprzeciw wymogom dynamicznie zmieniającej się rzeczywistości obrotu prawnego. Regulacja pozycji notariusza jako</w:t>
      </w:r>
      <w:r w:rsidRPr="00D36DC9">
        <w:rPr>
          <w:rFonts w:eastAsia="Calibri" w:cs="Times New Roman"/>
          <w:szCs w:val="24"/>
          <w:lang w:eastAsia="en-US"/>
        </w:rPr>
        <w:t xml:space="preserve"> „sędziego spraw niespornych”, dokonującego czynności na pograniczu ochrony prawnej i wymiaru sprawiedliwości</w:t>
      </w:r>
      <w:r w:rsidRPr="00D36DC9">
        <w:rPr>
          <w:rFonts w:eastAsia="Times New Roman" w:cs="Times New Roman"/>
          <w:szCs w:val="24"/>
        </w:rPr>
        <w:t xml:space="preserve">, </w:t>
      </w:r>
      <w:r w:rsidR="005917FB" w:rsidRPr="00D36DC9">
        <w:rPr>
          <w:rFonts w:eastAsia="Times New Roman" w:cs="Times New Roman"/>
          <w:szCs w:val="24"/>
        </w:rPr>
        <w:br/>
      </w:r>
      <w:r w:rsidRPr="00D36DC9">
        <w:rPr>
          <w:rFonts w:eastAsia="Times New Roman" w:cs="Times New Roman"/>
          <w:szCs w:val="24"/>
        </w:rPr>
        <w:t>jest jednym z instrumentów realizacji założonego przez projektodawcę celu, jakim jest odciążenie sądów od rozpoznawania spraw prostych oraz bezspornych i dzięki temu przyspieszenie postępowań sądowych w innych sprawach. Z drugiej strony ma zapewnić obywatelom szybsze dochodzenie roszczeń. Jest to wyrazem kompleksowego podejścia do idei ograniczenia kognicji sądów powszechnych.</w:t>
      </w:r>
    </w:p>
    <w:p w14:paraId="63518FFC" w14:textId="64064827" w:rsidR="00D46F89" w:rsidRPr="00D36DC9" w:rsidRDefault="00D46F89" w:rsidP="00D46F89">
      <w:pPr>
        <w:widowControl/>
        <w:suppressAutoHyphens/>
        <w:spacing w:before="120"/>
        <w:jc w:val="both"/>
        <w:rPr>
          <w:rFonts w:eastAsia="Calibri" w:cs="Times New Roman"/>
          <w:szCs w:val="24"/>
          <w:lang w:eastAsia="en-US"/>
        </w:rPr>
      </w:pPr>
      <w:r w:rsidRPr="00D36DC9">
        <w:rPr>
          <w:rFonts w:eastAsia="Times New Roman" w:cs="Times New Roman"/>
          <w:szCs w:val="24"/>
        </w:rPr>
        <w:t xml:space="preserve">Notarialny nakaz zapłaty będzie mógł być wydany przez notariusza, jeżeli zasadność dochodzonego roszczenia nie budzi wątpliwości i gdy dochodzone roszczenie </w:t>
      </w:r>
      <w:r w:rsidR="005917FB" w:rsidRPr="00D36DC9">
        <w:rPr>
          <w:rFonts w:eastAsia="Times New Roman" w:cs="Times New Roman"/>
          <w:szCs w:val="24"/>
        </w:rPr>
        <w:br/>
      </w:r>
      <w:r w:rsidRPr="00D36DC9">
        <w:rPr>
          <w:rFonts w:eastAsia="Times New Roman" w:cs="Times New Roman"/>
          <w:szCs w:val="24"/>
        </w:rPr>
        <w:t xml:space="preserve">jest udowodnione dołączonym do wniosku dokumentem, w szczególności dokumentem urzędowym, zaakceptowanym przez dłużnika rachunkiem lub wezwaniem dłużnika do zapłaty i pisemnym oświadczeniem dłużnika o uznaniu długu. </w:t>
      </w:r>
      <w:r w:rsidRPr="00D36DC9">
        <w:rPr>
          <w:rFonts w:eastAsia="Calibri" w:cs="Times New Roman"/>
          <w:szCs w:val="24"/>
          <w:lang w:eastAsia="en-US"/>
        </w:rPr>
        <w:t xml:space="preserve">Projektowane wyliczenie </w:t>
      </w:r>
      <w:r w:rsidR="005917FB" w:rsidRPr="00D36DC9">
        <w:rPr>
          <w:rFonts w:eastAsia="Calibri" w:cs="Times New Roman"/>
          <w:szCs w:val="24"/>
          <w:lang w:eastAsia="en-US"/>
        </w:rPr>
        <w:br/>
      </w:r>
      <w:r w:rsidRPr="00D36DC9">
        <w:rPr>
          <w:rFonts w:eastAsia="Calibri" w:cs="Times New Roman"/>
          <w:szCs w:val="24"/>
          <w:lang w:eastAsia="en-US"/>
        </w:rPr>
        <w:t>jest przykładowe i ma na celu wskazanie, jakie dokumenty powinny co do zasady stanowić wystarczającą podstawę do wydania notarialnego nakazu zapłaty.</w:t>
      </w:r>
    </w:p>
    <w:p w14:paraId="4B0D9854" w14:textId="68C21E53"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Wysokość roszczeń, które będą mogły być potwierdzone notarialnym nakazem zapłaty, została ograniczona do 75 000 zł, czyli wysokości odpowiadającej aktualnej właściwości rzeczowej sądu rejonowego, zgodnie z art. 17 pkt 1 k.p.c. Intencją projektodawcy nie jest jednak powiązanie wskazanego limitu z właściwością rzeczową sądów rejonowych, lecz umożliwienie notariuszom wydawania nakazów zapłaty w odniesieniu do spraw, co do zasady, nieskomplikowanych pod względem faktycznym i prawnym. W </w:t>
      </w:r>
      <w:r w:rsidR="00DB44AF" w:rsidRPr="00D36DC9">
        <w:rPr>
          <w:rFonts w:eastAsia="Times New Roman" w:cs="Times New Roman"/>
          <w:szCs w:val="24"/>
        </w:rPr>
        <w:t>sytuacji,</w:t>
      </w:r>
      <w:r w:rsidRPr="00D36DC9">
        <w:rPr>
          <w:rFonts w:eastAsia="Times New Roman" w:cs="Times New Roman"/>
          <w:szCs w:val="24"/>
        </w:rPr>
        <w:t xml:space="preserve"> gdy wskazana </w:t>
      </w:r>
      <w:r w:rsidR="005917FB" w:rsidRPr="00D36DC9">
        <w:rPr>
          <w:rFonts w:eastAsia="Times New Roman" w:cs="Times New Roman"/>
          <w:szCs w:val="24"/>
        </w:rPr>
        <w:br/>
      </w:r>
      <w:r w:rsidRPr="00D36DC9">
        <w:rPr>
          <w:rFonts w:eastAsia="Times New Roman" w:cs="Times New Roman"/>
          <w:szCs w:val="24"/>
        </w:rPr>
        <w:lastRenderedPageBreak/>
        <w:t>we wniosku należność przekroczy kwotę 75 000 zł, notariusz odmówi wydania notarialnego nakazu zapłaty.</w:t>
      </w:r>
    </w:p>
    <w:p w14:paraId="6399A9ED" w14:textId="4A9C450A" w:rsidR="00D46F89" w:rsidRPr="00D36DC9" w:rsidRDefault="00D46F89" w:rsidP="00D46F89">
      <w:pPr>
        <w:widowControl/>
        <w:suppressAutoHyphens/>
        <w:spacing w:before="120"/>
        <w:jc w:val="both"/>
        <w:rPr>
          <w:rFonts w:eastAsia="MS Mincho" w:cs="Times New Roman"/>
          <w:szCs w:val="24"/>
        </w:rPr>
      </w:pPr>
      <w:r w:rsidRPr="00D36DC9">
        <w:rPr>
          <w:rFonts w:eastAsia="Times New Roman" w:cs="Times New Roman"/>
          <w:szCs w:val="24"/>
        </w:rPr>
        <w:t xml:space="preserve">Wniosek o wydanie notarialnego nakazu zapłaty (zawierający </w:t>
      </w:r>
      <w:r w:rsidRPr="00D36DC9">
        <w:rPr>
          <w:rFonts w:eastAsia="MS Mincho" w:cs="Times New Roman"/>
          <w:szCs w:val="24"/>
        </w:rPr>
        <w:t xml:space="preserve">imię i nazwisko wnioskodawcy lub inne oznaczenia w przypadku wnioskodawcy niebędącego osobą fizyczną, adres </w:t>
      </w:r>
      <w:r w:rsidR="005917FB" w:rsidRPr="00D36DC9">
        <w:rPr>
          <w:rFonts w:eastAsia="MS Mincho" w:cs="Times New Roman"/>
          <w:szCs w:val="24"/>
        </w:rPr>
        <w:br/>
      </w:r>
      <w:r w:rsidRPr="00D36DC9">
        <w:rPr>
          <w:rFonts w:eastAsia="MS Mincho" w:cs="Times New Roman"/>
          <w:szCs w:val="24"/>
        </w:rPr>
        <w:t xml:space="preserve">do doręczeń wnioskodawcy, numery identyfikacyjne wnioskodawcy, jak również imię </w:t>
      </w:r>
      <w:r w:rsidR="005917FB" w:rsidRPr="00D36DC9">
        <w:rPr>
          <w:rFonts w:eastAsia="MS Mincho" w:cs="Times New Roman"/>
          <w:szCs w:val="24"/>
        </w:rPr>
        <w:br/>
      </w:r>
      <w:r w:rsidRPr="00D36DC9">
        <w:rPr>
          <w:rFonts w:eastAsia="MS Mincho" w:cs="Times New Roman"/>
          <w:szCs w:val="24"/>
        </w:rPr>
        <w:t xml:space="preserve">i nazwisko osoby zobowiązanej lub inne oznaczenia w przypadku osoby zobowiązanej niebędącej osobą fizyczną oraz, o ile to możliwe, numery identyfikacyjne osoby zobowiązanej) </w:t>
      </w:r>
      <w:r w:rsidRPr="00D36DC9">
        <w:rPr>
          <w:rFonts w:eastAsia="Times New Roman" w:cs="Times New Roman"/>
          <w:szCs w:val="24"/>
        </w:rPr>
        <w:t>będzie składany na urzędowym formularzu, którego wzór zostanie określony w rozporządzeniu Ministra Sprawiedliwości wydanym na podstawie art. 105k.</w:t>
      </w:r>
    </w:p>
    <w:p w14:paraId="1918DA04" w14:textId="37A1C0C2"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Ponadto wniosek będzie zawierał oświadczenie </w:t>
      </w:r>
      <w:r w:rsidRPr="00D36DC9">
        <w:rPr>
          <w:rFonts w:eastAsia="Times New Roman" w:cs="Times New Roman"/>
          <w:color w:val="000000"/>
          <w:szCs w:val="24"/>
        </w:rPr>
        <w:t xml:space="preserve">wnioskodawcy składane pod rygorem odpowiedzialności karnej za składanie fałszywego oświadczenia, że nie jest w toku </w:t>
      </w:r>
      <w:r w:rsidR="005917FB" w:rsidRPr="00D36DC9">
        <w:rPr>
          <w:rFonts w:eastAsia="Times New Roman" w:cs="Times New Roman"/>
          <w:color w:val="000000"/>
          <w:szCs w:val="24"/>
        </w:rPr>
        <w:br/>
      </w:r>
      <w:r w:rsidRPr="00D36DC9">
        <w:rPr>
          <w:rFonts w:eastAsia="Times New Roman" w:cs="Times New Roman"/>
          <w:color w:val="000000"/>
          <w:szCs w:val="24"/>
        </w:rPr>
        <w:t xml:space="preserve">lub nie toczyła się inna sprawa o roszczenie objęte wnioskiem, co ma stanowić zabezpieczenie przed </w:t>
      </w:r>
      <w:r w:rsidRPr="00D36DC9">
        <w:rPr>
          <w:rFonts w:eastAsia="Times New Roman" w:cs="Times New Roman"/>
          <w:szCs w:val="24"/>
        </w:rPr>
        <w:t xml:space="preserve">ponownym dochodzeniem tego samego roszczenia. </w:t>
      </w:r>
    </w:p>
    <w:p w14:paraId="69709B06" w14:textId="77777777" w:rsidR="00D46F89" w:rsidRPr="00D36DC9" w:rsidRDefault="00D46F89" w:rsidP="00D46F89">
      <w:pPr>
        <w:widowControl/>
        <w:suppressAutoHyphens/>
        <w:spacing w:before="120"/>
        <w:jc w:val="both"/>
        <w:rPr>
          <w:rFonts w:eastAsia="Calibri" w:cs="Times New Roman"/>
          <w:szCs w:val="24"/>
        </w:rPr>
      </w:pPr>
      <w:r w:rsidRPr="00D36DC9">
        <w:rPr>
          <w:rFonts w:eastAsia="Times New Roman" w:cs="Times New Roman"/>
          <w:szCs w:val="24"/>
        </w:rPr>
        <w:t>Notarialny nakaz zapłaty nie będzie mógł być wydany, jeżeli zasadność roszczenia budzi wątpliwości, roszczenie stało się wymagalne wcześniej niż w okresie trzech lat przed złożeniem wniosku o wydanie notarialnego nakazu zapłaty oraz gdy wniosek nie spełnia warunków formalnych, o których mowa w art. 105b, w szczególności nie został złożony na urzędowym formularzu oraz w sytuacji, gdy o</w:t>
      </w:r>
      <w:r w:rsidRPr="00D36DC9">
        <w:rPr>
          <w:rFonts w:eastAsia="Calibri" w:cs="Times New Roman"/>
          <w:szCs w:val="24"/>
          <w:lang w:eastAsia="en-US"/>
        </w:rPr>
        <w:t xml:space="preserve"> to samo roszczenie między tymi samymi stronami jest w toku lub została prawomocnie zakończona sprawa wszczęta przed sądem powszechnym.</w:t>
      </w:r>
    </w:p>
    <w:p w14:paraId="1FF831A3" w14:textId="6050DEAE" w:rsidR="00D46F89" w:rsidRPr="00D36DC9" w:rsidRDefault="00D46F89" w:rsidP="00D46F89">
      <w:pPr>
        <w:widowControl/>
        <w:suppressAutoHyphens/>
        <w:spacing w:before="120"/>
        <w:jc w:val="both"/>
        <w:rPr>
          <w:rFonts w:eastAsia="Calibri" w:cs="Times New Roman"/>
          <w:szCs w:val="24"/>
          <w:lang w:eastAsia="en-US"/>
        </w:rPr>
      </w:pPr>
      <w:r w:rsidRPr="00D36DC9">
        <w:rPr>
          <w:rFonts w:eastAsia="Calibri" w:cs="Times New Roman"/>
          <w:szCs w:val="24"/>
        </w:rPr>
        <w:t xml:space="preserve">Pośrednio negatywne przesłanki wydania nakazu zapłaty zostały wskazane także </w:t>
      </w:r>
      <w:r w:rsidR="005917FB" w:rsidRPr="00D36DC9">
        <w:rPr>
          <w:rFonts w:eastAsia="Calibri" w:cs="Times New Roman"/>
          <w:szCs w:val="24"/>
        </w:rPr>
        <w:br/>
      </w:r>
      <w:r w:rsidRPr="00D36DC9">
        <w:rPr>
          <w:rFonts w:eastAsia="Calibri" w:cs="Times New Roman"/>
          <w:szCs w:val="24"/>
        </w:rPr>
        <w:t>w art. 105f § 3 (</w:t>
      </w:r>
      <w:r w:rsidRPr="00D36DC9">
        <w:rPr>
          <w:rFonts w:eastAsia="Calibri" w:cs="Times New Roman"/>
          <w:szCs w:val="24"/>
          <w:lang w:eastAsia="en-US"/>
        </w:rPr>
        <w:t xml:space="preserve">brak pełnej zdolności do czynności prawnych, brak organu powołanego </w:t>
      </w:r>
      <w:r w:rsidR="005917FB" w:rsidRPr="00D36DC9">
        <w:rPr>
          <w:rFonts w:eastAsia="Calibri" w:cs="Times New Roman"/>
          <w:szCs w:val="24"/>
          <w:lang w:eastAsia="en-US"/>
        </w:rPr>
        <w:br/>
      </w:r>
      <w:r w:rsidRPr="00D36DC9">
        <w:rPr>
          <w:rFonts w:eastAsia="Calibri" w:cs="Times New Roman"/>
          <w:szCs w:val="24"/>
          <w:lang w:eastAsia="en-US"/>
        </w:rPr>
        <w:t xml:space="preserve">do reprezentowania osoby zobowiązanej, wszczęte wobec niej postępowanie </w:t>
      </w:r>
      <w:r w:rsidR="00DD1272">
        <w:rPr>
          <w:rFonts w:eastAsia="Calibri" w:cs="Times New Roman"/>
          <w:szCs w:val="24"/>
          <w:lang w:eastAsia="en-US"/>
        </w:rPr>
        <w:br/>
      </w:r>
      <w:r w:rsidRPr="00D36DC9">
        <w:rPr>
          <w:rFonts w:eastAsia="Calibri" w:cs="Times New Roman"/>
          <w:szCs w:val="24"/>
          <w:lang w:eastAsia="en-US"/>
        </w:rPr>
        <w:t xml:space="preserve">o ubezwłasnowolnienie lub postępowania, o których mowa w ustawie z dnia 28 lutego 2003 r. – Prawo upadłościowe (Dz. U. z 2021 r. poz. 1520) lub ustawie z dnia 15 maja 2015 r. – Prawo restrukturyzacyjne (Dz. U. z 2021 r. poz. 1588 i 2140 oraz z 2022 r. poz. 655), który określa sytuacje, w których nakaz zapłaty traci moc. </w:t>
      </w:r>
    </w:p>
    <w:p w14:paraId="0F9508BE"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Calibri" w:cs="Times New Roman"/>
          <w:szCs w:val="24"/>
        </w:rPr>
        <w:t>Nakazem zapłaty można uwzględnić roszczenie jedynie w całości, co wynika z brzmienia projektowanego art. 105c § 1.</w:t>
      </w:r>
      <w:r w:rsidRPr="00D36DC9">
        <w:rPr>
          <w:rFonts w:eastAsia="Times New Roman" w:cs="Times New Roman"/>
          <w:szCs w:val="24"/>
        </w:rPr>
        <w:t xml:space="preserve"> W razie braku podstaw wydania notarialnego nakazu zapłaty notariusz sporządzi protokół o odmowie jego wydania, którego odpis doręczy wnioskodawcy. Odmowa sporządzenia notarialnego nakazu zapłaty nie będzie zaskarżalna. Natomiast wnioskodawca będzie mógł skierować sprawę do rozpoznania przez sąd.</w:t>
      </w:r>
    </w:p>
    <w:p w14:paraId="637D2249" w14:textId="39515705" w:rsidR="00D46F89" w:rsidRPr="00D36DC9" w:rsidRDefault="00D46F89" w:rsidP="004F6898">
      <w:pPr>
        <w:widowControl/>
        <w:suppressAutoHyphens/>
        <w:spacing w:before="120"/>
        <w:jc w:val="both"/>
        <w:rPr>
          <w:rFonts w:eastAsia="Times New Roman" w:cs="Times New Roman"/>
          <w:szCs w:val="24"/>
        </w:rPr>
      </w:pPr>
      <w:r w:rsidRPr="00D36DC9">
        <w:rPr>
          <w:rFonts w:eastAsia="Times New Roman" w:cs="Times New Roman"/>
          <w:szCs w:val="24"/>
        </w:rPr>
        <w:lastRenderedPageBreak/>
        <w:t>Jeżeli w sprawie zostaną spełnione ustawowe wymagania i notarialny nakaz zapłaty zostanie wydany, notariusz wraz z nakazem zapłaty</w:t>
      </w:r>
      <w:r w:rsidRPr="00D36DC9">
        <w:rPr>
          <w:rFonts w:eastAsia="Times New Roman" w:cs="Times New Roman"/>
          <w:b/>
          <w:bCs/>
          <w:szCs w:val="24"/>
        </w:rPr>
        <w:t xml:space="preserve"> </w:t>
      </w:r>
      <w:r w:rsidRPr="00D36DC9">
        <w:rPr>
          <w:rFonts w:eastAsia="Times New Roman" w:cs="Times New Roman"/>
          <w:szCs w:val="24"/>
        </w:rPr>
        <w:t xml:space="preserve">doręczy osobie zobowiązanej formularz sprzeciwu </w:t>
      </w:r>
      <w:r w:rsidR="004F6898" w:rsidRPr="00D36DC9">
        <w:rPr>
          <w:rFonts w:eastAsia="Times New Roman" w:cs="Times New Roman"/>
          <w:szCs w:val="24"/>
        </w:rPr>
        <w:t xml:space="preserve">od notarialnego nakazu zapłaty </w:t>
      </w:r>
      <w:r w:rsidRPr="00D36DC9">
        <w:rPr>
          <w:rFonts w:eastAsia="Times New Roman" w:cs="Times New Roman"/>
          <w:szCs w:val="24"/>
        </w:rPr>
        <w:t xml:space="preserve">oraz pouczenie o sposobie i terminie zaskarżenia sprzeciwu, </w:t>
      </w:r>
      <w:r w:rsidR="00DD1272">
        <w:rPr>
          <w:rFonts w:eastAsia="Times New Roman" w:cs="Times New Roman"/>
          <w:szCs w:val="24"/>
        </w:rPr>
        <w:br/>
      </w:r>
      <w:r w:rsidRPr="00D36DC9">
        <w:rPr>
          <w:rFonts w:eastAsia="Times New Roman" w:cs="Times New Roman"/>
          <w:szCs w:val="24"/>
        </w:rPr>
        <w:t>a także skutkach jego niezaskarżenia.</w:t>
      </w:r>
      <w:r w:rsidR="004F6898" w:rsidRPr="00D36DC9">
        <w:t xml:space="preserve"> Przepis</w:t>
      </w:r>
      <w:r w:rsidR="002068FC" w:rsidRPr="00D36DC9">
        <w:t>y</w:t>
      </w:r>
      <w:r w:rsidR="004F6898" w:rsidRPr="00D36DC9">
        <w:t xml:space="preserve"> dotycząc</w:t>
      </w:r>
      <w:r w:rsidR="002068FC" w:rsidRPr="00D36DC9">
        <w:t>e</w:t>
      </w:r>
      <w:r w:rsidR="004F6898" w:rsidRPr="00D36DC9">
        <w:t xml:space="preserve"> możliwości odbioru pism przez dorosłego domownika albo uznania pisma za doręczone w ostatnim dniu pozostawienia zawiadomienia o możliwości odbioru pisma nie </w:t>
      </w:r>
      <w:r w:rsidR="009C00D7" w:rsidRPr="00D36DC9">
        <w:t>będą miały zastosowania</w:t>
      </w:r>
      <w:r w:rsidR="004F6898" w:rsidRPr="00D36DC9">
        <w:t xml:space="preserve">. W razie nieodebrania przez osobę zobowiązaną przesyłki zawierającej notarialny nakaz zapłaty nakaz ten </w:t>
      </w:r>
      <w:r w:rsidR="009C00D7" w:rsidRPr="00D36DC9">
        <w:t>u</w:t>
      </w:r>
      <w:r w:rsidR="004F6898" w:rsidRPr="00D36DC9">
        <w:t>traci moc</w:t>
      </w:r>
      <w:r w:rsidR="00BD2121" w:rsidRPr="00D36DC9">
        <w:t>.</w:t>
      </w:r>
      <w:r w:rsidR="004F6898" w:rsidRPr="00D36DC9">
        <w:rPr>
          <w:rFonts w:eastAsia="Calibri" w:cs="Times New Roman"/>
          <w:spacing w:val="-2"/>
        </w:rPr>
        <w:t xml:space="preserve"> Jeżeli osoba zobowiązana </w:t>
      </w:r>
      <w:r w:rsidR="009C00D7" w:rsidRPr="00D36DC9">
        <w:rPr>
          <w:rFonts w:eastAsia="Calibri" w:cs="Times New Roman"/>
          <w:spacing w:val="-2"/>
        </w:rPr>
        <w:t>odmówi</w:t>
      </w:r>
      <w:r w:rsidR="004F6898" w:rsidRPr="00D36DC9">
        <w:rPr>
          <w:rFonts w:eastAsia="Calibri" w:cs="Times New Roman"/>
          <w:spacing w:val="-2"/>
        </w:rPr>
        <w:t xml:space="preserve"> przyjęcia przesyłki zawierającej notarialny nakaz zapłaty, doręczenie uważa</w:t>
      </w:r>
      <w:r w:rsidR="009C00D7" w:rsidRPr="00D36DC9">
        <w:rPr>
          <w:rFonts w:eastAsia="Calibri" w:cs="Times New Roman"/>
          <w:spacing w:val="-2"/>
        </w:rPr>
        <w:t>ne</w:t>
      </w:r>
      <w:r w:rsidR="004F6898" w:rsidRPr="00D36DC9">
        <w:rPr>
          <w:rFonts w:eastAsia="Calibri" w:cs="Times New Roman"/>
          <w:spacing w:val="-2"/>
        </w:rPr>
        <w:t xml:space="preserve"> </w:t>
      </w:r>
      <w:r w:rsidR="009C00D7" w:rsidRPr="00D36DC9">
        <w:rPr>
          <w:rFonts w:eastAsia="Calibri" w:cs="Times New Roman"/>
          <w:spacing w:val="-2"/>
        </w:rPr>
        <w:t>będzie</w:t>
      </w:r>
      <w:r w:rsidR="004F6898" w:rsidRPr="00D36DC9">
        <w:rPr>
          <w:rFonts w:eastAsia="Calibri" w:cs="Times New Roman"/>
          <w:spacing w:val="-2"/>
        </w:rPr>
        <w:t xml:space="preserve"> za dokonane. W takim przypadku doręczający umie</w:t>
      </w:r>
      <w:r w:rsidR="009C00D7" w:rsidRPr="00D36DC9">
        <w:rPr>
          <w:rFonts w:eastAsia="Calibri" w:cs="Times New Roman"/>
          <w:spacing w:val="-2"/>
        </w:rPr>
        <w:t>ści</w:t>
      </w:r>
      <w:r w:rsidR="004F6898" w:rsidRPr="00D36DC9">
        <w:rPr>
          <w:rFonts w:eastAsia="Calibri" w:cs="Times New Roman"/>
          <w:spacing w:val="-2"/>
        </w:rPr>
        <w:t xml:space="preserve"> na przesyłce adnotację o dacie i odmowie jej przyjęcia oraz zwr</w:t>
      </w:r>
      <w:r w:rsidR="009C00D7" w:rsidRPr="00D36DC9">
        <w:rPr>
          <w:rFonts w:eastAsia="Calibri" w:cs="Times New Roman"/>
          <w:spacing w:val="-2"/>
        </w:rPr>
        <w:t>óci</w:t>
      </w:r>
      <w:r w:rsidR="004F6898" w:rsidRPr="00D36DC9">
        <w:rPr>
          <w:rFonts w:eastAsia="Calibri" w:cs="Times New Roman"/>
          <w:spacing w:val="-2"/>
        </w:rPr>
        <w:t xml:space="preserve"> ją </w:t>
      </w:r>
      <w:r w:rsidR="00BD2121" w:rsidRPr="00D36DC9">
        <w:rPr>
          <w:rFonts w:eastAsia="Calibri" w:cs="Times New Roman"/>
          <w:spacing w:val="-2"/>
        </w:rPr>
        <w:t>notariuszowi.</w:t>
      </w:r>
      <w:r w:rsidR="00BD2121" w:rsidRPr="00D36DC9">
        <w:rPr>
          <w:rFonts w:eastAsia="Times New Roman" w:cs="Times New Roman"/>
          <w:szCs w:val="24"/>
        </w:rPr>
        <w:t xml:space="preserve"> Skuteczne</w:t>
      </w:r>
      <w:r w:rsidRPr="00D36DC9">
        <w:rPr>
          <w:rFonts w:eastAsia="Times New Roman" w:cs="Times New Roman"/>
          <w:szCs w:val="24"/>
        </w:rPr>
        <w:t xml:space="preserve"> wniesienie sprzeciwu spowoduje utratę mocy notarialnego nakazu zapłaty, podobnie jak niedoręczenie notarialnego nakazu zapłaty bezpośrednio osobie zobowiązanej czy też zaistnienie w chwili złożenia wniosku wyżej wskazanych przesłanek określonych w art. </w:t>
      </w:r>
      <w:r w:rsidRPr="00D36DC9">
        <w:rPr>
          <w:rFonts w:eastAsia="Calibri" w:cs="Times New Roman"/>
          <w:szCs w:val="24"/>
        </w:rPr>
        <w:t xml:space="preserve">105f § </w:t>
      </w:r>
      <w:r w:rsidR="00BC3CC1" w:rsidRPr="00D36DC9">
        <w:rPr>
          <w:rFonts w:eastAsia="Calibri" w:cs="Times New Roman"/>
          <w:szCs w:val="24"/>
        </w:rPr>
        <w:t>4</w:t>
      </w:r>
      <w:r w:rsidRPr="00D36DC9">
        <w:rPr>
          <w:rFonts w:eastAsia="Times New Roman" w:cs="Times New Roman"/>
          <w:szCs w:val="24"/>
        </w:rPr>
        <w:t xml:space="preserve">. </w:t>
      </w:r>
    </w:p>
    <w:p w14:paraId="52992C60"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Jest to wyrazem innej wiodącej zasady projektowanej w tym zakresie regulacji, jaką jest zasada dobrowolności. To od woli obu stron będzie zależało, czy notarialny nakaz zapłaty stanie się tytułem egzekucyjnym, a po nadaniu przez sąd klauzuli wykonalności – tytułem wykonawczym umożliwiającym wszczęcie postępowania egzekucyjnego. </w:t>
      </w:r>
    </w:p>
    <w:p w14:paraId="59484141" w14:textId="688AE5BE" w:rsidR="00D46F89" w:rsidRPr="00D36DC9" w:rsidRDefault="00D46F89" w:rsidP="00D46F89">
      <w:pPr>
        <w:widowControl/>
        <w:suppressAutoHyphens/>
        <w:spacing w:before="120"/>
        <w:jc w:val="both"/>
        <w:rPr>
          <w:rFonts w:eastAsia="Times New Roman" w:cs="Times New Roman"/>
          <w:szCs w:val="24"/>
        </w:rPr>
      </w:pPr>
      <w:r w:rsidRPr="00D36DC9">
        <w:rPr>
          <w:rFonts w:eastAsia="Calibri" w:cs="Times New Roman"/>
          <w:color w:val="000000"/>
          <w:szCs w:val="24"/>
          <w:lang w:eastAsia="en-US"/>
        </w:rPr>
        <w:t xml:space="preserve">Zamierzeniem ustawodawcy jest maksymalne odformalizowanie przesłanek możliwości wniesienia sprzeciwu. </w:t>
      </w:r>
      <w:r w:rsidRPr="00D36DC9">
        <w:rPr>
          <w:rFonts w:eastAsia="Times New Roman" w:cs="Times New Roman"/>
          <w:szCs w:val="24"/>
        </w:rPr>
        <w:t xml:space="preserve">Do skutecznego wniesienia sprzeciwu będzie niezbędne zatem tylko jego podpisanie oraz wyrażenie woli utraty przez notarialny nakaz zapłaty mocy. Wniesienie sprzeciwu nie będzie podlegało opłacie. Zostanie odformalizowane złożenie wniosku </w:t>
      </w:r>
      <w:r w:rsidR="005917FB" w:rsidRPr="00D36DC9">
        <w:rPr>
          <w:rFonts w:eastAsia="Times New Roman" w:cs="Times New Roman"/>
          <w:szCs w:val="24"/>
        </w:rPr>
        <w:br/>
      </w:r>
      <w:r w:rsidRPr="00D36DC9">
        <w:rPr>
          <w:rFonts w:eastAsia="Times New Roman" w:cs="Times New Roman"/>
          <w:szCs w:val="24"/>
        </w:rPr>
        <w:t xml:space="preserve">o restytucję terminu do wniesienia sprzeciwu, </w:t>
      </w:r>
      <w:r w:rsidR="004F6898" w:rsidRPr="00D36DC9">
        <w:rPr>
          <w:rFonts w:eastAsia="Times New Roman" w:cs="Times New Roman"/>
          <w:szCs w:val="24"/>
        </w:rPr>
        <w:t>który skład</w:t>
      </w:r>
      <w:r w:rsidR="009C00D7" w:rsidRPr="00D36DC9">
        <w:rPr>
          <w:rFonts w:eastAsia="Times New Roman" w:cs="Times New Roman"/>
          <w:szCs w:val="24"/>
        </w:rPr>
        <w:t>any będzie</w:t>
      </w:r>
      <w:r w:rsidR="004F6898" w:rsidRPr="00D36DC9">
        <w:rPr>
          <w:rFonts w:eastAsia="Times New Roman" w:cs="Times New Roman"/>
          <w:szCs w:val="24"/>
        </w:rPr>
        <w:t xml:space="preserve"> w dowolnej formie</w:t>
      </w:r>
      <w:r w:rsidR="00BD2121" w:rsidRPr="00D36DC9">
        <w:rPr>
          <w:rFonts w:eastAsia="Times New Roman" w:cs="Times New Roman"/>
          <w:szCs w:val="24"/>
        </w:rPr>
        <w:t>,</w:t>
      </w:r>
      <w:r w:rsidR="004F6898" w:rsidRPr="00D36DC9">
        <w:rPr>
          <w:rFonts w:eastAsia="Times New Roman" w:cs="Times New Roman"/>
          <w:szCs w:val="24"/>
        </w:rPr>
        <w:t xml:space="preserve"> między innymi na</w:t>
      </w:r>
      <w:r w:rsidR="00BC6778" w:rsidRPr="00D36DC9">
        <w:rPr>
          <w:rFonts w:eastAsia="Times New Roman" w:cs="Times New Roman"/>
          <w:szCs w:val="24"/>
        </w:rPr>
        <w:t xml:space="preserve"> jednym</w:t>
      </w:r>
      <w:r w:rsidR="004F6898" w:rsidRPr="00D36DC9">
        <w:rPr>
          <w:rFonts w:eastAsia="Times New Roman" w:cs="Times New Roman"/>
          <w:szCs w:val="24"/>
        </w:rPr>
        <w:t xml:space="preserve"> formularzu wraz ze sprzeciwem. </w:t>
      </w:r>
      <w:r w:rsidRPr="00D36DC9">
        <w:rPr>
          <w:rFonts w:eastAsia="Times New Roman" w:cs="Times New Roman"/>
          <w:szCs w:val="24"/>
        </w:rPr>
        <w:t>Sprzeciw będzie można wnieść przez pełnomocnika, którym może być każda osoba fizyczna posiadająca pełną zdolność do czynności prawnych (nie tylko osoba będąca członkiem rodziny czy wykonująca zawód adwokata lub radcy prawnego).</w:t>
      </w:r>
      <w:r w:rsidR="00BD2121" w:rsidRPr="00D36DC9">
        <w:rPr>
          <w:rFonts w:eastAsia="Times New Roman" w:cs="Times New Roman"/>
          <w:szCs w:val="24"/>
        </w:rPr>
        <w:t xml:space="preserve"> </w:t>
      </w:r>
      <w:r w:rsidRPr="00D36DC9">
        <w:rPr>
          <w:rFonts w:eastAsia="Times New Roman" w:cs="Times New Roman"/>
          <w:szCs w:val="24"/>
          <w:shd w:val="clear" w:color="auto" w:fill="FFFFFF"/>
        </w:rPr>
        <w:t xml:space="preserve">Za </w:t>
      </w:r>
      <w:r w:rsidRPr="00D36DC9">
        <w:rPr>
          <w:rFonts w:eastAsia="Times New Roman" w:cs="Times New Roman"/>
          <w:szCs w:val="24"/>
        </w:rPr>
        <w:t>równoznaczne z wniesieniem</w:t>
      </w:r>
      <w:r w:rsidRPr="00D36DC9">
        <w:rPr>
          <w:rFonts w:eastAsia="Calibri" w:cs="Times New Roman"/>
          <w:szCs w:val="24"/>
          <w:shd w:val="clear" w:color="auto" w:fill="FFFFFF"/>
          <w:lang w:eastAsia="en-US"/>
        </w:rPr>
        <w:t xml:space="preserve"> sprzeciwu, wniosku </w:t>
      </w:r>
      <w:r w:rsidR="004F6898" w:rsidRPr="00D36DC9">
        <w:rPr>
          <w:rFonts w:eastAsia="Calibri" w:cs="Times New Roman"/>
          <w:szCs w:val="24"/>
          <w:shd w:val="clear" w:color="auto" w:fill="FFFFFF"/>
          <w:lang w:eastAsia="en-US"/>
        </w:rPr>
        <w:br/>
      </w:r>
      <w:r w:rsidRPr="00D36DC9">
        <w:rPr>
          <w:rFonts w:eastAsia="Calibri" w:cs="Times New Roman"/>
          <w:szCs w:val="24"/>
          <w:shd w:val="clear" w:color="auto" w:fill="FFFFFF"/>
          <w:lang w:eastAsia="en-US"/>
        </w:rPr>
        <w:t>o restytucję terminu lub innego pisma, kierowanego do notariusza w związku z postępowaniem w przedmiocie wydania notarialnego nakazu zapłaty, uznaje się ich oddanie w formie przesyłki poleconej w polskiej placówce pocztowej operatora pocztowego w rozumieniu ustawy z dnia 23 listopada 2012 r. – Prawo pocztowe (</w:t>
      </w:r>
      <w:r w:rsidRPr="00D36DC9">
        <w:t xml:space="preserve">Dz. U. z 2022 r. poz. 896, z późn. zm.) </w:t>
      </w:r>
      <w:r w:rsidRPr="00D36DC9">
        <w:rPr>
          <w:rFonts w:eastAsia="Calibri" w:cs="Times New Roman"/>
          <w:szCs w:val="24"/>
          <w:shd w:val="clear" w:color="auto" w:fill="FFFFFF"/>
          <w:lang w:eastAsia="en-US"/>
        </w:rPr>
        <w:t>lub w placówce podmiotu zajmującego się doręczaniem korespondencji na terenie Unii Europejskiej.</w:t>
      </w:r>
    </w:p>
    <w:p w14:paraId="43FC4769" w14:textId="719BF07B"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lastRenderedPageBreak/>
        <w:t xml:space="preserve">W razie wniesienia sprzeciwu niespełniającego tych wymogów notariusz wezwie </w:t>
      </w:r>
      <w:r w:rsidR="005917FB" w:rsidRPr="00D36DC9">
        <w:rPr>
          <w:rFonts w:eastAsia="Times New Roman" w:cs="Times New Roman"/>
          <w:szCs w:val="24"/>
        </w:rPr>
        <w:br/>
      </w:r>
      <w:r w:rsidRPr="00D36DC9">
        <w:rPr>
          <w:rFonts w:eastAsia="Times New Roman" w:cs="Times New Roman"/>
          <w:szCs w:val="24"/>
        </w:rPr>
        <w:t>do ich uzupełnienia w terminie tygodniowym pod rygorem odmowy stwierdzenia utraty mocy notarialnego nakazu zapłaty.</w:t>
      </w:r>
    </w:p>
    <w:p w14:paraId="404C5718"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W razie nieskutecznego wniesienia sprzeciwu notariusz sporządzi protokół, w którym odmawia stwierdzenia utraty mocy notarialnego nakazu zapłaty. Odpis protokołu notariusz doręcza wnioskodawcy oraz osobie zobowiązanej. </w:t>
      </w:r>
    </w:p>
    <w:p w14:paraId="4BB6064A" w14:textId="48F27201" w:rsidR="00D46F89" w:rsidRPr="00D36DC9" w:rsidRDefault="00D46F89" w:rsidP="00D46F89">
      <w:pPr>
        <w:widowControl/>
        <w:suppressAutoHyphens/>
        <w:spacing w:before="120"/>
        <w:jc w:val="both"/>
        <w:rPr>
          <w:rFonts w:eastAsia="Calibri" w:cs="Times New Roman"/>
          <w:szCs w:val="24"/>
          <w:lang w:eastAsia="en-US"/>
        </w:rPr>
      </w:pPr>
      <w:r w:rsidRPr="00D36DC9">
        <w:rPr>
          <w:rFonts w:eastAsia="Times New Roman" w:cs="Times New Roman"/>
          <w:szCs w:val="24"/>
        </w:rPr>
        <w:t xml:space="preserve">W projekcie przewidziano także możliwość restytucji terminu do wniesienia sprzeciwu. Zgodnie z art. 105g § 9–11, </w:t>
      </w:r>
      <w:r w:rsidRPr="00D36DC9">
        <w:rPr>
          <w:rFonts w:eastAsia="Calibri" w:cs="Times New Roman"/>
          <w:szCs w:val="24"/>
          <w:lang w:eastAsia="en-US"/>
        </w:rPr>
        <w:t xml:space="preserve">jeżeli osoba zobowiązana nie złożyła w terminie sprzeciwu </w:t>
      </w:r>
      <w:r w:rsidR="005917FB" w:rsidRPr="00D36DC9">
        <w:rPr>
          <w:rFonts w:eastAsia="Calibri" w:cs="Times New Roman"/>
          <w:szCs w:val="24"/>
          <w:lang w:eastAsia="en-US"/>
        </w:rPr>
        <w:br/>
      </w:r>
      <w:r w:rsidRPr="00D36DC9">
        <w:rPr>
          <w:rFonts w:eastAsia="Calibri" w:cs="Times New Roman"/>
          <w:szCs w:val="24"/>
          <w:lang w:eastAsia="en-US"/>
        </w:rPr>
        <w:t xml:space="preserve">od notarialnego nakazu zapłaty bez swojej winy, notariusz na jej wniosek zdecyduje o restytucji terminu. Wniosek w tym przedmiocie wraz ze sprzeciwem składa się w formie pisemnej </w:t>
      </w:r>
      <w:r w:rsidR="005917FB" w:rsidRPr="00D36DC9">
        <w:rPr>
          <w:rFonts w:eastAsia="Calibri" w:cs="Times New Roman"/>
          <w:szCs w:val="24"/>
          <w:lang w:eastAsia="en-US"/>
        </w:rPr>
        <w:br/>
      </w:r>
      <w:r w:rsidRPr="00D36DC9">
        <w:rPr>
          <w:rFonts w:eastAsia="Calibri" w:cs="Times New Roman"/>
          <w:szCs w:val="24"/>
          <w:lang w:eastAsia="en-US"/>
        </w:rPr>
        <w:t xml:space="preserve">w terminie tygodniowym od dnia ustania przeszkody do złożenia sprzeciwu. Na notariusza został nałożony obowiązek rozpoznania wniosku w terminie 7 dni od jego otrzymania. </w:t>
      </w:r>
      <w:r w:rsidR="005917FB" w:rsidRPr="00D36DC9">
        <w:rPr>
          <w:rFonts w:eastAsia="Calibri" w:cs="Times New Roman"/>
          <w:szCs w:val="24"/>
          <w:lang w:eastAsia="en-US"/>
        </w:rPr>
        <w:br/>
      </w:r>
      <w:r w:rsidRPr="00D36DC9">
        <w:rPr>
          <w:rFonts w:eastAsia="Calibri" w:cs="Times New Roman"/>
          <w:szCs w:val="24"/>
          <w:lang w:eastAsia="en-US"/>
        </w:rPr>
        <w:t xml:space="preserve">W przypadku nieuwzględnienia wniosku osobie zobowiązanej będzie przysługiwało prawo żądania ponownego rozpoznania wniosku oraz zaskarżenie wniosku w ramach zażalenia </w:t>
      </w:r>
      <w:r w:rsidR="005917FB" w:rsidRPr="00D36DC9">
        <w:rPr>
          <w:rFonts w:eastAsia="Calibri" w:cs="Times New Roman"/>
          <w:szCs w:val="24"/>
          <w:lang w:eastAsia="en-US"/>
        </w:rPr>
        <w:br/>
      </w:r>
      <w:r w:rsidRPr="00D36DC9">
        <w:rPr>
          <w:rFonts w:eastAsia="Calibri" w:cs="Times New Roman"/>
          <w:szCs w:val="24"/>
          <w:lang w:eastAsia="en-US"/>
        </w:rPr>
        <w:t xml:space="preserve">na odmowę stwierdzenia utraty mocy przez notarialny nakaz zapłaty. </w:t>
      </w:r>
      <w:r w:rsidR="004F6898" w:rsidRPr="00D36DC9">
        <w:rPr>
          <w:rFonts w:eastAsia="Calibri" w:cs="Times New Roman"/>
          <w:spacing w:val="-2"/>
        </w:rPr>
        <w:t xml:space="preserve">Rozpoznając zażalenie, sąd, na wniosek strony, </w:t>
      </w:r>
      <w:r w:rsidR="00BD2121" w:rsidRPr="00D36DC9">
        <w:rPr>
          <w:rFonts w:eastAsia="Calibri" w:cs="Times New Roman"/>
          <w:spacing w:val="-2"/>
        </w:rPr>
        <w:t xml:space="preserve">będzie </w:t>
      </w:r>
      <w:r w:rsidR="004F6898" w:rsidRPr="00D36DC9">
        <w:rPr>
          <w:rFonts w:eastAsia="Calibri" w:cs="Times New Roman"/>
          <w:spacing w:val="-2"/>
        </w:rPr>
        <w:t>bada</w:t>
      </w:r>
      <w:r w:rsidR="00BD2121" w:rsidRPr="00D36DC9">
        <w:rPr>
          <w:rFonts w:eastAsia="Calibri" w:cs="Times New Roman"/>
          <w:spacing w:val="-2"/>
        </w:rPr>
        <w:t>ć</w:t>
      </w:r>
      <w:r w:rsidR="004F6898" w:rsidRPr="00D36DC9">
        <w:rPr>
          <w:rFonts w:eastAsia="Calibri" w:cs="Times New Roman"/>
          <w:spacing w:val="-2"/>
        </w:rPr>
        <w:t xml:space="preserve"> zasadność odmowy restytucji terminu do wniesienia sprzeciwu od notarialnego nakazu zapłaty.</w:t>
      </w:r>
    </w:p>
    <w:p w14:paraId="211C252B" w14:textId="5D3C989C"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Po doręczeniu protokołu stwierdzającego utratę mocy nakazu zapłaty lub po prawomocnym rozpoznaniu zażalenia na odmowę stwierdzenia utraty mocy notarialnego nakazu zapłaty </w:t>
      </w:r>
      <w:r w:rsidR="005917FB" w:rsidRPr="00D36DC9">
        <w:rPr>
          <w:rFonts w:eastAsia="Times New Roman" w:cs="Times New Roman"/>
          <w:szCs w:val="24"/>
        </w:rPr>
        <w:br/>
      </w:r>
      <w:r w:rsidRPr="00D36DC9">
        <w:rPr>
          <w:rFonts w:eastAsia="Times New Roman" w:cs="Times New Roman"/>
          <w:szCs w:val="24"/>
        </w:rPr>
        <w:t>na notarialnym nakazie zapłaty notariusz niezwłocznie zamieści wzmiankę o niewniesieniu sprzeciwu albo o utracie mocy notarialnego nakazu zapłaty.</w:t>
      </w:r>
    </w:p>
    <w:p w14:paraId="4FCAA5C2" w14:textId="0C5EBDC3"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Na wniosek osoby wnoszącej o wydanie notarialnego nakazu zapłaty lub osoby, której dotyczył wniosek, notariusz wydaje wypis notarialnego nakazu zapłaty wraz ze wzmianką </w:t>
      </w:r>
      <w:r w:rsidR="005917FB" w:rsidRPr="00D36DC9">
        <w:rPr>
          <w:rFonts w:eastAsia="Times New Roman" w:cs="Times New Roman"/>
          <w:szCs w:val="24"/>
        </w:rPr>
        <w:br/>
      </w:r>
      <w:r w:rsidRPr="00D36DC9">
        <w:rPr>
          <w:rFonts w:eastAsia="Times New Roman" w:cs="Times New Roman"/>
          <w:szCs w:val="24"/>
        </w:rPr>
        <w:t xml:space="preserve">o niewniesieniu sprzeciwu albo o utracie mocy notarialnego nakazu zapłaty. Wydawanie wypisów notarialnych nakazów zapłaty będzie się odbywało na takich samych zasadach </w:t>
      </w:r>
      <w:r w:rsidR="005917FB" w:rsidRPr="00D36DC9">
        <w:rPr>
          <w:rFonts w:eastAsia="Times New Roman" w:cs="Times New Roman"/>
          <w:szCs w:val="24"/>
        </w:rPr>
        <w:br/>
      </w:r>
      <w:r w:rsidRPr="00D36DC9">
        <w:rPr>
          <w:rFonts w:eastAsia="Times New Roman" w:cs="Times New Roman"/>
          <w:szCs w:val="24"/>
        </w:rPr>
        <w:t>jak wydawanie wypisów aktów notarialnych.</w:t>
      </w:r>
    </w:p>
    <w:p w14:paraId="2C45D3BA" w14:textId="623DB5E6" w:rsidR="00D46F89" w:rsidRPr="00D36DC9" w:rsidRDefault="00D46F89" w:rsidP="00D46F89">
      <w:pPr>
        <w:widowControl/>
        <w:suppressAutoHyphens/>
        <w:spacing w:before="120"/>
        <w:jc w:val="both"/>
        <w:rPr>
          <w:rFonts w:eastAsia="Calibri" w:cs="Times New Roman"/>
          <w:szCs w:val="24"/>
          <w:lang w:eastAsia="en-US"/>
        </w:rPr>
      </w:pPr>
      <w:r w:rsidRPr="00D36DC9">
        <w:rPr>
          <w:rFonts w:eastAsia="Times New Roman" w:cs="Times New Roman"/>
          <w:szCs w:val="24"/>
        </w:rPr>
        <w:t xml:space="preserve">Wypis notarialnego nakazu zapłaty wraz ze wzmianką o niewniesieniu sprzeciwu będzie podstawą do uzyskania klauzuli wykonalności, którą będzie nadawał sąd rejonowy ogólnej właściwości osoby zobowiązanej. W związku z tym został uzupełniony także określony </w:t>
      </w:r>
      <w:r w:rsidR="005917FB" w:rsidRPr="00D36DC9">
        <w:rPr>
          <w:rFonts w:eastAsia="Times New Roman" w:cs="Times New Roman"/>
          <w:szCs w:val="24"/>
        </w:rPr>
        <w:br/>
      </w:r>
      <w:r w:rsidRPr="00D36DC9">
        <w:rPr>
          <w:rFonts w:eastAsia="Times New Roman" w:cs="Times New Roman"/>
          <w:szCs w:val="24"/>
        </w:rPr>
        <w:t xml:space="preserve">w </w:t>
      </w:r>
      <w:r w:rsidRPr="00D36DC9">
        <w:rPr>
          <w:rFonts w:eastAsia="Calibri" w:cs="Times New Roman"/>
          <w:szCs w:val="24"/>
          <w:lang w:eastAsia="en-US"/>
        </w:rPr>
        <w:t xml:space="preserve">art. 777 § 1 k.p.c. katalog tytułów egzekucyjnych. </w:t>
      </w:r>
    </w:p>
    <w:p w14:paraId="0DD84EA8" w14:textId="0513D7A4" w:rsidR="00D46F89" w:rsidRPr="00D36DC9" w:rsidRDefault="00D46F89" w:rsidP="00D46F89">
      <w:pPr>
        <w:widowControl/>
        <w:suppressAutoHyphens/>
        <w:spacing w:before="120"/>
        <w:jc w:val="both"/>
        <w:rPr>
          <w:rFonts w:eastAsia="Calibri" w:cs="Times New Roman"/>
          <w:szCs w:val="24"/>
          <w:shd w:val="clear" w:color="auto" w:fill="FFFFFF"/>
          <w:lang w:eastAsia="en-US"/>
        </w:rPr>
      </w:pPr>
      <w:r w:rsidRPr="00D36DC9">
        <w:rPr>
          <w:rFonts w:eastAsia="Calibri" w:cs="Times New Roman"/>
          <w:szCs w:val="24"/>
          <w:lang w:eastAsia="en-US"/>
        </w:rPr>
        <w:t xml:space="preserve">Złożenie wniosku o wydanie notarialnego nakazu zapłaty będzie skutkować zawieszeniem biegu terminu przedawnienia co do roszczeń objętych wnioskiem o wydanie nakazu. Przyjęte </w:t>
      </w:r>
      <w:r w:rsidRPr="00D36DC9">
        <w:rPr>
          <w:rFonts w:eastAsia="Calibri" w:cs="Times New Roman"/>
          <w:szCs w:val="24"/>
          <w:lang w:eastAsia="en-US"/>
        </w:rPr>
        <w:lastRenderedPageBreak/>
        <w:t xml:space="preserve">rozwiązanie daje wyraz współczesnym tendencjom ustawodawczym zmierzającym </w:t>
      </w:r>
      <w:r w:rsidR="005917FB" w:rsidRPr="00D36DC9">
        <w:rPr>
          <w:rFonts w:eastAsia="Calibri" w:cs="Times New Roman"/>
          <w:szCs w:val="24"/>
          <w:lang w:eastAsia="en-US"/>
        </w:rPr>
        <w:br/>
      </w:r>
      <w:r w:rsidRPr="00D36DC9">
        <w:rPr>
          <w:rFonts w:eastAsia="Calibri" w:cs="Times New Roman"/>
          <w:szCs w:val="24"/>
          <w:lang w:eastAsia="en-US"/>
        </w:rPr>
        <w:t xml:space="preserve">do skracania terminów przedawnienia roszczeń, zwłaszcza wobec instytucji prawnych, </w:t>
      </w:r>
      <w:r w:rsidR="005917FB" w:rsidRPr="00D36DC9">
        <w:rPr>
          <w:rFonts w:eastAsia="Calibri" w:cs="Times New Roman"/>
          <w:szCs w:val="24"/>
          <w:lang w:eastAsia="en-US"/>
        </w:rPr>
        <w:br/>
      </w:r>
      <w:r w:rsidRPr="00D36DC9">
        <w:rPr>
          <w:rFonts w:eastAsia="Calibri" w:cs="Times New Roman"/>
          <w:szCs w:val="24"/>
          <w:lang w:eastAsia="en-US"/>
        </w:rPr>
        <w:t xml:space="preserve">które, w przypadku braku koncyliacyjnego zakończenia sporu, nie korzystają z powagi rzeczy osądzonej (np. zawezwanie do próby ugodowej, postępowanie reklamacyjne </w:t>
      </w:r>
      <w:r w:rsidR="00F93E94" w:rsidRPr="00D36DC9">
        <w:rPr>
          <w:rFonts w:eastAsia="Calibri" w:cs="Times New Roman"/>
          <w:szCs w:val="24"/>
          <w:lang w:eastAsia="en-US"/>
        </w:rPr>
        <w:br/>
      </w:r>
      <w:r w:rsidRPr="00D36DC9">
        <w:rPr>
          <w:rFonts w:eastAsia="Calibri" w:cs="Times New Roman"/>
          <w:szCs w:val="24"/>
          <w:lang w:eastAsia="en-US"/>
        </w:rPr>
        <w:t xml:space="preserve">przed Rzecznikiem Praw Pasażerów) oraz ma na celu wprowadzenie mechanizmu zapobiegającego </w:t>
      </w:r>
      <w:r w:rsidRPr="00D36DC9">
        <w:rPr>
          <w:rFonts w:eastAsia="Calibri" w:cs="Times New Roman"/>
          <w:szCs w:val="24"/>
          <w:shd w:val="clear" w:color="auto" w:fill="FFFFFF"/>
          <w:lang w:eastAsia="en-US"/>
        </w:rPr>
        <w:t>składaniu przez wierzycieli wniosku jedynie po to, aby przerwać bieg terminu przedawnienia. Regulacja ta jest także korzystna dla wierzycieli, gdyż spieszne dochodzenie roszczenia potencjalnie zwiększa możliwość jego wyegzekwowania.</w:t>
      </w:r>
    </w:p>
    <w:p w14:paraId="3E4E2C78" w14:textId="77777777" w:rsidR="00D46F89" w:rsidRPr="00D36DC9" w:rsidRDefault="00D46F89" w:rsidP="00D46F89">
      <w:pPr>
        <w:widowControl/>
        <w:suppressAutoHyphens/>
        <w:spacing w:before="120"/>
        <w:jc w:val="both"/>
        <w:rPr>
          <w:rFonts w:eastAsia="Calibri" w:cs="Times New Roman"/>
          <w:szCs w:val="24"/>
          <w:lang w:eastAsia="en-US"/>
        </w:rPr>
      </w:pPr>
      <w:r w:rsidRPr="00D36DC9">
        <w:rPr>
          <w:rFonts w:eastAsia="Calibri" w:cs="Times New Roman"/>
          <w:szCs w:val="24"/>
          <w:lang w:eastAsia="en-US"/>
        </w:rPr>
        <w:t xml:space="preserve">Zaproponowana w projekcie nowa instytucja notarialnego nakazu zapłaty – tj. projektowany „Rozdział 7a” ustawy – Prawo o notariacie (projektowane art. 105a – 105j tej ustawy) również znajduje swoje analogie w instytucjach występujących we francuskim porządku prawnym. </w:t>
      </w:r>
    </w:p>
    <w:p w14:paraId="580CBC3A" w14:textId="1916C00C" w:rsidR="00D46F89" w:rsidRPr="00D36DC9" w:rsidRDefault="00D46F89" w:rsidP="00D46F89">
      <w:pPr>
        <w:widowControl/>
        <w:suppressAutoHyphens/>
        <w:spacing w:before="120"/>
        <w:jc w:val="both"/>
        <w:rPr>
          <w:rFonts w:eastAsia="Calibri" w:cs="Times New Roman"/>
          <w:szCs w:val="24"/>
          <w:lang w:eastAsia="en-US"/>
        </w:rPr>
      </w:pPr>
      <w:r w:rsidRPr="00D36DC9">
        <w:rPr>
          <w:rFonts w:eastAsia="Calibri" w:cs="Times New Roman"/>
          <w:szCs w:val="24"/>
          <w:lang w:eastAsia="en-US"/>
        </w:rPr>
        <w:t xml:space="preserve">Zgodnie z przepisami rozporządzenia wykonawczego francuskiego rządu nr 47-1047 </w:t>
      </w:r>
      <w:r w:rsidR="006C30ED" w:rsidRPr="00D36DC9">
        <w:rPr>
          <w:rFonts w:eastAsia="Calibri" w:cs="Times New Roman"/>
          <w:szCs w:val="24"/>
          <w:lang w:eastAsia="en-US"/>
        </w:rPr>
        <w:br/>
      </w:r>
      <w:r w:rsidRPr="00D36DC9">
        <w:rPr>
          <w:rFonts w:eastAsia="Calibri" w:cs="Times New Roman"/>
          <w:szCs w:val="24"/>
          <w:lang w:eastAsia="en-US"/>
        </w:rPr>
        <w:t>z dnia 12 czerwca 1947 r. (</w:t>
      </w:r>
      <w:r w:rsidRPr="00D36DC9">
        <w:rPr>
          <w:rFonts w:eastAsia="Calibri" w:cs="Times New Roman"/>
          <w:i/>
          <w:iCs/>
          <w:szCs w:val="24"/>
          <w:lang w:eastAsia="en-US"/>
        </w:rPr>
        <w:t>Décret n°47-1047 du 12 juin 1947 relatif à la formule exécutoire</w:t>
      </w:r>
      <w:r w:rsidRPr="00D36DC9">
        <w:rPr>
          <w:rFonts w:eastAsia="Calibri" w:cs="Times New Roman"/>
          <w:szCs w:val="24"/>
          <w:lang w:eastAsia="en-US"/>
        </w:rPr>
        <w:t xml:space="preserve">) notariusze są upoważnieni do wydawania aktów notarialnych posiadających moc tytułu egzekucyjnego stwierdzającego uznanie długu (tzw. „la grosse”). Notariusz w systemie francuskim sporządza odpis dokumentu uznania długu, w szczególności ugody, potwierdza </w:t>
      </w:r>
      <w:r w:rsidR="006C30ED" w:rsidRPr="00D36DC9">
        <w:rPr>
          <w:rFonts w:eastAsia="Calibri" w:cs="Times New Roman"/>
          <w:szCs w:val="24"/>
          <w:lang w:eastAsia="en-US"/>
        </w:rPr>
        <w:br/>
      </w:r>
      <w:r w:rsidRPr="00D36DC9">
        <w:rPr>
          <w:rFonts w:eastAsia="Calibri" w:cs="Times New Roman"/>
          <w:szCs w:val="24"/>
          <w:lang w:eastAsia="en-US"/>
        </w:rPr>
        <w:t>go podpisem i opatruje formułą na potrzeby postępowania egzekucyjnego.</w:t>
      </w:r>
    </w:p>
    <w:p w14:paraId="7B9DE598" w14:textId="77777777" w:rsidR="00D46F89" w:rsidRPr="00D36DC9" w:rsidRDefault="00D46F89" w:rsidP="00D46F89">
      <w:pPr>
        <w:widowControl/>
        <w:suppressAutoHyphens/>
        <w:spacing w:before="120"/>
        <w:jc w:val="both"/>
        <w:rPr>
          <w:rFonts w:eastAsia="Calibri" w:cs="Times New Roman"/>
          <w:szCs w:val="24"/>
          <w:lang w:eastAsia="en-US"/>
        </w:rPr>
      </w:pPr>
      <w:r w:rsidRPr="00D36DC9">
        <w:rPr>
          <w:rFonts w:eastAsia="Calibri" w:cs="Times New Roman"/>
          <w:szCs w:val="24"/>
          <w:lang w:eastAsia="en-US"/>
        </w:rPr>
        <w:t xml:space="preserve">W orzecznictwie sądów francuskich wskazuje się, że akt notarialny potwierdzający uznanie długu, mimo że stanowi tytuł egzekucyjny, nie ma mocy prawnej orzeczenia sądowego i prawo francuskie nie uniemożliwia wierzycielowi posiadania dwóch tytułów egzekucyjnych do tego samego długu, przez co istnienie aktu notarialnego potwierdzającego uznanie długu nie odbiera wierzycielowi drogi sądowej dochodzenia roszczenia (orzeczenie francuskiego Sądu Kasacyjnego, II Izba Cywilna, z dnia 18 lutego 2016 r., sprawa Nr 15-13945). </w:t>
      </w:r>
    </w:p>
    <w:p w14:paraId="737DE0F7" w14:textId="008420CE"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Projektowane przepisy pozwolą wydać notariuszowi miesięcznie nie więcej niż 200 notarialnych nakazów zapłaty. Ograniczenie to ma zapewnić możliwość przystosowania się notariuszy do wprowadzonych zmian oraz zapobiec ograniczeniu dostępu obywateli do innych czynności notarialnych. Ma także przeciwdziałać nadmiernej „specjalizacji” notariuszy jedynie w wydawaniu nakazów zapłaty.</w:t>
      </w:r>
    </w:p>
    <w:p w14:paraId="3F2C6189" w14:textId="3236E1C5" w:rsidR="00D46F89" w:rsidRPr="00D36DC9" w:rsidRDefault="00D46F89" w:rsidP="00D46F89">
      <w:pPr>
        <w:widowControl/>
        <w:tabs>
          <w:tab w:val="left" w:pos="426"/>
        </w:tabs>
        <w:suppressAutoHyphens/>
        <w:spacing w:before="120"/>
        <w:jc w:val="both"/>
        <w:rPr>
          <w:rFonts w:eastAsia="Times New Roman" w:cs="Times New Roman"/>
          <w:bCs/>
          <w:szCs w:val="24"/>
        </w:rPr>
      </w:pPr>
      <w:r w:rsidRPr="00D36DC9">
        <w:rPr>
          <w:rFonts w:eastAsia="Times New Roman" w:cs="Times New Roman"/>
          <w:bCs/>
          <w:szCs w:val="24"/>
        </w:rPr>
        <w:t>4.</w:t>
      </w:r>
      <w:r w:rsidRPr="00D36DC9">
        <w:rPr>
          <w:rFonts w:eastAsia="Times New Roman" w:cs="Times New Roman"/>
          <w:bCs/>
          <w:szCs w:val="24"/>
        </w:rPr>
        <w:tab/>
        <w:t xml:space="preserve">Omówione powyżej nowe zadania i uprawnienia przyznane notariuszom umiejscawiają </w:t>
      </w:r>
      <w:r w:rsidR="006C30ED" w:rsidRPr="00D36DC9">
        <w:rPr>
          <w:rFonts w:eastAsia="Times New Roman" w:cs="Times New Roman"/>
          <w:bCs/>
          <w:szCs w:val="24"/>
        </w:rPr>
        <w:br/>
      </w:r>
      <w:r w:rsidRPr="00D36DC9">
        <w:rPr>
          <w:rFonts w:eastAsia="Times New Roman" w:cs="Times New Roman"/>
          <w:bCs/>
          <w:szCs w:val="24"/>
        </w:rPr>
        <w:t xml:space="preserve">ich pozycję ustrojową w coraz większym </w:t>
      </w:r>
      <w:r w:rsidRPr="00D36DC9">
        <w:rPr>
          <w:rFonts w:eastAsia="Times New Roman" w:cs="Times New Roman"/>
          <w:szCs w:val="24"/>
        </w:rPr>
        <w:t xml:space="preserve">oddaleniu od typowych organów pomocy prawnej, świadczących usługi prawnicze – adwokatów, radców prawnych czy doradców podatkowych, korzystających również z przymiotu zawodu zaufania publicznego. Wykonując powierzone </w:t>
      </w:r>
      <w:r w:rsidR="006C30ED" w:rsidRPr="00D36DC9">
        <w:rPr>
          <w:rFonts w:eastAsia="Times New Roman" w:cs="Times New Roman"/>
          <w:szCs w:val="24"/>
        </w:rPr>
        <w:br/>
      </w:r>
      <w:r w:rsidRPr="00D36DC9">
        <w:rPr>
          <w:rFonts w:eastAsia="Times New Roman" w:cs="Times New Roman"/>
          <w:szCs w:val="24"/>
        </w:rPr>
        <w:lastRenderedPageBreak/>
        <w:t xml:space="preserve">im zadania z zakresu szczególnej ochrony prawnej, notariusze nie reprezentują żadnej ze stron, lecz równoważą ich interesy i zapewniają zgodność dokonywanych czynności z prawem. </w:t>
      </w:r>
      <w:r w:rsidRPr="00D36DC9">
        <w:rPr>
          <w:rFonts w:eastAsia="Times New Roman" w:cs="Times New Roman"/>
          <w:bCs/>
          <w:szCs w:val="24"/>
        </w:rPr>
        <w:t xml:space="preserve">Fakt ten powinien znaleźć odzwierciedlenie zarówno w przepisach ogólnych regulujących ustrój notariatu, jak również w zasadach sprawowanego nad notariatem nadzoru i systemie odpowiedzialności dyscyplinarnej. </w:t>
      </w:r>
    </w:p>
    <w:p w14:paraId="24A69DB6"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Aktualnie obowiązujący system nadzoru nad funkcjonowaniem notariatu okazał się niewystarczający do zapobiegnięcia poważnym nadużyciom i szybkiego wyciągania konsekwencji wobec ich sprawców. </w:t>
      </w:r>
    </w:p>
    <w:p w14:paraId="26FD19E6" w14:textId="339C8F7A"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przestrzeni publicznej niestety ciągle pojawiają się liczne doniesienia o poważnych nieprawidłowościach przy wykonywaniu czynności notarialnych. Z danych Ministerstwa Sprawiedliwości wynika, że w okresie od 2019 r. do 2022 r. było prowadzonych 30 postępowań dyscyplinarnych przeciwko notariuszom pozostającym obecnie na rynku oraz 4 postępowania dyscyplinarne prowadzone przeciwko byłym notariuszom. Niejednokrotnie mają one związek z działalnością kryminalną, w tym w ramach zorganizowanych grup przestępczych. Zdarza się, że sami notariusze w związku z pełnieniem obowiązków takich przestępstw się dopuszczają. </w:t>
      </w:r>
      <w:r w:rsidR="006C30ED" w:rsidRPr="00D36DC9">
        <w:rPr>
          <w:rFonts w:eastAsia="Times New Roman" w:cs="Times New Roman"/>
          <w:bCs/>
          <w:szCs w:val="24"/>
        </w:rPr>
        <w:br/>
      </w:r>
      <w:r w:rsidRPr="00D36DC9">
        <w:rPr>
          <w:rFonts w:eastAsia="Times New Roman" w:cs="Times New Roman"/>
          <w:bCs/>
          <w:iCs/>
          <w:szCs w:val="24"/>
        </w:rPr>
        <w:t>Z informacji nadesłanych przez Prokuraturę Krajową o prowadzonych postępowaniach karnych wobec notariuszy wynika, że od 2013 r. prowadzonych było 140 postępowań. Obecnie prowadzonych jest ich aż 72. W szczególności należy zwrócić uwagę na kazus notariusz Violetty Dolaty, o czym niżej, która mimo orzeczenia w stosunku do niej środka zapobiegawczego w postaci tymczasowego aresztowania, a następnie prawomocnego skazania w dalszym ciągu, aż do uprawomocnienia się orzeczenia sądu dyscyplinarnego, posiadała prawo wykonywania zawodu.</w:t>
      </w:r>
    </w:p>
    <w:p w14:paraId="56D74AAB"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Jako ostatnie przykłady tego typu sytuacji i afer można podać szeroko opisywane przez media: </w:t>
      </w:r>
    </w:p>
    <w:p w14:paraId="1C587237"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„Finał afery mieszkaniowej. 40 osób z prawomocnymi wyrokami”.</w:t>
      </w:r>
    </w:p>
    <w:p w14:paraId="082277A2"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Z treści publikacji: „W poznańskim Sądzie Apelacyjnym wyroki usłyszeli m.in. notariuszka, były piłkarz Warty oraz doradcy finansowi. Grupa osób podstępem wyłudzała nieruchomości od starszych osób będących w trudnej sytuacji materialnej. Łącznie w ten sposób przejęto ponad 165 nieruchomości w Poznaniu i okolicach.</w:t>
      </w:r>
    </w:p>
    <w:p w14:paraId="2D54388D"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Proceder kwitł latami, a odczytanie wyroku zawartego na 19 stronach zajęło sędziemu godzinę. Pokrzywdzonych jest kilkudziesięciu – przede wszystkim osoby w podeszłym wieku. Główni skazani w procesie to była notariuszka Violetta D. (kara 12 lat pozbawienia wolności) oraz były </w:t>
      </w:r>
      <w:r w:rsidRPr="00D36DC9">
        <w:rPr>
          <w:rFonts w:eastAsia="Times New Roman" w:cs="Times New Roman"/>
          <w:bCs/>
          <w:szCs w:val="24"/>
        </w:rPr>
        <w:lastRenderedPageBreak/>
        <w:t>piłkarz Warty Poznań i doradca podatkowy Mariusz T. (kara 10,5 roku więzienia). Oboje muszą też zapłacić po 324 tysięcy złotych grzywny”.</w:t>
      </w:r>
    </w:p>
    <w:p w14:paraId="130A43A1" w14:textId="77777777" w:rsidR="00D46F89" w:rsidRPr="00D36DC9" w:rsidRDefault="00D46F89" w:rsidP="00D46F89">
      <w:pPr>
        <w:widowControl/>
        <w:tabs>
          <w:tab w:val="left" w:pos="426"/>
        </w:tabs>
        <w:suppressAutoHyphens/>
        <w:spacing w:before="120"/>
        <w:jc w:val="both"/>
        <w:rPr>
          <w:rFonts w:eastAsia="Times New Roman" w:cs="Times New Roman"/>
          <w:bCs/>
          <w:szCs w:val="24"/>
        </w:rPr>
      </w:pPr>
      <w:r w:rsidRPr="00D36DC9">
        <w:rPr>
          <w:rFonts w:eastAsia="Times New Roman" w:cs="Times New Roman"/>
          <w:bCs/>
          <w:szCs w:val="24"/>
        </w:rPr>
        <w:t>–</w:t>
      </w:r>
      <w:r w:rsidRPr="00D36DC9">
        <w:rPr>
          <w:rFonts w:eastAsia="Times New Roman" w:cs="Times New Roman"/>
          <w:bCs/>
          <w:szCs w:val="24"/>
        </w:rPr>
        <w:tab/>
        <w:t>https://poznan.tvp.pl/56358657/final-afery-mieszkaniowej-40-osob-z-prawomocnymi-wyrokami</w:t>
      </w:r>
    </w:p>
    <w:p w14:paraId="0BD13921"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„Afera SKOK Wołomin. Notariusz miał wyłudzić prawie miliard zł. Prokuratura skierowała akt oskarżenia”. </w:t>
      </w:r>
    </w:p>
    <w:p w14:paraId="74895EF5" w14:textId="4488C953"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 xml:space="preserve">Z treści publikacji: „Działając w zorganizowanej grupie przestępczej notariusz miał pomóc wyłudzić ze SKOK Wołomin prawie 1 mld zł. W postępowaniu zakwestionowano </w:t>
      </w:r>
      <w:r w:rsidR="006C30ED" w:rsidRPr="00D36DC9">
        <w:rPr>
          <w:rFonts w:eastAsia="Times New Roman" w:cs="Times New Roman"/>
          <w:szCs w:val="24"/>
        </w:rPr>
        <w:br/>
      </w:r>
      <w:r w:rsidRPr="00D36DC9">
        <w:rPr>
          <w:rFonts w:eastAsia="Times New Roman" w:cs="Times New Roman"/>
          <w:szCs w:val="24"/>
        </w:rPr>
        <w:t xml:space="preserve">752 sporządzone przez niego akty notarialne”. </w:t>
      </w:r>
    </w:p>
    <w:p w14:paraId="550CD124" w14:textId="77777777" w:rsidR="00D46F89" w:rsidRPr="00D36DC9" w:rsidRDefault="00D46F89" w:rsidP="00D46F89">
      <w:pPr>
        <w:widowControl/>
        <w:tabs>
          <w:tab w:val="left" w:pos="426"/>
        </w:tabs>
        <w:suppressAutoHyphens/>
        <w:spacing w:before="120"/>
        <w:jc w:val="both"/>
        <w:rPr>
          <w:rFonts w:eastAsia="Times New Roman" w:cs="Times New Roman"/>
          <w:bCs/>
          <w:szCs w:val="24"/>
        </w:rPr>
      </w:pPr>
      <w:r w:rsidRPr="00D36DC9">
        <w:rPr>
          <w:rFonts w:eastAsia="Times New Roman" w:cs="Times New Roman"/>
          <w:bCs/>
          <w:szCs w:val="24"/>
        </w:rPr>
        <w:t>–</w:t>
      </w:r>
      <w:r w:rsidRPr="00D36DC9">
        <w:rPr>
          <w:rFonts w:eastAsia="Times New Roman" w:cs="Times New Roman"/>
          <w:bCs/>
          <w:szCs w:val="24"/>
        </w:rPr>
        <w:tab/>
        <w:t>https://www.polsatnews.pl/wiadomosc/2022-01-03/afera-skok-wolomin-notariusz-mial-wyludzic-prawie-1-mld-zl-prokuratura-skierowala-akt-oskarzenia/</w:t>
      </w:r>
    </w:p>
    <w:p w14:paraId="67C040E5"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szCs w:val="24"/>
        </w:rPr>
        <w:t>„Afera z przejmowaniem mieszkań. Notariusz z Wrocławia stanie przed sądem”.</w:t>
      </w:r>
    </w:p>
    <w:p w14:paraId="558683D5" w14:textId="0D34D9E0"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 treści publikacji: „Śledztwo przeciwko notariuszce Dominice G. oraz trzem innym osobom, które doprowadziły rodzinę z Dąbrowy Górniczej do utraty mieszkania, prowadziła Prokuratura Okręgowa we Wrocławiu. Akt oskarżenia trafił już do sądu. To kolejna tego typu sprawa, </w:t>
      </w:r>
      <w:r w:rsidR="006C30ED" w:rsidRPr="00D36DC9">
        <w:rPr>
          <w:rFonts w:eastAsia="Times New Roman" w:cs="Times New Roman"/>
          <w:bCs/>
          <w:szCs w:val="24"/>
        </w:rPr>
        <w:br/>
      </w:r>
      <w:r w:rsidRPr="00D36DC9">
        <w:rPr>
          <w:rFonts w:eastAsia="Times New Roman" w:cs="Times New Roman"/>
          <w:bCs/>
          <w:szCs w:val="24"/>
        </w:rPr>
        <w:t>w którą zamieszana jest wrocławska notariusz”.</w:t>
      </w:r>
    </w:p>
    <w:p w14:paraId="247C58C6" w14:textId="77777777" w:rsidR="00D46F89" w:rsidRPr="00D36DC9" w:rsidRDefault="00D46F89"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w:t>
      </w:r>
      <w:r w:rsidRPr="00D36DC9">
        <w:rPr>
          <w:rFonts w:eastAsia="Times New Roman" w:cs="Times New Roman"/>
          <w:szCs w:val="24"/>
        </w:rPr>
        <w:tab/>
        <w:t>https://gazetawroclawska.pl/afera-z-przejmowaniem-mieszkan-notariusz-z-wroclawia-stanie-przed-sadem/ar/c1-15705974</w:t>
      </w:r>
    </w:p>
    <w:p w14:paraId="516667F7" w14:textId="60617672"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„Udzielali pożyczek i przejmowali nieruchomości. Prokuratura chce aresztu dla notariusza </w:t>
      </w:r>
      <w:r w:rsidR="006C30ED" w:rsidRPr="00D36DC9">
        <w:rPr>
          <w:rFonts w:eastAsia="Times New Roman" w:cs="Times New Roman"/>
          <w:bCs/>
          <w:szCs w:val="24"/>
        </w:rPr>
        <w:br/>
      </w:r>
      <w:r w:rsidRPr="00D36DC9">
        <w:rPr>
          <w:rFonts w:eastAsia="Times New Roman" w:cs="Times New Roman"/>
          <w:bCs/>
          <w:szCs w:val="24"/>
        </w:rPr>
        <w:t>z Lublina”.</w:t>
      </w:r>
    </w:p>
    <w:p w14:paraId="60AF45DF" w14:textId="27BBFC61" w:rsidR="00D46F89" w:rsidRPr="005D0BAB"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 treści publikacji: „38 zarzutów usłyszał już lubelski notariusz Robert F. Śledczy twierdzą, </w:t>
      </w:r>
      <w:r w:rsidR="006C30ED" w:rsidRPr="00D36DC9">
        <w:rPr>
          <w:rFonts w:eastAsia="Times New Roman" w:cs="Times New Roman"/>
          <w:bCs/>
          <w:szCs w:val="24"/>
        </w:rPr>
        <w:br/>
      </w:r>
      <w:r w:rsidRPr="00D36DC9">
        <w:rPr>
          <w:rFonts w:eastAsia="Times New Roman" w:cs="Times New Roman"/>
          <w:bCs/>
          <w:szCs w:val="24"/>
        </w:rPr>
        <w:t xml:space="preserve">że mógł oszukać ponad 50 osób na kwotę 14 mln zł. Sprawa wyszła na jaw w 2019 roku. Dotyczyła grupy, która zdaniem lubelskiej prokuratury w latach 2013 ̶ 2014 przejmowała nieruchomości od osób znajdujących się w trudnej sytuacji życiowej, finansowej </w:t>
      </w:r>
      <w:r w:rsidR="006C30ED" w:rsidRPr="00D36DC9">
        <w:rPr>
          <w:rFonts w:eastAsia="Times New Roman" w:cs="Times New Roman"/>
          <w:bCs/>
          <w:szCs w:val="24"/>
        </w:rPr>
        <w:br/>
      </w:r>
      <w:r w:rsidRPr="00D36DC9">
        <w:rPr>
          <w:rFonts w:eastAsia="Times New Roman" w:cs="Times New Roman"/>
          <w:bCs/>
          <w:szCs w:val="24"/>
        </w:rPr>
        <w:t xml:space="preserve">lub </w:t>
      </w:r>
      <w:r w:rsidRPr="005D0BAB">
        <w:rPr>
          <w:rFonts w:eastAsia="Times New Roman" w:cs="Times New Roman"/>
          <w:bCs/>
          <w:szCs w:val="24"/>
        </w:rPr>
        <w:t>zdrowotnej. W gronie podejrzanych znaleźli się m.in. notariusz, lekarz i menedżerowie firm pożyczkowych z Warszawy”.</w:t>
      </w:r>
    </w:p>
    <w:p w14:paraId="3F185F5E" w14:textId="08EF06C3" w:rsidR="00D46F89" w:rsidRPr="005D0BAB" w:rsidRDefault="00D46F89" w:rsidP="00D46F89">
      <w:pPr>
        <w:widowControl/>
        <w:tabs>
          <w:tab w:val="left" w:pos="426"/>
        </w:tabs>
        <w:suppressAutoHyphens/>
        <w:spacing w:before="120"/>
        <w:jc w:val="both"/>
        <w:rPr>
          <w:rFonts w:eastAsia="Times New Roman" w:cs="Times New Roman"/>
          <w:szCs w:val="24"/>
        </w:rPr>
      </w:pPr>
      <w:bookmarkStart w:id="1" w:name="_Hlk121221424"/>
      <w:r w:rsidRPr="005D0BAB">
        <w:rPr>
          <w:rFonts w:eastAsia="Times New Roman" w:cs="Times New Roman"/>
          <w:szCs w:val="24"/>
        </w:rPr>
        <w:t>–</w:t>
      </w:r>
      <w:r w:rsidRPr="005D0BAB">
        <w:rPr>
          <w:rFonts w:eastAsia="Times New Roman" w:cs="Times New Roman"/>
          <w:szCs w:val="24"/>
        </w:rPr>
        <w:tab/>
      </w:r>
      <w:bookmarkEnd w:id="1"/>
      <w:r w:rsidR="00526897" w:rsidRPr="005D0BAB">
        <w:rPr>
          <w:rFonts w:eastAsia="Times New Roman" w:cs="Times New Roman"/>
          <w:szCs w:val="24"/>
        </w:rPr>
        <w:fldChar w:fldCharType="begin"/>
      </w:r>
      <w:r w:rsidR="00526897" w:rsidRPr="005D0BAB">
        <w:rPr>
          <w:rFonts w:eastAsia="Times New Roman" w:cs="Times New Roman"/>
          <w:szCs w:val="24"/>
        </w:rPr>
        <w:instrText xml:space="preserve"> HYPERLINK "https://kurierlubelski.pl/udzielali-pozyczek-i-przejmowali-nieruchomosci-prokuratura-chce-aresztu-dla-notariusza-z-lublina/ar/c1-16003995" </w:instrText>
      </w:r>
      <w:r w:rsidR="00526897" w:rsidRPr="005D0BAB">
        <w:rPr>
          <w:rFonts w:eastAsia="Times New Roman" w:cs="Times New Roman"/>
          <w:szCs w:val="24"/>
        </w:rPr>
        <w:fldChar w:fldCharType="separate"/>
      </w:r>
      <w:r w:rsidR="00526897" w:rsidRPr="005D0BAB">
        <w:rPr>
          <w:rStyle w:val="Hipercze"/>
          <w:rFonts w:eastAsia="Times New Roman" w:cs="Times New Roman"/>
          <w:color w:val="auto"/>
          <w:szCs w:val="24"/>
          <w:u w:val="none"/>
        </w:rPr>
        <w:t>https://kurierlubelski.pl/udzielali-pozyczek-i-przejmowali-nieruchomosci-prokuratura-chce-aresztu-dla-notariusza-z-lublina/ar/c1-16003995</w:t>
      </w:r>
      <w:r w:rsidR="00526897" w:rsidRPr="005D0BAB">
        <w:rPr>
          <w:rFonts w:eastAsia="Times New Roman" w:cs="Times New Roman"/>
          <w:szCs w:val="24"/>
        </w:rPr>
        <w:fldChar w:fldCharType="end"/>
      </w:r>
    </w:p>
    <w:p w14:paraId="43ED0A3C" w14:textId="61AC4751" w:rsidR="00526897" w:rsidRPr="00D36DC9" w:rsidRDefault="00526897" w:rsidP="00526897">
      <w:pPr>
        <w:widowControl/>
        <w:tabs>
          <w:tab w:val="left" w:pos="426"/>
        </w:tabs>
        <w:suppressAutoHyphens/>
        <w:spacing w:before="120"/>
        <w:jc w:val="both"/>
        <w:rPr>
          <w:rFonts w:eastAsia="Times New Roman" w:cs="Times New Roman"/>
          <w:szCs w:val="24"/>
        </w:rPr>
      </w:pPr>
      <w:r w:rsidRPr="005D0BAB">
        <w:rPr>
          <w:rFonts w:eastAsia="Times New Roman" w:cs="Times New Roman"/>
          <w:szCs w:val="24"/>
        </w:rPr>
        <w:t>–</w:t>
      </w:r>
      <w:r w:rsidRPr="005D0BAB">
        <w:rPr>
          <w:rFonts w:eastAsia="Times New Roman" w:cs="Times New Roman"/>
          <w:szCs w:val="24"/>
        </w:rPr>
        <w:tab/>
        <w:t xml:space="preserve">Pomorski Wydział Zamiejscowy Prokuratury Krajowej </w:t>
      </w:r>
      <w:r w:rsidRPr="00D36DC9">
        <w:rPr>
          <w:rFonts w:eastAsia="Times New Roman" w:cs="Times New Roman"/>
          <w:szCs w:val="24"/>
        </w:rPr>
        <w:t xml:space="preserve">w Gdańsku przedstawił notariuszowi Władysławowi L. ponad 40 zarzutów popełnienia czynów zabronionych </w:t>
      </w:r>
      <w:r w:rsidR="00D0106F" w:rsidRPr="00D36DC9">
        <w:rPr>
          <w:rFonts w:eastAsia="Times New Roman" w:cs="Times New Roman"/>
          <w:szCs w:val="24"/>
        </w:rPr>
        <w:lastRenderedPageBreak/>
        <w:t xml:space="preserve">popełnionych </w:t>
      </w:r>
      <w:r w:rsidRPr="00D36DC9">
        <w:rPr>
          <w:rFonts w:eastAsia="Times New Roman" w:cs="Times New Roman"/>
          <w:szCs w:val="24"/>
        </w:rPr>
        <w:t>w związku wykonywaniem przez niego zawodu notariusza</w:t>
      </w:r>
      <w:r w:rsidR="00F62922" w:rsidRPr="00D36DC9">
        <w:rPr>
          <w:rFonts w:eastAsia="Times New Roman" w:cs="Times New Roman"/>
          <w:szCs w:val="24"/>
        </w:rPr>
        <w:t xml:space="preserve"> i w lutym </w:t>
      </w:r>
      <w:r w:rsidR="00D0106F" w:rsidRPr="00D36DC9">
        <w:rPr>
          <w:rFonts w:eastAsia="Times New Roman" w:cs="Times New Roman"/>
          <w:szCs w:val="24"/>
        </w:rPr>
        <w:br/>
      </w:r>
      <w:r w:rsidR="00F62922" w:rsidRPr="00D36DC9">
        <w:rPr>
          <w:rFonts w:eastAsia="Times New Roman" w:cs="Times New Roman"/>
          <w:szCs w:val="24"/>
        </w:rPr>
        <w:t xml:space="preserve">2022 r. wniósł przeciwko niemu akt oskarżenia do </w:t>
      </w:r>
      <w:r w:rsidRPr="00D36DC9">
        <w:rPr>
          <w:rFonts w:eastAsia="Times New Roman" w:cs="Times New Roman"/>
          <w:szCs w:val="24"/>
        </w:rPr>
        <w:t>Sądu Okręgowego w Warszawie</w:t>
      </w:r>
      <w:r w:rsidR="00F62922" w:rsidRPr="00D36DC9">
        <w:rPr>
          <w:rFonts w:eastAsia="Times New Roman" w:cs="Times New Roman"/>
          <w:szCs w:val="24"/>
        </w:rPr>
        <w:t xml:space="preserve"> </w:t>
      </w:r>
      <w:r w:rsidRPr="00D36DC9">
        <w:rPr>
          <w:rFonts w:eastAsia="Times New Roman" w:cs="Times New Roman"/>
          <w:szCs w:val="24"/>
        </w:rPr>
        <w:t>(sygn. akt XII K 80/22)</w:t>
      </w:r>
      <w:r w:rsidR="00F62922" w:rsidRPr="00D36DC9">
        <w:rPr>
          <w:rFonts w:eastAsia="Times New Roman" w:cs="Times New Roman"/>
          <w:szCs w:val="24"/>
        </w:rPr>
        <w:t>. Wobec notariusza zastosowano jedynie majątkowe środki zapobiegawcze.</w:t>
      </w:r>
      <w:r w:rsidR="00A55A23" w:rsidRPr="00D36DC9">
        <w:rPr>
          <w:rFonts w:eastAsia="Times New Roman" w:cs="Times New Roman"/>
          <w:szCs w:val="24"/>
        </w:rPr>
        <w:br/>
      </w:r>
      <w:r w:rsidR="00D0106F" w:rsidRPr="00D36DC9">
        <w:rPr>
          <w:rFonts w:eastAsia="Times New Roman" w:cs="Times New Roman"/>
          <w:szCs w:val="24"/>
        </w:rPr>
        <w:t xml:space="preserve">Do </w:t>
      </w:r>
      <w:r w:rsidR="006F4B73" w:rsidRPr="00D36DC9">
        <w:rPr>
          <w:rFonts w:eastAsia="Times New Roman" w:cs="Times New Roman"/>
          <w:szCs w:val="24"/>
        </w:rPr>
        <w:t>momentu sporządzenia uzasadnienia ustawy wykonywał zawód notariusza</w:t>
      </w:r>
      <w:r w:rsidR="00F62922" w:rsidRPr="00D36DC9">
        <w:rPr>
          <w:rFonts w:eastAsia="Times New Roman" w:cs="Times New Roman"/>
          <w:szCs w:val="24"/>
        </w:rPr>
        <w:t xml:space="preserve">. </w:t>
      </w:r>
    </w:p>
    <w:p w14:paraId="250F6D72"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Sytuacje takie, w celu ochrony praworządności i zagwarantowania ochrony praw obywateli, jak również dla dobra notariatu, muszą zostać wyeliminowane. Niezbędne do tego jest jednak zreformowanie systemu odpowiedzialności notariuszy oraz sprawowania nadzoru.</w:t>
      </w:r>
    </w:p>
    <w:p w14:paraId="5BE66F27" w14:textId="520BA593"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bCs/>
          <w:szCs w:val="24"/>
        </w:rPr>
        <w:t>Dlatego też zaproponowano unormowania dotyczące odpowiedzialności dyscyplinarnej notariuszy oraz wzmocnienia nadzoru. Zmiany te wynikają także z potrzeby ujednolicenia rozwiązań w zakresie odpowiedzialności osób mających status funkcjonariusza publicznego lub korzystających z ochrony przysługującej funkcjonariuszom publicznym (</w:t>
      </w:r>
      <w:r w:rsidRPr="00D36DC9">
        <w:rPr>
          <w:rFonts w:eastAsia="Times New Roman" w:cs="Times New Roman"/>
          <w:szCs w:val="24"/>
        </w:rPr>
        <w:t xml:space="preserve">nadzór Ministra Sprawiedliwości nad notariuszami został uregulowany w sposób analogiczny do nadzoru </w:t>
      </w:r>
      <w:r w:rsidR="006C30ED" w:rsidRPr="00D36DC9">
        <w:rPr>
          <w:rFonts w:eastAsia="Times New Roman" w:cs="Times New Roman"/>
          <w:szCs w:val="24"/>
        </w:rPr>
        <w:br/>
      </w:r>
      <w:r w:rsidRPr="00D36DC9">
        <w:rPr>
          <w:rFonts w:eastAsia="Times New Roman" w:cs="Times New Roman"/>
          <w:szCs w:val="24"/>
        </w:rPr>
        <w:t xml:space="preserve">nad komornikami i nadzoru nad doradcami restrukturyzacyjnymi), w przypadku których </w:t>
      </w:r>
      <w:r w:rsidRPr="00D36DC9">
        <w:rPr>
          <w:rFonts w:eastAsia="Times New Roman" w:cs="Times New Roman"/>
          <w:bCs/>
          <w:szCs w:val="24"/>
        </w:rPr>
        <w:t xml:space="preserve">potrzeba ochrony interesu społecznego przeważa nad interesem prywatnym. Z tego względu projektowane rozwiązania nie naruszają konstytucyjnej zasady proporcjonalności. Trzeba podkreślić, że </w:t>
      </w:r>
      <w:r w:rsidRPr="00D36DC9">
        <w:rPr>
          <w:rFonts w:eastAsia="Times New Roman" w:cs="Times New Roman"/>
          <w:szCs w:val="24"/>
        </w:rPr>
        <w:t xml:space="preserve">Minister Sprawiedliwości nie będzie wkraczał w swobodę i niezależność notariusza przy wykonywaniu zawodu, a będzie jedynie mógł czuwać przez służbę nadzoru </w:t>
      </w:r>
      <w:r w:rsidR="006C30ED" w:rsidRPr="00D36DC9">
        <w:rPr>
          <w:rFonts w:eastAsia="Times New Roman" w:cs="Times New Roman"/>
          <w:szCs w:val="24"/>
        </w:rPr>
        <w:br/>
      </w:r>
      <w:r w:rsidRPr="00D36DC9">
        <w:rPr>
          <w:rFonts w:eastAsia="Times New Roman" w:cs="Times New Roman"/>
          <w:szCs w:val="24"/>
        </w:rPr>
        <w:t xml:space="preserve">nad przestrzeganiem prawa w zakresie wykonywania tych czynności przez notariuszy. </w:t>
      </w:r>
    </w:p>
    <w:p w14:paraId="726BC16E" w14:textId="77777777" w:rsidR="003F1364" w:rsidRPr="00D36DC9" w:rsidRDefault="003F1364" w:rsidP="003F1364">
      <w:pPr>
        <w:widowControl/>
        <w:autoSpaceDE/>
        <w:autoSpaceDN/>
        <w:adjustRightInd/>
        <w:jc w:val="both"/>
        <w:rPr>
          <w:rFonts w:eastAsiaTheme="minorHAnsi" w:cs="Times New Roman"/>
          <w:szCs w:val="24"/>
          <w:lang w:eastAsia="en-US"/>
        </w:rPr>
      </w:pPr>
    </w:p>
    <w:p w14:paraId="5A16E70A" w14:textId="129FA501" w:rsidR="003F1364" w:rsidRPr="00D36DC9" w:rsidRDefault="003F1364" w:rsidP="00B04F5B">
      <w:pPr>
        <w:widowControl/>
        <w:autoSpaceDE/>
        <w:autoSpaceDN/>
        <w:adjustRightInd/>
        <w:jc w:val="both"/>
        <w:rPr>
          <w:rFonts w:eastAsiaTheme="minorHAnsi" w:cs="Times New Roman"/>
          <w:szCs w:val="24"/>
          <w:lang w:eastAsia="en-US"/>
        </w:rPr>
      </w:pPr>
      <w:r w:rsidRPr="00D36DC9">
        <w:rPr>
          <w:rFonts w:eastAsiaTheme="minorHAnsi" w:cs="Times New Roman"/>
          <w:szCs w:val="24"/>
          <w:lang w:eastAsia="en-US"/>
        </w:rPr>
        <w:t xml:space="preserve">Trybunał Konstytucyjny w wyroku sygn. K 49/01 stwierdził, że notariusz jest nie tylko osobą zaufania publicznego, ale pełni jednocześnie funkcje pomocnicze w stosunku do wymiaru sprawiedliwości. Z punktu widzenia przepisów prawnokarnych jest traktowany jako funkcjonariusz publiczny (art. 115 § 13 pkt 3 k.k.). Ponadto TK zwrócił uwagę, że pozycja notariusza różni się niewątpliwie od podmiotów świadczących typowe usługi prawnicze </w:t>
      </w:r>
      <w:r w:rsidR="00D0106F" w:rsidRPr="00D36DC9">
        <w:rPr>
          <w:rFonts w:eastAsiaTheme="minorHAnsi" w:cs="Times New Roman"/>
          <w:szCs w:val="24"/>
          <w:lang w:eastAsia="en-US"/>
        </w:rPr>
        <w:br/>
      </w:r>
      <w:r w:rsidRPr="00D36DC9">
        <w:rPr>
          <w:rFonts w:eastAsiaTheme="minorHAnsi" w:cs="Times New Roman"/>
          <w:szCs w:val="24"/>
          <w:lang w:eastAsia="en-US"/>
        </w:rPr>
        <w:t xml:space="preserve">- adwokatów, radców prawnych czy doradców podatkowych. Notariusz wykonuje także z istoty rzeczy szereg czynności o charakterze urzędowym, m.in. jako płatnik na podstawie odrębnych przepisów pobiera podatki i opłaty skarbowe. Notariusz nie jest świadczącym określone usługi prawne wolnym zawodem prawniczym, a raczej szczególnego rodzaju funkcjonariuszem publicznym powiązanym organizacyjnie z wymiarem sprawiedliwości. Innymi słowy, notariuszom przyznano status przedstawicieli władzy publicznej, na których ciążą obowiązki wykonywania określonych czynności urzędowych (postanowienie TK z 17 grudnia 2008 r., sygn. </w:t>
      </w:r>
      <w:r w:rsidR="00FB1401" w:rsidRPr="00D36DC9">
        <w:rPr>
          <w:rFonts w:eastAsiaTheme="minorHAnsi" w:cs="Times New Roman"/>
          <w:szCs w:val="24"/>
          <w:lang w:eastAsia="en-US"/>
        </w:rPr>
        <w:t xml:space="preserve">akt . </w:t>
      </w:r>
      <w:r w:rsidRPr="00D36DC9">
        <w:rPr>
          <w:rFonts w:eastAsiaTheme="minorHAnsi" w:cs="Times New Roman"/>
          <w:szCs w:val="24"/>
          <w:lang w:eastAsia="en-US"/>
        </w:rPr>
        <w:t>Ts 255/07).</w:t>
      </w:r>
    </w:p>
    <w:p w14:paraId="23DBEBF2" w14:textId="77777777" w:rsidR="003F1364" w:rsidRPr="00D36DC9" w:rsidRDefault="003F1364" w:rsidP="00D46F89">
      <w:pPr>
        <w:widowControl/>
        <w:suppressAutoHyphens/>
        <w:spacing w:before="120"/>
        <w:jc w:val="both"/>
        <w:rPr>
          <w:rFonts w:eastAsia="Times New Roman" w:cs="Times New Roman"/>
          <w:color w:val="000000"/>
          <w:szCs w:val="24"/>
        </w:rPr>
      </w:pPr>
    </w:p>
    <w:p w14:paraId="3243029C" w14:textId="3701BAB8" w:rsidR="00D46F89" w:rsidRPr="00D36DC9" w:rsidRDefault="00D46F89" w:rsidP="00D46F89">
      <w:pPr>
        <w:widowControl/>
        <w:suppressAutoHyphens/>
        <w:spacing w:before="120"/>
        <w:jc w:val="both"/>
        <w:rPr>
          <w:rFonts w:eastAsia="Times New Roman" w:cs="Times New Roman"/>
          <w:bCs/>
          <w:iCs/>
          <w:szCs w:val="24"/>
        </w:rPr>
      </w:pPr>
      <w:r w:rsidRPr="00D36DC9">
        <w:rPr>
          <w:rFonts w:eastAsia="Times New Roman" w:cs="Times New Roman"/>
          <w:bCs/>
          <w:szCs w:val="24"/>
        </w:rPr>
        <w:lastRenderedPageBreak/>
        <w:t xml:space="preserve">W przepisie art. 15a ustawy – Prawo o notariacie wprowadzono rozwiązania regulujące </w:t>
      </w:r>
      <w:r w:rsidR="003F1364" w:rsidRPr="00D36DC9">
        <w:rPr>
          <w:rFonts w:eastAsia="Times New Roman" w:cs="Times New Roman"/>
          <w:bCs/>
          <w:szCs w:val="24"/>
        </w:rPr>
        <w:t xml:space="preserve">fakultatywne </w:t>
      </w:r>
      <w:r w:rsidRPr="00D36DC9">
        <w:rPr>
          <w:rFonts w:eastAsia="Times New Roman" w:cs="Times New Roman"/>
          <w:bCs/>
          <w:szCs w:val="24"/>
        </w:rPr>
        <w:t xml:space="preserve">zawieszenie notariusza w czynnościach, co </w:t>
      </w:r>
      <w:r w:rsidRPr="00D36DC9">
        <w:rPr>
          <w:rFonts w:eastAsia="Times New Roman" w:cs="Times New Roman"/>
          <w:color w:val="000000"/>
          <w:szCs w:val="24"/>
        </w:rPr>
        <w:t xml:space="preserve">będzie </w:t>
      </w:r>
      <w:r w:rsidRPr="00D36DC9">
        <w:rPr>
          <w:rFonts w:eastAsia="Times New Roman" w:cs="Times New Roman"/>
          <w:bCs/>
          <w:szCs w:val="24"/>
        </w:rPr>
        <w:t xml:space="preserve">stanowić </w:t>
      </w:r>
      <w:r w:rsidRPr="00D36DC9">
        <w:rPr>
          <w:rFonts w:eastAsia="Times New Roman" w:cs="Times New Roman"/>
          <w:color w:val="000000"/>
          <w:szCs w:val="24"/>
        </w:rPr>
        <w:t xml:space="preserve">formę nadzoru sprawowanego przez Ministra Sprawiedliwości nad notariatem, </w:t>
      </w:r>
      <w:r w:rsidRPr="00D36DC9">
        <w:rPr>
          <w:rFonts w:eastAsia="Times New Roman" w:cs="Times New Roman"/>
          <w:bCs/>
          <w:szCs w:val="24"/>
        </w:rPr>
        <w:t xml:space="preserve">wynikającą z konieczności stworzenia instrumentu pozwalającego na </w:t>
      </w:r>
      <w:r w:rsidRPr="00CD2A86">
        <w:rPr>
          <w:rFonts w:eastAsia="Times New Roman" w:cs="Times New Roman"/>
          <w:bCs/>
          <w:szCs w:val="24"/>
        </w:rPr>
        <w:t>szybkie odsunięcie od dokonywania czynności notarialnych notariuszy, w stosunku do których jest prowadzone postępowanie karne</w:t>
      </w:r>
      <w:r w:rsidR="003F1364" w:rsidRPr="00CD2A86">
        <w:rPr>
          <w:rFonts w:eastAsia="Times New Roman" w:cs="Times New Roman"/>
          <w:bCs/>
          <w:szCs w:val="24"/>
        </w:rPr>
        <w:t xml:space="preserve">, </w:t>
      </w:r>
      <w:r w:rsidR="00D0106F" w:rsidRPr="00CD2A86">
        <w:rPr>
          <w:rFonts w:eastAsia="Times New Roman" w:cs="Times New Roman"/>
          <w:bCs/>
          <w:szCs w:val="24"/>
        </w:rPr>
        <w:t xml:space="preserve"> dotycząc</w:t>
      </w:r>
      <w:r w:rsidR="00723199" w:rsidRPr="00CD2A86">
        <w:rPr>
          <w:rFonts w:eastAsia="Times New Roman" w:cs="Times New Roman"/>
          <w:bCs/>
          <w:szCs w:val="24"/>
        </w:rPr>
        <w:t>e najcięższych przestępstw, których</w:t>
      </w:r>
      <w:r w:rsidR="00723199" w:rsidRPr="00CD2A86">
        <w:t xml:space="preserve"> górna granica ustawowego zagrożenia karą pozbawienia wolności </w:t>
      </w:r>
      <w:r w:rsidR="00115222">
        <w:t xml:space="preserve">wynosi </w:t>
      </w:r>
      <w:r w:rsidR="004A760E">
        <w:t>powyżej</w:t>
      </w:r>
      <w:r w:rsidR="00A55A23" w:rsidRPr="00CD2A86">
        <w:t xml:space="preserve"> </w:t>
      </w:r>
      <w:r w:rsidR="00723199" w:rsidRPr="00CD2A86">
        <w:t>1</w:t>
      </w:r>
      <w:r w:rsidR="001E7E05" w:rsidRPr="00CD2A86">
        <w:t>0</w:t>
      </w:r>
      <w:r w:rsidR="00A55A23" w:rsidRPr="00CD2A86">
        <w:t xml:space="preserve"> </w:t>
      </w:r>
      <w:r w:rsidR="00723199" w:rsidRPr="00CD2A86">
        <w:t>lat</w:t>
      </w:r>
      <w:r w:rsidR="001E7E05" w:rsidRPr="00CD2A86">
        <w:t>.</w:t>
      </w:r>
      <w:r w:rsidR="001E7E05" w:rsidRPr="00CD2A86">
        <w:rPr>
          <w:rFonts w:eastAsia="Times New Roman" w:cs="Times New Roman"/>
          <w:bCs/>
          <w:szCs w:val="24"/>
        </w:rPr>
        <w:t xml:space="preserve"> </w:t>
      </w:r>
      <w:r w:rsidR="00D30522" w:rsidRPr="00CD2A86">
        <w:rPr>
          <w:rFonts w:eastAsia="Times New Roman" w:cs="Times New Roman"/>
          <w:bCs/>
          <w:iCs/>
          <w:szCs w:val="24"/>
        </w:rPr>
        <w:t>Projektowana</w:t>
      </w:r>
      <w:r w:rsidRPr="00CD2A86">
        <w:rPr>
          <w:rFonts w:eastAsia="Times New Roman" w:cs="Times New Roman"/>
          <w:bCs/>
          <w:iCs/>
          <w:szCs w:val="24"/>
        </w:rPr>
        <w:t xml:space="preserve"> ustawa przyznaje notariuszowi status funkcjonariusza publicznego, korzysta on też z ochrony</w:t>
      </w:r>
      <w:r w:rsidRPr="00D36DC9">
        <w:rPr>
          <w:rFonts w:eastAsia="Times New Roman" w:cs="Times New Roman"/>
          <w:bCs/>
          <w:iCs/>
          <w:szCs w:val="24"/>
        </w:rPr>
        <w:t xml:space="preserve">, jaką przyznają funkcjonariuszom publicznym przepisy kodeksu karnego. Tym samym szczególna rola, jaką odgrywa notariusz w systemie prawnym, wzmocniona jeszcze bardziej w projekcie przedmiotowej ustawy, wymaga wprowadzania odpowiednich narzędzi umożlwiających Ministrowi Sprawiedliwości prowadzenie realnego nadzoru nad notariuszami i zabezpieczenie interesu publicznego. Analogiczne rozwiązania przyznające Ministrowi Sprawiedliwości jeszcze większą swobodę działania niż przepisy projektowanej ustawy </w:t>
      </w:r>
      <w:r w:rsidR="00C82698" w:rsidRPr="00D36DC9">
        <w:rPr>
          <w:rFonts w:eastAsia="Times New Roman" w:cs="Times New Roman"/>
          <w:bCs/>
          <w:iCs/>
          <w:szCs w:val="24"/>
        </w:rPr>
        <w:t>na</w:t>
      </w:r>
      <w:r w:rsidRPr="00D36DC9">
        <w:rPr>
          <w:rFonts w:eastAsia="Times New Roman" w:cs="Times New Roman"/>
          <w:bCs/>
          <w:iCs/>
          <w:szCs w:val="24"/>
        </w:rPr>
        <w:t xml:space="preserve"> podstawie art. 18 ustawy </w:t>
      </w:r>
      <w:r w:rsidRPr="00D36DC9">
        <w:t xml:space="preserve">z dnia 22 marca 2018 r. </w:t>
      </w:r>
      <w:r w:rsidRPr="00D36DC9">
        <w:rPr>
          <w:rFonts w:eastAsia="Times New Roman" w:cs="Times New Roman"/>
          <w:bCs/>
          <w:iCs/>
          <w:szCs w:val="24"/>
        </w:rPr>
        <w:t xml:space="preserve">o komornikach sądowych. Notariusz, jak i komornik, będąc jednocześnie przedsiębiorcami, pełnią obecnie pomocnicze funkcje w stosunku do wymiaru sprawiedliwości, wykonując czynności z zakresu ochrony prawnej. Zbliżona pozycja ustrojowa notariusza i komornika w systemie ochrony prawa oraz zakres powierzonego im władztwa publicznego uzasadniają objęcie ich zbliżonymi środkami nadzoru, w tym zwłaszcza dotyczącymi możliwości ich zawieszania. </w:t>
      </w:r>
    </w:p>
    <w:p w14:paraId="68661361" w14:textId="5F0B5CB8" w:rsidR="00D30522" w:rsidRPr="00D36DC9" w:rsidRDefault="00D30522" w:rsidP="00B04F5B">
      <w:pPr>
        <w:widowControl/>
        <w:autoSpaceDE/>
        <w:autoSpaceDN/>
        <w:adjustRightInd/>
        <w:jc w:val="both"/>
        <w:rPr>
          <w:rFonts w:eastAsiaTheme="minorHAnsi" w:cs="Times New Roman"/>
          <w:b/>
          <w:bCs/>
          <w:szCs w:val="24"/>
          <w:lang w:eastAsia="en-US"/>
        </w:rPr>
      </w:pPr>
      <w:r w:rsidRPr="00D36DC9">
        <w:rPr>
          <w:rFonts w:eastAsiaTheme="minorHAnsi" w:cs="Times New Roman"/>
          <w:szCs w:val="24"/>
          <w:lang w:eastAsia="en-US"/>
        </w:rPr>
        <w:t xml:space="preserve">Na gruncie przedwojennego rozporządzenia – Prawo o notarjacie wyrażano pogląd, że </w:t>
      </w:r>
      <w:r w:rsidRPr="00D36DC9">
        <w:rPr>
          <w:rFonts w:eastAsiaTheme="minorHAnsi" w:cs="Times New Roman"/>
          <w:szCs w:val="24"/>
          <w:lang w:eastAsia="en-US"/>
        </w:rPr>
        <w:br/>
        <w:t xml:space="preserve">„Ze względu na to, że notarjusz nie jest urzędnikiem, nie można do jego czynności oraz do ich zaniedbania stosować tych przepisów, jakie się odnoszą do urzędników” (por. M. Allerhand, Prawo o notariacie, Kodeks spółka wydawnicza z ogr. odpow., Lwów 1934, s. 15). Co więcej, wprawdzie na mocy art. 55 rozporządzenia do notariuszy należało stosować odpowiednio przepisy dotyczące odpowiedzialności dyscyplinarnej sędziów, ale zgodnie </w:t>
      </w:r>
      <w:r w:rsidRPr="00D36DC9">
        <w:rPr>
          <w:rFonts w:eastAsiaTheme="minorHAnsi" w:cs="Times New Roman"/>
          <w:szCs w:val="24"/>
          <w:lang w:eastAsia="en-US"/>
        </w:rPr>
        <w:br/>
        <w:t xml:space="preserve">z art. 21 § 1 rozporządzenia, w razie zawieszenia notariusza w czynnościach, prezes sądu apelacyjnego wyznaczał czasowo do pełnienia obowiązków notariusza zastępcę. Na gruncie </w:t>
      </w:r>
      <w:r w:rsidRPr="00D36DC9">
        <w:rPr>
          <w:rFonts w:eastAsiaTheme="minorHAnsi" w:cs="Times New Roman"/>
          <w:szCs w:val="24"/>
          <w:lang w:eastAsia="en-US"/>
        </w:rPr>
        <w:br/>
        <w:t>tej regulacji wprost wyrażono pogląd, że „Notarjusz w razie zawieszenia go w czynnościach nie pobiera żadnego dochodu z kancelarji, bo ten przypada w całości zastępcy.”</w:t>
      </w:r>
      <w:r w:rsidRPr="00D36DC9">
        <w:rPr>
          <w:rFonts w:eastAsiaTheme="minorHAnsi" w:cs="Times New Roman"/>
          <w:szCs w:val="24"/>
          <w:lang w:eastAsia="en-US"/>
        </w:rPr>
        <w:br/>
        <w:t xml:space="preserve">(por. M. Allerhand, Prawo o notariacie, Kodeks spółka wydawnicza z ogr. odpow., Lwów 1934, s. 49-50). </w:t>
      </w:r>
    </w:p>
    <w:p w14:paraId="337337DB" w14:textId="77777777" w:rsidR="00D30522" w:rsidRPr="00D36DC9" w:rsidRDefault="00D30522" w:rsidP="00D46F89">
      <w:pPr>
        <w:widowControl/>
        <w:suppressAutoHyphens/>
        <w:spacing w:before="120"/>
        <w:jc w:val="both"/>
        <w:rPr>
          <w:rFonts w:eastAsia="Times New Roman" w:cs="Times New Roman"/>
          <w:bCs/>
          <w:iCs/>
          <w:szCs w:val="24"/>
        </w:rPr>
      </w:pPr>
    </w:p>
    <w:p w14:paraId="4FC7F389" w14:textId="34B530CA" w:rsidR="00D46F89" w:rsidRPr="00CD2A86" w:rsidRDefault="00D46F89" w:rsidP="00C82698">
      <w:pPr>
        <w:widowControl/>
        <w:suppressAutoHyphens/>
        <w:spacing w:before="120"/>
        <w:jc w:val="both"/>
      </w:pPr>
      <w:r w:rsidRPr="00D36DC9">
        <w:rPr>
          <w:rFonts w:eastAsia="Times New Roman" w:cs="Times New Roman"/>
          <w:bCs/>
          <w:szCs w:val="24"/>
        </w:rPr>
        <w:lastRenderedPageBreak/>
        <w:t xml:space="preserve">Projektowane regulacje przewidują </w:t>
      </w:r>
      <w:r w:rsidR="008955D8" w:rsidRPr="00D36DC9">
        <w:rPr>
          <w:rFonts w:eastAsia="Times New Roman" w:cs="Times New Roman"/>
          <w:bCs/>
          <w:szCs w:val="24"/>
        </w:rPr>
        <w:t xml:space="preserve">fakultatywne </w:t>
      </w:r>
      <w:r w:rsidRPr="00D36DC9">
        <w:rPr>
          <w:rFonts w:eastAsia="Times New Roman" w:cs="Times New Roman"/>
          <w:bCs/>
          <w:szCs w:val="24"/>
        </w:rPr>
        <w:t xml:space="preserve">zawieszenie notariusza </w:t>
      </w:r>
      <w:r w:rsidR="008955D8" w:rsidRPr="00D36DC9">
        <w:rPr>
          <w:rFonts w:eastAsia="Times New Roman" w:cs="Times New Roman"/>
          <w:bCs/>
          <w:szCs w:val="24"/>
        </w:rPr>
        <w:br/>
      </w:r>
      <w:r w:rsidRPr="00D36DC9">
        <w:rPr>
          <w:rFonts w:eastAsia="Times New Roman" w:cs="Times New Roman"/>
          <w:bCs/>
          <w:szCs w:val="24"/>
        </w:rPr>
        <w:t xml:space="preserve">w czynnościach zawodowych. </w:t>
      </w:r>
      <w:r w:rsidR="008955D8" w:rsidRPr="00D36DC9">
        <w:t>,</w:t>
      </w:r>
      <w:r w:rsidR="00C82698" w:rsidRPr="00D36DC9">
        <w:t xml:space="preserve"> Minister Sprawiedliwości, mając na </w:t>
      </w:r>
      <w:bookmarkStart w:id="2" w:name="_Hlk121228546"/>
      <w:r w:rsidR="00C82698" w:rsidRPr="00D36DC9">
        <w:t>względzie bezpieczeństwo obrotu, zasady współżycia społecznego, dobro notariatu</w:t>
      </w:r>
      <w:bookmarkEnd w:id="2"/>
      <w:r w:rsidR="00C82698" w:rsidRPr="00D36DC9">
        <w:t xml:space="preserve">, a także wagę naruszonych obowiązków, postanowieniem może zawiesić notariusza w czynnościach zawodowych, jeżeli: przeciwko notariuszowi jest prowadzone postępowanie o umyślne przestępstwo ścigane </w:t>
      </w:r>
      <w:r w:rsidR="00CD2A86">
        <w:br/>
      </w:r>
      <w:r w:rsidR="00C82698" w:rsidRPr="00D36DC9">
        <w:t xml:space="preserve">z oskarżenia publicznego, jeżeli czyn zabroniony </w:t>
      </w:r>
      <w:bookmarkStart w:id="3" w:name="_Hlk121228356"/>
      <w:r w:rsidR="00C82698" w:rsidRPr="00D36DC9">
        <w:t xml:space="preserve">zagrożony jest karą </w:t>
      </w:r>
      <w:r w:rsidR="002C2AF9">
        <w:t>powyżej</w:t>
      </w:r>
      <w:r w:rsidR="00C82698" w:rsidRPr="00D36DC9">
        <w:t xml:space="preserve"> 10 lat pozbawienia wolności </w:t>
      </w:r>
      <w:bookmarkEnd w:id="3"/>
      <w:r w:rsidR="00C82698" w:rsidRPr="00D36DC9">
        <w:t>lub umyślne przestępstwo skarbowe,</w:t>
      </w:r>
      <w:r w:rsidR="008955D8" w:rsidRPr="00D36DC9">
        <w:t xml:space="preserve"> </w:t>
      </w:r>
      <w:r w:rsidR="00C82698" w:rsidRPr="00D36DC9">
        <w:rPr>
          <w:rFonts w:eastAsia="Times New Roman" w:cs="Times New Roman"/>
          <w:bCs/>
          <w:szCs w:val="24"/>
        </w:rPr>
        <w:t xml:space="preserve">z </w:t>
      </w:r>
      <w:r w:rsidR="00C82698" w:rsidRPr="00CD2A86">
        <w:rPr>
          <w:rFonts w:eastAsia="Times New Roman" w:cs="Times New Roman"/>
          <w:bCs/>
          <w:szCs w:val="24"/>
        </w:rPr>
        <w:t xml:space="preserve">wyjątkiem spraw wszczętych na skutek wniesienia subsydiarnego aktu oskarżenia w trybie art. 55 § 1 ustawy z dnia 6 czerwca 1997 r. – Kodeks postępowania karnego (Dz. U. z 2022 r. poz. 1360 i 1855), </w:t>
      </w:r>
      <w:r w:rsidRPr="00CD2A86">
        <w:rPr>
          <w:rFonts w:eastAsia="Times New Roman" w:cs="Times New Roman"/>
          <w:bCs/>
          <w:szCs w:val="24"/>
        </w:rPr>
        <w:t xml:space="preserve">albo postępowanie o częściowe bądź całkowite ubezwłasnowolnienie i ustanowiono doradcę tymczasowego (projektowany art. 15a § 1 ustawy – Prawo o notariacie). </w:t>
      </w:r>
      <w:bookmarkStart w:id="4" w:name="_Hlk113447900"/>
    </w:p>
    <w:bookmarkEnd w:id="4"/>
    <w:p w14:paraId="18F8BE9B" w14:textId="37313AC1" w:rsidR="00CD2A86" w:rsidRDefault="00D46F89" w:rsidP="00CD2A86">
      <w:pPr>
        <w:widowControl/>
        <w:suppressAutoHyphens/>
        <w:spacing w:before="120"/>
        <w:jc w:val="both"/>
      </w:pPr>
      <w:r w:rsidRPr="00D36DC9">
        <w:rPr>
          <w:rFonts w:eastAsia="Times New Roman" w:cs="Times New Roman"/>
          <w:bCs/>
          <w:szCs w:val="24"/>
        </w:rPr>
        <w:t>Wprowadzane regulacje dotyczące zawieszenia notariusza w czynnościach powinny przyczynić się do zwiększenia bezpieczeństwa obrotu, a także do wzrostu zaufania społecznego wobec notariuszy. Odsunięcie od dokonywania czynności notarialnych będzie dotyczyło bowiem tych przedstawicieli zawodu, na których ciążą zarzuty dotyczące popełnienia umyślnych przestępstw</w:t>
      </w:r>
      <w:r w:rsidR="00DB0082" w:rsidRPr="00D36DC9">
        <w:rPr>
          <w:rFonts w:eastAsia="Times New Roman" w:cs="Times New Roman"/>
          <w:bCs/>
          <w:szCs w:val="24"/>
        </w:rPr>
        <w:t>,</w:t>
      </w:r>
      <w:r w:rsidR="00DB43D1" w:rsidRPr="00D36DC9">
        <w:t xml:space="preserve"> zagrożonych karą pozbawienia wolności </w:t>
      </w:r>
      <w:r w:rsidR="004A760E">
        <w:t>powyżej</w:t>
      </w:r>
      <w:r w:rsidR="00DB43D1" w:rsidRPr="00D36DC9">
        <w:t xml:space="preserve"> 10 lat </w:t>
      </w:r>
      <w:r w:rsidR="00CD2A86">
        <w:br/>
      </w:r>
      <w:r w:rsidR="00DB43D1" w:rsidRPr="00D36DC9">
        <w:t>i</w:t>
      </w:r>
      <w:r w:rsidRPr="00D36DC9">
        <w:rPr>
          <w:rFonts w:eastAsia="Times New Roman" w:cs="Times New Roman"/>
          <w:bCs/>
          <w:szCs w:val="24"/>
        </w:rPr>
        <w:t xml:space="preserve"> przestępstw skarbowych</w:t>
      </w:r>
      <w:r w:rsidR="00DB0082" w:rsidRPr="00D36DC9">
        <w:rPr>
          <w:rFonts w:eastAsia="Times New Roman" w:cs="Times New Roman"/>
          <w:bCs/>
          <w:szCs w:val="24"/>
        </w:rPr>
        <w:t xml:space="preserve"> (w odniesieniu do przestępstw skarbowych nie zastrzeżono takiego warunku, gdyż górna granica ustawowego zagrożenia karą pozbawienia wolności określona </w:t>
      </w:r>
      <w:r w:rsidR="00CD2A86">
        <w:rPr>
          <w:rFonts w:eastAsia="Times New Roman" w:cs="Times New Roman"/>
          <w:bCs/>
          <w:szCs w:val="24"/>
        </w:rPr>
        <w:br/>
      </w:r>
      <w:r w:rsidR="00DB0082" w:rsidRPr="00D36DC9">
        <w:rPr>
          <w:rFonts w:eastAsia="Times New Roman" w:cs="Times New Roman"/>
          <w:bCs/>
          <w:szCs w:val="24"/>
        </w:rPr>
        <w:t>w art. 27 § 1 k.k.s. wynosi 5 lat)</w:t>
      </w:r>
      <w:r w:rsidRPr="00D36DC9">
        <w:rPr>
          <w:rFonts w:eastAsia="Times New Roman" w:cs="Times New Roman"/>
          <w:bCs/>
          <w:szCs w:val="24"/>
        </w:rPr>
        <w:t xml:space="preserve"> lub z uwagi na stan zdrowia psychicznego notariusza nie jest on w stanie kierować swoim postępowaniem.</w:t>
      </w:r>
      <w:r w:rsidR="00BF026F" w:rsidRPr="00D36DC9">
        <w:rPr>
          <w:rFonts w:eastAsia="Times New Roman" w:cs="Times New Roman"/>
          <w:bCs/>
          <w:szCs w:val="24"/>
        </w:rPr>
        <w:t xml:space="preserve"> Zawieszenie będzie mogło być zastosowane przez Ministra Sprawiedliwości - j</w:t>
      </w:r>
      <w:r w:rsidR="00DB43D1" w:rsidRPr="00D36DC9">
        <w:rPr>
          <w:rFonts w:eastAsia="Times New Roman" w:cs="Times New Roman"/>
          <w:bCs/>
          <w:szCs w:val="24"/>
        </w:rPr>
        <w:t xml:space="preserve">eżeli wymaga tego </w:t>
      </w:r>
      <w:r w:rsidR="00DB43D1" w:rsidRPr="00D36DC9">
        <w:t xml:space="preserve">bezpieczeństwo obrotu, zasady współżycia </w:t>
      </w:r>
      <w:r w:rsidR="00A71818" w:rsidRPr="00D36DC9">
        <w:t>społecznego</w:t>
      </w:r>
      <w:r w:rsidR="00DB43D1" w:rsidRPr="00D36DC9">
        <w:t xml:space="preserve"> </w:t>
      </w:r>
      <w:r w:rsidR="00BF026F" w:rsidRPr="00D36DC9">
        <w:t xml:space="preserve">, </w:t>
      </w:r>
      <w:r w:rsidR="00DB43D1" w:rsidRPr="00D36DC9">
        <w:t>dobro notariatu</w:t>
      </w:r>
      <w:r w:rsidR="00BF026F" w:rsidRPr="00D36DC9">
        <w:t>, a także waga naruszonych obowiązków.</w:t>
      </w:r>
    </w:p>
    <w:p w14:paraId="0CDF7A64" w14:textId="4FA87B4B" w:rsidR="00BF026F" w:rsidRPr="00CD2A86" w:rsidRDefault="00D46F89" w:rsidP="00CD2A86">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projekcie określono także skutki wniesienia </w:t>
      </w:r>
      <w:r w:rsidR="00BF026F" w:rsidRPr="00D36DC9">
        <w:rPr>
          <w:rFonts w:eastAsia="Times New Roman" w:cs="Times New Roman"/>
          <w:bCs/>
          <w:szCs w:val="24"/>
        </w:rPr>
        <w:t xml:space="preserve">zażalenia </w:t>
      </w:r>
      <w:r w:rsidRPr="00D36DC9">
        <w:rPr>
          <w:rFonts w:eastAsia="Times New Roman" w:cs="Times New Roman"/>
          <w:bCs/>
          <w:szCs w:val="24"/>
        </w:rPr>
        <w:t>od decyzji Ministra Sprawiedliwości o zawieszeniu (</w:t>
      </w:r>
      <w:r w:rsidR="00BF026F" w:rsidRPr="00D36DC9">
        <w:rPr>
          <w:rFonts w:eastAsia="Times New Roman" w:cs="Times New Roman"/>
          <w:bCs/>
          <w:szCs w:val="24"/>
        </w:rPr>
        <w:t xml:space="preserve">zażalenie </w:t>
      </w:r>
      <w:r w:rsidRPr="00D36DC9">
        <w:rPr>
          <w:rFonts w:eastAsia="Times New Roman" w:cs="Times New Roman"/>
          <w:bCs/>
          <w:szCs w:val="24"/>
        </w:rPr>
        <w:t>wstrzymuje wykonani</w:t>
      </w:r>
      <w:r w:rsidR="0057433B" w:rsidRPr="00D36DC9">
        <w:rPr>
          <w:rFonts w:eastAsia="Times New Roman" w:cs="Times New Roman"/>
          <w:bCs/>
          <w:szCs w:val="24"/>
        </w:rPr>
        <w:t>e</w:t>
      </w:r>
      <w:r w:rsidRPr="00D36DC9">
        <w:rPr>
          <w:rFonts w:eastAsia="Times New Roman" w:cs="Times New Roman"/>
          <w:bCs/>
          <w:szCs w:val="24"/>
        </w:rPr>
        <w:t xml:space="preserve"> decyzji o zawieszeniu), </w:t>
      </w:r>
      <w:r w:rsidR="00DB0082" w:rsidRPr="00D36DC9">
        <w:rPr>
          <w:rFonts w:eastAsia="Times New Roman" w:cs="Times New Roman"/>
          <w:bCs/>
          <w:szCs w:val="24"/>
        </w:rPr>
        <w:t xml:space="preserve">wprowadza </w:t>
      </w:r>
      <w:r w:rsidR="00701D78" w:rsidRPr="00D36DC9">
        <w:rPr>
          <w:rFonts w:eastAsia="Times New Roman" w:cs="Times New Roman"/>
          <w:bCs/>
          <w:szCs w:val="24"/>
        </w:rPr>
        <w:t xml:space="preserve">nadto </w:t>
      </w:r>
      <w:r w:rsidR="00DB0082" w:rsidRPr="00D36DC9">
        <w:rPr>
          <w:rFonts w:eastAsia="Times New Roman" w:cs="Times New Roman"/>
          <w:bCs/>
          <w:szCs w:val="24"/>
        </w:rPr>
        <w:t>regulacje dotyczącą instrukcyjnego terminu rozpoznania zażalenia</w:t>
      </w:r>
      <w:r w:rsidR="00BF026F" w:rsidRPr="00D36DC9">
        <w:rPr>
          <w:rFonts w:eastAsia="Times New Roman" w:cs="Times New Roman"/>
          <w:bCs/>
          <w:szCs w:val="24"/>
        </w:rPr>
        <w:t xml:space="preserve"> (7 dni) </w:t>
      </w:r>
      <w:r w:rsidR="00DB0082" w:rsidRPr="00D36DC9">
        <w:rPr>
          <w:rFonts w:eastAsia="Times New Roman" w:cs="Times New Roman"/>
          <w:bCs/>
          <w:szCs w:val="24"/>
        </w:rPr>
        <w:t xml:space="preserve"> oraz wstrzymania wykonania postanowienia do czasu rozpoznania zażalenia przez sąd</w:t>
      </w:r>
      <w:r w:rsidR="0057433B" w:rsidRPr="00D36DC9">
        <w:rPr>
          <w:rFonts w:eastAsia="Times New Roman" w:cs="Times New Roman"/>
          <w:bCs/>
          <w:szCs w:val="24"/>
        </w:rPr>
        <w:t>, celem szybkiego rozpoznania sprawy i zabezpieczenia praw notariusza</w:t>
      </w:r>
      <w:r w:rsidR="00DB0082" w:rsidRPr="00D36DC9">
        <w:rPr>
          <w:rFonts w:eastAsia="Times New Roman" w:cs="Times New Roman"/>
          <w:bCs/>
          <w:szCs w:val="24"/>
        </w:rPr>
        <w:t xml:space="preserve">, </w:t>
      </w:r>
      <w:r w:rsidR="0057433B" w:rsidRPr="00D36DC9">
        <w:rPr>
          <w:rFonts w:eastAsia="Times New Roman" w:cs="Times New Roman"/>
          <w:bCs/>
          <w:szCs w:val="24"/>
        </w:rPr>
        <w:t xml:space="preserve">a także </w:t>
      </w:r>
      <w:r w:rsidRPr="00D36DC9">
        <w:rPr>
          <w:rFonts w:eastAsia="Times New Roman" w:cs="Times New Roman"/>
          <w:bCs/>
          <w:szCs w:val="24"/>
        </w:rPr>
        <w:t xml:space="preserve">uprawnienie Ministra Sprawiedliwości do uchylenia w każdym czasie decyzji o zawieszeniu w czynnościach, </w:t>
      </w:r>
      <w:r w:rsidR="00CD2A86">
        <w:rPr>
          <w:rFonts w:eastAsia="Times New Roman" w:cs="Times New Roman"/>
          <w:bCs/>
          <w:szCs w:val="24"/>
        </w:rPr>
        <w:br/>
      </w:r>
      <w:r w:rsidRPr="00D36DC9">
        <w:rPr>
          <w:rFonts w:eastAsia="Times New Roman" w:cs="Times New Roman"/>
          <w:bCs/>
          <w:szCs w:val="24"/>
        </w:rPr>
        <w:t>w przypadku poprawy stanu zdrowia notariusza, a także przy uwzględnieniu bezpieczeństwa obrotu, zasad współżycia społecznego i dobra notariatu</w:t>
      </w:r>
      <w:r w:rsidR="00BF026F" w:rsidRPr="00D36DC9">
        <w:t xml:space="preserve">. Nie będą stosowane przepisy </w:t>
      </w:r>
      <w:r w:rsidR="00CD2A86">
        <w:br/>
      </w:r>
      <w:r w:rsidR="00BF026F" w:rsidRPr="00D36DC9">
        <w:t>o środkach zapobiegawczych.</w:t>
      </w:r>
    </w:p>
    <w:p w14:paraId="1D344786" w14:textId="5C58323E"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iCs/>
          <w:szCs w:val="24"/>
          <w:lang w:eastAsia="en-US"/>
        </w:rPr>
        <w:t xml:space="preserve">Do projektu ustawy wprowadzono przepis, na podstawie którego notariusz zawieszony </w:t>
      </w:r>
      <w:r w:rsidR="006C30ED" w:rsidRPr="00D36DC9">
        <w:rPr>
          <w:rFonts w:eastAsia="Times New Roman" w:cs="Times New Roman"/>
          <w:bCs/>
          <w:iCs/>
          <w:szCs w:val="24"/>
          <w:lang w:eastAsia="en-US"/>
        </w:rPr>
        <w:br/>
      </w:r>
      <w:r w:rsidRPr="00D36DC9">
        <w:rPr>
          <w:rFonts w:eastAsia="Times New Roman" w:cs="Times New Roman"/>
          <w:bCs/>
          <w:iCs/>
          <w:szCs w:val="24"/>
          <w:lang w:eastAsia="en-US"/>
        </w:rPr>
        <w:t xml:space="preserve">w wykonywaniu czynności zawodowych będzie mógł, po uzyskaniu zgody Rady Izby </w:t>
      </w:r>
      <w:r w:rsidRPr="00D36DC9">
        <w:rPr>
          <w:rFonts w:eastAsia="Times New Roman" w:cs="Times New Roman"/>
          <w:bCs/>
          <w:iCs/>
          <w:szCs w:val="24"/>
          <w:lang w:eastAsia="en-US"/>
        </w:rPr>
        <w:lastRenderedPageBreak/>
        <w:t>Notarialnej, w okresie zawieszenia podjąć dodatkowe zatrudnienie. W przypadku odmowy uwzględnienia wniosku o wyrażenie zgody na dodatkowe zatrudnienie notariuszowi będzie przysługiwało odwołanie do Ministra Sprawiedliwości. Zapewni to zabezpieczenie finansowe zawieszonego notariusza przez umożliwienie wykonywania mu innego dodatkowego zatrudnienia.</w:t>
      </w:r>
    </w:p>
    <w:p w14:paraId="79A8B2EC" w14:textId="3D23E4B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Konsekwencją wprowadzenia do ustawy – Prawo o notariacie instytucji zawieszenia notariusza w czynnościach przez Ministra Sprawiedliwości jest także przewidywana zmiana </w:t>
      </w:r>
      <w:r w:rsidR="006C30ED" w:rsidRPr="00D36DC9">
        <w:rPr>
          <w:rFonts w:eastAsia="Times New Roman" w:cs="Times New Roman"/>
          <w:bCs/>
          <w:szCs w:val="24"/>
        </w:rPr>
        <w:br/>
      </w:r>
      <w:r w:rsidRPr="00D36DC9">
        <w:rPr>
          <w:rFonts w:eastAsia="Times New Roman" w:cs="Times New Roman"/>
          <w:bCs/>
          <w:szCs w:val="24"/>
        </w:rPr>
        <w:t xml:space="preserve">art. 16 § 1 ustawy – Prawo o notariacie. Projektowana regulacja przewiduje, że konsekwencją </w:t>
      </w:r>
      <w:r w:rsidR="008955D8" w:rsidRPr="00D36DC9">
        <w:rPr>
          <w:rFonts w:eastAsia="Times New Roman" w:cs="Times New Roman"/>
          <w:bCs/>
          <w:szCs w:val="24"/>
        </w:rPr>
        <w:t xml:space="preserve">prawomocnego </w:t>
      </w:r>
      <w:r w:rsidRPr="00D36DC9">
        <w:rPr>
          <w:rFonts w:eastAsia="Times New Roman" w:cs="Times New Roman"/>
          <w:bCs/>
          <w:szCs w:val="24"/>
        </w:rPr>
        <w:t xml:space="preserve">skazania za </w:t>
      </w:r>
      <w:r w:rsidR="00245496" w:rsidRPr="00D36DC9">
        <w:rPr>
          <w:rFonts w:eastAsia="Times New Roman" w:cs="Times New Roman"/>
          <w:bCs/>
          <w:szCs w:val="24"/>
        </w:rPr>
        <w:t xml:space="preserve"> umyślne przestępstwo ścigane z oskarżenia publicznego lub przestępstwo skarbowe</w:t>
      </w:r>
      <w:r w:rsidR="00CC36C4" w:rsidRPr="00D36DC9">
        <w:rPr>
          <w:rFonts w:eastAsia="Times New Roman" w:cs="Times New Roman"/>
          <w:bCs/>
          <w:szCs w:val="24"/>
        </w:rPr>
        <w:t>,</w:t>
      </w:r>
      <w:r w:rsidR="00245496" w:rsidRPr="00D36DC9">
        <w:rPr>
          <w:rFonts w:eastAsia="Times New Roman" w:cs="Times New Roman"/>
          <w:bCs/>
          <w:szCs w:val="24"/>
        </w:rPr>
        <w:t xml:space="preserve"> będzie</w:t>
      </w:r>
      <w:r w:rsidRPr="00D36DC9">
        <w:rPr>
          <w:rFonts w:eastAsia="Times New Roman" w:cs="Times New Roman"/>
          <w:bCs/>
          <w:szCs w:val="24"/>
        </w:rPr>
        <w:t xml:space="preserve"> obligatoryjne odwołanie notariusza z zajmowanego stanowiska.</w:t>
      </w:r>
    </w:p>
    <w:p w14:paraId="57E5005E" w14:textId="3CFE0160"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Zaproponowano również zmiany w zakresie stosowania zawieszenia notariusza </w:t>
      </w:r>
      <w:r w:rsidR="00CD2A86">
        <w:rPr>
          <w:rFonts w:eastAsia="Times New Roman" w:cs="Times New Roman"/>
          <w:bCs/>
          <w:szCs w:val="24"/>
        </w:rPr>
        <w:br/>
      </w:r>
      <w:r w:rsidRPr="00D36DC9">
        <w:rPr>
          <w:rFonts w:eastAsia="Times New Roman" w:cs="Times New Roman"/>
          <w:bCs/>
          <w:szCs w:val="24"/>
        </w:rPr>
        <w:t>w czynnościach przez sąd dyscyplinarny. W tym przypadku jest konieczna korekta istniejącej już instytucji. Sąd dyscyplinarny również powinien mieć możliwość zawieszenia notariusza przede wszystkim z urzędu – stosownie do okoliczności ujawnionych w toku postępowania dyscyplinarnego – a także na wniosek rzecznika dyscyplinarnego, zastępcy rzecznika dyscyplinarnego, rady właściwej izby notarialnej i Ministra Sprawiedliwości.</w:t>
      </w:r>
    </w:p>
    <w:p w14:paraId="5B51803B" w14:textId="1AE88809" w:rsidR="00B81DBB"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nowelizacji zaproponowano także nowe zasady dotyczące biegu przedawnienia. </w:t>
      </w:r>
    </w:p>
    <w:p w14:paraId="65B79184" w14:textId="250A1A06" w:rsidR="00DD701F" w:rsidRPr="00D36DC9" w:rsidRDefault="00DD701F"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razie wszczęcia postępowania dyscyplinarnego przed upływem 5 lat od chwili czynu przedawnienie dyscyplinarne następuje z upływem 8 lat od chwili popełnienia czynu. </w:t>
      </w:r>
    </w:p>
    <w:p w14:paraId="09D1F119" w14:textId="53171CF2"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Ważnym elementem reformy postępowania dyscyplinarnego notariuszy ma być wprowadzenie instytucji Rzecznika Dyscyplinarnego Notariatu oraz nieznanej dotychczas ustawie – Prawo </w:t>
      </w:r>
      <w:r w:rsidR="006C30ED" w:rsidRPr="00D36DC9">
        <w:rPr>
          <w:rFonts w:eastAsia="Times New Roman" w:cs="Times New Roman"/>
          <w:bCs/>
          <w:szCs w:val="24"/>
        </w:rPr>
        <w:br/>
      </w:r>
      <w:r w:rsidRPr="00D36DC9">
        <w:rPr>
          <w:rFonts w:eastAsia="Times New Roman" w:cs="Times New Roman"/>
          <w:bCs/>
          <w:szCs w:val="24"/>
        </w:rPr>
        <w:t>o notariacie instytucji dochodzenia dyscyplinarnego (podobna instytucja obowiązuje na gruncie ustawy z dnia 26 maja 1982 r. – Prawo o adwokaturze, ustawy z dnia 6 lipca 1982 r. o radcach prawnych oraz ustawy z dnia 22 marca 2018 r. o komornikach sądowych), co stanowi wyraz poszerzenia i wzmocnienia instrumentów nadzoru nad notariuszami przez przyznanie rzecznikowi dyscyplinarnemu samodzielnych kompetencji w ramach nadzoru samorządowego. Z przyznanych mu uprawnień powinien on korzystać w szczególności przed podjęciem decyzji o wszczęciu z urzędu dochodzenia dyscyplinarnego, w celu zweryfikowania informacji mogących stanowić podstawę powzięcia podejrzenia popełnienia przez notariusza przewinienia dyscyplinarnego.</w:t>
      </w:r>
    </w:p>
    <w:p w14:paraId="561B1297" w14:textId="77777777" w:rsidR="00D46F89" w:rsidRPr="00D36DC9" w:rsidRDefault="00D46F89" w:rsidP="00D46F89">
      <w:pPr>
        <w:widowControl/>
        <w:suppressAutoHyphens/>
        <w:spacing w:before="120"/>
        <w:jc w:val="both"/>
        <w:rPr>
          <w:rFonts w:eastAsia="Times New Roman" w:cs="Times New Roman"/>
          <w:szCs w:val="24"/>
        </w:rPr>
      </w:pPr>
      <w:r w:rsidRPr="00D36DC9">
        <w:rPr>
          <w:rFonts w:eastAsia="Times New Roman" w:cs="Times New Roman"/>
          <w:color w:val="000000"/>
          <w:szCs w:val="24"/>
        </w:rPr>
        <w:t xml:space="preserve">Wprowadzenie instytucji Rzecznika Dyscyplinarnego Notariatu jest wyrazem konieczności zapewnienia profesjonalnego i jednolitego prowadzenia postępowań dyscyplinarnych. </w:t>
      </w:r>
      <w:r w:rsidRPr="00D36DC9">
        <w:rPr>
          <w:rFonts w:eastAsia="Times New Roman" w:cs="Times New Roman"/>
          <w:szCs w:val="24"/>
        </w:rPr>
        <w:lastRenderedPageBreak/>
        <w:t>Powołanie go nie wyklucza podejmowania działań na podstawie dotychczas istniejących regulacji przez rady izb notarialnych oraz Ministra Sprawiedliwości.</w:t>
      </w:r>
    </w:p>
    <w:p w14:paraId="67A501C5"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W świetle proponowanych regulacji rolą Rzecznika Dyscyplinarnego Notariatu będzie podejmowanie działań w przypadku najbardziej poważnych naruszeń prawa, uchybień powagi i godności zawodu notariusza. Nie będzie on tylko oskarżycielem w postępowaniach prowadzonych przed sądami dyscyplinarnymi, ale zostanie mu powierzone także prowadzenie dochodzeń dyscyplinarnych.</w:t>
      </w:r>
    </w:p>
    <w:p w14:paraId="4041D761" w14:textId="57631AD6"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Zakres jego kompetencji określono w</w:t>
      </w:r>
      <w:r w:rsidR="00CD2A86">
        <w:rPr>
          <w:rFonts w:eastAsia="Times New Roman" w:cs="Times New Roman"/>
          <w:bCs/>
          <w:szCs w:val="24"/>
        </w:rPr>
        <w:t xml:space="preserve"> projektowanym</w:t>
      </w:r>
      <w:r w:rsidR="00632922" w:rsidRPr="00D36DC9">
        <w:rPr>
          <w:rFonts w:eastAsia="Times New Roman" w:cs="Times New Roman"/>
          <w:bCs/>
          <w:szCs w:val="24"/>
        </w:rPr>
        <w:t xml:space="preserve"> a</w:t>
      </w:r>
      <w:r w:rsidR="00F41ACC" w:rsidRPr="00D36DC9">
        <w:rPr>
          <w:rFonts w:eastAsia="Times New Roman" w:cs="Times New Roman"/>
          <w:bCs/>
          <w:szCs w:val="24"/>
        </w:rPr>
        <w:t>rt.</w:t>
      </w:r>
      <w:r w:rsidRPr="00D36DC9">
        <w:rPr>
          <w:rFonts w:eastAsia="Times New Roman" w:cs="Times New Roman"/>
          <w:bCs/>
          <w:szCs w:val="24"/>
        </w:rPr>
        <w:t xml:space="preserve"> 70a § 1. Zgodnie z projektowanym brzmieniem tego przepisu Rzecznik Dyscyplinarny Notariatu ma prowadzić dochodzenia dyscyplinarne, składać wnioski o wszczęcie postępowania dyscyplinarnego, występować w roli oskarżyciela przed sądami dyscyplinarnymi w sprawach, w których złożył wniosek o wszczęcie postępowania dyscyplinarnego. Będzie on mógł na każdym etapie postępowania dyscyplinarnego przystąpić do niego w charakterze oskarżyciela oraz składać środki zaskarżenia.</w:t>
      </w:r>
    </w:p>
    <w:p w14:paraId="38F084E6" w14:textId="643BA4E5"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W zaproponowanym brzmien</w:t>
      </w:r>
      <w:r w:rsidR="00632922" w:rsidRPr="00D36DC9">
        <w:rPr>
          <w:rFonts w:eastAsia="Times New Roman" w:cs="Times New Roman"/>
          <w:bCs/>
          <w:szCs w:val="24"/>
        </w:rPr>
        <w:t xml:space="preserve">iu art. </w:t>
      </w:r>
      <w:r w:rsidRPr="00D36DC9">
        <w:rPr>
          <w:rFonts w:eastAsia="Times New Roman" w:cs="Times New Roman"/>
          <w:bCs/>
          <w:szCs w:val="24"/>
        </w:rPr>
        <w:t>57a Rzecznikowi i jego zastępcom przyznano prawo wglądu do akt i żądania informacji o wynikach tego postępowania, jak również prawo żądania akt sprawy. Ponadto Rzecznik będzie zawiadamiany o wszczęciu każdego postępowania dyscyplinarnego i wyznaczeniu terminu rozprawy w celu umożliwienia mu ewentualnego przystąpienia do postępowania.</w:t>
      </w:r>
    </w:p>
    <w:p w14:paraId="7E272B2A"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Celem dochodzenia będzie zebranie dowodów i ocena, czy są one wystarczające do wszczęcia postępowania dyscyplinarnego. Jeżeli tak, Rzecznik złoży wniosek o wszczęcie postępowania dyscyplinarnego. Natomiast w razie stwierdzenia braku podstaw wszczęcia postępowania dyscyplinarnego umorzy dochodzenie.</w:t>
      </w:r>
    </w:p>
    <w:p w14:paraId="3FAFF2A1" w14:textId="5291EF24"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Rzecznik Dyscyplinarny Notariatu będzie wszczynał dochodzenie dyscyplinarne z urzędu albo na wniosek Ministra Sprawiedliwości lub organu samorządu notarialnego. Wniosek </w:t>
      </w:r>
      <w:r w:rsidR="006C30ED" w:rsidRPr="00D36DC9">
        <w:rPr>
          <w:rFonts w:eastAsia="Times New Roman" w:cs="Times New Roman"/>
          <w:bCs/>
          <w:szCs w:val="24"/>
        </w:rPr>
        <w:br/>
      </w:r>
      <w:r w:rsidRPr="00D36DC9">
        <w:rPr>
          <w:rFonts w:eastAsia="Times New Roman" w:cs="Times New Roman"/>
          <w:bCs/>
          <w:szCs w:val="24"/>
        </w:rPr>
        <w:t>o wszczęcie dochodzenia dyscyplinarnego złożony przez Ministra Sprawiedliwości lub organ samorządu notarialnego będzie dla Rzecznika wiążący.</w:t>
      </w:r>
    </w:p>
    <w:p w14:paraId="5BFBD471"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razie umorzenia dochodzenia odpis postanowienia w tym przedmiocie będzie doręczany obwinionemu, podmiotowi, który złożył wniosek o wszczęcie postępowania dyscyplinarnego, zastępcy rzecznika dyscyplinarnego, Ministrowi Sprawiedliwości, Krajowej Radzie Notarialnej oraz izbie notarialnej, której obwiniony jest członkiem. Jeżeli obwinionym będzie aplikant </w:t>
      </w:r>
      <w:r w:rsidRPr="00D36DC9">
        <w:rPr>
          <w:rFonts w:eastAsia="Times New Roman" w:cs="Times New Roman"/>
          <w:bCs/>
          <w:szCs w:val="24"/>
        </w:rPr>
        <w:lastRenderedPageBreak/>
        <w:t>notarialny albo zastępca notarialny, postanowienie o umorzeniu dochodzenia dyscyplinarnego będzie doręczane ponadto notariuszowi, który zatrudnia aplikanta albo zastępcę.</w:t>
      </w:r>
    </w:p>
    <w:p w14:paraId="6711D79A" w14:textId="1009775C"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Na postanowienie o umorzeniu dochodzenia dyscyplinarnego podmiotom </w:t>
      </w:r>
      <w:r w:rsidR="007915F7" w:rsidRPr="00D36DC9">
        <w:rPr>
          <w:rFonts w:eastAsia="Times New Roman" w:cs="Times New Roman"/>
          <w:bCs/>
          <w:szCs w:val="24"/>
        </w:rPr>
        <w:t xml:space="preserve">wskazanym </w:t>
      </w:r>
      <w:r w:rsidR="00CD2A86">
        <w:rPr>
          <w:rFonts w:eastAsia="Times New Roman" w:cs="Times New Roman"/>
          <w:bCs/>
          <w:szCs w:val="24"/>
        </w:rPr>
        <w:br/>
      </w:r>
      <w:r w:rsidR="007915F7" w:rsidRPr="00D36DC9">
        <w:rPr>
          <w:rFonts w:eastAsia="Times New Roman" w:cs="Times New Roman"/>
          <w:bCs/>
          <w:szCs w:val="24"/>
        </w:rPr>
        <w:t>w art.</w:t>
      </w:r>
      <w:r w:rsidRPr="00D36DC9">
        <w:rPr>
          <w:rFonts w:eastAsia="Times New Roman" w:cs="Times New Roman"/>
          <w:bCs/>
          <w:szCs w:val="24"/>
        </w:rPr>
        <w:t xml:space="preserve"> 70d oraz Krajowej Radzie Notarialnej</w:t>
      </w:r>
      <w:r w:rsidR="00F41ACC" w:rsidRPr="00D36DC9">
        <w:rPr>
          <w:rFonts w:eastAsia="Times New Roman" w:cs="Times New Roman"/>
          <w:bCs/>
          <w:szCs w:val="24"/>
        </w:rPr>
        <w:t>, będzie</w:t>
      </w:r>
      <w:r w:rsidRPr="00D36DC9">
        <w:rPr>
          <w:rFonts w:eastAsia="Times New Roman" w:cs="Times New Roman"/>
          <w:bCs/>
          <w:szCs w:val="24"/>
        </w:rPr>
        <w:t xml:space="preserve"> przysługiwało zażalenie do właściwego sądu dyscyplinarnego, w terminie 7 dni od dnia doręczenia odpisu postanowienia.</w:t>
      </w:r>
    </w:p>
    <w:p w14:paraId="32892602"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Rzecznik Dyscyplinarny Notariatu będzie powoływany przez Ministra Sprawiedliwości spośród 3 kandydatów </w:t>
      </w:r>
      <w:r w:rsidRPr="00D36DC9">
        <w:rPr>
          <w:rFonts w:eastAsia="Calibri" w:cs="Times New Roman"/>
          <w:szCs w:val="24"/>
          <w:lang w:eastAsia="en-US"/>
        </w:rPr>
        <w:t xml:space="preserve">będących notariuszami </w:t>
      </w:r>
      <w:r w:rsidRPr="00D36DC9">
        <w:rPr>
          <w:rFonts w:eastAsia="Times New Roman" w:cs="Times New Roman"/>
          <w:bCs/>
          <w:szCs w:val="24"/>
        </w:rPr>
        <w:t>przedstawionych przez Krajową Radę Notarialną. Będzie mógł on wykonywać czynności przy pomocy swoich zastępców powoływanych również przez Ministra Sprawiedliwości w liczbie nie większej niż 3, spośród kandydatów przedstawionych przez Rzecznika Dyscyplinarnego Notariatu, po zasięgnięciu opinii Krajowej Rady Notarialnej.</w:t>
      </w:r>
      <w:r w:rsidRPr="00D36DC9">
        <w:rPr>
          <w:rFonts w:eastAsia="Times New Roman" w:cs="Times New Roman"/>
          <w:szCs w:val="24"/>
        </w:rPr>
        <w:t xml:space="preserve"> </w:t>
      </w:r>
      <w:r w:rsidRPr="00D36DC9">
        <w:rPr>
          <w:rFonts w:eastAsia="Times New Roman" w:cs="Times New Roman"/>
          <w:bCs/>
          <w:szCs w:val="24"/>
        </w:rPr>
        <w:t xml:space="preserve">Kadencja Rzecznika </w:t>
      </w:r>
      <w:bookmarkStart w:id="5" w:name="_Hlk113448406"/>
      <w:r w:rsidRPr="00D36DC9">
        <w:rPr>
          <w:rFonts w:eastAsia="Times New Roman" w:cs="Times New Roman"/>
          <w:bCs/>
          <w:szCs w:val="24"/>
        </w:rPr>
        <w:t xml:space="preserve">Dyscyplinarnego Notariatu i jego zastępców </w:t>
      </w:r>
      <w:bookmarkEnd w:id="5"/>
      <w:r w:rsidRPr="00D36DC9">
        <w:rPr>
          <w:rFonts w:eastAsia="Times New Roman" w:cs="Times New Roman"/>
          <w:bCs/>
          <w:szCs w:val="24"/>
        </w:rPr>
        <w:t>trwa 5 lat, licząc od dnia powołania. Pięcioletni okres kadencji Rzecznika Dyscyplinarnego Notariatu i jego zastępców jest powiązany ze szczególnym statusem Rzecznika i jego zastępców i zapewnia im niezależność od organów samorządu zawodowego oraz umożliwia kontynuację prac niezależnie od ich kadencji. W razie</w:t>
      </w:r>
      <w:r w:rsidRPr="00D36DC9">
        <w:rPr>
          <w:rFonts w:eastAsia="Times New Roman" w:cs="Times New Roman"/>
          <w:szCs w:val="24"/>
        </w:rPr>
        <w:t xml:space="preserve"> </w:t>
      </w:r>
      <w:r w:rsidRPr="00D36DC9">
        <w:rPr>
          <w:rFonts w:eastAsia="Times New Roman" w:cs="Times New Roman"/>
          <w:bCs/>
          <w:szCs w:val="24"/>
        </w:rPr>
        <w:t xml:space="preserve">odwołania Rzecznika Dyscyplinarnego Notariatu, do czasu powołania jego następcy, lub zaistnienia przeszkody uniemożliwiającej wykonywanie obowiązków przez Rzecznika Dyscyplinarnego Notariatu jego obowiązki wykonuje najstarszy wiekiem zastępca. </w:t>
      </w:r>
    </w:p>
    <w:p w14:paraId="5283E641" w14:textId="410F5240"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Rzecznik Dyscyplinarny Notariatu będzie składał Ministrowi Sprawiedliwości sprawozdanie</w:t>
      </w:r>
      <w:r w:rsidR="00CD2A86">
        <w:rPr>
          <w:rFonts w:eastAsia="Times New Roman" w:cs="Times New Roman"/>
          <w:bCs/>
          <w:szCs w:val="24"/>
        </w:rPr>
        <w:t xml:space="preserve"> </w:t>
      </w:r>
      <w:r w:rsidRPr="00D36DC9">
        <w:rPr>
          <w:rFonts w:eastAsia="Times New Roman" w:cs="Times New Roman"/>
          <w:bCs/>
          <w:szCs w:val="24"/>
        </w:rPr>
        <w:t>ze swojej działalności za rok poprzedni w terminie do dnia 1 marca każdego roku.</w:t>
      </w:r>
    </w:p>
    <w:p w14:paraId="2925290D" w14:textId="1F6D6F5C"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Minister Sprawiedliwości będzie mógł przyjąć albo odrzucić sprawozdanie, mając </w:t>
      </w:r>
      <w:r w:rsidR="006C30ED" w:rsidRPr="00D36DC9">
        <w:rPr>
          <w:rFonts w:eastAsia="Times New Roman" w:cs="Times New Roman"/>
          <w:bCs/>
          <w:szCs w:val="24"/>
        </w:rPr>
        <w:br/>
      </w:r>
      <w:r w:rsidRPr="00D36DC9">
        <w:rPr>
          <w:rFonts w:eastAsia="Times New Roman" w:cs="Times New Roman"/>
          <w:bCs/>
          <w:szCs w:val="24"/>
        </w:rPr>
        <w:t>na względzie realizację ustawowych zadań Rzecznika. W przypadku odrzucenia sprawozdania Minister Sprawiedliwości będzie mógł odwołać Rzecznika przed upływem kadencji. W takim przypadku będzie możliwe również odwołanie jego zastępców. Celem proponowanej regulacji w tym zakresie jest zapewnienie rzeczywistej odpowiedzialności Rzecznika Dyscyplinarnego Notariatu za skuteczne wyciąganie konsekwencji wobec osób dopuszczających się przewinień zawodowych.</w:t>
      </w:r>
    </w:p>
    <w:p w14:paraId="11A49E9C"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Obowiązek obsługi Rzecznika Dyscyplinarnego Notariatu i jego zastępców zostanie powierzony Krajowej Radzie Notarialnej.</w:t>
      </w:r>
    </w:p>
    <w:p w14:paraId="736573B3" w14:textId="77777777"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Zaproponowane rozwiązania zarówno w zakresie poszerzenia kompetencji Rzecznika Dyscyplinarnego Notariatu, jak również wprowadzenia instytucji dochodzenia dyscyplinarnego w założeniu powinny usprawnić i urealnić postępowanie dyscyplinarne </w:t>
      </w:r>
      <w:r w:rsidRPr="00D36DC9">
        <w:rPr>
          <w:rFonts w:eastAsia="Times New Roman" w:cs="Times New Roman"/>
          <w:bCs/>
          <w:szCs w:val="24"/>
        </w:rPr>
        <w:lastRenderedPageBreak/>
        <w:t>notariuszy. Wprowadzone zmiany nie wpływają na kompetencje aktualnie funkcjonujących rzeczników dyscyplinarnych.</w:t>
      </w:r>
    </w:p>
    <w:p w14:paraId="1614A09A" w14:textId="239708F3"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W nowym brzmieniu przepisu art. 69 doprecyzowano, że w zakresie nieuregulowanym </w:t>
      </w:r>
      <w:r w:rsidR="006C30ED" w:rsidRPr="00D36DC9">
        <w:rPr>
          <w:rFonts w:eastAsia="Times New Roman" w:cs="Times New Roman"/>
          <w:bCs/>
          <w:szCs w:val="24"/>
        </w:rPr>
        <w:br/>
      </w:r>
      <w:r w:rsidRPr="00D36DC9">
        <w:rPr>
          <w:rFonts w:eastAsia="Times New Roman" w:cs="Times New Roman"/>
          <w:bCs/>
          <w:szCs w:val="24"/>
        </w:rPr>
        <w:t>w ustawie do odpowiedzialności dyscyplinarnej notariusza stosuje się odpowiednio przepisy rozdziałów I–III ustawy z dnia 6 czerwca 1997 r. – Kodeks karny, a do postępowania dyscyplinarnego w zakresie nieuregulowanym w ustawie stosuje się odpowiednio przepisy ustawy z dnia 6 czerwca 1997 r. – Kodeks postępowania karnego.</w:t>
      </w:r>
    </w:p>
    <w:p w14:paraId="3061F01D" w14:textId="24C14B75"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Proponowane rozwiązania nie powinny być traktowane jako wyraz braku zaufania </w:t>
      </w:r>
      <w:r w:rsidR="006C30ED" w:rsidRPr="00D36DC9">
        <w:rPr>
          <w:rFonts w:eastAsia="Times New Roman" w:cs="Times New Roman"/>
          <w:bCs/>
          <w:szCs w:val="24"/>
        </w:rPr>
        <w:br/>
      </w:r>
      <w:r w:rsidRPr="00D36DC9">
        <w:rPr>
          <w:rFonts w:eastAsia="Times New Roman" w:cs="Times New Roman"/>
          <w:bCs/>
          <w:szCs w:val="24"/>
        </w:rPr>
        <w:t>do notariuszy, gdyż ich rzeczywistym celem jest wzmocnienie bezpieczeństwa dokonywanych przez nich czynności oraz wyeliminowanie zarzutów wobec notariuszy sporządzających akty notarialne.</w:t>
      </w:r>
    </w:p>
    <w:p w14:paraId="38455CE8" w14:textId="7EE00471"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Nie podważają one także mającej umocowanie w art. 17 ust. 1 Konstytucji RP zasady funkcjonowania notariatu w formie samorządu zawodowego. Zgodnie z tym przepisem </w:t>
      </w:r>
      <w:r w:rsidR="006C30ED" w:rsidRPr="00D36DC9">
        <w:rPr>
          <w:rFonts w:eastAsia="Times New Roman" w:cs="Times New Roman"/>
          <w:bCs/>
          <w:szCs w:val="24"/>
        </w:rPr>
        <w:br/>
      </w:r>
      <w:r w:rsidRPr="00D36DC9">
        <w:rPr>
          <w:rFonts w:eastAsia="Times New Roman" w:cs="Times New Roman"/>
          <w:bCs/>
          <w:szCs w:val="24"/>
        </w:rPr>
        <w:t>w drodze ustawy można tworzyć samorządy zawodowe, reprezentujące osoby wykonujące zawody zaufania publicznego i sprawujące pieczę nad należytym wykonywaniem tych zawodów w granicach interesu publicznego i dla jego ochrony.</w:t>
      </w:r>
    </w:p>
    <w:p w14:paraId="5809F7FD" w14:textId="0A6A7635"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t xml:space="preserve">Przede wszystkim należy wskazać, że w świetle tej zasady to ustawodawca określa poszczególne, odrębne zawody zaufania publicznego oraz określa szczegółowe zasady </w:t>
      </w:r>
      <w:r w:rsidR="006C30ED" w:rsidRPr="00D36DC9">
        <w:rPr>
          <w:rFonts w:eastAsia="Times New Roman" w:cs="Times New Roman"/>
          <w:bCs/>
          <w:szCs w:val="24"/>
        </w:rPr>
        <w:br/>
      </w:r>
      <w:r w:rsidRPr="00D36DC9">
        <w:rPr>
          <w:rFonts w:eastAsia="Times New Roman" w:cs="Times New Roman"/>
          <w:bCs/>
          <w:szCs w:val="24"/>
        </w:rPr>
        <w:t xml:space="preserve">ich wykonywania. Natomiast utworzenie samorządu zawodowego, które prowadzi </w:t>
      </w:r>
      <w:r w:rsidR="00EF7C7C" w:rsidRPr="00D36DC9">
        <w:rPr>
          <w:rFonts w:eastAsia="Times New Roman" w:cs="Times New Roman"/>
          <w:bCs/>
          <w:szCs w:val="24"/>
        </w:rPr>
        <w:br/>
      </w:r>
      <w:r w:rsidRPr="00D36DC9">
        <w:rPr>
          <w:rFonts w:eastAsia="Times New Roman" w:cs="Times New Roman"/>
          <w:bCs/>
          <w:szCs w:val="24"/>
        </w:rPr>
        <w:t xml:space="preserve">do przekazania w określonym zakresie wykonywania funkcji państwa temu samorządowi, </w:t>
      </w:r>
      <w:r w:rsidR="00EF7C7C" w:rsidRPr="00D36DC9">
        <w:rPr>
          <w:rFonts w:eastAsia="Times New Roman" w:cs="Times New Roman"/>
          <w:bCs/>
          <w:szCs w:val="24"/>
        </w:rPr>
        <w:br/>
      </w:r>
      <w:r w:rsidRPr="00D36DC9">
        <w:rPr>
          <w:rFonts w:eastAsia="Times New Roman" w:cs="Times New Roman"/>
          <w:bCs/>
          <w:szCs w:val="24"/>
        </w:rPr>
        <w:t xml:space="preserve">nie oznacza nieodwracalnego wyzbycia się przez państwo przysługujących mu prerogatyw. Przedstawiony pogląd ma potwierdzenie w orzecznictwie Trybunału Konstytucyjnego. </w:t>
      </w:r>
      <w:r w:rsidR="00EF7C7C" w:rsidRPr="00D36DC9">
        <w:rPr>
          <w:rFonts w:eastAsia="Times New Roman" w:cs="Times New Roman"/>
          <w:bCs/>
          <w:szCs w:val="24"/>
        </w:rPr>
        <w:br/>
      </w:r>
      <w:r w:rsidRPr="00D36DC9">
        <w:rPr>
          <w:rFonts w:eastAsia="Times New Roman" w:cs="Times New Roman"/>
          <w:bCs/>
          <w:szCs w:val="24"/>
        </w:rPr>
        <w:t>W</w:t>
      </w:r>
      <w:r w:rsidR="00EF7C7C" w:rsidRPr="00D36DC9">
        <w:rPr>
          <w:rFonts w:eastAsia="Times New Roman" w:cs="Times New Roman"/>
          <w:bCs/>
          <w:szCs w:val="24"/>
        </w:rPr>
        <w:t xml:space="preserve"> </w:t>
      </w:r>
      <w:r w:rsidRPr="00D36DC9">
        <w:rPr>
          <w:rFonts w:eastAsia="Times New Roman" w:cs="Times New Roman"/>
          <w:bCs/>
          <w:szCs w:val="24"/>
        </w:rPr>
        <w:t xml:space="preserve">szczególności w wyroku z 1 grudnia 2009 r., sygn. akt K 4/08, Trybunał Konstytucyjny stwierdził, że wypełnianie przez samorząd zawodowy funkcji, o których mowa </w:t>
      </w:r>
      <w:r w:rsidR="006C30ED" w:rsidRPr="00D36DC9">
        <w:rPr>
          <w:rFonts w:eastAsia="Times New Roman" w:cs="Times New Roman"/>
          <w:bCs/>
          <w:szCs w:val="24"/>
        </w:rPr>
        <w:br/>
      </w:r>
      <w:r w:rsidRPr="00D36DC9">
        <w:rPr>
          <w:rFonts w:eastAsia="Times New Roman" w:cs="Times New Roman"/>
          <w:bCs/>
          <w:szCs w:val="24"/>
        </w:rPr>
        <w:t xml:space="preserve">w art. 17 ust. 1 Konstytucji RP, nie może być pozostawione nieskrępowanemu prawem uznaniu korporacji samorządowych i ich organów. Wolność wykonywania zawodu zaufania publicznego nie może mieć bowiem charakteru absolutnego i musi być poddana reglamentacji prawnej. W ocenie Trybunału konstytucyjna gwarancja wolności wykonywania zawodu </w:t>
      </w:r>
      <w:r w:rsidR="006C30ED" w:rsidRPr="00D36DC9">
        <w:rPr>
          <w:rFonts w:eastAsia="Times New Roman" w:cs="Times New Roman"/>
          <w:bCs/>
          <w:szCs w:val="24"/>
        </w:rPr>
        <w:br/>
      </w:r>
      <w:r w:rsidRPr="00D36DC9">
        <w:rPr>
          <w:rFonts w:eastAsia="Times New Roman" w:cs="Times New Roman"/>
          <w:bCs/>
          <w:szCs w:val="24"/>
        </w:rPr>
        <w:t xml:space="preserve">nie tylko nie kłóci się z regulowaniem przez państwo wielu kwestii związanych </w:t>
      </w:r>
      <w:r w:rsidR="00EF7C7C" w:rsidRPr="00D36DC9">
        <w:rPr>
          <w:rFonts w:eastAsia="Times New Roman" w:cs="Times New Roman"/>
          <w:bCs/>
          <w:szCs w:val="24"/>
        </w:rPr>
        <w:br/>
      </w:r>
      <w:r w:rsidRPr="00D36DC9">
        <w:rPr>
          <w:rFonts w:eastAsia="Times New Roman" w:cs="Times New Roman"/>
          <w:bCs/>
          <w:szCs w:val="24"/>
        </w:rPr>
        <w:t>z wykonywaniem tego zawodu, ale zakłada potrzebę istnienia tego typu regulacji, zwłaszcza gdy chodzi o zawód zaufania publicznego.</w:t>
      </w:r>
    </w:p>
    <w:p w14:paraId="117B783C" w14:textId="4B166F7D" w:rsidR="00D46F89" w:rsidRPr="00D36DC9" w:rsidRDefault="00D46F89" w:rsidP="00D46F89">
      <w:pPr>
        <w:widowControl/>
        <w:suppressAutoHyphens/>
        <w:spacing w:before="120"/>
        <w:jc w:val="both"/>
        <w:rPr>
          <w:rFonts w:eastAsia="Times New Roman" w:cs="Times New Roman"/>
          <w:bCs/>
          <w:szCs w:val="24"/>
        </w:rPr>
      </w:pPr>
      <w:r w:rsidRPr="00D36DC9">
        <w:rPr>
          <w:rFonts w:eastAsia="Times New Roman" w:cs="Times New Roman"/>
          <w:bCs/>
          <w:szCs w:val="24"/>
        </w:rPr>
        <w:lastRenderedPageBreak/>
        <w:t xml:space="preserve">W konsekwencji, w świetle powyższego, za dopuszczalne należy uznać wprowadzenie opisanych rozwiązań mających na celu urealnienie nadzoru nad notariuszami, w szczególności przez ustanowienie nowych instytucji w zakresie odpowiedzialności zawodowej </w:t>
      </w:r>
      <w:r w:rsidR="006C30ED" w:rsidRPr="00D36DC9">
        <w:rPr>
          <w:rFonts w:eastAsia="Times New Roman" w:cs="Times New Roman"/>
          <w:bCs/>
          <w:szCs w:val="24"/>
        </w:rPr>
        <w:br/>
      </w:r>
      <w:r w:rsidRPr="00D36DC9">
        <w:rPr>
          <w:rFonts w:eastAsia="Times New Roman" w:cs="Times New Roman"/>
          <w:bCs/>
          <w:szCs w:val="24"/>
        </w:rPr>
        <w:t xml:space="preserve">i dyscyplinarnej notariuszy. Jak już bowiem wyżej wspomniano, sytuacja zawodowa notariuszy jest odmienna od sytuacji innych prawniczych zawodów zaufania publicznego, takich </w:t>
      </w:r>
      <w:r w:rsidR="006C30ED" w:rsidRPr="00D36DC9">
        <w:rPr>
          <w:rFonts w:eastAsia="Times New Roman" w:cs="Times New Roman"/>
          <w:bCs/>
          <w:szCs w:val="24"/>
        </w:rPr>
        <w:br/>
      </w:r>
      <w:r w:rsidRPr="00D36DC9">
        <w:rPr>
          <w:rFonts w:eastAsia="Times New Roman" w:cs="Times New Roman"/>
          <w:bCs/>
          <w:szCs w:val="24"/>
        </w:rPr>
        <w:t xml:space="preserve">jak radcowie prawni i adwokaci, którzy realizują swoje uprawnienia przede wszystkim </w:t>
      </w:r>
      <w:r w:rsidR="006C30ED" w:rsidRPr="00D36DC9">
        <w:rPr>
          <w:rFonts w:eastAsia="Times New Roman" w:cs="Times New Roman"/>
          <w:bCs/>
          <w:szCs w:val="24"/>
        </w:rPr>
        <w:br/>
      </w:r>
      <w:r w:rsidRPr="00D36DC9">
        <w:rPr>
          <w:rFonts w:eastAsia="Times New Roman" w:cs="Times New Roman"/>
          <w:bCs/>
          <w:szCs w:val="24"/>
        </w:rPr>
        <w:t xml:space="preserve">w oparciu o posiadane kompetencje, w tym wiedzę i doświadczenie. W przypadku notariuszy ich pozycja wynika przede wszystkim z faktu, że dokonywanie określonych czynności zostało przez państwo powierzone przedstawicielom tego zawodu, z zapewnieniem im wyłączności </w:t>
      </w:r>
      <w:r w:rsidR="00EF7C7C" w:rsidRPr="00D36DC9">
        <w:rPr>
          <w:rFonts w:eastAsia="Times New Roman" w:cs="Times New Roman"/>
          <w:bCs/>
          <w:szCs w:val="24"/>
        </w:rPr>
        <w:br/>
      </w:r>
      <w:r w:rsidRPr="00D36DC9">
        <w:rPr>
          <w:rFonts w:eastAsia="Times New Roman" w:cs="Times New Roman"/>
          <w:bCs/>
          <w:szCs w:val="24"/>
        </w:rPr>
        <w:t>ich wykonywania.</w:t>
      </w:r>
    </w:p>
    <w:p w14:paraId="05A5B74D" w14:textId="5CF2BEB4" w:rsidR="00A174F2" w:rsidRPr="00D36DC9" w:rsidRDefault="00D46F89" w:rsidP="00D46F89">
      <w:pPr>
        <w:suppressAutoHyphens/>
        <w:autoSpaceDE/>
        <w:adjustRightInd/>
        <w:spacing w:before="120"/>
        <w:jc w:val="both"/>
        <w:rPr>
          <w:rFonts w:eastAsia="Times New Roman" w:cs="Times New Roman"/>
          <w:kern w:val="2"/>
          <w:szCs w:val="24"/>
          <w:lang w:eastAsia="ar-SA"/>
        </w:rPr>
      </w:pPr>
      <w:r w:rsidRPr="00D36DC9">
        <w:rPr>
          <w:rFonts w:eastAsia="Times New Roman" w:cs="Times New Roman"/>
          <w:kern w:val="2"/>
          <w:szCs w:val="24"/>
          <w:lang w:eastAsia="ar-SA"/>
        </w:rPr>
        <w:t xml:space="preserve">Dodatkowo należy wskazać, że instytucja zawieszenia nie jest rozwiązaniem systemowo nowym. Zgodnie z art. 172 ust. 1 ustawy z dnia 22 marca 2018 r. o komornikach sądowych, </w:t>
      </w:r>
      <w:r w:rsidRPr="00D36DC9">
        <w:rPr>
          <w:rFonts w:eastAsia="Times New Roman" w:cs="Times New Roman"/>
          <w:kern w:val="2"/>
          <w:szCs w:val="24"/>
          <w:shd w:val="clear" w:color="auto" w:fill="FFFFFF"/>
          <w:lang w:eastAsia="ar-SA"/>
        </w:rPr>
        <w:t xml:space="preserve">nadzór zwierzchni nad działalnością komorników Minister Sprawiedliwości sprawuje </w:t>
      </w:r>
      <w:r w:rsidR="006C30ED" w:rsidRPr="00D36DC9">
        <w:rPr>
          <w:rFonts w:eastAsia="Times New Roman" w:cs="Times New Roman"/>
          <w:kern w:val="2"/>
          <w:szCs w:val="24"/>
          <w:shd w:val="clear" w:color="auto" w:fill="FFFFFF"/>
          <w:lang w:eastAsia="ar-SA"/>
        </w:rPr>
        <w:br/>
      </w:r>
      <w:r w:rsidRPr="00D36DC9">
        <w:rPr>
          <w:rFonts w:eastAsia="Times New Roman" w:cs="Times New Roman"/>
          <w:kern w:val="2"/>
          <w:szCs w:val="24"/>
          <w:shd w:val="clear" w:color="auto" w:fill="FFFFFF"/>
          <w:lang w:eastAsia="ar-SA"/>
        </w:rPr>
        <w:t xml:space="preserve">we własnym zakresie oraz za pośrednictwem prezesów właściwych sądów rejonowych, prezesów właściwych sądów okręgowych, prezesów właściwych sądów apelacyjnych, sędziów wizytatorów oraz osób, o których mowa w ust. 3. </w:t>
      </w:r>
      <w:r w:rsidRPr="00D36DC9">
        <w:rPr>
          <w:rFonts w:eastAsia="Times New Roman" w:cs="Times New Roman"/>
          <w:kern w:val="2"/>
          <w:szCs w:val="24"/>
        </w:rPr>
        <w:t>Uprawnienia nadzorcze Ministra Sprawiedliwości nad działalnością</w:t>
      </w:r>
      <w:bookmarkStart w:id="6" w:name="highlightHit_72"/>
      <w:bookmarkEnd w:id="6"/>
      <w:r w:rsidRPr="00D36DC9">
        <w:rPr>
          <w:rFonts w:eastAsia="Times New Roman" w:cs="Times New Roman"/>
          <w:kern w:val="2"/>
          <w:szCs w:val="24"/>
        </w:rPr>
        <w:t xml:space="preserve"> komorników obejmują</w:t>
      </w:r>
      <w:bookmarkStart w:id="7" w:name="mip63806988"/>
      <w:bookmarkEnd w:id="7"/>
      <w:r w:rsidRPr="00D36DC9">
        <w:rPr>
          <w:rFonts w:eastAsia="Times New Roman" w:cs="Times New Roman"/>
          <w:kern w:val="2"/>
          <w:szCs w:val="24"/>
        </w:rPr>
        <w:t xml:space="preserve"> zawieszenie</w:t>
      </w:r>
      <w:bookmarkStart w:id="8" w:name="highlightHit_73"/>
      <w:bookmarkEnd w:id="8"/>
      <w:r w:rsidRPr="00D36DC9">
        <w:rPr>
          <w:rFonts w:eastAsia="Times New Roman" w:cs="Times New Roman"/>
          <w:kern w:val="2"/>
          <w:szCs w:val="24"/>
        </w:rPr>
        <w:t xml:space="preserve"> komornika </w:t>
      </w:r>
      <w:r w:rsidR="006C30ED" w:rsidRPr="00D36DC9">
        <w:rPr>
          <w:rFonts w:eastAsia="Times New Roman" w:cs="Times New Roman"/>
          <w:kern w:val="2"/>
          <w:szCs w:val="24"/>
        </w:rPr>
        <w:br/>
      </w:r>
      <w:r w:rsidRPr="00D36DC9">
        <w:rPr>
          <w:rFonts w:eastAsia="Times New Roman" w:cs="Times New Roman"/>
          <w:kern w:val="2"/>
          <w:szCs w:val="24"/>
        </w:rPr>
        <w:t xml:space="preserve">w czynnościach (ust. 2 powołanej ustawy). W przypadku zawieszenia notariusza </w:t>
      </w:r>
      <w:r w:rsidR="006C30ED" w:rsidRPr="00D36DC9">
        <w:rPr>
          <w:rFonts w:eastAsia="Times New Roman" w:cs="Times New Roman"/>
          <w:kern w:val="2"/>
          <w:szCs w:val="24"/>
        </w:rPr>
        <w:br/>
      </w:r>
      <w:r w:rsidRPr="00D36DC9">
        <w:rPr>
          <w:rFonts w:eastAsia="Times New Roman" w:cs="Times New Roman"/>
          <w:kern w:val="2"/>
          <w:szCs w:val="24"/>
        </w:rPr>
        <w:t>w wykonywanych czynnościach, i</w:t>
      </w:r>
      <w:r w:rsidRPr="00D36DC9">
        <w:rPr>
          <w:rFonts w:eastAsia="Times New Roman" w:cs="Times New Roman"/>
          <w:kern w:val="2"/>
          <w:szCs w:val="24"/>
          <w:lang w:eastAsia="ar-SA"/>
        </w:rPr>
        <w:t xml:space="preserve">dentycznie jak w przypadku ustawy </w:t>
      </w:r>
      <w:r w:rsidRPr="00D36DC9">
        <w:t xml:space="preserve">z dnia 22 marca 2018 r. </w:t>
      </w:r>
      <w:r w:rsidRPr="00D36DC9">
        <w:rPr>
          <w:rFonts w:eastAsia="Times New Roman" w:cs="Times New Roman"/>
          <w:kern w:val="2"/>
          <w:szCs w:val="24"/>
          <w:lang w:eastAsia="ar-SA"/>
        </w:rPr>
        <w:t xml:space="preserve">o komornikach sądowych, Minister Sprawiedliwości będzie kierował się dobrem obywateli </w:t>
      </w:r>
      <w:r w:rsidR="006C30ED" w:rsidRPr="00D36DC9">
        <w:rPr>
          <w:rFonts w:eastAsia="Times New Roman" w:cs="Times New Roman"/>
          <w:kern w:val="2"/>
          <w:szCs w:val="24"/>
          <w:lang w:eastAsia="ar-SA"/>
        </w:rPr>
        <w:br/>
      </w:r>
      <w:r w:rsidRPr="00D36DC9">
        <w:rPr>
          <w:rFonts w:eastAsia="Times New Roman" w:cs="Times New Roman"/>
          <w:kern w:val="2"/>
          <w:szCs w:val="24"/>
          <w:lang w:eastAsia="ar-SA"/>
        </w:rPr>
        <w:t>i właściwym funkcjonowaniem notariatu. Należy dodać, że tego typu rozwiązanie od ponad trzech lat w poprawny sposób funkcjonuje w obszarze nadzoru nad komornikami sądowymi i nie zgłaszano uwag co do konstytucyjności takiego rozwiązania.</w:t>
      </w:r>
    </w:p>
    <w:p w14:paraId="2C23BDC2" w14:textId="3D6001D0" w:rsidR="00F41ACC" w:rsidRPr="00D36DC9" w:rsidRDefault="00A174F2" w:rsidP="00D46F89">
      <w:pPr>
        <w:suppressAutoHyphens/>
        <w:autoSpaceDE/>
        <w:adjustRightInd/>
        <w:spacing w:before="120"/>
        <w:jc w:val="both"/>
        <w:rPr>
          <w:rFonts w:eastAsia="Times New Roman" w:cs="Times New Roman"/>
          <w:kern w:val="2"/>
          <w:szCs w:val="24"/>
          <w:lang w:eastAsia="ar-SA"/>
        </w:rPr>
      </w:pPr>
      <w:r w:rsidRPr="00D36DC9">
        <w:rPr>
          <w:rFonts w:eastAsia="Times New Roman" w:cs="Times New Roman"/>
          <w:kern w:val="2"/>
          <w:szCs w:val="24"/>
          <w:lang w:eastAsia="ar-SA"/>
        </w:rPr>
        <w:t xml:space="preserve">Naczelny Sąd Administracyjny w wyroku z dnia 13 lipca 2017 r. sygn. akt </w:t>
      </w:r>
      <w:r w:rsidRPr="00D36DC9">
        <w:rPr>
          <w:szCs w:val="24"/>
        </w:rPr>
        <w:t xml:space="preserve">II GSK 2773/15, </w:t>
      </w:r>
      <w:r w:rsidR="00150569" w:rsidRPr="00D36DC9">
        <w:rPr>
          <w:szCs w:val="24"/>
        </w:rPr>
        <w:br/>
      </w:r>
      <w:r w:rsidR="001E7E05" w:rsidRPr="00D36DC9">
        <w:rPr>
          <w:szCs w:val="24"/>
        </w:rPr>
        <w:t>w odniesieniu</w:t>
      </w:r>
      <w:r w:rsidRPr="00D36DC9">
        <w:rPr>
          <w:szCs w:val="24"/>
        </w:rPr>
        <w:t xml:space="preserve"> </w:t>
      </w:r>
      <w:r w:rsidR="00150569" w:rsidRPr="00D36DC9">
        <w:rPr>
          <w:szCs w:val="24"/>
        </w:rPr>
        <w:t xml:space="preserve">do </w:t>
      </w:r>
      <w:r w:rsidRPr="00D36DC9">
        <w:rPr>
          <w:szCs w:val="24"/>
        </w:rPr>
        <w:t xml:space="preserve">syndyków stwierdził, iż </w:t>
      </w:r>
      <w:r w:rsidRPr="00D36DC9">
        <w:rPr>
          <w:rFonts w:eastAsia="Times New Roman" w:cs="Times New Roman"/>
          <w:kern w:val="2"/>
          <w:szCs w:val="24"/>
          <w:lang w:eastAsia="ar-SA"/>
        </w:rPr>
        <w:t xml:space="preserve">czasowego zawieszenia praw wynikających z licencji nie można utożsamiać z sankcją karną i w żadnej mierze nie wpływa ono na ocenę winy </w:t>
      </w:r>
      <w:r w:rsidRPr="00D36DC9">
        <w:rPr>
          <w:rFonts w:eastAsia="Times New Roman" w:cs="Times New Roman"/>
          <w:kern w:val="2"/>
          <w:szCs w:val="24"/>
          <w:lang w:eastAsia="ar-SA"/>
        </w:rPr>
        <w:br/>
        <w:t xml:space="preserve">w postępowaniu karnym, a tym samym np. na przełamanie zasady domniemania niewinności. Zawieszenie praw wynikających z licencji syndyka, może być stosowane w sytuacji, gdy istnieje uzasadnione prawdopodobieństwo, że przestępstwo zostało przez daną osobę popełnione, gdyż aby przedstawić zarzut w postępowaniu przygotowawczym, musi istnieć dostateczne podejrzenie, że czyn ten dana osoba popełniła. Istotą zawieszenia prawa do wykonywania czynności wynikających z licencji syndyka jest doraźność i przyznanie przez ustawodawcę prymatu interesowi publicznemu nad interesem indywidualnym osoby </w:t>
      </w:r>
      <w:r w:rsidRPr="00D36DC9">
        <w:rPr>
          <w:rFonts w:eastAsia="Times New Roman" w:cs="Times New Roman"/>
          <w:kern w:val="2"/>
          <w:szCs w:val="24"/>
          <w:lang w:eastAsia="ar-SA"/>
        </w:rPr>
        <w:lastRenderedPageBreak/>
        <w:t>posiadającej licencję syndyka. Ustawodawca zapewnia w ten sposób konieczną ochronę interesu uczestników postępowań upadłościowych i naprawczych.</w:t>
      </w:r>
    </w:p>
    <w:p w14:paraId="13B0D524" w14:textId="2E44A2F5" w:rsidR="00D46F89" w:rsidRPr="00D36DC9" w:rsidRDefault="00D46F89" w:rsidP="00D46F89">
      <w:pPr>
        <w:widowControl/>
        <w:suppressAutoHyphens/>
        <w:spacing w:before="120"/>
        <w:jc w:val="both"/>
        <w:rPr>
          <w:rFonts w:eastAsia="Calibri" w:cs="Times New Roman"/>
          <w:szCs w:val="24"/>
          <w:lang w:eastAsia="en-US"/>
        </w:rPr>
      </w:pPr>
      <w:r w:rsidRPr="00D36DC9">
        <w:rPr>
          <w:rFonts w:eastAsia="Times New Roman" w:cs="Times New Roman"/>
          <w:bCs/>
          <w:szCs w:val="24"/>
        </w:rPr>
        <w:t xml:space="preserve">Należy także stwierdzić, że proponowane w projekcie rozwiązania pozostają w zgodzie </w:t>
      </w:r>
      <w:r w:rsidR="006C30ED" w:rsidRPr="00D36DC9">
        <w:rPr>
          <w:rFonts w:eastAsia="Times New Roman" w:cs="Times New Roman"/>
          <w:bCs/>
          <w:szCs w:val="24"/>
        </w:rPr>
        <w:br/>
      </w:r>
      <w:r w:rsidRPr="00D36DC9">
        <w:rPr>
          <w:rFonts w:eastAsia="Times New Roman" w:cs="Times New Roman"/>
          <w:bCs/>
          <w:szCs w:val="24"/>
        </w:rPr>
        <w:t xml:space="preserve">z zasadą proporcjonalności, ponieważ są podyktowane ochroną praw stron czynności notarialnych, z uwzględnieniem interesu publicznego, a także ochroną praw notariusza, </w:t>
      </w:r>
      <w:r w:rsidR="00EF7C7C" w:rsidRPr="00D36DC9">
        <w:rPr>
          <w:rFonts w:eastAsia="Times New Roman" w:cs="Times New Roman"/>
          <w:bCs/>
          <w:szCs w:val="24"/>
        </w:rPr>
        <w:br/>
      </w:r>
      <w:r w:rsidRPr="00D36DC9">
        <w:rPr>
          <w:rFonts w:eastAsia="Times New Roman" w:cs="Times New Roman"/>
          <w:bCs/>
          <w:szCs w:val="24"/>
        </w:rPr>
        <w:t xml:space="preserve">który w okresie zawieszenia </w:t>
      </w:r>
      <w:r w:rsidRPr="00D36DC9">
        <w:rPr>
          <w:rFonts w:eastAsia="Calibri" w:cs="Times New Roman"/>
          <w:szCs w:val="24"/>
          <w:lang w:eastAsia="en-US"/>
        </w:rPr>
        <w:t>w czynnościach zawodowych, za zgodą rady izby notarialnej, może podjąć inne zatrudnienie czy zajęcie.</w:t>
      </w:r>
    </w:p>
    <w:p w14:paraId="1A2C54AB" w14:textId="77777777" w:rsidR="00A25ABC" w:rsidRPr="00D36DC9" w:rsidRDefault="00A25ABC" w:rsidP="00D46F89">
      <w:pPr>
        <w:widowControl/>
        <w:suppressAutoHyphens/>
        <w:spacing w:before="120"/>
        <w:jc w:val="both"/>
        <w:rPr>
          <w:rFonts w:eastAsia="Calibri" w:cs="Times New Roman"/>
          <w:szCs w:val="24"/>
          <w:lang w:eastAsia="en-US"/>
        </w:rPr>
      </w:pPr>
    </w:p>
    <w:p w14:paraId="7732FF53" w14:textId="284D0D0A" w:rsidR="00A174F2" w:rsidRPr="00D36DC9" w:rsidRDefault="00A25ABC" w:rsidP="003061AD">
      <w:pPr>
        <w:spacing w:before="60" w:after="60"/>
        <w:jc w:val="both"/>
        <w:rPr>
          <w:rFonts w:eastAsia="Calibri" w:cs="Times New Roman"/>
        </w:rPr>
      </w:pPr>
      <w:r w:rsidRPr="00D36DC9">
        <w:rPr>
          <w:rFonts w:eastAsia="Times New Roman" w:cs="Times New Roman"/>
          <w:szCs w:val="24"/>
        </w:rPr>
        <w:t>5</w:t>
      </w:r>
      <w:r w:rsidR="00A174F2" w:rsidRPr="00D36DC9">
        <w:rPr>
          <w:rFonts w:eastAsia="Times New Roman" w:cs="Times New Roman"/>
          <w:szCs w:val="24"/>
        </w:rPr>
        <w:t>.</w:t>
      </w:r>
      <w:r w:rsidRPr="00D36DC9">
        <w:rPr>
          <w:rFonts w:eastAsia="Times New Roman" w:cs="Times New Roman"/>
          <w:szCs w:val="24"/>
        </w:rPr>
        <w:tab/>
      </w:r>
      <w:r w:rsidR="003061AD" w:rsidRPr="00D36DC9">
        <w:rPr>
          <w:rFonts w:eastAsia="Calibri" w:cs="Times New Roman"/>
        </w:rPr>
        <w:t>Ogólne koszty projektowanej ustawy w 2023 r. wyniosą 12,83 mln</w:t>
      </w:r>
      <w:r w:rsidR="00150569" w:rsidRPr="00D36DC9">
        <w:rPr>
          <w:rFonts w:eastAsia="Calibri" w:cs="Times New Roman"/>
        </w:rPr>
        <w:t xml:space="preserve"> złotych</w:t>
      </w:r>
      <w:r w:rsidR="003061AD" w:rsidRPr="00D36DC9">
        <w:rPr>
          <w:rFonts w:eastAsia="Calibri" w:cs="Times New Roman"/>
        </w:rPr>
        <w:t>, przy czym dodatkowe środki konieczne do pozyskania ponad posiadane przez M</w:t>
      </w:r>
      <w:r w:rsidR="00150569" w:rsidRPr="00D36DC9">
        <w:rPr>
          <w:rFonts w:eastAsia="Calibri" w:cs="Times New Roman"/>
        </w:rPr>
        <w:t xml:space="preserve">inisterstwo </w:t>
      </w:r>
      <w:r w:rsidR="003061AD" w:rsidRPr="00D36DC9">
        <w:rPr>
          <w:rFonts w:eastAsia="Calibri" w:cs="Times New Roman"/>
        </w:rPr>
        <w:t>S</w:t>
      </w:r>
      <w:r w:rsidR="00150569" w:rsidRPr="00D36DC9">
        <w:rPr>
          <w:rFonts w:eastAsia="Calibri" w:cs="Times New Roman"/>
        </w:rPr>
        <w:t>prawiedliwości</w:t>
      </w:r>
      <w:r w:rsidR="003061AD" w:rsidRPr="00D36DC9">
        <w:rPr>
          <w:rFonts w:eastAsia="Calibri" w:cs="Times New Roman"/>
        </w:rPr>
        <w:t xml:space="preserve"> limity wynoszą 5,5 mln zł i zostaną przeznaczone w ramach: części </w:t>
      </w:r>
      <w:r w:rsidR="00FF2852" w:rsidRPr="00D36DC9">
        <w:rPr>
          <w:rFonts w:eastAsia="Calibri" w:cs="Times New Roman"/>
        </w:rPr>
        <w:br/>
      </w:r>
      <w:r w:rsidR="003061AD" w:rsidRPr="00D36DC9">
        <w:rPr>
          <w:rFonts w:eastAsia="Calibri" w:cs="Times New Roman"/>
        </w:rPr>
        <w:t xml:space="preserve">37 – Sprawiedliwość na wydatki osobowe (14 </w:t>
      </w:r>
      <w:r w:rsidRPr="00D36DC9">
        <w:rPr>
          <w:rFonts w:eastAsia="Calibri" w:cs="Times New Roman"/>
        </w:rPr>
        <w:t xml:space="preserve">etatów w Ministerstwie Sprawiedliwości </w:t>
      </w:r>
      <w:r w:rsidR="007C46E6" w:rsidRPr="00D36DC9">
        <w:rPr>
          <w:rFonts w:eastAsia="Calibri" w:cs="Times New Roman"/>
        </w:rPr>
        <w:br/>
      </w:r>
      <w:r w:rsidRPr="00D36DC9">
        <w:rPr>
          <w:rFonts w:eastAsia="Calibri" w:cs="Times New Roman"/>
        </w:rPr>
        <w:t>w Departamencie Informatyzacji i Rejestrów Sądowych –</w:t>
      </w:r>
      <w:r w:rsidR="003061AD" w:rsidRPr="00D36DC9">
        <w:rPr>
          <w:rFonts w:eastAsia="Calibri" w:cs="Times New Roman"/>
        </w:rPr>
        <w:t xml:space="preserve"> 1,89 mln</w:t>
      </w:r>
      <w:r w:rsidR="00FF2852" w:rsidRPr="00D36DC9">
        <w:rPr>
          <w:rFonts w:eastAsia="Calibri" w:cs="Times New Roman"/>
        </w:rPr>
        <w:t xml:space="preserve"> zł</w:t>
      </w:r>
      <w:r w:rsidR="003061AD" w:rsidRPr="00D36DC9">
        <w:rPr>
          <w:rFonts w:eastAsia="Calibri" w:cs="Times New Roman"/>
        </w:rPr>
        <w:t xml:space="preserve">), części 15 – Sądy powszechne na częściowe koszty podłączenia notariuszy do Systemu Ksiąg Wieczystych oraz częściowe koszty modyfikacji funkcjonalności i wydatki osobowe (4 etaty </w:t>
      </w:r>
      <w:r w:rsidRPr="00D36DC9">
        <w:rPr>
          <w:rFonts w:eastAsia="Calibri" w:cs="Times New Roman"/>
        </w:rPr>
        <w:t>w Sądach Powszechnych</w:t>
      </w:r>
      <w:r w:rsidR="003061AD" w:rsidRPr="00D36DC9">
        <w:rPr>
          <w:rFonts w:eastAsia="Calibri" w:cs="Times New Roman"/>
        </w:rPr>
        <w:t>) – łącznie 3,61 mln</w:t>
      </w:r>
      <w:r w:rsidR="00FF2852" w:rsidRPr="00D36DC9">
        <w:rPr>
          <w:rFonts w:eastAsia="Calibri" w:cs="Times New Roman"/>
        </w:rPr>
        <w:t xml:space="preserve"> zł</w:t>
      </w:r>
      <w:r w:rsidR="003061AD" w:rsidRPr="00D36DC9">
        <w:rPr>
          <w:rFonts w:eastAsia="Calibri" w:cs="Times New Roman"/>
        </w:rPr>
        <w:t>. Pozostałe wydatki tj. 7,33 mln</w:t>
      </w:r>
      <w:r w:rsidR="00FF2852" w:rsidRPr="00D36DC9">
        <w:rPr>
          <w:rFonts w:eastAsia="Calibri" w:cs="Times New Roman"/>
        </w:rPr>
        <w:t xml:space="preserve"> zł</w:t>
      </w:r>
      <w:r w:rsidR="003061AD" w:rsidRPr="00D36DC9">
        <w:rPr>
          <w:rFonts w:eastAsia="Calibri" w:cs="Times New Roman"/>
        </w:rPr>
        <w:t xml:space="preserve"> zostaną pokryte z umów utrzymaniowo-rozwojowych na system ksiąg wieczystych i dostępnego potencjału wykonawczego ze środków pozostających w dyspozycji Ministerstwa Sprawiedliwości. </w:t>
      </w:r>
    </w:p>
    <w:p w14:paraId="5A1DA824" w14:textId="77777777" w:rsidR="00A25ABC" w:rsidRPr="00D36DC9" w:rsidRDefault="00A25ABC" w:rsidP="00A25ABC">
      <w:pPr>
        <w:widowControl/>
        <w:tabs>
          <w:tab w:val="left" w:pos="426"/>
        </w:tabs>
        <w:suppressAutoHyphens/>
        <w:jc w:val="both"/>
        <w:rPr>
          <w:rFonts w:eastAsia="Times New Roman" w:cs="Times New Roman"/>
          <w:szCs w:val="24"/>
        </w:rPr>
      </w:pPr>
      <w:r w:rsidRPr="00D36DC9">
        <w:rPr>
          <w:rFonts w:eastAsia="Times New Roman" w:cs="Times New Roman"/>
          <w:szCs w:val="24"/>
        </w:rPr>
        <w:t>Dodatkowo należy wyjaśnić, iż projektowana regulacja ma umożliwić uprawnionemu notariuszowi dokonanie wpisu w księdze wieczystej odrębnej własności lokalu oraz ograniczonych praw rzeczowych z nim związanych, wraz innymi wpisami niezbędnymi do rozpoznania wniosku o wpis w księdze wieczystej dotyczącymi ustanowienia odrębnej własności lokalu, a także dokonanie sprostowania wpisów, których dokonał, za pośrednictwem wdrożenia dedykowanej usługi w systemie Elektronicznych Ksiąg Wieczystych (eKW).</w:t>
      </w:r>
    </w:p>
    <w:p w14:paraId="3EC85694" w14:textId="4D0EFFF7" w:rsidR="00A25ABC" w:rsidRPr="00D36DC9" w:rsidRDefault="00A25ABC" w:rsidP="00A25ABC">
      <w:pPr>
        <w:widowControl/>
        <w:tabs>
          <w:tab w:val="left" w:pos="426"/>
        </w:tabs>
        <w:suppressAutoHyphens/>
        <w:jc w:val="both"/>
        <w:rPr>
          <w:rFonts w:eastAsia="Times New Roman" w:cs="Times New Roman"/>
          <w:szCs w:val="24"/>
        </w:rPr>
      </w:pPr>
      <w:r w:rsidRPr="00D36DC9">
        <w:rPr>
          <w:rFonts w:eastAsia="Times New Roman" w:cs="Times New Roman"/>
          <w:szCs w:val="24"/>
        </w:rPr>
        <w:t>Należy podkreślić, iż na potrzeby omawianego przedsięwzięcia powstaną dedykowane usługi w systemie eKW wykorzystujące maksymalnie możliwie obecną infrastrukturę systemu. Elementy usług zostaną zaimplementowane głównie w komponentach centralnych. Nie przewiduje się modyfikacji aplikacji S</w:t>
      </w:r>
      <w:r w:rsidR="00FF2852" w:rsidRPr="00D36DC9">
        <w:rPr>
          <w:rFonts w:eastAsia="Times New Roman" w:cs="Times New Roman"/>
          <w:szCs w:val="24"/>
        </w:rPr>
        <w:t>ystemu Obsługi Wydziałów Ksiąg Wieczystych</w:t>
      </w:r>
      <w:r w:rsidRPr="00D36DC9">
        <w:rPr>
          <w:rFonts w:eastAsia="Times New Roman" w:cs="Times New Roman"/>
          <w:szCs w:val="24"/>
        </w:rPr>
        <w:t xml:space="preserve"> </w:t>
      </w:r>
      <w:r w:rsidR="00FF2852" w:rsidRPr="00D36DC9">
        <w:rPr>
          <w:rFonts w:eastAsia="Times New Roman" w:cs="Times New Roman"/>
          <w:szCs w:val="24"/>
        </w:rPr>
        <w:t xml:space="preserve">(SOWKW) </w:t>
      </w:r>
      <w:r w:rsidRPr="00D36DC9">
        <w:rPr>
          <w:rFonts w:eastAsia="Times New Roman" w:cs="Times New Roman"/>
          <w:szCs w:val="24"/>
        </w:rPr>
        <w:t xml:space="preserve">– wymagane zmiany w bazach wydziałowych będą realizowane przez dedykowane komponenty osadzone w infrastrukturze Wydziału/Apelacji. Dostęp dla notariusza będzie zrealizowany w ramach obecnych usług uwierzytelniania </w:t>
      </w:r>
      <w:r w:rsidR="00FF2852" w:rsidRPr="00D36DC9">
        <w:rPr>
          <w:rFonts w:eastAsia="Times New Roman" w:cs="Times New Roman"/>
          <w:szCs w:val="24"/>
        </w:rPr>
        <w:t>„</w:t>
      </w:r>
      <w:r w:rsidRPr="00D36DC9">
        <w:rPr>
          <w:rFonts w:eastAsia="Times New Roman" w:cs="Times New Roman"/>
          <w:szCs w:val="24"/>
        </w:rPr>
        <w:t>Aplikacji Branżowej</w:t>
      </w:r>
      <w:r w:rsidR="00FF2852" w:rsidRPr="00D36DC9">
        <w:rPr>
          <w:rFonts w:eastAsia="Times New Roman" w:cs="Times New Roman"/>
          <w:szCs w:val="24"/>
        </w:rPr>
        <w:t>”</w:t>
      </w:r>
      <w:r w:rsidRPr="00D36DC9">
        <w:rPr>
          <w:rFonts w:eastAsia="Times New Roman" w:cs="Times New Roman"/>
          <w:szCs w:val="24"/>
        </w:rPr>
        <w:t xml:space="preserve">, </w:t>
      </w:r>
      <w:r w:rsidR="00FF2852" w:rsidRPr="00D36DC9">
        <w:rPr>
          <w:rFonts w:eastAsia="Times New Roman" w:cs="Times New Roman"/>
          <w:szCs w:val="24"/>
        </w:rPr>
        <w:br/>
      </w:r>
      <w:r w:rsidRPr="00D36DC9">
        <w:rPr>
          <w:rFonts w:eastAsia="Times New Roman" w:cs="Times New Roman"/>
          <w:szCs w:val="24"/>
        </w:rPr>
        <w:t>z zachowaniem co najmniej równoważnych parametrów bezpieczeństwa.</w:t>
      </w:r>
    </w:p>
    <w:p w14:paraId="26AE3C04" w14:textId="77777777" w:rsidR="00A25ABC" w:rsidRPr="00D36DC9" w:rsidRDefault="00A25ABC" w:rsidP="00A25ABC">
      <w:pPr>
        <w:widowControl/>
        <w:tabs>
          <w:tab w:val="left" w:pos="426"/>
        </w:tabs>
        <w:suppressAutoHyphens/>
        <w:jc w:val="both"/>
        <w:rPr>
          <w:rFonts w:eastAsia="Times New Roman" w:cs="Times New Roman"/>
          <w:szCs w:val="24"/>
        </w:rPr>
      </w:pPr>
      <w:r w:rsidRPr="00D36DC9">
        <w:rPr>
          <w:rFonts w:eastAsia="Times New Roman" w:cs="Times New Roman"/>
          <w:szCs w:val="24"/>
        </w:rPr>
        <w:t>Poniżej wskazano koszty modyfikacji systemu eKW w ramach włączenia do niego notariuszy.</w:t>
      </w:r>
    </w:p>
    <w:p w14:paraId="05412D8A" w14:textId="160665D7" w:rsidR="00A25ABC" w:rsidRPr="00D36DC9" w:rsidRDefault="00A25ABC" w:rsidP="00A25ABC">
      <w:pPr>
        <w:widowControl/>
        <w:tabs>
          <w:tab w:val="left" w:pos="426"/>
        </w:tabs>
        <w:suppressAutoHyphens/>
        <w:jc w:val="both"/>
        <w:rPr>
          <w:rFonts w:eastAsia="Times New Roman" w:cs="Times New Roman"/>
          <w:szCs w:val="24"/>
        </w:rPr>
      </w:pPr>
      <w:r w:rsidRPr="00D36DC9">
        <w:rPr>
          <w:rFonts w:eastAsia="Times New Roman" w:cs="Times New Roman"/>
          <w:szCs w:val="24"/>
        </w:rPr>
        <w:lastRenderedPageBreak/>
        <w:t xml:space="preserve">Oszacowanie uwierzytelnienia notariuszy w systemie eKW zostało dokonane na podstawie wiedzy eksperckiej oraz konsultacji z obecnym wykonawcą </w:t>
      </w:r>
      <w:r w:rsidR="00C91D18" w:rsidRPr="00D36DC9">
        <w:rPr>
          <w:rFonts w:eastAsia="Times New Roman" w:cs="Times New Roman"/>
          <w:szCs w:val="24"/>
        </w:rPr>
        <w:t>e</w:t>
      </w:r>
      <w:r w:rsidRPr="00D36DC9">
        <w:rPr>
          <w:rFonts w:eastAsia="Times New Roman" w:cs="Times New Roman"/>
          <w:szCs w:val="24"/>
        </w:rPr>
        <w:t>KW. Każdy wydział ksiąg wieczystych ma swoją lokalną, odrębną bazę danych. W ramach danego wydziału kierownik sekretariatu/przewodniczący zarządza swoimi użytkownikami – są to pracownicy jego wydziału. W przypadku podłączenia notariuszy do wydziału zostanie stworzona nowa funkcjonalność zarządzania użytkownikami w systemie eKW. Konta, które aktualnie mają notariusze, służą tylko do logowania do aplikacji branżowej. Do S</w:t>
      </w:r>
      <w:r w:rsidR="00C91D18" w:rsidRPr="00D36DC9">
        <w:rPr>
          <w:rFonts w:eastAsia="Times New Roman" w:cs="Times New Roman"/>
          <w:szCs w:val="24"/>
        </w:rPr>
        <w:t xml:space="preserve">ystemu Obsługi Wydziałów Ksiąg Wieczystych </w:t>
      </w:r>
      <w:r w:rsidR="0020480C">
        <w:rPr>
          <w:rFonts w:eastAsia="Times New Roman" w:cs="Times New Roman"/>
          <w:szCs w:val="24"/>
        </w:rPr>
        <w:t>istnieje</w:t>
      </w:r>
      <w:r w:rsidRPr="00D36DC9">
        <w:rPr>
          <w:rFonts w:eastAsia="Times New Roman" w:cs="Times New Roman"/>
          <w:szCs w:val="24"/>
        </w:rPr>
        <w:t xml:space="preserve"> inny sposób logowania – przez domenę resortową</w:t>
      </w:r>
      <w:r w:rsidR="00FF2852" w:rsidRPr="00D36DC9">
        <w:rPr>
          <w:rFonts w:eastAsia="Times New Roman" w:cs="Times New Roman"/>
          <w:szCs w:val="24"/>
        </w:rPr>
        <w:t xml:space="preserve"> Ministerstwa Sprawiedliwości</w:t>
      </w:r>
      <w:r w:rsidRPr="00D36DC9">
        <w:rPr>
          <w:rFonts w:eastAsia="Times New Roman" w:cs="Times New Roman"/>
          <w:szCs w:val="24"/>
        </w:rPr>
        <w:t xml:space="preserve">. </w:t>
      </w:r>
      <w:r w:rsidR="0020480C">
        <w:rPr>
          <w:rFonts w:eastAsia="Times New Roman" w:cs="Times New Roman"/>
          <w:szCs w:val="24"/>
        </w:rPr>
        <w:t>W związku z powyższym</w:t>
      </w:r>
      <w:r w:rsidRPr="00D36DC9">
        <w:rPr>
          <w:rFonts w:eastAsia="Times New Roman" w:cs="Times New Roman"/>
          <w:szCs w:val="24"/>
        </w:rPr>
        <w:t xml:space="preserve"> wymagane </w:t>
      </w:r>
      <w:r w:rsidR="0020480C">
        <w:rPr>
          <w:rFonts w:eastAsia="Times New Roman" w:cs="Times New Roman"/>
          <w:szCs w:val="24"/>
        </w:rPr>
        <w:t xml:space="preserve">będzie </w:t>
      </w:r>
      <w:r w:rsidRPr="00D36DC9">
        <w:rPr>
          <w:rFonts w:eastAsia="Times New Roman" w:cs="Times New Roman"/>
          <w:szCs w:val="24"/>
        </w:rPr>
        <w:t xml:space="preserve">założenie nowych kont i ich obsługa lub przystosowanie systemu </w:t>
      </w:r>
      <w:r w:rsidR="00F84833" w:rsidRPr="00D36DC9">
        <w:rPr>
          <w:rFonts w:eastAsia="Times New Roman" w:cs="Times New Roman"/>
          <w:szCs w:val="24"/>
        </w:rPr>
        <w:t>e</w:t>
      </w:r>
      <w:r w:rsidRPr="00D36DC9">
        <w:rPr>
          <w:rFonts w:eastAsia="Times New Roman" w:cs="Times New Roman"/>
          <w:szCs w:val="24"/>
        </w:rPr>
        <w:t>KW do innego sposobu logowania</w:t>
      </w:r>
      <w:r w:rsidR="00C91D18" w:rsidRPr="00D36DC9">
        <w:rPr>
          <w:rFonts w:eastAsia="Times New Roman" w:cs="Times New Roman"/>
          <w:szCs w:val="24"/>
        </w:rPr>
        <w:t xml:space="preserve">, </w:t>
      </w:r>
      <w:r w:rsidRPr="00D36DC9">
        <w:rPr>
          <w:rFonts w:eastAsia="Times New Roman" w:cs="Times New Roman"/>
          <w:szCs w:val="24"/>
        </w:rPr>
        <w:t xml:space="preserve">dla użytkowników spoza </w:t>
      </w:r>
      <w:r w:rsidR="00C91D18" w:rsidRPr="00D36DC9">
        <w:rPr>
          <w:rFonts w:eastAsia="Times New Roman" w:cs="Times New Roman"/>
          <w:szCs w:val="24"/>
        </w:rPr>
        <w:t>sytemu sądów powszechnych i Ministerstwa Sprawiedliwości</w:t>
      </w:r>
      <w:r w:rsidRPr="00D36DC9">
        <w:rPr>
          <w:rFonts w:eastAsia="Times New Roman" w:cs="Times New Roman"/>
          <w:szCs w:val="24"/>
        </w:rPr>
        <w:t xml:space="preserve">. W przypadku braku ograniczenia miejscowego dostęp do jednego wydziału mogłoby teoretycznie mieć kilka tysięcy notariuszy, co przy obecnym rozwiązaniu technologicznym mogłoby stanowić poważne problemy wydajnościowe. Na tym etapie prac należy więc założyć przede wszystkim rejonizację dostępu i dostęp jednego notariusza do bazy danych (ksiąg wieczystych) prowadzonych przez wydziały ksiąg wieczystych położone w obszarze właściwości sądu rejonowego, ustalonej na podstawie przepisów wydanych na podstawie art. 58 pkt 1 ustawy </w:t>
      </w:r>
      <w:r w:rsidR="0020480C">
        <w:rPr>
          <w:rFonts w:eastAsia="Times New Roman" w:cs="Times New Roman"/>
          <w:szCs w:val="24"/>
        </w:rPr>
        <w:br/>
      </w:r>
      <w:r w:rsidRPr="00D36DC9">
        <w:rPr>
          <w:rFonts w:eastAsia="Times New Roman" w:cs="Times New Roman"/>
          <w:szCs w:val="24"/>
        </w:rPr>
        <w:t>z dnia 6 lipca 1982 r. o księgach wieczystych i hipotece.</w:t>
      </w:r>
    </w:p>
    <w:p w14:paraId="307CB092" w14:textId="0B331F8C" w:rsidR="00A25ABC" w:rsidRDefault="00A25ABC" w:rsidP="00A25ABC">
      <w:pPr>
        <w:widowControl/>
        <w:tabs>
          <w:tab w:val="left" w:pos="426"/>
        </w:tabs>
        <w:suppressAutoHyphens/>
        <w:jc w:val="both"/>
        <w:rPr>
          <w:rFonts w:eastAsia="Times New Roman" w:cs="Times New Roman"/>
          <w:szCs w:val="24"/>
        </w:rPr>
      </w:pPr>
      <w:r w:rsidRPr="00D36DC9">
        <w:rPr>
          <w:rFonts w:eastAsia="Times New Roman" w:cs="Times New Roman"/>
          <w:szCs w:val="24"/>
        </w:rPr>
        <w:t>Należy również podkreślić, że zakłada się, iż w postępowaniu będzie uczestniczył wyłącznie notariusz</w:t>
      </w:r>
      <w:r w:rsidR="0020480C">
        <w:rPr>
          <w:rFonts w:eastAsia="Times New Roman" w:cs="Times New Roman"/>
          <w:szCs w:val="24"/>
        </w:rPr>
        <w:t xml:space="preserve"> lub</w:t>
      </w:r>
      <w:r w:rsidR="00A71818" w:rsidRPr="00D36DC9">
        <w:rPr>
          <w:rFonts w:eastAsia="Times New Roman" w:cs="Times New Roman"/>
          <w:szCs w:val="24"/>
        </w:rPr>
        <w:t xml:space="preserve"> zastępc</w:t>
      </w:r>
      <w:r w:rsidR="0020480C">
        <w:rPr>
          <w:rFonts w:eastAsia="Times New Roman" w:cs="Times New Roman"/>
          <w:szCs w:val="24"/>
        </w:rPr>
        <w:t>a</w:t>
      </w:r>
      <w:r w:rsidR="00A71818" w:rsidRPr="00D36DC9">
        <w:rPr>
          <w:rFonts w:eastAsia="Times New Roman" w:cs="Times New Roman"/>
          <w:szCs w:val="24"/>
        </w:rPr>
        <w:t xml:space="preserve"> notarialny.</w:t>
      </w:r>
      <w:r w:rsidRPr="00D36DC9">
        <w:rPr>
          <w:rFonts w:eastAsia="Times New Roman" w:cs="Times New Roman"/>
          <w:szCs w:val="24"/>
        </w:rPr>
        <w:t xml:space="preserve"> W wyniku zakończonego z sukcesem postępowania </w:t>
      </w:r>
      <w:r w:rsidR="0020480C">
        <w:rPr>
          <w:rFonts w:eastAsia="Times New Roman" w:cs="Times New Roman"/>
          <w:szCs w:val="24"/>
        </w:rPr>
        <w:br/>
      </w:r>
      <w:r w:rsidRPr="00D36DC9">
        <w:rPr>
          <w:rFonts w:eastAsia="Times New Roman" w:cs="Times New Roman"/>
          <w:szCs w:val="24"/>
        </w:rPr>
        <w:t xml:space="preserve">w przedmiocie wpisu będzie tworzona nowa księga lokalowa wraz z odpowiednimi zapisami w dziale III i IV (hipoteka) oraz odpowiedni wpis w księdze, z której jest wyodrębniany lokal. Dodatkowo w sposób automatyczny powstaną odpowiednie zapisy (dzienniki) pozwalające </w:t>
      </w:r>
      <w:r w:rsidR="0020480C">
        <w:rPr>
          <w:rFonts w:eastAsia="Times New Roman" w:cs="Times New Roman"/>
          <w:szCs w:val="24"/>
        </w:rPr>
        <w:br/>
      </w:r>
      <w:r w:rsidRPr="00D36DC9">
        <w:rPr>
          <w:rFonts w:eastAsia="Times New Roman" w:cs="Times New Roman"/>
          <w:szCs w:val="24"/>
        </w:rPr>
        <w:t>w przyszłości na obsługę powiązanych spraw przez odpowiedni Wydział Ksiąg Wieczystych. Dziennik zostanie założony automatycznie w imieniu notariusza.</w:t>
      </w:r>
    </w:p>
    <w:p w14:paraId="434DEFD6" w14:textId="77777777" w:rsidR="00115222" w:rsidRPr="00D36DC9" w:rsidRDefault="00115222" w:rsidP="00A25ABC">
      <w:pPr>
        <w:widowControl/>
        <w:tabs>
          <w:tab w:val="left" w:pos="426"/>
        </w:tabs>
        <w:suppressAutoHyphens/>
        <w:jc w:val="both"/>
        <w:rPr>
          <w:rFonts w:eastAsia="Times New Roman" w:cs="Times New Roman"/>
          <w:szCs w:val="24"/>
        </w:rPr>
      </w:pPr>
    </w:p>
    <w:p w14:paraId="0B10D003" w14:textId="78ABD027" w:rsidR="00A25ABC" w:rsidRPr="00D36DC9" w:rsidRDefault="00A25ABC" w:rsidP="00115222">
      <w:pPr>
        <w:widowControl/>
        <w:tabs>
          <w:tab w:val="left" w:pos="426"/>
        </w:tabs>
        <w:suppressAutoHyphens/>
        <w:jc w:val="both"/>
        <w:rPr>
          <w:rFonts w:eastAsia="Times New Roman" w:cs="Times New Roman"/>
          <w:szCs w:val="24"/>
        </w:rPr>
      </w:pPr>
      <w:r w:rsidRPr="00D36DC9">
        <w:rPr>
          <w:rFonts w:eastAsia="Times New Roman" w:cs="Times New Roman"/>
          <w:szCs w:val="24"/>
        </w:rPr>
        <w:t xml:space="preserve">Koszty podłączenia notariuszy do Systemu Ksiąg Wieczystych </w:t>
      </w:r>
      <w:r w:rsidR="00115222">
        <w:rPr>
          <w:rFonts w:eastAsia="Times New Roman" w:cs="Times New Roman"/>
          <w:szCs w:val="24"/>
        </w:rPr>
        <w:t xml:space="preserve">i nowy sposób </w:t>
      </w:r>
      <w:r w:rsidRPr="00D36DC9">
        <w:rPr>
          <w:rFonts w:eastAsia="Times New Roman" w:cs="Times New Roman"/>
          <w:szCs w:val="24"/>
        </w:rPr>
        <w:t xml:space="preserve">autoryzacji </w:t>
      </w:r>
      <w:r w:rsidR="00115222">
        <w:rPr>
          <w:rFonts w:eastAsia="Times New Roman" w:cs="Times New Roman"/>
          <w:szCs w:val="24"/>
        </w:rPr>
        <w:br/>
      </w:r>
      <w:r w:rsidRPr="00D36DC9">
        <w:rPr>
          <w:rFonts w:eastAsia="Times New Roman" w:cs="Times New Roman"/>
          <w:szCs w:val="24"/>
        </w:rPr>
        <w:t xml:space="preserve">w systemie </w:t>
      </w:r>
      <w:r w:rsidR="00C91D18" w:rsidRPr="00D36DC9">
        <w:rPr>
          <w:rFonts w:eastAsia="Times New Roman" w:cs="Times New Roman"/>
          <w:szCs w:val="24"/>
        </w:rPr>
        <w:t>e</w:t>
      </w:r>
      <w:r w:rsidRPr="00D36DC9">
        <w:rPr>
          <w:rFonts w:eastAsia="Times New Roman" w:cs="Times New Roman"/>
          <w:szCs w:val="24"/>
        </w:rPr>
        <w:t xml:space="preserve">KW </w:t>
      </w:r>
      <w:r w:rsidR="00115222">
        <w:rPr>
          <w:rFonts w:eastAsia="Times New Roman" w:cs="Times New Roman"/>
          <w:szCs w:val="24"/>
        </w:rPr>
        <w:t xml:space="preserve">należy szacować na koszt </w:t>
      </w:r>
      <w:r w:rsidRPr="00D36DC9">
        <w:rPr>
          <w:rFonts w:eastAsia="Times New Roman" w:cs="Times New Roman"/>
          <w:szCs w:val="24"/>
        </w:rPr>
        <w:t xml:space="preserve">około 5 mln zł. Źródła finansowania: </w:t>
      </w:r>
      <w:r w:rsidR="00F84833" w:rsidRPr="00D36DC9">
        <w:rPr>
          <w:rFonts w:eastAsia="Times New Roman" w:cs="Times New Roman"/>
          <w:szCs w:val="24"/>
        </w:rPr>
        <w:t>n</w:t>
      </w:r>
      <w:r w:rsidRPr="00D36DC9">
        <w:rPr>
          <w:rFonts w:eastAsia="Times New Roman" w:cs="Times New Roman"/>
          <w:szCs w:val="24"/>
        </w:rPr>
        <w:t xml:space="preserve">a realizację zadania w 2023 r. środki finansowe </w:t>
      </w:r>
      <w:r w:rsidR="0020480C">
        <w:rPr>
          <w:rFonts w:eastAsia="Times New Roman" w:cs="Times New Roman"/>
          <w:szCs w:val="24"/>
        </w:rPr>
        <w:t>powinny zostać</w:t>
      </w:r>
      <w:r w:rsidRPr="00D36DC9">
        <w:rPr>
          <w:rFonts w:eastAsia="Times New Roman" w:cs="Times New Roman"/>
          <w:szCs w:val="24"/>
        </w:rPr>
        <w:t xml:space="preserve"> pozyskane z cz. 15 budżetu państwa oraz z umowy utrzymaniowo-rozwojowej na system eKW (środki w dyspozycji </w:t>
      </w:r>
      <w:r w:rsidR="00C91D18" w:rsidRPr="00D36DC9">
        <w:rPr>
          <w:rFonts w:eastAsia="Times New Roman" w:cs="Times New Roman"/>
          <w:szCs w:val="24"/>
        </w:rPr>
        <w:t>Ministerstwa Sprawiedliwości</w:t>
      </w:r>
      <w:r w:rsidRPr="00D36DC9">
        <w:rPr>
          <w:rFonts w:eastAsia="Times New Roman" w:cs="Times New Roman"/>
          <w:szCs w:val="24"/>
        </w:rPr>
        <w:t>).</w:t>
      </w:r>
    </w:p>
    <w:p w14:paraId="1F08C57B" w14:textId="7141FA7A" w:rsidR="00A25ABC" w:rsidRPr="00D36DC9" w:rsidRDefault="00E1733E" w:rsidP="00115222">
      <w:pPr>
        <w:widowControl/>
        <w:tabs>
          <w:tab w:val="left" w:pos="426"/>
        </w:tabs>
        <w:suppressAutoHyphens/>
        <w:jc w:val="both"/>
        <w:rPr>
          <w:rFonts w:eastAsia="Times New Roman" w:cs="Times New Roman"/>
          <w:szCs w:val="24"/>
        </w:rPr>
      </w:pPr>
      <w:r w:rsidRPr="00D36DC9">
        <w:rPr>
          <w:rFonts w:eastAsia="Times New Roman" w:cs="Times New Roman"/>
          <w:szCs w:val="24"/>
        </w:rPr>
        <w:t xml:space="preserve">Koszt zmiany funkcjonalności systemu eKW </w:t>
      </w:r>
      <w:r w:rsidR="00115222">
        <w:rPr>
          <w:rFonts w:eastAsia="Times New Roman" w:cs="Times New Roman"/>
          <w:szCs w:val="24"/>
        </w:rPr>
        <w:t>to koszt</w:t>
      </w:r>
      <w:r w:rsidRPr="00D36DC9">
        <w:rPr>
          <w:rFonts w:eastAsia="Times New Roman" w:cs="Times New Roman"/>
          <w:szCs w:val="24"/>
        </w:rPr>
        <w:t xml:space="preserve"> około 5,6 mln (roboczogodziny liczone po 400 zł). Źródła finansowania: </w:t>
      </w:r>
      <w:r w:rsidR="00F84833" w:rsidRPr="00D36DC9">
        <w:rPr>
          <w:rFonts w:eastAsia="Times New Roman" w:cs="Times New Roman"/>
          <w:szCs w:val="24"/>
        </w:rPr>
        <w:t>n</w:t>
      </w:r>
      <w:r w:rsidRPr="00D36DC9">
        <w:rPr>
          <w:rFonts w:eastAsia="Times New Roman" w:cs="Times New Roman"/>
          <w:szCs w:val="24"/>
        </w:rPr>
        <w:t xml:space="preserve">a realizację zadania w 2023 r. środki finansowe </w:t>
      </w:r>
      <w:r w:rsidR="00115222">
        <w:rPr>
          <w:rFonts w:eastAsia="Times New Roman" w:cs="Times New Roman"/>
          <w:szCs w:val="24"/>
        </w:rPr>
        <w:t xml:space="preserve">powinny </w:t>
      </w:r>
      <w:r w:rsidR="00115222">
        <w:rPr>
          <w:rFonts w:eastAsia="Times New Roman" w:cs="Times New Roman"/>
          <w:szCs w:val="24"/>
        </w:rPr>
        <w:lastRenderedPageBreak/>
        <w:t>zostać</w:t>
      </w:r>
      <w:r w:rsidRPr="00D36DC9">
        <w:rPr>
          <w:rFonts w:eastAsia="Times New Roman" w:cs="Times New Roman"/>
          <w:szCs w:val="24"/>
        </w:rPr>
        <w:t xml:space="preserve"> pozyskane z części 15 budżetu państwa oraz z umowy utrzymaniowo-rozwojowej na system eKW (środki w dyspozycji </w:t>
      </w:r>
      <w:r w:rsidR="00F84833" w:rsidRPr="00D36DC9">
        <w:rPr>
          <w:rFonts w:eastAsia="Times New Roman" w:cs="Times New Roman"/>
          <w:szCs w:val="24"/>
        </w:rPr>
        <w:t>Ministerstwa</w:t>
      </w:r>
      <w:r w:rsidRPr="00D36DC9">
        <w:rPr>
          <w:rFonts w:eastAsia="Times New Roman" w:cs="Times New Roman"/>
          <w:szCs w:val="24"/>
        </w:rPr>
        <w:t xml:space="preserve"> Sprawiedliwości).</w:t>
      </w:r>
    </w:p>
    <w:p w14:paraId="518D1C82" w14:textId="0F4B3772" w:rsidR="00A25ABC" w:rsidRPr="00D36DC9" w:rsidRDefault="00A25ABC" w:rsidP="00A25ABC">
      <w:pPr>
        <w:spacing w:before="60" w:after="60"/>
        <w:jc w:val="both"/>
        <w:rPr>
          <w:rFonts w:eastAsia="Calibri" w:cs="Times New Roman"/>
        </w:rPr>
      </w:pPr>
      <w:r w:rsidRPr="00D36DC9">
        <w:rPr>
          <w:rFonts w:eastAsia="Times New Roman" w:cs="Times New Roman"/>
          <w:szCs w:val="24"/>
        </w:rPr>
        <w:t xml:space="preserve">W zakresie pozostałych kosztów związanych z wejściem ustawy w życie </w:t>
      </w:r>
      <w:r w:rsidRPr="00D36DC9">
        <w:rPr>
          <w:rFonts w:eastAsia="Calibri" w:cs="Times New Roman"/>
        </w:rPr>
        <w:t xml:space="preserve">zidentyfikowano potrzebę wyposażenia notariuszy w czytniki i karty kryptograficzne, które umożliwią dokonanie wpisów w księgach wieczystych za pośrednictwem systemu teleinformatycznego. Przewidziany koszt do poniesienia przez </w:t>
      </w:r>
      <w:r w:rsidR="0020480C">
        <w:rPr>
          <w:rFonts w:eastAsia="Calibri" w:cs="Times New Roman"/>
        </w:rPr>
        <w:t>notariusza</w:t>
      </w:r>
      <w:r w:rsidRPr="00D36DC9">
        <w:rPr>
          <w:rFonts w:eastAsia="Calibri" w:cs="Times New Roman"/>
        </w:rPr>
        <w:t xml:space="preserve"> to około 200 zł. Łączny koszt dla nowych 350 użytkowników może wynosić około 70 tys. zł.</w:t>
      </w:r>
      <w:r w:rsidR="0027317A" w:rsidRPr="00D36DC9">
        <w:rPr>
          <w:rFonts w:eastAsia="Calibri" w:cs="Times New Roman"/>
          <w:sz w:val="22"/>
          <w:szCs w:val="22"/>
          <w:lang w:eastAsia="en-US"/>
        </w:rPr>
        <w:t xml:space="preserve"> </w:t>
      </w:r>
      <w:r w:rsidR="0027317A" w:rsidRPr="00D36DC9">
        <w:rPr>
          <w:rFonts w:eastAsia="Calibri" w:cs="Times New Roman"/>
        </w:rPr>
        <w:t xml:space="preserve">Projektowane nowe czynności mogą spowodować koszty związane z dostosowaniem systemów informatycznych </w:t>
      </w:r>
      <w:r w:rsidR="0027317A" w:rsidRPr="00D36DC9">
        <w:rPr>
          <w:rFonts w:eastAsia="Calibri" w:cs="Times New Roman"/>
        </w:rPr>
        <w:br/>
        <w:t>i powierzchni archiwizacyjnej oraz zwiększenie obsługi administracyjnej kancelarii notarialnych.</w:t>
      </w:r>
    </w:p>
    <w:p w14:paraId="42D1CF1A" w14:textId="539AD785" w:rsidR="0027317A" w:rsidRPr="00D36DC9" w:rsidRDefault="00A25ABC" w:rsidP="00A25ABC">
      <w:pPr>
        <w:widowControl/>
        <w:tabs>
          <w:tab w:val="left" w:pos="426"/>
        </w:tabs>
        <w:suppressAutoHyphens/>
        <w:spacing w:before="120"/>
        <w:jc w:val="both"/>
        <w:rPr>
          <w:rFonts w:eastAsia="Calibri" w:cs="Times New Roman"/>
        </w:rPr>
      </w:pPr>
      <w:r w:rsidRPr="00D36DC9">
        <w:rPr>
          <w:rFonts w:eastAsia="Calibri" w:cs="Times New Roman"/>
        </w:rPr>
        <w:t>Obsługę Rzecznika Dyscyplinarnego Notarialnego i jego zastępców zapewni Krajowa Rada Notarialna.</w:t>
      </w:r>
      <w:r w:rsidR="0027317A" w:rsidRPr="00D36DC9">
        <w:rPr>
          <w:rFonts w:eastAsia="Calibri" w:cs="Times New Roman"/>
        </w:rPr>
        <w:t xml:space="preserve"> </w:t>
      </w:r>
    </w:p>
    <w:p w14:paraId="47E96D98" w14:textId="77777777" w:rsidR="003061AD" w:rsidRPr="00D36DC9" w:rsidRDefault="003061AD" w:rsidP="00B04F5B">
      <w:pPr>
        <w:spacing w:before="60" w:after="60"/>
        <w:jc w:val="both"/>
        <w:rPr>
          <w:rFonts w:eastAsia="Calibri" w:cs="Times New Roman"/>
        </w:rPr>
      </w:pPr>
    </w:p>
    <w:p w14:paraId="3D9E4263" w14:textId="77777777" w:rsidR="0020480C" w:rsidRDefault="00A174F2"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6</w:t>
      </w:r>
      <w:r w:rsidR="00D46F89" w:rsidRPr="00D36DC9">
        <w:rPr>
          <w:rFonts w:eastAsia="Times New Roman" w:cs="Times New Roman"/>
          <w:szCs w:val="24"/>
        </w:rPr>
        <w:t>.</w:t>
      </w:r>
      <w:r w:rsidR="00D46F89" w:rsidRPr="00D36DC9">
        <w:rPr>
          <w:rFonts w:eastAsia="Times New Roman" w:cs="Times New Roman"/>
          <w:szCs w:val="24"/>
        </w:rPr>
        <w:tab/>
        <w:t xml:space="preserve">Wprowadzane regulacje mają na celu usprawnienie postępowań sądowych, nie wiążą się z ograniczeniem prawa do sądu i stanowią realizację rekomendacji nr R(86)12 Komitetu Ministrów Rady Europy z dnia 16 września 1986 r. w sprawie środków przeciwdziałania nadmiernemu obciążeniu sądów, tj. postulatu „ograniczenia liczby pozasądowych – stale rosnących – zadań wykonywanych przez sędziów” przez „przekazanie ich organom </w:t>
      </w:r>
      <w:r w:rsidR="00E91BF8" w:rsidRPr="00D36DC9">
        <w:rPr>
          <w:rFonts w:eastAsia="Times New Roman" w:cs="Times New Roman"/>
          <w:szCs w:val="24"/>
        </w:rPr>
        <w:br/>
      </w:r>
      <w:r w:rsidR="00D46F89" w:rsidRPr="00D36DC9">
        <w:rPr>
          <w:rFonts w:eastAsia="Times New Roman" w:cs="Times New Roman"/>
          <w:szCs w:val="24"/>
        </w:rPr>
        <w:t>poza systemem wymiaru sprawiedliwości”</w:t>
      </w:r>
      <w:r w:rsidR="0020480C">
        <w:rPr>
          <w:rFonts w:eastAsia="Times New Roman" w:cs="Times New Roman"/>
          <w:szCs w:val="24"/>
        </w:rPr>
        <w:t>.</w:t>
      </w:r>
    </w:p>
    <w:p w14:paraId="0D7CD859" w14:textId="66434440" w:rsidR="00D46F89" w:rsidRPr="00D36DC9" w:rsidRDefault="00A174F2"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7</w:t>
      </w:r>
      <w:r w:rsidR="00D46F89" w:rsidRPr="00D36DC9">
        <w:rPr>
          <w:rFonts w:eastAsia="Times New Roman" w:cs="Times New Roman"/>
          <w:szCs w:val="24"/>
        </w:rPr>
        <w:t>.</w:t>
      </w:r>
      <w:r w:rsidR="00D46F89" w:rsidRPr="00D36DC9">
        <w:rPr>
          <w:rFonts w:eastAsia="Times New Roman" w:cs="Times New Roman"/>
          <w:szCs w:val="24"/>
        </w:rPr>
        <w:tab/>
        <w:t xml:space="preserve">Przewiduje się, że ustawa wejdzie w życie po upływie 12 miesięcy od dnia ogłoszenia, z wyjątkiem art. 105j, który wejdzie w życie z dniem 1 stycznia 2025 roku. </w:t>
      </w:r>
    </w:p>
    <w:p w14:paraId="09848FE6" w14:textId="1F6453AD" w:rsidR="00D46F89" w:rsidRPr="00D36DC9" w:rsidRDefault="00A174F2"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8</w:t>
      </w:r>
      <w:r w:rsidR="00D46F89" w:rsidRPr="00D36DC9">
        <w:rPr>
          <w:rFonts w:eastAsia="Times New Roman" w:cs="Times New Roman"/>
          <w:szCs w:val="24"/>
        </w:rPr>
        <w:t>.</w:t>
      </w:r>
      <w:r w:rsidR="00D46F89" w:rsidRPr="00D36DC9">
        <w:rPr>
          <w:rFonts w:eastAsia="Times New Roman" w:cs="Times New Roman"/>
          <w:szCs w:val="24"/>
        </w:rPr>
        <w:tab/>
        <w:t>Projekt ustawy nie jest sprzeczny z prawem Unii Europejskiej.</w:t>
      </w:r>
    </w:p>
    <w:p w14:paraId="3D913290" w14:textId="66EAE36B" w:rsidR="00D46F89" w:rsidRPr="00D36DC9" w:rsidRDefault="00A174F2"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9</w:t>
      </w:r>
      <w:r w:rsidR="00D46F89" w:rsidRPr="00D36DC9">
        <w:rPr>
          <w:rFonts w:eastAsia="Times New Roman" w:cs="Times New Roman"/>
          <w:szCs w:val="24"/>
        </w:rPr>
        <w:t>.</w:t>
      </w:r>
      <w:r w:rsidR="00D46F89" w:rsidRPr="00D36DC9">
        <w:rPr>
          <w:rFonts w:eastAsia="Times New Roman" w:cs="Times New Roman"/>
          <w:szCs w:val="24"/>
        </w:rPr>
        <w:tab/>
        <w:t>Projekt nie zawiera przepisów technicznych w rozumieniu rozporządzenia Rady Ministrów z dnia 23 grudnia 2002 r. w sprawie sposobu funkcjonowania krajowego systemu notyfikacji norm i aktów prawnych (Dz. U. poz. 2039 oraz z 2004 r. poz. 597) i nie podlega notyfikacji w trybie przewidzianym w tym rozporządzeniu.</w:t>
      </w:r>
    </w:p>
    <w:p w14:paraId="064D8726" w14:textId="5C237C53" w:rsidR="00D46F89" w:rsidRPr="00D36DC9" w:rsidRDefault="00A174F2" w:rsidP="00D46F89">
      <w:pPr>
        <w:widowControl/>
        <w:tabs>
          <w:tab w:val="left" w:pos="426"/>
        </w:tabs>
        <w:suppressAutoHyphens/>
        <w:spacing w:before="120"/>
        <w:jc w:val="both"/>
        <w:rPr>
          <w:rFonts w:eastAsia="Times New Roman" w:cs="Times New Roman"/>
          <w:szCs w:val="24"/>
        </w:rPr>
      </w:pPr>
      <w:r w:rsidRPr="00D36DC9">
        <w:rPr>
          <w:rFonts w:eastAsia="Times New Roman" w:cs="Times New Roman"/>
          <w:szCs w:val="24"/>
        </w:rPr>
        <w:t>10</w:t>
      </w:r>
      <w:r w:rsidR="00D46F89" w:rsidRPr="00D36DC9">
        <w:rPr>
          <w:rFonts w:eastAsia="Times New Roman" w:cs="Times New Roman"/>
          <w:szCs w:val="24"/>
        </w:rPr>
        <w:t>.</w:t>
      </w:r>
      <w:r w:rsidR="00D46F89" w:rsidRPr="00D36DC9">
        <w:rPr>
          <w:rFonts w:eastAsia="Times New Roman" w:cs="Times New Roman"/>
          <w:szCs w:val="24"/>
        </w:rPr>
        <w:tab/>
        <w:t xml:space="preserve">Projekt nie wymaga przedstawienia właściwym organom i instytucjom Unii Europejskiej, w tym Europejskiemu Bankowi Centralnemu, w celu uzyskania opinii, dokonania powiadomienia, konsultacji albo uzgodnienia. </w:t>
      </w:r>
    </w:p>
    <w:sectPr w:rsidR="00D46F89" w:rsidRPr="00D36DC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CFDC0E" w14:textId="77777777" w:rsidR="0044063C" w:rsidRDefault="0044063C" w:rsidP="00557085">
      <w:pPr>
        <w:spacing w:line="240" w:lineRule="auto"/>
      </w:pPr>
      <w:r>
        <w:separator/>
      </w:r>
    </w:p>
  </w:endnote>
  <w:endnote w:type="continuationSeparator" w:id="0">
    <w:p w14:paraId="57B39E8A" w14:textId="77777777" w:rsidR="0044063C" w:rsidRDefault="0044063C" w:rsidP="00557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006824"/>
      <w:docPartObj>
        <w:docPartGallery w:val="Page Numbers (Bottom of Page)"/>
        <w:docPartUnique/>
      </w:docPartObj>
    </w:sdtPr>
    <w:sdtEndPr/>
    <w:sdtContent>
      <w:p w14:paraId="0C1B1DC4" w14:textId="2E9CDE9A" w:rsidR="00557085" w:rsidRDefault="00557085">
        <w:pPr>
          <w:pStyle w:val="Stopka"/>
          <w:jc w:val="center"/>
        </w:pPr>
        <w:r>
          <w:fldChar w:fldCharType="begin"/>
        </w:r>
        <w:r>
          <w:instrText>PAGE   \* MERGEFORMAT</w:instrText>
        </w:r>
        <w:r>
          <w:fldChar w:fldCharType="separate"/>
        </w:r>
        <w:r w:rsidR="004E0BBC">
          <w:rPr>
            <w:noProof/>
          </w:rPr>
          <w:t>24</w:t>
        </w:r>
        <w:r>
          <w:fldChar w:fldCharType="end"/>
        </w:r>
      </w:p>
    </w:sdtContent>
  </w:sdt>
  <w:p w14:paraId="33B18D4A" w14:textId="77777777" w:rsidR="00557085" w:rsidRDefault="0055708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10317" w14:textId="77777777" w:rsidR="0044063C" w:rsidRDefault="0044063C" w:rsidP="00557085">
      <w:pPr>
        <w:spacing w:line="240" w:lineRule="auto"/>
      </w:pPr>
      <w:r>
        <w:separator/>
      </w:r>
    </w:p>
  </w:footnote>
  <w:footnote w:type="continuationSeparator" w:id="0">
    <w:p w14:paraId="379C5DB6" w14:textId="77777777" w:rsidR="0044063C" w:rsidRDefault="0044063C" w:rsidP="0055708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CD31F2"/>
    <w:multiLevelType w:val="hybridMultilevel"/>
    <w:tmpl w:val="BC4A0822"/>
    <w:lvl w:ilvl="0" w:tplc="12E2D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5C065FE"/>
    <w:multiLevelType w:val="hybridMultilevel"/>
    <w:tmpl w:val="11680D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63378A6"/>
    <w:multiLevelType w:val="hybridMultilevel"/>
    <w:tmpl w:val="B15C89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7A"/>
    <w:rsid w:val="00060230"/>
    <w:rsid w:val="000E7A3D"/>
    <w:rsid w:val="000F362E"/>
    <w:rsid w:val="00115222"/>
    <w:rsid w:val="00150569"/>
    <w:rsid w:val="001841F9"/>
    <w:rsid w:val="001E7E05"/>
    <w:rsid w:val="0020480C"/>
    <w:rsid w:val="002068FC"/>
    <w:rsid w:val="00245496"/>
    <w:rsid w:val="0027317A"/>
    <w:rsid w:val="002901A9"/>
    <w:rsid w:val="002C2AF9"/>
    <w:rsid w:val="002D0318"/>
    <w:rsid w:val="002F6FF6"/>
    <w:rsid w:val="003061AD"/>
    <w:rsid w:val="003255EB"/>
    <w:rsid w:val="003E24B1"/>
    <w:rsid w:val="003F1364"/>
    <w:rsid w:val="0044063C"/>
    <w:rsid w:val="004A110F"/>
    <w:rsid w:val="004A760E"/>
    <w:rsid w:val="004B0C04"/>
    <w:rsid w:val="004E0BBC"/>
    <w:rsid w:val="004E4D64"/>
    <w:rsid w:val="004F6898"/>
    <w:rsid w:val="00523412"/>
    <w:rsid w:val="00526897"/>
    <w:rsid w:val="005330C7"/>
    <w:rsid w:val="00557085"/>
    <w:rsid w:val="0057433B"/>
    <w:rsid w:val="005917FB"/>
    <w:rsid w:val="005A7D26"/>
    <w:rsid w:val="005D0BAB"/>
    <w:rsid w:val="00632922"/>
    <w:rsid w:val="00644182"/>
    <w:rsid w:val="006C30ED"/>
    <w:rsid w:val="006D3ABD"/>
    <w:rsid w:val="006F4B73"/>
    <w:rsid w:val="00701D78"/>
    <w:rsid w:val="00723199"/>
    <w:rsid w:val="00771C17"/>
    <w:rsid w:val="007915F7"/>
    <w:rsid w:val="007B6EC9"/>
    <w:rsid w:val="007C46E6"/>
    <w:rsid w:val="007F37E4"/>
    <w:rsid w:val="008955D8"/>
    <w:rsid w:val="009C00D7"/>
    <w:rsid w:val="00A174F2"/>
    <w:rsid w:val="00A25ABC"/>
    <w:rsid w:val="00A41C60"/>
    <w:rsid w:val="00A55A23"/>
    <w:rsid w:val="00A71818"/>
    <w:rsid w:val="00B04F5B"/>
    <w:rsid w:val="00B15A2A"/>
    <w:rsid w:val="00B4487A"/>
    <w:rsid w:val="00B81DBB"/>
    <w:rsid w:val="00BA2F89"/>
    <w:rsid w:val="00BC37AF"/>
    <w:rsid w:val="00BC3CC1"/>
    <w:rsid w:val="00BC6778"/>
    <w:rsid w:val="00BD2121"/>
    <w:rsid w:val="00BF026F"/>
    <w:rsid w:val="00C3157A"/>
    <w:rsid w:val="00C82698"/>
    <w:rsid w:val="00C8404C"/>
    <w:rsid w:val="00C91D18"/>
    <w:rsid w:val="00CA50DA"/>
    <w:rsid w:val="00CB6BD6"/>
    <w:rsid w:val="00CC36C4"/>
    <w:rsid w:val="00CD2A86"/>
    <w:rsid w:val="00CF6E6F"/>
    <w:rsid w:val="00D0106F"/>
    <w:rsid w:val="00D245F5"/>
    <w:rsid w:val="00D30522"/>
    <w:rsid w:val="00D36DC9"/>
    <w:rsid w:val="00D46F89"/>
    <w:rsid w:val="00D633C3"/>
    <w:rsid w:val="00D64EE4"/>
    <w:rsid w:val="00D94D60"/>
    <w:rsid w:val="00DB0082"/>
    <w:rsid w:val="00DB43D1"/>
    <w:rsid w:val="00DB44AF"/>
    <w:rsid w:val="00DB44D1"/>
    <w:rsid w:val="00DD1272"/>
    <w:rsid w:val="00DD701F"/>
    <w:rsid w:val="00E1733E"/>
    <w:rsid w:val="00E91BF8"/>
    <w:rsid w:val="00E92B88"/>
    <w:rsid w:val="00EA2BB7"/>
    <w:rsid w:val="00EA39DF"/>
    <w:rsid w:val="00EF7C7C"/>
    <w:rsid w:val="00F41ACC"/>
    <w:rsid w:val="00F463BF"/>
    <w:rsid w:val="00F62922"/>
    <w:rsid w:val="00F84833"/>
    <w:rsid w:val="00F93E94"/>
    <w:rsid w:val="00F94FA4"/>
    <w:rsid w:val="00FB1401"/>
    <w:rsid w:val="00FF28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EA34"/>
  <w15:chartTrackingRefBased/>
  <w15:docId w15:val="{37920162-B099-4507-8ECC-90ADA40D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6F8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5330C7"/>
    <w:pPr>
      <w:spacing w:after="0" w:line="240" w:lineRule="auto"/>
    </w:pPr>
    <w:rPr>
      <w:rFonts w:ascii="Times New Roman" w:eastAsiaTheme="minorEastAsia" w:hAnsi="Times New Roman" w:cs="Arial"/>
      <w:sz w:val="24"/>
      <w:szCs w:val="20"/>
      <w:lang w:eastAsia="pl-PL"/>
    </w:rPr>
  </w:style>
  <w:style w:type="paragraph" w:styleId="Akapitzlist">
    <w:name w:val="List Paragraph"/>
    <w:basedOn w:val="Normalny"/>
    <w:uiPriority w:val="34"/>
    <w:qFormat/>
    <w:rsid w:val="00A174F2"/>
    <w:pPr>
      <w:ind w:left="720"/>
      <w:contextualSpacing/>
    </w:pPr>
  </w:style>
  <w:style w:type="paragraph" w:styleId="Nagwek">
    <w:name w:val="header"/>
    <w:basedOn w:val="Normalny"/>
    <w:link w:val="NagwekZnak"/>
    <w:uiPriority w:val="99"/>
    <w:unhideWhenUsed/>
    <w:rsid w:val="00557085"/>
    <w:pPr>
      <w:tabs>
        <w:tab w:val="center" w:pos="4536"/>
        <w:tab w:val="right" w:pos="9072"/>
      </w:tabs>
      <w:spacing w:line="240" w:lineRule="auto"/>
    </w:pPr>
  </w:style>
  <w:style w:type="character" w:customStyle="1" w:styleId="NagwekZnak">
    <w:name w:val="Nagłówek Znak"/>
    <w:basedOn w:val="Domylnaczcionkaakapitu"/>
    <w:link w:val="Nagwek"/>
    <w:uiPriority w:val="99"/>
    <w:rsid w:val="00557085"/>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557085"/>
    <w:pPr>
      <w:tabs>
        <w:tab w:val="center" w:pos="4536"/>
        <w:tab w:val="right" w:pos="9072"/>
      </w:tabs>
      <w:spacing w:line="240" w:lineRule="auto"/>
    </w:pPr>
  </w:style>
  <w:style w:type="character" w:customStyle="1" w:styleId="StopkaZnak">
    <w:name w:val="Stopka Znak"/>
    <w:basedOn w:val="Domylnaczcionkaakapitu"/>
    <w:link w:val="Stopka"/>
    <w:uiPriority w:val="99"/>
    <w:rsid w:val="00557085"/>
    <w:rPr>
      <w:rFonts w:ascii="Times New Roman" w:eastAsiaTheme="minorEastAsia" w:hAnsi="Times New Roman" w:cs="Arial"/>
      <w:sz w:val="24"/>
      <w:szCs w:val="20"/>
      <w:lang w:eastAsia="pl-PL"/>
    </w:rPr>
  </w:style>
  <w:style w:type="character" w:styleId="Hipercze">
    <w:name w:val="Hyperlink"/>
    <w:basedOn w:val="Domylnaczcionkaakapitu"/>
    <w:uiPriority w:val="99"/>
    <w:unhideWhenUsed/>
    <w:rsid w:val="00526897"/>
    <w:rPr>
      <w:color w:val="0563C1" w:themeColor="hyperlink"/>
      <w:u w:val="single"/>
    </w:rPr>
  </w:style>
  <w:style w:type="character" w:customStyle="1" w:styleId="UnresolvedMention">
    <w:name w:val="Unresolved Mention"/>
    <w:basedOn w:val="Domylnaczcionkaakapitu"/>
    <w:uiPriority w:val="99"/>
    <w:semiHidden/>
    <w:unhideWhenUsed/>
    <w:rsid w:val="00526897"/>
    <w:rPr>
      <w:color w:val="605E5C"/>
      <w:shd w:val="clear" w:color="auto" w:fill="E1DFDD"/>
    </w:rPr>
  </w:style>
  <w:style w:type="paragraph" w:customStyle="1" w:styleId="ZUSTzmustartykuempunktem">
    <w:name w:val="Z/UST(§) – zm. ust. (§) artykułem (punktem)"/>
    <w:basedOn w:val="Normalny"/>
    <w:uiPriority w:val="30"/>
    <w:qFormat/>
    <w:rsid w:val="00BF026F"/>
    <w:pPr>
      <w:widowControl/>
      <w:suppressAutoHyphens/>
      <w:ind w:left="510" w:firstLine="510"/>
      <w:jc w:val="both"/>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757295">
      <w:bodyDiv w:val="1"/>
      <w:marLeft w:val="0"/>
      <w:marRight w:val="0"/>
      <w:marTop w:val="0"/>
      <w:marBottom w:val="0"/>
      <w:divBdr>
        <w:top w:val="none" w:sz="0" w:space="0" w:color="auto"/>
        <w:left w:val="none" w:sz="0" w:space="0" w:color="auto"/>
        <w:bottom w:val="none" w:sz="0" w:space="0" w:color="auto"/>
        <w:right w:val="none" w:sz="0" w:space="0" w:color="auto"/>
      </w:divBdr>
    </w:div>
    <w:div w:id="1553151722">
      <w:bodyDiv w:val="1"/>
      <w:marLeft w:val="0"/>
      <w:marRight w:val="0"/>
      <w:marTop w:val="0"/>
      <w:marBottom w:val="0"/>
      <w:divBdr>
        <w:top w:val="none" w:sz="0" w:space="0" w:color="auto"/>
        <w:left w:val="none" w:sz="0" w:space="0" w:color="auto"/>
        <w:bottom w:val="none" w:sz="0" w:space="0" w:color="auto"/>
        <w:right w:val="none" w:sz="0" w:space="0" w:color="auto"/>
      </w:divBdr>
    </w:div>
    <w:div w:id="20588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EB244-2C81-4E45-9A50-E8C50CCA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8688</Words>
  <Characters>52130</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3</cp:revision>
  <cp:lastPrinted>2023-01-10T08:22:00Z</cp:lastPrinted>
  <dcterms:created xsi:type="dcterms:W3CDTF">2023-01-05T12:49:00Z</dcterms:created>
  <dcterms:modified xsi:type="dcterms:W3CDTF">2023-01-10T08:22:00Z</dcterms:modified>
</cp:coreProperties>
</file>