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7BE2B" w14:textId="77777777" w:rsidR="00E55A6C" w:rsidRPr="008C4A4F" w:rsidRDefault="00E55A6C" w:rsidP="00E55A6C">
      <w:pPr>
        <w:widowControl w:val="0"/>
        <w:autoSpaceDE w:val="0"/>
        <w:autoSpaceDN w:val="0"/>
        <w:adjustRightInd w:val="0"/>
        <w:spacing w:after="120" w:line="300" w:lineRule="auto"/>
        <w:jc w:val="center"/>
        <w:rPr>
          <w:rFonts w:ascii="Times New Roman" w:eastAsiaTheme="minorEastAsia" w:hAnsi="Times New Roman" w:cs="Times New Roman"/>
          <w:b/>
          <w:sz w:val="24"/>
          <w:szCs w:val="24"/>
          <w:lang w:eastAsia="pl-PL"/>
        </w:rPr>
      </w:pPr>
      <w:r w:rsidRPr="008C4A4F">
        <w:rPr>
          <w:rFonts w:ascii="Times New Roman" w:eastAsiaTheme="minorEastAsia" w:hAnsi="Times New Roman" w:cs="Times New Roman"/>
          <w:b/>
          <w:sz w:val="24"/>
          <w:szCs w:val="24"/>
          <w:lang w:eastAsia="pl-PL"/>
        </w:rPr>
        <w:t>Uzasadnienie</w:t>
      </w:r>
    </w:p>
    <w:p w14:paraId="11375D01" w14:textId="77777777" w:rsidR="00E55A6C"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b/>
          <w:sz w:val="24"/>
          <w:szCs w:val="24"/>
          <w:lang w:eastAsia="pl-PL"/>
        </w:rPr>
      </w:pPr>
    </w:p>
    <w:p w14:paraId="13F799B3" w14:textId="77777777"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b/>
          <w:sz w:val="24"/>
          <w:szCs w:val="24"/>
          <w:lang w:eastAsia="pl-PL"/>
        </w:rPr>
      </w:pPr>
      <w:r w:rsidRPr="008C4A4F">
        <w:rPr>
          <w:rFonts w:ascii="Times New Roman" w:eastAsiaTheme="minorEastAsia" w:hAnsi="Times New Roman" w:cs="Times New Roman"/>
          <w:b/>
          <w:sz w:val="24"/>
          <w:szCs w:val="24"/>
          <w:lang w:eastAsia="pl-PL"/>
        </w:rPr>
        <w:t>Uwagi ogólne</w:t>
      </w:r>
    </w:p>
    <w:p w14:paraId="1CD0338F" w14:textId="77777777"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sidRPr="008C4A4F">
        <w:rPr>
          <w:rFonts w:ascii="Times New Roman" w:eastAsiaTheme="minorEastAsia" w:hAnsi="Times New Roman" w:cs="Times New Roman"/>
          <w:sz w:val="24"/>
          <w:szCs w:val="24"/>
          <w:lang w:eastAsia="pl-PL"/>
        </w:rPr>
        <w:t>Przedłożony projekt wprowadza zmiany w ustawach:</w:t>
      </w:r>
    </w:p>
    <w:p w14:paraId="7A56AC05" w14:textId="77777777" w:rsidR="00E55A6C" w:rsidRPr="008C4A4F" w:rsidRDefault="00E55A6C" w:rsidP="00E55A6C">
      <w:pPr>
        <w:pStyle w:val="Akapitzlist"/>
        <w:widowControl w:val="0"/>
        <w:numPr>
          <w:ilvl w:val="0"/>
          <w:numId w:val="1"/>
        </w:numPr>
        <w:autoSpaceDE w:val="0"/>
        <w:autoSpaceDN w:val="0"/>
        <w:adjustRightInd w:val="0"/>
        <w:spacing w:after="120" w:line="300" w:lineRule="auto"/>
        <w:contextualSpacing w:val="0"/>
        <w:jc w:val="both"/>
        <w:rPr>
          <w:rFonts w:ascii="Times New Roman" w:eastAsiaTheme="minorEastAsia" w:hAnsi="Times New Roman" w:cs="Times New Roman"/>
          <w:sz w:val="24"/>
          <w:szCs w:val="24"/>
          <w:lang w:eastAsia="pl-PL"/>
        </w:rPr>
      </w:pPr>
      <w:r w:rsidRPr="008C4A4F">
        <w:rPr>
          <w:rFonts w:ascii="Times New Roman" w:eastAsiaTheme="minorEastAsia" w:hAnsi="Times New Roman" w:cs="Times New Roman"/>
          <w:sz w:val="24"/>
          <w:szCs w:val="24"/>
          <w:lang w:eastAsia="pl-PL"/>
        </w:rPr>
        <w:t xml:space="preserve">z dnia 26 lipca 1991 r. o podatku dochodowym od osób fizycznych (Dz. U z 2021 r. poz. 1128, z </w:t>
      </w:r>
      <w:proofErr w:type="spellStart"/>
      <w:r w:rsidRPr="008C4A4F">
        <w:rPr>
          <w:rFonts w:ascii="Times New Roman" w:eastAsiaTheme="minorEastAsia" w:hAnsi="Times New Roman" w:cs="Times New Roman"/>
          <w:sz w:val="24"/>
          <w:szCs w:val="24"/>
          <w:lang w:eastAsia="pl-PL"/>
        </w:rPr>
        <w:t>późn</w:t>
      </w:r>
      <w:proofErr w:type="spellEnd"/>
      <w:r w:rsidRPr="008C4A4F">
        <w:rPr>
          <w:rFonts w:ascii="Times New Roman" w:eastAsiaTheme="minorEastAsia" w:hAnsi="Times New Roman" w:cs="Times New Roman"/>
          <w:sz w:val="24"/>
          <w:szCs w:val="24"/>
          <w:lang w:eastAsia="pl-PL"/>
        </w:rPr>
        <w:t xml:space="preserve">. zm.), dalej: </w:t>
      </w:r>
      <w:r w:rsidRPr="008C4A4F">
        <w:rPr>
          <w:rFonts w:ascii="Times New Roman" w:eastAsiaTheme="minorEastAsia" w:hAnsi="Times New Roman" w:cs="Times New Roman"/>
          <w:b/>
          <w:sz w:val="24"/>
          <w:szCs w:val="24"/>
          <w:lang w:eastAsia="pl-PL"/>
        </w:rPr>
        <w:t>„ustawa PIT”</w:t>
      </w:r>
      <w:r w:rsidRPr="008C4A4F">
        <w:rPr>
          <w:rFonts w:ascii="Times New Roman" w:eastAsiaTheme="minorEastAsia" w:hAnsi="Times New Roman" w:cs="Times New Roman"/>
          <w:sz w:val="24"/>
          <w:szCs w:val="24"/>
          <w:lang w:eastAsia="pl-PL"/>
        </w:rPr>
        <w:t>,</w:t>
      </w:r>
    </w:p>
    <w:p w14:paraId="6A12290F" w14:textId="77777777" w:rsidR="00E55A6C" w:rsidRPr="008C4A4F" w:rsidRDefault="00E55A6C" w:rsidP="00E55A6C">
      <w:pPr>
        <w:pStyle w:val="Akapitzlist"/>
        <w:widowControl w:val="0"/>
        <w:numPr>
          <w:ilvl w:val="0"/>
          <w:numId w:val="1"/>
        </w:numPr>
        <w:autoSpaceDE w:val="0"/>
        <w:autoSpaceDN w:val="0"/>
        <w:adjustRightInd w:val="0"/>
        <w:spacing w:after="120" w:line="300" w:lineRule="auto"/>
        <w:contextualSpacing w:val="0"/>
        <w:jc w:val="both"/>
        <w:rPr>
          <w:rFonts w:ascii="Times New Roman" w:eastAsiaTheme="minorEastAsia" w:hAnsi="Times New Roman" w:cs="Times New Roman"/>
          <w:sz w:val="24"/>
          <w:szCs w:val="24"/>
          <w:lang w:eastAsia="pl-PL"/>
        </w:rPr>
      </w:pPr>
      <w:r w:rsidRPr="008C4A4F">
        <w:rPr>
          <w:rFonts w:ascii="Times New Roman" w:eastAsiaTheme="minorEastAsia" w:hAnsi="Times New Roman" w:cs="Times New Roman"/>
          <w:sz w:val="24"/>
          <w:szCs w:val="24"/>
          <w:lang w:eastAsia="pl-PL"/>
        </w:rPr>
        <w:t xml:space="preserve">z dnia 15 lutego 1992 r. o podatku dochodowym od osób prawnych (Dz. U. z 2021 r. poz. 1800, z </w:t>
      </w:r>
      <w:proofErr w:type="spellStart"/>
      <w:r w:rsidRPr="008C4A4F">
        <w:rPr>
          <w:rFonts w:ascii="Times New Roman" w:eastAsiaTheme="minorEastAsia" w:hAnsi="Times New Roman" w:cs="Times New Roman"/>
          <w:sz w:val="24"/>
          <w:szCs w:val="24"/>
          <w:lang w:eastAsia="pl-PL"/>
        </w:rPr>
        <w:t>późn</w:t>
      </w:r>
      <w:proofErr w:type="spellEnd"/>
      <w:r w:rsidRPr="008C4A4F">
        <w:rPr>
          <w:rFonts w:ascii="Times New Roman" w:eastAsiaTheme="minorEastAsia" w:hAnsi="Times New Roman" w:cs="Times New Roman"/>
          <w:sz w:val="24"/>
          <w:szCs w:val="24"/>
          <w:lang w:eastAsia="pl-PL"/>
        </w:rPr>
        <w:t xml:space="preserve">. zm.), dalej: </w:t>
      </w:r>
      <w:r w:rsidRPr="008C4A4F">
        <w:rPr>
          <w:rFonts w:ascii="Times New Roman" w:eastAsiaTheme="minorEastAsia" w:hAnsi="Times New Roman" w:cs="Times New Roman"/>
          <w:b/>
          <w:sz w:val="24"/>
          <w:szCs w:val="24"/>
          <w:lang w:eastAsia="pl-PL"/>
        </w:rPr>
        <w:t>„ustawa CIT”</w:t>
      </w:r>
      <w:r w:rsidRPr="008C4A4F">
        <w:rPr>
          <w:rFonts w:ascii="Times New Roman" w:eastAsiaTheme="minorEastAsia" w:hAnsi="Times New Roman" w:cs="Times New Roman"/>
          <w:sz w:val="24"/>
          <w:szCs w:val="24"/>
          <w:lang w:eastAsia="pl-PL"/>
        </w:rPr>
        <w:t>.</w:t>
      </w:r>
    </w:p>
    <w:p w14:paraId="704BFEB1" w14:textId="77777777" w:rsidR="00371CC1"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sidRPr="00AD77D3">
        <w:rPr>
          <w:rFonts w:ascii="Times New Roman" w:eastAsiaTheme="minorEastAsia" w:hAnsi="Times New Roman" w:cs="Times New Roman"/>
          <w:sz w:val="24"/>
          <w:szCs w:val="24"/>
          <w:lang w:eastAsia="pl-PL"/>
        </w:rPr>
        <w:t>Zróżnicowanie rozwoju gospodarczego w Polsce występowało zawsze niezależnie od o</w:t>
      </w:r>
      <w:r>
        <w:rPr>
          <w:rFonts w:ascii="Times New Roman" w:eastAsiaTheme="minorEastAsia" w:hAnsi="Times New Roman" w:cs="Times New Roman"/>
          <w:sz w:val="24"/>
          <w:szCs w:val="24"/>
          <w:lang w:eastAsia="pl-PL"/>
        </w:rPr>
        <w:t>bowiązującego systemu społeczno-</w:t>
      </w:r>
      <w:r w:rsidRPr="00AD77D3">
        <w:rPr>
          <w:rFonts w:ascii="Times New Roman" w:eastAsiaTheme="minorEastAsia" w:hAnsi="Times New Roman" w:cs="Times New Roman"/>
          <w:sz w:val="24"/>
          <w:szCs w:val="24"/>
          <w:lang w:eastAsia="pl-PL"/>
        </w:rPr>
        <w:t xml:space="preserve">gospodarczego. Wynika to zarówno z uwarunkowań naturalnych w postaci występowania dużych złóż surowców, jak i politycznych, dotyczących lokalizacji dużych inwestycji o znaczeniu strategicznym dla gospodarki narodowej. Przykładem jest Gdynia i COP (Centralny Okręg Przemysłowy) z okresu międzywojennego </w:t>
      </w:r>
      <w:r>
        <w:rPr>
          <w:rFonts w:ascii="Times New Roman" w:eastAsiaTheme="minorEastAsia" w:hAnsi="Times New Roman" w:cs="Times New Roman"/>
          <w:sz w:val="24"/>
          <w:szCs w:val="24"/>
          <w:lang w:eastAsia="pl-PL"/>
        </w:rPr>
        <w:t xml:space="preserve">                  </w:t>
      </w:r>
      <w:r w:rsidRPr="00AD77D3">
        <w:rPr>
          <w:rFonts w:ascii="Times New Roman" w:eastAsiaTheme="minorEastAsia" w:hAnsi="Times New Roman" w:cs="Times New Roman"/>
          <w:sz w:val="24"/>
          <w:szCs w:val="24"/>
          <w:lang w:eastAsia="pl-PL"/>
        </w:rPr>
        <w:t xml:space="preserve">a w czasach nam bliskich </w:t>
      </w:r>
      <w:proofErr w:type="spellStart"/>
      <w:r w:rsidRPr="00AD77D3">
        <w:rPr>
          <w:rFonts w:ascii="Times New Roman" w:eastAsiaTheme="minorEastAsia" w:hAnsi="Times New Roman" w:cs="Times New Roman"/>
          <w:sz w:val="24"/>
          <w:szCs w:val="24"/>
          <w:lang w:eastAsia="pl-PL"/>
        </w:rPr>
        <w:t>Gazoport</w:t>
      </w:r>
      <w:proofErr w:type="spellEnd"/>
      <w:r w:rsidRPr="00AD77D3">
        <w:rPr>
          <w:rFonts w:ascii="Times New Roman" w:eastAsiaTheme="minorEastAsia" w:hAnsi="Times New Roman" w:cs="Times New Roman"/>
          <w:sz w:val="24"/>
          <w:szCs w:val="24"/>
          <w:lang w:eastAsia="pl-PL"/>
        </w:rPr>
        <w:t xml:space="preserve"> Świnoujście czy Centralny Port Lotniczy. Następstwem pozytywnym dużych inwestycji jest trwałe tworzenie miejsc pracy, wzrost potencjału gospodarczego regionu - przyspieszenie procesu urbanizacji przestrzennej, wzrost demograficzny, społeczny i ekonomiczny. Duże ośrodki gospodarcze i aglomeracje, z racji swojego potencjału mają coraz większą siłę przyciągania inwestycji</w:t>
      </w:r>
      <w:r w:rsidR="003E0A46">
        <w:rPr>
          <w:rFonts w:ascii="Times New Roman" w:eastAsiaTheme="minorEastAsia" w:hAnsi="Times New Roman" w:cs="Times New Roman"/>
          <w:sz w:val="24"/>
          <w:szCs w:val="24"/>
          <w:lang w:eastAsia="pl-PL"/>
        </w:rPr>
        <w:t>,</w:t>
      </w:r>
      <w:r w:rsidRPr="00AD77D3">
        <w:rPr>
          <w:rFonts w:ascii="Times New Roman" w:eastAsiaTheme="minorEastAsia" w:hAnsi="Times New Roman" w:cs="Times New Roman"/>
          <w:sz w:val="24"/>
          <w:szCs w:val="24"/>
          <w:lang w:eastAsia="pl-PL"/>
        </w:rPr>
        <w:t xml:space="preserve"> co ma dobre</w:t>
      </w:r>
      <w:r w:rsidR="003E0A46">
        <w:rPr>
          <w:rFonts w:ascii="Times New Roman" w:eastAsiaTheme="minorEastAsia" w:hAnsi="Times New Roman" w:cs="Times New Roman"/>
          <w:sz w:val="24"/>
          <w:szCs w:val="24"/>
          <w:lang w:eastAsia="pl-PL"/>
        </w:rPr>
        <w:t>,</w:t>
      </w:r>
      <w:r w:rsidRPr="00AD77D3">
        <w:rPr>
          <w:rFonts w:ascii="Times New Roman" w:eastAsiaTheme="minorEastAsia" w:hAnsi="Times New Roman" w:cs="Times New Roman"/>
          <w:sz w:val="24"/>
          <w:szCs w:val="24"/>
          <w:lang w:eastAsia="pl-PL"/>
        </w:rPr>
        <w:t xml:space="preserve"> ale też i złe strony. Do zjaw</w:t>
      </w:r>
      <w:r w:rsidR="00371CC1">
        <w:rPr>
          <w:rFonts w:ascii="Times New Roman" w:eastAsiaTheme="minorEastAsia" w:hAnsi="Times New Roman" w:cs="Times New Roman"/>
          <w:sz w:val="24"/>
          <w:szCs w:val="24"/>
          <w:lang w:eastAsia="pl-PL"/>
        </w:rPr>
        <w:t xml:space="preserve">isk negatywnych zaliczyć należy m.in. </w:t>
      </w:r>
      <w:r w:rsidRPr="00571998">
        <w:rPr>
          <w:rFonts w:ascii="Times New Roman" w:eastAsiaTheme="minorEastAsia" w:hAnsi="Times New Roman" w:cs="Times New Roman"/>
          <w:sz w:val="24"/>
          <w:szCs w:val="24"/>
          <w:lang w:eastAsia="pl-PL"/>
        </w:rPr>
        <w:t>wzrost cen działek i mieszkań</w:t>
      </w:r>
      <w:r w:rsidR="00371CC1">
        <w:rPr>
          <w:rFonts w:ascii="Times New Roman" w:eastAsiaTheme="minorEastAsia" w:hAnsi="Times New Roman" w:cs="Times New Roman"/>
          <w:sz w:val="24"/>
          <w:szCs w:val="24"/>
          <w:lang w:eastAsia="pl-PL"/>
        </w:rPr>
        <w:t xml:space="preserve">, </w:t>
      </w:r>
      <w:r w:rsidRPr="00371CC1">
        <w:rPr>
          <w:rFonts w:ascii="Times New Roman" w:eastAsiaTheme="minorEastAsia" w:hAnsi="Times New Roman" w:cs="Times New Roman"/>
          <w:sz w:val="24"/>
          <w:szCs w:val="24"/>
          <w:lang w:eastAsia="pl-PL"/>
        </w:rPr>
        <w:t>brak terenów pod budowę mieszkań i niedostatek miejsc parkingowych</w:t>
      </w:r>
      <w:r w:rsidR="003E0A46" w:rsidRPr="00371CC1">
        <w:rPr>
          <w:rFonts w:ascii="Times New Roman" w:eastAsiaTheme="minorEastAsia" w:hAnsi="Times New Roman" w:cs="Times New Roman"/>
          <w:sz w:val="24"/>
          <w:szCs w:val="24"/>
          <w:lang w:eastAsia="pl-PL"/>
        </w:rPr>
        <w:t>,</w:t>
      </w:r>
      <w:r w:rsidR="00371CC1">
        <w:rPr>
          <w:rFonts w:ascii="Times New Roman" w:eastAsiaTheme="minorEastAsia" w:hAnsi="Times New Roman" w:cs="Times New Roman"/>
          <w:sz w:val="24"/>
          <w:szCs w:val="24"/>
          <w:lang w:eastAsia="pl-PL"/>
        </w:rPr>
        <w:t xml:space="preserve"> czy też </w:t>
      </w:r>
      <w:r w:rsidRPr="00371CC1">
        <w:rPr>
          <w:rFonts w:ascii="Times New Roman" w:eastAsiaTheme="minorEastAsia" w:hAnsi="Times New Roman" w:cs="Times New Roman"/>
          <w:sz w:val="24"/>
          <w:szCs w:val="24"/>
          <w:lang w:eastAsia="pl-PL"/>
        </w:rPr>
        <w:t>powstawanie korków ulicznych i przeciążenie komunikacji miejskiej</w:t>
      </w:r>
      <w:r w:rsidR="00371CC1">
        <w:rPr>
          <w:rFonts w:ascii="Times New Roman" w:eastAsiaTheme="minorEastAsia" w:hAnsi="Times New Roman" w:cs="Times New Roman"/>
          <w:sz w:val="24"/>
          <w:szCs w:val="24"/>
          <w:lang w:eastAsia="pl-PL"/>
        </w:rPr>
        <w:t xml:space="preserve">. </w:t>
      </w:r>
      <w:r w:rsidRPr="00AD77D3">
        <w:rPr>
          <w:rFonts w:ascii="Times New Roman" w:eastAsiaTheme="minorEastAsia" w:hAnsi="Times New Roman" w:cs="Times New Roman"/>
          <w:sz w:val="24"/>
          <w:szCs w:val="24"/>
          <w:lang w:eastAsia="pl-PL"/>
        </w:rPr>
        <w:t>Taką cenę płacą za przyspieszony rozwój wielkie ośrodki miejskie takie jak Warszawa, Poznań, Łódź, Wrocław</w:t>
      </w:r>
      <w:r w:rsidR="00D409EF">
        <w:rPr>
          <w:rFonts w:ascii="Times New Roman" w:eastAsiaTheme="minorEastAsia" w:hAnsi="Times New Roman" w:cs="Times New Roman"/>
          <w:sz w:val="24"/>
          <w:szCs w:val="24"/>
          <w:lang w:eastAsia="pl-PL"/>
        </w:rPr>
        <w:t>,</w:t>
      </w:r>
      <w:r w:rsidRPr="00AD77D3">
        <w:rPr>
          <w:rFonts w:ascii="Times New Roman" w:eastAsiaTheme="minorEastAsia" w:hAnsi="Times New Roman" w:cs="Times New Roman"/>
          <w:sz w:val="24"/>
          <w:szCs w:val="24"/>
          <w:lang w:eastAsia="pl-PL"/>
        </w:rPr>
        <w:t xml:space="preserve"> jak też aglomeracje trójmiejska i śląska. </w:t>
      </w:r>
    </w:p>
    <w:p w14:paraId="5AFA62F8" w14:textId="07644C8A" w:rsidR="00E55A6C" w:rsidRDefault="00371CC1"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Korzyści z rozwoju dużych ośrodków miejskich, co do zasady, omijają tereny tzw. Polski powiatowej pogłębiając dysproporcję w rozwoju poszczególnych części kraju. Odpływ ludności z mniejszych ośrodków miejskich, czy też wsi powoduje brak impulsów rozwojowych</w:t>
      </w:r>
      <w:r w:rsidR="00FB6B98">
        <w:rPr>
          <w:rFonts w:ascii="Times New Roman" w:eastAsiaTheme="minorEastAsia" w:hAnsi="Times New Roman" w:cs="Times New Roman"/>
          <w:sz w:val="24"/>
          <w:szCs w:val="24"/>
          <w:lang w:eastAsia="pl-PL"/>
        </w:rPr>
        <w:t xml:space="preserve">, a co za tym wzrost bezrobocia i zubożenie społeczeństwa zamieszkującego te obszary. </w:t>
      </w:r>
      <w:r>
        <w:rPr>
          <w:rFonts w:ascii="Times New Roman" w:eastAsiaTheme="minorEastAsia" w:hAnsi="Times New Roman" w:cs="Times New Roman"/>
          <w:sz w:val="24"/>
          <w:szCs w:val="24"/>
          <w:lang w:eastAsia="pl-PL"/>
        </w:rPr>
        <w:t xml:space="preserve"> </w:t>
      </w:r>
      <w:r w:rsidR="00E55A6C" w:rsidRPr="00AD77D3">
        <w:rPr>
          <w:rFonts w:ascii="Times New Roman" w:eastAsiaTheme="minorEastAsia" w:hAnsi="Times New Roman" w:cs="Times New Roman"/>
          <w:sz w:val="24"/>
          <w:szCs w:val="24"/>
          <w:lang w:eastAsia="pl-PL"/>
        </w:rPr>
        <w:t xml:space="preserve">Jest to proces samonapędzający się, pogłębiający </w:t>
      </w:r>
      <w:r w:rsidR="00FB6B98">
        <w:rPr>
          <w:rFonts w:ascii="Times New Roman" w:eastAsiaTheme="minorEastAsia" w:hAnsi="Times New Roman" w:cs="Times New Roman"/>
          <w:sz w:val="24"/>
          <w:szCs w:val="24"/>
          <w:lang w:eastAsia="pl-PL"/>
        </w:rPr>
        <w:t>podział na tak zwaną Polskę A i </w:t>
      </w:r>
      <w:bookmarkStart w:id="0" w:name="_GoBack"/>
      <w:bookmarkEnd w:id="0"/>
      <w:r w:rsidR="00E55A6C" w:rsidRPr="00AD77D3">
        <w:rPr>
          <w:rFonts w:ascii="Times New Roman" w:eastAsiaTheme="minorEastAsia" w:hAnsi="Times New Roman" w:cs="Times New Roman"/>
          <w:sz w:val="24"/>
          <w:szCs w:val="24"/>
          <w:lang w:eastAsia="pl-PL"/>
        </w:rPr>
        <w:t>Polskę B. Bez ustawowej regulacji wspomagającej procesy inwestycyjne w regionach słabo rozwiniętych gospodarczo, z wysokim poziomem bezrobocia, odwrócenie tego trendu jest niemożliwe.</w:t>
      </w:r>
    </w:p>
    <w:p w14:paraId="52B3B815" w14:textId="63AD0E0C" w:rsidR="00E55A6C"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sidRPr="008C4A4F">
        <w:rPr>
          <w:rFonts w:ascii="Times New Roman" w:eastAsiaTheme="minorEastAsia" w:hAnsi="Times New Roman" w:cs="Times New Roman"/>
          <w:sz w:val="24"/>
          <w:szCs w:val="24"/>
          <w:lang w:eastAsia="pl-PL"/>
        </w:rPr>
        <w:t xml:space="preserve">Projektowane regulacje mają na </w:t>
      </w:r>
      <w:r w:rsidRPr="00AD77D3">
        <w:rPr>
          <w:rFonts w:ascii="Times New Roman" w:eastAsiaTheme="minorEastAsia" w:hAnsi="Times New Roman" w:cs="Times New Roman"/>
          <w:sz w:val="24"/>
          <w:szCs w:val="24"/>
          <w:lang w:eastAsia="pl-PL"/>
        </w:rPr>
        <w:t xml:space="preserve">celu wsparcie mikro-, małych i średnich przedsiębiorców prowadzących działalność w gminach o wysokim wskaźniku bezrobocia, będących jednocześnie gminami o niskim dochodzie w przeliczeniu na mieszkańca. Instrumentem służącym osiągnięciu tego celu ma być skrócenie okresu </w:t>
      </w:r>
      <w:r w:rsidRPr="00AD77D3">
        <w:rPr>
          <w:rFonts w:ascii="Times New Roman" w:hAnsi="Times New Roman" w:cs="Times New Roman"/>
          <w:color w:val="303030"/>
          <w:sz w:val="24"/>
          <w:szCs w:val="24"/>
        </w:rPr>
        <w:t>amortyzacji środków trwałych w postaci budynków i budowli niemieszkalnych z 40 lat do</w:t>
      </w:r>
      <w:r>
        <w:rPr>
          <w:rFonts w:ascii="Times New Roman" w:hAnsi="Times New Roman" w:cs="Times New Roman"/>
          <w:color w:val="303030"/>
          <w:sz w:val="24"/>
          <w:szCs w:val="24"/>
        </w:rPr>
        <w:t>, w zależności od poziomu bezrobocia, do</w:t>
      </w:r>
      <w:r w:rsidRPr="00AD77D3">
        <w:rPr>
          <w:rFonts w:ascii="Times New Roman" w:hAnsi="Times New Roman" w:cs="Times New Roman"/>
          <w:color w:val="303030"/>
          <w:sz w:val="24"/>
          <w:szCs w:val="24"/>
        </w:rPr>
        <w:t xml:space="preserve"> 5 lat</w:t>
      </w:r>
      <w:r>
        <w:rPr>
          <w:rFonts w:ascii="Times New Roman" w:hAnsi="Times New Roman" w:cs="Times New Roman"/>
          <w:color w:val="303030"/>
          <w:sz w:val="24"/>
          <w:szCs w:val="24"/>
        </w:rPr>
        <w:t xml:space="preserve"> albo 10 lat. Możliwość ta objąć ma gminy położone w powiatach o wysokim bezrobociu oraz </w:t>
      </w:r>
      <w:r w:rsidRPr="008C4A4F">
        <w:rPr>
          <w:rFonts w:ascii="Times New Roman" w:eastAsiaTheme="minorEastAsia" w:hAnsi="Times New Roman" w:cs="Times New Roman"/>
          <w:sz w:val="24"/>
          <w:szCs w:val="24"/>
          <w:lang w:eastAsia="pl-PL"/>
        </w:rPr>
        <w:t xml:space="preserve">jednocześnie niskim dochodzie </w:t>
      </w:r>
      <w:r>
        <w:rPr>
          <w:rFonts w:ascii="Times New Roman" w:eastAsiaTheme="minorEastAsia" w:hAnsi="Times New Roman" w:cs="Times New Roman"/>
          <w:sz w:val="24"/>
          <w:szCs w:val="24"/>
          <w:lang w:eastAsia="pl-PL"/>
        </w:rPr>
        <w:t xml:space="preserve">podatkowym </w:t>
      </w:r>
      <w:r w:rsidRPr="008C4A4F">
        <w:rPr>
          <w:rFonts w:ascii="Times New Roman" w:eastAsiaTheme="minorEastAsia" w:hAnsi="Times New Roman" w:cs="Times New Roman"/>
          <w:sz w:val="24"/>
          <w:szCs w:val="24"/>
          <w:lang w:eastAsia="pl-PL"/>
        </w:rPr>
        <w:t>w przeliczeniu na mieszkańca</w:t>
      </w:r>
      <w:r>
        <w:rPr>
          <w:rFonts w:ascii="Times New Roman" w:eastAsiaTheme="minorEastAsia" w:hAnsi="Times New Roman" w:cs="Times New Roman"/>
          <w:sz w:val="24"/>
          <w:szCs w:val="24"/>
          <w:lang w:eastAsia="pl-PL"/>
        </w:rPr>
        <w:t xml:space="preserve">. Są to zatem </w:t>
      </w:r>
      <w:r>
        <w:rPr>
          <w:rFonts w:ascii="Times New Roman" w:eastAsiaTheme="minorEastAsia" w:hAnsi="Times New Roman" w:cs="Times New Roman"/>
          <w:sz w:val="24"/>
          <w:szCs w:val="24"/>
          <w:lang w:eastAsia="pl-PL"/>
        </w:rPr>
        <w:lastRenderedPageBreak/>
        <w:t xml:space="preserve">obszary </w:t>
      </w:r>
      <w:r w:rsidRPr="00AD77D3">
        <w:rPr>
          <w:rFonts w:ascii="Times New Roman" w:hAnsi="Times New Roman" w:cs="Times New Roman"/>
          <w:color w:val="303030"/>
          <w:sz w:val="24"/>
          <w:szCs w:val="24"/>
        </w:rPr>
        <w:t>z</w:t>
      </w:r>
      <w:r>
        <w:rPr>
          <w:rFonts w:ascii="Times New Roman" w:hAnsi="Times New Roman" w:cs="Times New Roman"/>
          <w:color w:val="303030"/>
          <w:sz w:val="24"/>
          <w:szCs w:val="24"/>
        </w:rPr>
        <w:t>agrożon</w:t>
      </w:r>
      <w:r w:rsidR="00D409EF">
        <w:rPr>
          <w:rFonts w:ascii="Times New Roman" w:hAnsi="Times New Roman" w:cs="Times New Roman"/>
          <w:color w:val="303030"/>
          <w:sz w:val="24"/>
          <w:szCs w:val="24"/>
        </w:rPr>
        <w:t>e</w:t>
      </w:r>
      <w:r>
        <w:rPr>
          <w:rFonts w:ascii="Times New Roman" w:hAnsi="Times New Roman" w:cs="Times New Roman"/>
          <w:color w:val="303030"/>
          <w:sz w:val="24"/>
          <w:szCs w:val="24"/>
        </w:rPr>
        <w:t xml:space="preserve"> procesem wyludnienia. W ocenie projektodawców będzie</w:t>
      </w:r>
      <w:r w:rsidRPr="00AD77D3">
        <w:rPr>
          <w:rFonts w:ascii="Times New Roman" w:hAnsi="Times New Roman" w:cs="Times New Roman"/>
          <w:color w:val="303030"/>
          <w:sz w:val="24"/>
          <w:szCs w:val="24"/>
        </w:rPr>
        <w:t xml:space="preserve"> to bardzo atrakcyjna zachęta dla inwestorów do tworzenia miejsc pracy tam gdzie wstępuje ważny problem społeczny. To rozwiązanie korzystne dla finansów publicznych państwa, wspierające równomierny rozwój Polski, korzystnie wpływające na rozwiązywanie problemów społecznych, socjalnyc</w:t>
      </w:r>
      <w:r>
        <w:rPr>
          <w:rFonts w:ascii="Times New Roman" w:hAnsi="Times New Roman" w:cs="Times New Roman"/>
          <w:color w:val="303030"/>
          <w:sz w:val="24"/>
          <w:szCs w:val="24"/>
        </w:rPr>
        <w:t xml:space="preserve">h, zdrowotnych i ekonomicznych. </w:t>
      </w:r>
      <w:r w:rsidRPr="00AD77D3">
        <w:rPr>
          <w:rFonts w:ascii="Times New Roman" w:eastAsiaTheme="minorEastAsia" w:hAnsi="Times New Roman" w:cs="Times New Roman"/>
          <w:sz w:val="24"/>
          <w:szCs w:val="24"/>
          <w:lang w:eastAsia="pl-PL"/>
        </w:rPr>
        <w:t>Zakłada</w:t>
      </w:r>
      <w:r w:rsidRPr="008C4A4F">
        <w:rPr>
          <w:rFonts w:ascii="Times New Roman" w:eastAsiaTheme="minorEastAsia" w:hAnsi="Times New Roman" w:cs="Times New Roman"/>
          <w:sz w:val="24"/>
          <w:szCs w:val="24"/>
          <w:lang w:eastAsia="pl-PL"/>
        </w:rPr>
        <w:t xml:space="preserve"> się, że wprowadzenie projektowanych zmian w długofalowej perspektywie znajdzie przełożenie </w:t>
      </w:r>
      <w:r>
        <w:rPr>
          <w:rFonts w:ascii="Times New Roman" w:eastAsiaTheme="minorEastAsia" w:hAnsi="Times New Roman" w:cs="Times New Roman"/>
          <w:sz w:val="24"/>
          <w:szCs w:val="24"/>
          <w:lang w:eastAsia="pl-PL"/>
        </w:rPr>
        <w:br/>
      </w:r>
      <w:r w:rsidRPr="008C4A4F">
        <w:rPr>
          <w:rFonts w:ascii="Times New Roman" w:eastAsiaTheme="minorEastAsia" w:hAnsi="Times New Roman" w:cs="Times New Roman"/>
          <w:sz w:val="24"/>
          <w:szCs w:val="24"/>
          <w:lang w:eastAsia="pl-PL"/>
        </w:rPr>
        <w:t xml:space="preserve">na rozwój tych obszarów kraju, wspierając inwestycje oraz tworzenie nowych miejsc pracy. </w:t>
      </w:r>
    </w:p>
    <w:p w14:paraId="53A9DE5C" w14:textId="0100D4A1" w:rsidR="00E55A6C" w:rsidRDefault="00E55A6C" w:rsidP="00E55A6C">
      <w:pPr>
        <w:widowControl w:val="0"/>
        <w:autoSpaceDE w:val="0"/>
        <w:autoSpaceDN w:val="0"/>
        <w:adjustRightInd w:val="0"/>
        <w:spacing w:after="120" w:line="300" w:lineRule="auto"/>
        <w:jc w:val="both"/>
        <w:rPr>
          <w:rFonts w:ascii="Times New Roman" w:hAnsi="Times New Roman" w:cs="Times New Roman"/>
          <w:color w:val="303030"/>
          <w:sz w:val="24"/>
          <w:szCs w:val="24"/>
        </w:rPr>
      </w:pPr>
      <w:r w:rsidRPr="001F47E9">
        <w:rPr>
          <w:rFonts w:ascii="Times New Roman" w:hAnsi="Times New Roman" w:cs="Times New Roman"/>
          <w:color w:val="303030"/>
          <w:sz w:val="24"/>
          <w:szCs w:val="24"/>
        </w:rPr>
        <w:t>Projekt jako instrument kierunkowania inwestycji dotyczy tylko nowych inwestycji realizowanych po wejściu w życie nowych przepisów. Projekt nie działa wstecz dla inwestycji rozpoczętych przed zmianą i w tym sensie jest neutralny dla budżetu Państwa.</w:t>
      </w:r>
    </w:p>
    <w:p w14:paraId="36C45C5E" w14:textId="17E9D80B" w:rsidR="00ED5525" w:rsidRDefault="00ED5525" w:rsidP="00ED5525">
      <w:pPr>
        <w:widowControl w:val="0"/>
        <w:autoSpaceDE w:val="0"/>
        <w:autoSpaceDN w:val="0"/>
        <w:adjustRightInd w:val="0"/>
        <w:spacing w:after="120" w:line="300" w:lineRule="auto"/>
        <w:jc w:val="both"/>
        <w:rPr>
          <w:rFonts w:ascii="Times New Roman" w:hAnsi="Times New Roman" w:cs="Times New Roman"/>
          <w:color w:val="303030"/>
          <w:sz w:val="24"/>
          <w:szCs w:val="24"/>
        </w:rPr>
      </w:pPr>
      <w:r>
        <w:rPr>
          <w:rFonts w:ascii="Times New Roman" w:hAnsi="Times New Roman" w:cs="Times New Roman"/>
          <w:color w:val="303030"/>
          <w:sz w:val="24"/>
          <w:szCs w:val="24"/>
        </w:rPr>
        <w:t>Wskazać należy, że obowiązujące regulacje w podatkach dochodowych zawierają już przepisy skierowane do określonych grup podatników (np. mali podatnicy i podatnicy rozpoczynający prowadzenie działalności). Proponowane przepisy wprowadzają więc rozwiązania, które są  zarówno w zakresie podmiotowym, jak i przedmiotowym, w pewien sposób wzorowane na tych, które już funkcjonują w systemie prawnym.</w:t>
      </w:r>
    </w:p>
    <w:p w14:paraId="26186009" w14:textId="77777777" w:rsidR="00ED5525" w:rsidRDefault="00ED5525" w:rsidP="00ED5525">
      <w:pPr>
        <w:widowControl w:val="0"/>
        <w:autoSpaceDE w:val="0"/>
        <w:autoSpaceDN w:val="0"/>
        <w:adjustRightInd w:val="0"/>
        <w:spacing w:after="120" w:line="300" w:lineRule="auto"/>
        <w:jc w:val="both"/>
        <w:rPr>
          <w:rFonts w:ascii="Times New Roman" w:hAnsi="Times New Roman" w:cs="Times New Roman"/>
          <w:color w:val="303030"/>
          <w:sz w:val="24"/>
          <w:szCs w:val="24"/>
        </w:rPr>
      </w:pPr>
      <w:r>
        <w:rPr>
          <w:rFonts w:ascii="Times New Roman" w:hAnsi="Times New Roman" w:cs="Times New Roman"/>
          <w:color w:val="303030"/>
          <w:sz w:val="24"/>
          <w:szCs w:val="24"/>
        </w:rPr>
        <w:t>Objecie zakresem podmiotowym podatników z grupy MŚP podyktowane jest m.in. tym że podmioty takie mają często mniejsze możliwości rozwoju spowodowane, np. większymi trudnościami w pozyskiwaniu środków finansowych na rozwój prowadzonej działalności, czy też działaniem na lokalnych rynkach</w:t>
      </w:r>
      <w:r w:rsidR="00115177">
        <w:rPr>
          <w:rFonts w:ascii="Times New Roman" w:hAnsi="Times New Roman" w:cs="Times New Roman"/>
          <w:color w:val="303030"/>
          <w:sz w:val="24"/>
          <w:szCs w:val="24"/>
        </w:rPr>
        <w:t>. Stąd też skierowanie projektowanych rozwiązań do wskazanej grupy podatników</w:t>
      </w:r>
      <w:r w:rsidR="000B2138">
        <w:rPr>
          <w:rFonts w:ascii="Times New Roman" w:hAnsi="Times New Roman" w:cs="Times New Roman"/>
          <w:color w:val="303030"/>
          <w:sz w:val="24"/>
          <w:szCs w:val="24"/>
        </w:rPr>
        <w:t xml:space="preserve"> działających na określonych obszarach</w:t>
      </w:r>
      <w:r w:rsidR="00115177">
        <w:rPr>
          <w:rFonts w:ascii="Times New Roman" w:hAnsi="Times New Roman" w:cs="Times New Roman"/>
          <w:color w:val="303030"/>
          <w:sz w:val="24"/>
          <w:szCs w:val="24"/>
        </w:rPr>
        <w:t xml:space="preserve"> jest uzasadnione</w:t>
      </w:r>
      <w:r w:rsidR="000B2138">
        <w:rPr>
          <w:rFonts w:ascii="Times New Roman" w:hAnsi="Times New Roman" w:cs="Times New Roman"/>
          <w:color w:val="303030"/>
          <w:sz w:val="24"/>
          <w:szCs w:val="24"/>
        </w:rPr>
        <w:t xml:space="preserve"> i pozwoli na większy i szybszy rozwój lokalnych obszarów</w:t>
      </w:r>
      <w:r w:rsidR="00115177">
        <w:rPr>
          <w:rFonts w:ascii="Times New Roman" w:hAnsi="Times New Roman" w:cs="Times New Roman"/>
          <w:color w:val="303030"/>
          <w:sz w:val="24"/>
          <w:szCs w:val="24"/>
        </w:rPr>
        <w:t>.</w:t>
      </w:r>
    </w:p>
    <w:p w14:paraId="1029039A" w14:textId="77777777" w:rsidR="00115177" w:rsidRDefault="00115177" w:rsidP="00ED5525">
      <w:pPr>
        <w:widowControl w:val="0"/>
        <w:autoSpaceDE w:val="0"/>
        <w:autoSpaceDN w:val="0"/>
        <w:adjustRightInd w:val="0"/>
        <w:spacing w:after="120" w:line="300" w:lineRule="auto"/>
        <w:jc w:val="both"/>
        <w:rPr>
          <w:rFonts w:ascii="Times New Roman" w:hAnsi="Times New Roman" w:cs="Times New Roman"/>
          <w:color w:val="303030"/>
          <w:sz w:val="24"/>
          <w:szCs w:val="24"/>
        </w:rPr>
      </w:pPr>
      <w:r>
        <w:rPr>
          <w:rFonts w:ascii="Times New Roman" w:hAnsi="Times New Roman" w:cs="Times New Roman"/>
          <w:color w:val="303030"/>
          <w:sz w:val="24"/>
          <w:szCs w:val="24"/>
        </w:rPr>
        <w:t xml:space="preserve">Podkreślić należy także, że </w:t>
      </w:r>
      <w:r w:rsidR="000B2138">
        <w:rPr>
          <w:rFonts w:ascii="Times New Roman" w:hAnsi="Times New Roman" w:cs="Times New Roman"/>
          <w:color w:val="303030"/>
          <w:sz w:val="24"/>
          <w:szCs w:val="24"/>
        </w:rPr>
        <w:t>propozycje przewidziane w projekcie nie pozostają w sprzeczności, czy też nie są konkurencyjne do innych obowiązujących już przepisów w zakresie amortyzacji w szczególności z art. 22j ust. 1 pkt 4 ustawy PIT i art. 16j ust. 1 pkt 4 ustawy CIT. Wskazane przepis dot. bowiem używanych i ulepszonych środków trwałych, natomiast p</w:t>
      </w:r>
      <w:r w:rsidR="007C11F3">
        <w:rPr>
          <w:rFonts w:ascii="Times New Roman" w:hAnsi="Times New Roman" w:cs="Times New Roman"/>
          <w:color w:val="303030"/>
          <w:sz w:val="24"/>
          <w:szCs w:val="24"/>
        </w:rPr>
        <w:t xml:space="preserve">rojektowane przepisy odnoszą się, jak to już wskazano powyżej, do środków trwałych wytworzonych przez podatnika. </w:t>
      </w:r>
    </w:p>
    <w:p w14:paraId="4C168799" w14:textId="16AB1AA0" w:rsidR="00D33B40" w:rsidRDefault="00D33B40" w:rsidP="00ED5525">
      <w:pPr>
        <w:widowControl w:val="0"/>
        <w:autoSpaceDE w:val="0"/>
        <w:autoSpaceDN w:val="0"/>
        <w:adjustRightInd w:val="0"/>
        <w:spacing w:after="120" w:line="300" w:lineRule="auto"/>
        <w:jc w:val="both"/>
        <w:rPr>
          <w:rFonts w:ascii="Times New Roman" w:hAnsi="Times New Roman" w:cs="Times New Roman"/>
          <w:color w:val="303030"/>
          <w:sz w:val="24"/>
          <w:szCs w:val="24"/>
        </w:rPr>
      </w:pPr>
      <w:r w:rsidRPr="00103C7E">
        <w:rPr>
          <w:rFonts w:ascii="Times New Roman" w:hAnsi="Times New Roman" w:cs="Times New Roman"/>
          <w:color w:val="303030"/>
          <w:sz w:val="24"/>
          <w:szCs w:val="24"/>
        </w:rPr>
        <w:t>Podkreślić należy, że proponowane rozwiązania adresowane są do tych podatników, którzy wytwarzają (budują) określone środki trwałe. Ma to na celu z jednej strony wsparcie podatników, którzy samodzielnie podejmują wskazane działania inwestycyjne a z drugiej wyeliminowanie sytuacji możliwości objęcia regulacjami istniejących już budynków (budowli), tak aby właśnie wspierać nowe inwestycje</w:t>
      </w:r>
      <w:r w:rsidR="007277C3" w:rsidRPr="00103C7E">
        <w:rPr>
          <w:rFonts w:ascii="Times New Roman" w:hAnsi="Times New Roman" w:cs="Times New Roman"/>
          <w:color w:val="303030"/>
          <w:sz w:val="24"/>
          <w:szCs w:val="24"/>
        </w:rPr>
        <w:t xml:space="preserve"> dokonywane przez podatników</w:t>
      </w:r>
      <w:r w:rsidRPr="00103C7E">
        <w:rPr>
          <w:rFonts w:ascii="Times New Roman" w:hAnsi="Times New Roman" w:cs="Times New Roman"/>
          <w:color w:val="303030"/>
          <w:sz w:val="24"/>
          <w:szCs w:val="24"/>
        </w:rPr>
        <w:t>.</w:t>
      </w:r>
    </w:p>
    <w:p w14:paraId="7C249A7D" w14:textId="77777777"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b/>
          <w:color w:val="000000" w:themeColor="text1"/>
          <w:sz w:val="24"/>
          <w:szCs w:val="24"/>
          <w:lang w:eastAsia="pl-PL"/>
        </w:rPr>
      </w:pPr>
      <w:r w:rsidRPr="008C4A4F">
        <w:rPr>
          <w:rFonts w:ascii="Times New Roman" w:eastAsiaTheme="minorEastAsia" w:hAnsi="Times New Roman" w:cs="Times New Roman"/>
          <w:b/>
          <w:color w:val="000000" w:themeColor="text1"/>
          <w:sz w:val="24"/>
          <w:szCs w:val="24"/>
          <w:lang w:eastAsia="pl-PL"/>
        </w:rPr>
        <w:t>Szczegółowe omówienie zmian</w:t>
      </w:r>
    </w:p>
    <w:p w14:paraId="2347A12D" w14:textId="236FEE34"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b/>
          <w:color w:val="000000" w:themeColor="text1"/>
          <w:sz w:val="24"/>
          <w:szCs w:val="24"/>
          <w:u w:val="single"/>
          <w:lang w:eastAsia="pl-PL"/>
        </w:rPr>
      </w:pPr>
      <w:r w:rsidRPr="008C4A4F">
        <w:rPr>
          <w:rFonts w:ascii="Times New Roman" w:eastAsiaTheme="minorEastAsia" w:hAnsi="Times New Roman" w:cs="Times New Roman"/>
          <w:b/>
          <w:color w:val="000000" w:themeColor="text1"/>
          <w:sz w:val="24"/>
          <w:szCs w:val="24"/>
          <w:u w:val="single"/>
          <w:lang w:eastAsia="pl-PL"/>
        </w:rPr>
        <w:t>Art. 1 i art. 2 projektu ustawy – zmiany w ustawie PIT (art. 22j ust. 7-1</w:t>
      </w:r>
      <w:r w:rsidR="00231083">
        <w:rPr>
          <w:rFonts w:ascii="Times New Roman" w:eastAsiaTheme="minorEastAsia" w:hAnsi="Times New Roman" w:cs="Times New Roman"/>
          <w:b/>
          <w:color w:val="000000" w:themeColor="text1"/>
          <w:sz w:val="24"/>
          <w:szCs w:val="24"/>
          <w:u w:val="single"/>
          <w:lang w:eastAsia="pl-PL"/>
        </w:rPr>
        <w:t>3</w:t>
      </w:r>
      <w:r w:rsidRPr="008C4A4F">
        <w:rPr>
          <w:rFonts w:ascii="Times New Roman" w:eastAsiaTheme="minorEastAsia" w:hAnsi="Times New Roman" w:cs="Times New Roman"/>
          <w:b/>
          <w:color w:val="000000" w:themeColor="text1"/>
          <w:sz w:val="24"/>
          <w:szCs w:val="24"/>
          <w:u w:val="single"/>
          <w:lang w:eastAsia="pl-PL"/>
        </w:rPr>
        <w:t>) i CIT (art. 16j ust. 7-1</w:t>
      </w:r>
      <w:r w:rsidR="00231083">
        <w:rPr>
          <w:rFonts w:ascii="Times New Roman" w:eastAsiaTheme="minorEastAsia" w:hAnsi="Times New Roman" w:cs="Times New Roman"/>
          <w:b/>
          <w:color w:val="000000" w:themeColor="text1"/>
          <w:sz w:val="24"/>
          <w:szCs w:val="24"/>
          <w:u w:val="single"/>
          <w:lang w:eastAsia="pl-PL"/>
        </w:rPr>
        <w:t>3</w:t>
      </w:r>
      <w:r w:rsidRPr="008C4A4F">
        <w:rPr>
          <w:rFonts w:ascii="Times New Roman" w:eastAsiaTheme="minorEastAsia" w:hAnsi="Times New Roman" w:cs="Times New Roman"/>
          <w:b/>
          <w:color w:val="000000" w:themeColor="text1"/>
          <w:sz w:val="24"/>
          <w:szCs w:val="24"/>
          <w:u w:val="single"/>
          <w:lang w:eastAsia="pl-PL"/>
        </w:rPr>
        <w:t>)</w:t>
      </w:r>
    </w:p>
    <w:p w14:paraId="0DFF0741" w14:textId="1811F7C8" w:rsidR="00E55A6C"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sidRPr="008C4A4F">
        <w:rPr>
          <w:rFonts w:ascii="Times New Roman" w:eastAsiaTheme="minorEastAsia" w:hAnsi="Times New Roman" w:cs="Times New Roman"/>
          <w:sz w:val="24"/>
          <w:szCs w:val="24"/>
          <w:lang w:eastAsia="pl-PL"/>
        </w:rPr>
        <w:t>Projekt ustawy przewiduje dodanie ustępów 7-1</w:t>
      </w:r>
      <w:r w:rsidR="00231083">
        <w:rPr>
          <w:rFonts w:ascii="Times New Roman" w:eastAsiaTheme="minorEastAsia" w:hAnsi="Times New Roman" w:cs="Times New Roman"/>
          <w:sz w:val="24"/>
          <w:szCs w:val="24"/>
          <w:lang w:eastAsia="pl-PL"/>
        </w:rPr>
        <w:t>3</w:t>
      </w:r>
      <w:r w:rsidRPr="008C4A4F">
        <w:rPr>
          <w:rFonts w:ascii="Times New Roman" w:eastAsiaTheme="minorEastAsia" w:hAnsi="Times New Roman" w:cs="Times New Roman"/>
          <w:sz w:val="24"/>
          <w:szCs w:val="24"/>
          <w:lang w:eastAsia="pl-PL"/>
        </w:rPr>
        <w:t xml:space="preserve"> w przepisach art. 22j ustawy PIT i </w:t>
      </w:r>
      <w:r>
        <w:rPr>
          <w:rFonts w:ascii="Times New Roman" w:eastAsiaTheme="minorEastAsia" w:hAnsi="Times New Roman" w:cs="Times New Roman"/>
          <w:sz w:val="24"/>
          <w:szCs w:val="24"/>
          <w:lang w:eastAsia="pl-PL"/>
        </w:rPr>
        <w:t xml:space="preserve">art. </w:t>
      </w:r>
      <w:r w:rsidRPr="008C4A4F">
        <w:rPr>
          <w:rFonts w:ascii="Times New Roman" w:eastAsiaTheme="minorEastAsia" w:hAnsi="Times New Roman" w:cs="Times New Roman"/>
          <w:sz w:val="24"/>
          <w:szCs w:val="24"/>
          <w:lang w:eastAsia="pl-PL"/>
        </w:rPr>
        <w:t xml:space="preserve">16j ustawy CIT, określających zasady ustalania przez podatników indywidualnych stawek amortyzacyjnych. Rozwiązanie przewidziane projektem adresowane jest do określonej grupy </w:t>
      </w:r>
      <w:r w:rsidRPr="008C4A4F">
        <w:rPr>
          <w:rFonts w:ascii="Times New Roman" w:eastAsiaTheme="minorEastAsia" w:hAnsi="Times New Roman" w:cs="Times New Roman"/>
          <w:sz w:val="24"/>
          <w:szCs w:val="24"/>
          <w:lang w:eastAsia="pl-PL"/>
        </w:rPr>
        <w:lastRenderedPageBreak/>
        <w:t>podatników PIT i CIT, tj. podatników posiadających status mikro</w:t>
      </w:r>
      <w:r>
        <w:rPr>
          <w:rFonts w:ascii="Times New Roman" w:eastAsiaTheme="minorEastAsia" w:hAnsi="Times New Roman" w:cs="Times New Roman"/>
          <w:sz w:val="24"/>
          <w:szCs w:val="24"/>
          <w:lang w:eastAsia="pl-PL"/>
        </w:rPr>
        <w:t>-</w:t>
      </w:r>
      <w:r w:rsidRPr="008C4A4F">
        <w:rPr>
          <w:rFonts w:ascii="Times New Roman" w:eastAsiaTheme="minorEastAsia" w:hAnsi="Times New Roman" w:cs="Times New Roman"/>
          <w:sz w:val="24"/>
          <w:szCs w:val="24"/>
          <w:lang w:eastAsia="pl-PL"/>
        </w:rPr>
        <w:t xml:space="preserve">, małych i średnich przedsiębiorców, w rozumieniu przepisów ustawy z dnia 6 marca 2018 r. - Prawo przedsiębiorców. </w:t>
      </w:r>
    </w:p>
    <w:p w14:paraId="0BC5FC2B" w14:textId="40B5DEDA"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sidRPr="008C4A4F">
        <w:rPr>
          <w:rFonts w:ascii="Times New Roman" w:eastAsiaTheme="minorEastAsia" w:hAnsi="Times New Roman" w:cs="Times New Roman"/>
          <w:sz w:val="24"/>
          <w:szCs w:val="24"/>
          <w:lang w:eastAsia="pl-PL"/>
        </w:rPr>
        <w:t>Zgodnie z założeniami projektu, podatnicy PIT i CIT spełniający ww. wymóg będą mogli indywidualnie ustalić stawki amortyzacyjne dla wprowadzanych po raz pierwszy do ewidencji środków trwałych oraz wartości niematerialnych i prawnych, wytworzonych we własnym zakresie budynków (lokali) niemieszkalnych i budowli, zaliczonych do grupy 1 i 2 Klasyfikacji</w:t>
      </w:r>
      <w:r>
        <w:rPr>
          <w:rFonts w:ascii="Times New Roman" w:eastAsiaTheme="minorEastAsia" w:hAnsi="Times New Roman" w:cs="Times New Roman"/>
          <w:sz w:val="24"/>
          <w:szCs w:val="24"/>
          <w:lang w:eastAsia="pl-PL"/>
        </w:rPr>
        <w:t xml:space="preserve"> Środków Trwałych. Z</w:t>
      </w:r>
      <w:r w:rsidRPr="008C4A4F">
        <w:rPr>
          <w:rFonts w:ascii="Times New Roman" w:eastAsiaTheme="minorEastAsia" w:hAnsi="Times New Roman" w:cs="Times New Roman"/>
          <w:sz w:val="24"/>
          <w:szCs w:val="24"/>
          <w:lang w:eastAsia="pl-PL"/>
        </w:rPr>
        <w:t>godnie z załącznikiem do Rozporządzenia Rady Ministrów z dnia 3 października 2016 r. w sprawie Klasyfikacji Środków Trwałych (KŚT</w:t>
      </w:r>
      <w:r>
        <w:rPr>
          <w:rFonts w:ascii="Times New Roman" w:eastAsiaTheme="minorEastAsia" w:hAnsi="Times New Roman" w:cs="Times New Roman"/>
          <w:sz w:val="24"/>
          <w:szCs w:val="24"/>
          <w:lang w:eastAsia="pl-PL"/>
        </w:rPr>
        <w:t>), są to</w:t>
      </w:r>
      <w:r w:rsidRPr="008C4A4F">
        <w:rPr>
          <w:rFonts w:ascii="Times New Roman" w:eastAsiaTheme="minorEastAsia" w:hAnsi="Times New Roman" w:cs="Times New Roman"/>
          <w:sz w:val="24"/>
          <w:szCs w:val="24"/>
          <w:lang w:eastAsia="pl-PL"/>
        </w:rPr>
        <w:t xml:space="preserve"> budynki i lokale (grupa 1) oraz obiekty inżynierii lądowej i wodnej (grupa 2). Rozwiązanie ma na celu wsparcie przedsiębiorców prowadzących działalność </w:t>
      </w:r>
      <w:r>
        <w:rPr>
          <w:rFonts w:ascii="Times New Roman" w:eastAsiaTheme="minorEastAsia" w:hAnsi="Times New Roman" w:cs="Times New Roman"/>
          <w:sz w:val="24"/>
          <w:szCs w:val="24"/>
          <w:lang w:eastAsia="pl-PL"/>
        </w:rPr>
        <w:t xml:space="preserve">gospodarczą </w:t>
      </w:r>
      <w:r w:rsidRPr="008C4A4F">
        <w:rPr>
          <w:rFonts w:ascii="Times New Roman" w:eastAsiaTheme="minorEastAsia" w:hAnsi="Times New Roman" w:cs="Times New Roman"/>
          <w:sz w:val="24"/>
          <w:szCs w:val="24"/>
          <w:lang w:eastAsia="pl-PL"/>
        </w:rPr>
        <w:t xml:space="preserve">w gminach o wysokiej stopie bezrobocia oraz jednocześnie niskim dochodzie w przeliczeniu na mieszkańca. Z tego względu, warunkiem możliwości stosowania indywidualnie ustalonej stawki amortyzacyjnej jest, aby objęta nią nieruchomość znajdowała się na obszarze gminy zlokalizowanej w powiecie, w którym </w:t>
      </w:r>
      <w:r w:rsidR="007C11F3">
        <w:rPr>
          <w:rFonts w:ascii="Times New Roman" w:eastAsiaTheme="minorEastAsia" w:hAnsi="Times New Roman" w:cs="Times New Roman"/>
          <w:sz w:val="24"/>
          <w:szCs w:val="24"/>
          <w:lang w:eastAsia="pl-PL"/>
        </w:rPr>
        <w:t xml:space="preserve">przeciętna </w:t>
      </w:r>
      <w:r w:rsidRPr="008C4A4F">
        <w:rPr>
          <w:rFonts w:ascii="Times New Roman" w:eastAsiaTheme="minorEastAsia" w:hAnsi="Times New Roman" w:cs="Times New Roman"/>
          <w:sz w:val="24"/>
          <w:szCs w:val="24"/>
          <w:lang w:eastAsia="pl-PL"/>
        </w:rPr>
        <w:t xml:space="preserve">stopa bezrobocia wynosi co najmniej 150% </w:t>
      </w:r>
      <w:r w:rsidR="007C11F3">
        <w:rPr>
          <w:rFonts w:ascii="Times New Roman" w:eastAsiaTheme="minorEastAsia" w:hAnsi="Times New Roman" w:cs="Times New Roman"/>
          <w:sz w:val="24"/>
          <w:szCs w:val="24"/>
          <w:lang w:eastAsia="pl-PL"/>
        </w:rPr>
        <w:t xml:space="preserve">przeciętnej </w:t>
      </w:r>
      <w:r w:rsidRPr="008C4A4F">
        <w:rPr>
          <w:rFonts w:ascii="Times New Roman" w:eastAsiaTheme="minorEastAsia" w:hAnsi="Times New Roman" w:cs="Times New Roman"/>
          <w:sz w:val="24"/>
          <w:szCs w:val="24"/>
          <w:lang w:eastAsia="pl-PL"/>
        </w:rPr>
        <w:t xml:space="preserve">stopy bezrobocia w kraju, oraz dochód na mieszkańca gminy jest niższy niż 80% </w:t>
      </w:r>
      <w:r w:rsidR="0053611A">
        <w:rPr>
          <w:rFonts w:ascii="Times New Roman" w:eastAsiaTheme="minorEastAsia" w:hAnsi="Times New Roman" w:cs="Times New Roman"/>
          <w:sz w:val="24"/>
          <w:szCs w:val="24"/>
          <w:lang w:eastAsia="pl-PL"/>
        </w:rPr>
        <w:t>dochodu na mieszkańca dla</w:t>
      </w:r>
      <w:r w:rsidRPr="008C4A4F">
        <w:rPr>
          <w:rFonts w:ascii="Times New Roman" w:eastAsiaTheme="minorEastAsia" w:hAnsi="Times New Roman" w:cs="Times New Roman"/>
          <w:sz w:val="24"/>
          <w:szCs w:val="24"/>
          <w:lang w:eastAsia="pl-PL"/>
        </w:rPr>
        <w:t xml:space="preserve"> kraju.</w:t>
      </w:r>
    </w:p>
    <w:p w14:paraId="4567AFE6" w14:textId="77777777"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sidRPr="008C4A4F">
        <w:rPr>
          <w:rFonts w:ascii="Times New Roman" w:eastAsiaTheme="minorEastAsia" w:hAnsi="Times New Roman" w:cs="Times New Roman"/>
          <w:sz w:val="24"/>
          <w:szCs w:val="24"/>
          <w:lang w:eastAsia="pl-PL"/>
        </w:rPr>
        <w:t>Proponuje się ponadto uzależnienie</w:t>
      </w:r>
      <w:r>
        <w:rPr>
          <w:rFonts w:ascii="Times New Roman" w:eastAsiaTheme="minorEastAsia" w:hAnsi="Times New Roman" w:cs="Times New Roman"/>
          <w:sz w:val="24"/>
          <w:szCs w:val="24"/>
          <w:lang w:eastAsia="pl-PL"/>
        </w:rPr>
        <w:t xml:space="preserve"> dopuszczalnego</w:t>
      </w:r>
      <w:r w:rsidRPr="008C4A4F">
        <w:rPr>
          <w:rFonts w:ascii="Times New Roman" w:eastAsiaTheme="minorEastAsia" w:hAnsi="Times New Roman" w:cs="Times New Roman"/>
          <w:sz w:val="24"/>
          <w:szCs w:val="24"/>
          <w:lang w:eastAsia="pl-PL"/>
        </w:rPr>
        <w:t xml:space="preserve"> okresu amortyzacji od wysokości </w:t>
      </w:r>
      <w:r w:rsidR="007C11F3">
        <w:rPr>
          <w:rFonts w:ascii="Times New Roman" w:eastAsiaTheme="minorEastAsia" w:hAnsi="Times New Roman" w:cs="Times New Roman"/>
          <w:sz w:val="24"/>
          <w:szCs w:val="24"/>
          <w:lang w:eastAsia="pl-PL"/>
        </w:rPr>
        <w:t xml:space="preserve">przeciętnej </w:t>
      </w:r>
      <w:r w:rsidRPr="008C4A4F">
        <w:rPr>
          <w:rFonts w:ascii="Times New Roman" w:eastAsiaTheme="minorEastAsia" w:hAnsi="Times New Roman" w:cs="Times New Roman"/>
          <w:sz w:val="24"/>
          <w:szCs w:val="24"/>
          <w:lang w:eastAsia="pl-PL"/>
        </w:rPr>
        <w:t>stopy bezrobocia w powiecie położenia nieruchomości. Dla nieruchomości znajdujących się w powiecie, w którym</w:t>
      </w:r>
      <w:r w:rsidR="007C11F3">
        <w:rPr>
          <w:rFonts w:ascii="Times New Roman" w:eastAsiaTheme="minorEastAsia" w:hAnsi="Times New Roman" w:cs="Times New Roman"/>
          <w:sz w:val="24"/>
          <w:szCs w:val="24"/>
          <w:lang w:eastAsia="pl-PL"/>
        </w:rPr>
        <w:t xml:space="preserve"> przeciętna</w:t>
      </w:r>
      <w:r w:rsidRPr="008C4A4F">
        <w:rPr>
          <w:rFonts w:ascii="Times New Roman" w:eastAsiaTheme="minorEastAsia" w:hAnsi="Times New Roman" w:cs="Times New Roman"/>
          <w:sz w:val="24"/>
          <w:szCs w:val="24"/>
          <w:lang w:eastAsia="pl-PL"/>
        </w:rPr>
        <w:t xml:space="preserve"> stopa bezrobocia wynosi od 150% do 200% </w:t>
      </w:r>
      <w:r w:rsidR="007C11F3">
        <w:rPr>
          <w:rFonts w:ascii="Times New Roman" w:eastAsiaTheme="minorEastAsia" w:hAnsi="Times New Roman" w:cs="Times New Roman"/>
          <w:sz w:val="24"/>
          <w:szCs w:val="24"/>
          <w:lang w:eastAsia="pl-PL"/>
        </w:rPr>
        <w:t xml:space="preserve">przeciętnej </w:t>
      </w:r>
      <w:r w:rsidRPr="008C4A4F">
        <w:rPr>
          <w:rFonts w:ascii="Times New Roman" w:eastAsiaTheme="minorEastAsia" w:hAnsi="Times New Roman" w:cs="Times New Roman"/>
          <w:sz w:val="24"/>
          <w:szCs w:val="24"/>
          <w:lang w:eastAsia="pl-PL"/>
        </w:rPr>
        <w:t xml:space="preserve">stopy bezrobocia w kraju proponuje się, aby okres amortyzacji nie mógł być krótszy niż 10 lat, zaś wobec nieruchomości znajdujących się w powiecie o </w:t>
      </w:r>
      <w:r w:rsidR="007C11F3">
        <w:rPr>
          <w:rFonts w:ascii="Times New Roman" w:eastAsiaTheme="minorEastAsia" w:hAnsi="Times New Roman" w:cs="Times New Roman"/>
          <w:sz w:val="24"/>
          <w:szCs w:val="24"/>
          <w:lang w:eastAsia="pl-PL"/>
        </w:rPr>
        <w:t xml:space="preserve">przeciętnej </w:t>
      </w:r>
      <w:r w:rsidRPr="008C4A4F">
        <w:rPr>
          <w:rFonts w:ascii="Times New Roman" w:eastAsiaTheme="minorEastAsia" w:hAnsi="Times New Roman" w:cs="Times New Roman"/>
          <w:sz w:val="24"/>
          <w:szCs w:val="24"/>
          <w:lang w:eastAsia="pl-PL"/>
        </w:rPr>
        <w:t>stopie bezrobocia powyżej 200%</w:t>
      </w:r>
      <w:r w:rsidR="007C11F3">
        <w:rPr>
          <w:rFonts w:ascii="Times New Roman" w:eastAsiaTheme="minorEastAsia" w:hAnsi="Times New Roman" w:cs="Times New Roman"/>
          <w:sz w:val="24"/>
          <w:szCs w:val="24"/>
          <w:lang w:eastAsia="pl-PL"/>
        </w:rPr>
        <w:t xml:space="preserve"> przeciętnej</w:t>
      </w:r>
      <w:r w:rsidRPr="008C4A4F">
        <w:rPr>
          <w:rFonts w:ascii="Times New Roman" w:eastAsiaTheme="minorEastAsia" w:hAnsi="Times New Roman" w:cs="Times New Roman"/>
          <w:sz w:val="24"/>
          <w:szCs w:val="24"/>
          <w:lang w:eastAsia="pl-PL"/>
        </w:rPr>
        <w:t xml:space="preserve"> stopy bezrobocia w kraju – proponuje się, aby okres amortyzacji nie mógł być krótszy niż 5 lat. </w:t>
      </w:r>
    </w:p>
    <w:p w14:paraId="226535D9" w14:textId="7F692C8B"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sidRPr="008C4A4F">
        <w:rPr>
          <w:rFonts w:ascii="Times New Roman" w:eastAsiaTheme="minorEastAsia" w:hAnsi="Times New Roman" w:cs="Times New Roman"/>
          <w:sz w:val="24"/>
          <w:szCs w:val="24"/>
          <w:lang w:eastAsia="pl-PL"/>
        </w:rPr>
        <w:t>Projektowane rozwiązanie znajdzie zastosowanie wyłącznie wobec środków trwałych po raz pierwszy wprowadzanych do ewidencj</w:t>
      </w:r>
      <w:r>
        <w:rPr>
          <w:rFonts w:ascii="Times New Roman" w:eastAsiaTheme="minorEastAsia" w:hAnsi="Times New Roman" w:cs="Times New Roman"/>
          <w:sz w:val="24"/>
          <w:szCs w:val="24"/>
          <w:lang w:eastAsia="pl-PL"/>
        </w:rPr>
        <w:t>i</w:t>
      </w:r>
      <w:r w:rsidRPr="008C4A4F">
        <w:rPr>
          <w:rFonts w:ascii="Times New Roman" w:eastAsiaTheme="minorEastAsia" w:hAnsi="Times New Roman" w:cs="Times New Roman"/>
          <w:sz w:val="24"/>
          <w:szCs w:val="24"/>
          <w:lang w:eastAsia="pl-PL"/>
        </w:rPr>
        <w:t xml:space="preserve"> </w:t>
      </w:r>
      <w:r w:rsidRPr="008C4A4F">
        <w:rPr>
          <w:rFonts w:ascii="Times New Roman" w:eastAsia="Times New Roman" w:hAnsi="Times New Roman" w:cs="Times New Roman"/>
          <w:bCs/>
          <w:sz w:val="24"/>
          <w:szCs w:val="24"/>
          <w:lang w:eastAsia="pl-PL"/>
        </w:rPr>
        <w:t xml:space="preserve">po dniu 31 grudnia 2022 </w:t>
      </w:r>
      <w:r w:rsidR="0053611A">
        <w:rPr>
          <w:rFonts w:ascii="Times New Roman" w:eastAsia="Times New Roman" w:hAnsi="Times New Roman" w:cs="Times New Roman"/>
          <w:bCs/>
          <w:sz w:val="24"/>
          <w:szCs w:val="24"/>
          <w:lang w:eastAsia="pl-PL"/>
        </w:rPr>
        <w:t>W</w:t>
      </w:r>
      <w:r w:rsidR="0053611A" w:rsidRPr="008C4A4F">
        <w:rPr>
          <w:rFonts w:ascii="Times New Roman" w:eastAsia="Times New Roman" w:hAnsi="Times New Roman" w:cs="Times New Roman"/>
          <w:bCs/>
          <w:sz w:val="24"/>
          <w:szCs w:val="24"/>
          <w:lang w:eastAsia="pl-PL"/>
        </w:rPr>
        <w:t>ysokość</w:t>
      </w:r>
      <w:r w:rsidRPr="008C4A4F">
        <w:rPr>
          <w:rFonts w:ascii="Times New Roman" w:eastAsiaTheme="minorEastAsia" w:hAnsi="Times New Roman" w:cs="Times New Roman"/>
          <w:sz w:val="24"/>
          <w:szCs w:val="24"/>
          <w:lang w:eastAsia="pl-PL"/>
        </w:rPr>
        <w:t xml:space="preserve"> ww. wskaźników ustalana będzie z zastosowaniem danych w tym zakresie</w:t>
      </w:r>
      <w:r>
        <w:rPr>
          <w:rFonts w:ascii="Times New Roman" w:eastAsiaTheme="minorEastAsia" w:hAnsi="Times New Roman" w:cs="Times New Roman"/>
          <w:sz w:val="24"/>
          <w:szCs w:val="24"/>
          <w:lang w:eastAsia="pl-PL"/>
        </w:rPr>
        <w:t>,</w:t>
      </w:r>
      <w:r w:rsidRPr="008C4A4F">
        <w:rPr>
          <w:rFonts w:ascii="Times New Roman" w:eastAsiaTheme="minorEastAsia" w:hAnsi="Times New Roman" w:cs="Times New Roman"/>
          <w:sz w:val="24"/>
          <w:szCs w:val="24"/>
          <w:lang w:eastAsia="pl-PL"/>
        </w:rPr>
        <w:t xml:space="preserve"> gromadzonych i publikowanych przez właściwe ograny - Prezesa Głównego Urzędu Statystycznego w zakresie stóp bezrobocia oraz ministra właściwego do spraw finansów publicznych</w:t>
      </w:r>
      <w:r w:rsidR="00231083">
        <w:rPr>
          <w:rFonts w:ascii="Times New Roman" w:eastAsiaTheme="minorEastAsia" w:hAnsi="Times New Roman" w:cs="Times New Roman"/>
          <w:sz w:val="24"/>
          <w:szCs w:val="24"/>
          <w:lang w:eastAsia="pl-PL"/>
        </w:rPr>
        <w:t xml:space="preserve">, który </w:t>
      </w:r>
      <w:r w:rsidR="00D33B40">
        <w:rPr>
          <w:rFonts w:ascii="Times New Roman" w:eastAsiaTheme="minorEastAsia" w:hAnsi="Times New Roman" w:cs="Times New Roman"/>
          <w:sz w:val="24"/>
          <w:szCs w:val="24"/>
          <w:lang w:eastAsia="pl-PL"/>
        </w:rPr>
        <w:t>ogłaszać</w:t>
      </w:r>
      <w:r w:rsidR="00D62A17">
        <w:rPr>
          <w:rFonts w:ascii="Times New Roman" w:eastAsiaTheme="minorEastAsia" w:hAnsi="Times New Roman" w:cs="Times New Roman"/>
          <w:sz w:val="24"/>
          <w:szCs w:val="24"/>
          <w:lang w:eastAsia="pl-PL"/>
        </w:rPr>
        <w:t xml:space="preserve"> będzie</w:t>
      </w:r>
      <w:r w:rsidR="00231083">
        <w:rPr>
          <w:rFonts w:ascii="Times New Roman" w:eastAsiaTheme="minorEastAsia" w:hAnsi="Times New Roman" w:cs="Times New Roman"/>
          <w:sz w:val="24"/>
          <w:szCs w:val="24"/>
          <w:lang w:eastAsia="pl-PL"/>
        </w:rPr>
        <w:t xml:space="preserve"> corocznie w drodze obwieszczenia</w:t>
      </w:r>
      <w:r w:rsidR="00243BAD">
        <w:rPr>
          <w:rFonts w:ascii="Times New Roman" w:eastAsiaTheme="minorEastAsia" w:hAnsi="Times New Roman" w:cs="Times New Roman"/>
          <w:sz w:val="24"/>
          <w:szCs w:val="24"/>
          <w:lang w:eastAsia="pl-PL"/>
        </w:rPr>
        <w:t xml:space="preserve"> </w:t>
      </w:r>
      <w:r w:rsidR="00D33B40">
        <w:rPr>
          <w:rFonts w:ascii="Times New Roman" w:eastAsiaTheme="minorEastAsia" w:hAnsi="Times New Roman" w:cs="Times New Roman"/>
          <w:sz w:val="24"/>
          <w:szCs w:val="24"/>
          <w:lang w:eastAsia="pl-PL"/>
        </w:rPr>
        <w:t xml:space="preserve">w Dzienniku Urzędowym Rzeczypospolitej Polskiej „Monitor Polski” </w:t>
      </w:r>
      <w:r w:rsidRPr="008C4A4F">
        <w:rPr>
          <w:rFonts w:ascii="Times New Roman" w:eastAsiaTheme="minorEastAsia" w:hAnsi="Times New Roman" w:cs="Times New Roman"/>
          <w:sz w:val="24"/>
          <w:szCs w:val="24"/>
          <w:lang w:eastAsia="pl-PL"/>
        </w:rPr>
        <w:t>wskaźnik</w:t>
      </w:r>
      <w:r w:rsidR="00231083">
        <w:rPr>
          <w:rFonts w:ascii="Times New Roman" w:eastAsiaTheme="minorEastAsia" w:hAnsi="Times New Roman" w:cs="Times New Roman"/>
          <w:sz w:val="24"/>
          <w:szCs w:val="24"/>
          <w:lang w:eastAsia="pl-PL"/>
        </w:rPr>
        <w:t>i</w:t>
      </w:r>
      <w:r w:rsidRPr="008C4A4F">
        <w:rPr>
          <w:rFonts w:ascii="Times New Roman" w:eastAsiaTheme="minorEastAsia" w:hAnsi="Times New Roman" w:cs="Times New Roman"/>
          <w:sz w:val="24"/>
          <w:szCs w:val="24"/>
          <w:lang w:eastAsia="pl-PL"/>
        </w:rPr>
        <w:t xml:space="preserve"> dochodów podatkowych w przeliczeniu na jednego mieszkańca dla poszczególnych gmin (wskaźniki G), stanowiących podstawę do wyliczenia rocznych kwot części wyrównawczej subwencji ogólnej i wpłat na dany rok dla gmin.</w:t>
      </w:r>
      <w:r w:rsidR="00863D3B">
        <w:rPr>
          <w:rFonts w:ascii="Times New Roman" w:eastAsiaTheme="minorEastAsia" w:hAnsi="Times New Roman" w:cs="Times New Roman"/>
          <w:sz w:val="24"/>
          <w:szCs w:val="24"/>
          <w:lang w:eastAsia="pl-PL"/>
        </w:rPr>
        <w:t xml:space="preserve"> </w:t>
      </w:r>
      <w:r w:rsidR="00D62A17">
        <w:rPr>
          <w:rFonts w:ascii="Times New Roman" w:eastAsiaTheme="minorEastAsia" w:hAnsi="Times New Roman" w:cs="Times New Roman"/>
          <w:sz w:val="24"/>
          <w:szCs w:val="24"/>
          <w:lang w:eastAsia="pl-PL"/>
        </w:rPr>
        <w:t>Stosowne dane będą ogłaszane w drodze o</w:t>
      </w:r>
      <w:r w:rsidR="00875F3C">
        <w:rPr>
          <w:rFonts w:ascii="Times New Roman" w:eastAsiaTheme="minorEastAsia" w:hAnsi="Times New Roman" w:cs="Times New Roman"/>
          <w:sz w:val="24"/>
          <w:szCs w:val="24"/>
          <w:lang w:eastAsia="pl-PL"/>
        </w:rPr>
        <w:t>bwieszczeni</w:t>
      </w:r>
      <w:r w:rsidR="00D62A17">
        <w:rPr>
          <w:rFonts w:ascii="Times New Roman" w:eastAsiaTheme="minorEastAsia" w:hAnsi="Times New Roman" w:cs="Times New Roman"/>
          <w:sz w:val="24"/>
          <w:szCs w:val="24"/>
          <w:lang w:eastAsia="pl-PL"/>
        </w:rPr>
        <w:t>a</w:t>
      </w:r>
      <w:r w:rsidR="00875F3C">
        <w:rPr>
          <w:rFonts w:ascii="Times New Roman" w:eastAsiaTheme="minorEastAsia" w:hAnsi="Times New Roman" w:cs="Times New Roman"/>
          <w:sz w:val="24"/>
          <w:szCs w:val="24"/>
          <w:lang w:eastAsia="pl-PL"/>
        </w:rPr>
        <w:t xml:space="preserve"> do </w:t>
      </w:r>
      <w:r w:rsidR="00D62A17">
        <w:rPr>
          <w:rFonts w:ascii="Times New Roman" w:eastAsiaTheme="minorEastAsia" w:hAnsi="Times New Roman" w:cs="Times New Roman"/>
          <w:sz w:val="24"/>
          <w:szCs w:val="24"/>
          <w:lang w:eastAsia="pl-PL"/>
        </w:rPr>
        <w:t xml:space="preserve">końca </w:t>
      </w:r>
      <w:r w:rsidR="00875F3C">
        <w:rPr>
          <w:rFonts w:ascii="Times New Roman" w:eastAsiaTheme="minorEastAsia" w:hAnsi="Times New Roman" w:cs="Times New Roman"/>
          <w:sz w:val="24"/>
          <w:szCs w:val="24"/>
          <w:lang w:eastAsia="pl-PL"/>
        </w:rPr>
        <w:t xml:space="preserve">każdego roku. </w:t>
      </w:r>
      <w:r w:rsidRPr="008C4A4F">
        <w:rPr>
          <w:rFonts w:ascii="Times New Roman" w:eastAsiaTheme="minorEastAsia" w:hAnsi="Times New Roman" w:cs="Times New Roman"/>
          <w:sz w:val="24"/>
          <w:szCs w:val="24"/>
          <w:lang w:eastAsia="pl-PL"/>
        </w:rPr>
        <w:t xml:space="preserve">Projektowane rozwiązanie stanowiło będzie pomoc de </w:t>
      </w:r>
      <w:proofErr w:type="spellStart"/>
      <w:r w:rsidRPr="008C4A4F">
        <w:rPr>
          <w:rFonts w:ascii="Times New Roman" w:eastAsiaTheme="minorEastAsia" w:hAnsi="Times New Roman" w:cs="Times New Roman"/>
          <w:sz w:val="24"/>
          <w:szCs w:val="24"/>
          <w:lang w:eastAsia="pl-PL"/>
        </w:rPr>
        <w:t>minimis</w:t>
      </w:r>
      <w:proofErr w:type="spellEnd"/>
      <w:r w:rsidRPr="008C4A4F">
        <w:rPr>
          <w:rFonts w:ascii="Times New Roman" w:eastAsiaTheme="minorEastAsia" w:hAnsi="Times New Roman" w:cs="Times New Roman"/>
          <w:sz w:val="24"/>
          <w:szCs w:val="24"/>
          <w:lang w:eastAsia="pl-PL"/>
        </w:rPr>
        <w:t xml:space="preserve"> udzielaną w zakresie i na zasadach określonych w bezpośrednio obowiązujących aktach prawa wspólnotowego dotyczących pomocy w ramach zasady de </w:t>
      </w:r>
      <w:proofErr w:type="spellStart"/>
      <w:r w:rsidRPr="008C4A4F">
        <w:rPr>
          <w:rFonts w:ascii="Times New Roman" w:eastAsiaTheme="minorEastAsia" w:hAnsi="Times New Roman" w:cs="Times New Roman"/>
          <w:sz w:val="24"/>
          <w:szCs w:val="24"/>
          <w:lang w:eastAsia="pl-PL"/>
        </w:rPr>
        <w:t>minimis</w:t>
      </w:r>
      <w:proofErr w:type="spellEnd"/>
      <w:r w:rsidRPr="008C4A4F">
        <w:rPr>
          <w:rFonts w:ascii="Times New Roman" w:eastAsiaTheme="minorEastAsia" w:hAnsi="Times New Roman" w:cs="Times New Roman"/>
          <w:sz w:val="24"/>
          <w:szCs w:val="24"/>
          <w:lang w:eastAsia="pl-PL"/>
        </w:rPr>
        <w:t>. Szacuje się, że wsparcie udzielone w ramach projektowanych regulacji nie osiągnie wartości mogących negatywnie wpłynąć na swobodę konkurencji ani wymianę handlową między państwami członkowskimi Unii Europejskiej.</w:t>
      </w:r>
    </w:p>
    <w:p w14:paraId="1FCF7D35" w14:textId="77777777"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b/>
          <w:sz w:val="24"/>
          <w:szCs w:val="24"/>
          <w:lang w:eastAsia="pl-PL"/>
        </w:rPr>
      </w:pPr>
      <w:r w:rsidRPr="008C4A4F">
        <w:rPr>
          <w:rFonts w:ascii="Times New Roman" w:eastAsiaTheme="minorEastAsia" w:hAnsi="Times New Roman" w:cs="Times New Roman"/>
          <w:b/>
          <w:sz w:val="24"/>
          <w:szCs w:val="24"/>
          <w:lang w:eastAsia="pl-PL"/>
        </w:rPr>
        <w:t>Przepisy przejściowe</w:t>
      </w:r>
    </w:p>
    <w:p w14:paraId="760316A5" w14:textId="77777777" w:rsidR="00E55A6C" w:rsidRPr="008C4A4F" w:rsidRDefault="00E55A6C" w:rsidP="00E55A6C">
      <w:pPr>
        <w:widowControl w:val="0"/>
        <w:autoSpaceDE w:val="0"/>
        <w:autoSpaceDN w:val="0"/>
        <w:adjustRightInd w:val="0"/>
        <w:spacing w:after="120" w:line="300" w:lineRule="auto"/>
        <w:jc w:val="both"/>
        <w:rPr>
          <w:rFonts w:ascii="Times New Roman" w:eastAsia="Times New Roman" w:hAnsi="Times New Roman" w:cs="Times New Roman"/>
          <w:bCs/>
          <w:sz w:val="24"/>
          <w:szCs w:val="24"/>
          <w:lang w:eastAsia="pl-PL"/>
        </w:rPr>
      </w:pPr>
      <w:r w:rsidRPr="008C4A4F">
        <w:rPr>
          <w:rFonts w:ascii="Times New Roman" w:eastAsiaTheme="minorEastAsia" w:hAnsi="Times New Roman" w:cs="Times New Roman"/>
          <w:b/>
          <w:sz w:val="24"/>
          <w:szCs w:val="24"/>
          <w:u w:val="single"/>
          <w:lang w:eastAsia="pl-PL"/>
        </w:rPr>
        <w:lastRenderedPageBreak/>
        <w:t xml:space="preserve">Art. 3 projektu ustawy </w:t>
      </w:r>
      <w:r w:rsidRPr="008C4A4F">
        <w:rPr>
          <w:rFonts w:ascii="Times New Roman" w:eastAsia="Times New Roman" w:hAnsi="Times New Roman" w:cs="Times New Roman"/>
          <w:bCs/>
          <w:sz w:val="24"/>
          <w:szCs w:val="24"/>
          <w:lang w:eastAsia="pl-PL"/>
        </w:rPr>
        <w:t>– przepis precyzuje, że</w:t>
      </w:r>
      <w:r w:rsidRPr="008C4A4F">
        <w:rPr>
          <w:rFonts w:ascii="Times New Roman" w:eastAsia="Times New Roman" w:hAnsi="Times New Roman" w:cs="Times New Roman"/>
          <w:b/>
          <w:bCs/>
          <w:sz w:val="24"/>
          <w:szCs w:val="24"/>
          <w:lang w:eastAsia="pl-PL"/>
        </w:rPr>
        <w:t xml:space="preserve"> </w:t>
      </w:r>
      <w:r w:rsidRPr="008C4A4F">
        <w:rPr>
          <w:rFonts w:ascii="Times New Roman" w:eastAsia="Times New Roman" w:hAnsi="Times New Roman" w:cs="Times New Roman"/>
          <w:bCs/>
          <w:sz w:val="24"/>
          <w:szCs w:val="24"/>
          <w:lang w:eastAsia="pl-PL"/>
        </w:rPr>
        <w:t>przepisy art. 22j ustawy CIT oraz art. 16j ustawy PIT, w brzmieniu nadanym ustawą, mają zastosowanie do środków trwałych wprowadzonych do ewidencji środków trwałych oraz wartości niematerialnych i prawnych po dniu 31 grudnia 2022 r.</w:t>
      </w:r>
    </w:p>
    <w:p w14:paraId="6F88A137" w14:textId="77777777"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b/>
          <w:sz w:val="24"/>
          <w:szCs w:val="24"/>
          <w:lang w:eastAsia="pl-PL"/>
        </w:rPr>
      </w:pPr>
      <w:r w:rsidRPr="008C4A4F">
        <w:rPr>
          <w:rFonts w:ascii="Times New Roman" w:eastAsiaTheme="minorEastAsia" w:hAnsi="Times New Roman" w:cs="Times New Roman"/>
          <w:b/>
          <w:sz w:val="24"/>
          <w:szCs w:val="24"/>
          <w:lang w:eastAsia="pl-PL"/>
        </w:rPr>
        <w:t>Wejście w życie</w:t>
      </w:r>
    </w:p>
    <w:p w14:paraId="679D9CC3" w14:textId="77777777"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b/>
          <w:sz w:val="24"/>
          <w:szCs w:val="24"/>
          <w:u w:val="single"/>
          <w:lang w:eastAsia="pl-PL"/>
        </w:rPr>
      </w:pPr>
      <w:r w:rsidRPr="008C4A4F">
        <w:rPr>
          <w:rFonts w:ascii="Times New Roman" w:eastAsiaTheme="minorEastAsia" w:hAnsi="Times New Roman" w:cs="Times New Roman"/>
          <w:b/>
          <w:sz w:val="24"/>
          <w:szCs w:val="24"/>
          <w:u w:val="single"/>
          <w:lang w:eastAsia="pl-PL"/>
        </w:rPr>
        <w:t xml:space="preserve">Art. 4 projektu ustawy </w:t>
      </w:r>
    </w:p>
    <w:p w14:paraId="2493C054" w14:textId="77777777"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sidRPr="008C4A4F">
        <w:rPr>
          <w:rFonts w:ascii="Times New Roman" w:eastAsiaTheme="minorEastAsia" w:hAnsi="Times New Roman" w:cs="Times New Roman"/>
          <w:sz w:val="24"/>
          <w:szCs w:val="24"/>
          <w:lang w:eastAsia="pl-PL"/>
        </w:rPr>
        <w:t>Ustawa wchodzi w życie z dniem 1 stycznia 2023 r.</w:t>
      </w:r>
    </w:p>
    <w:p w14:paraId="53462809" w14:textId="77777777" w:rsidR="00E55A6C" w:rsidRPr="008C4A4F" w:rsidRDefault="00E55A6C" w:rsidP="00E55A6C">
      <w:pPr>
        <w:widowControl w:val="0"/>
        <w:autoSpaceDE w:val="0"/>
        <w:autoSpaceDN w:val="0"/>
        <w:adjustRightInd w:val="0"/>
        <w:spacing w:after="120" w:line="300" w:lineRule="auto"/>
        <w:jc w:val="both"/>
        <w:rPr>
          <w:rFonts w:ascii="Times New Roman" w:eastAsia="Times New Roman" w:hAnsi="Times New Roman" w:cs="Times New Roman"/>
          <w:b/>
          <w:sz w:val="24"/>
          <w:szCs w:val="24"/>
          <w:lang w:eastAsia="pl-PL"/>
        </w:rPr>
      </w:pPr>
      <w:r w:rsidRPr="008C4A4F">
        <w:rPr>
          <w:rFonts w:ascii="Times New Roman" w:eastAsia="Times New Roman" w:hAnsi="Times New Roman" w:cs="Times New Roman"/>
          <w:b/>
          <w:sz w:val="24"/>
          <w:szCs w:val="24"/>
          <w:lang w:eastAsia="pl-PL"/>
        </w:rPr>
        <w:t>Dodatkowe informacje</w:t>
      </w:r>
    </w:p>
    <w:p w14:paraId="457AD316" w14:textId="77777777" w:rsidR="00E55A6C" w:rsidRPr="008C4A4F" w:rsidRDefault="00E55A6C" w:rsidP="00E55A6C">
      <w:pPr>
        <w:spacing w:after="120" w:line="300" w:lineRule="auto"/>
        <w:jc w:val="both"/>
        <w:rPr>
          <w:rFonts w:ascii="Times New Roman" w:eastAsia="Calibri" w:hAnsi="Times New Roman" w:cs="Times New Roman"/>
          <w:b/>
          <w:sz w:val="24"/>
          <w:szCs w:val="24"/>
        </w:rPr>
      </w:pPr>
      <w:r w:rsidRPr="008C4A4F">
        <w:rPr>
          <w:rFonts w:ascii="Times New Roman" w:eastAsia="Calibri" w:hAnsi="Times New Roman" w:cs="Times New Roman"/>
          <w:b/>
          <w:sz w:val="24"/>
          <w:szCs w:val="24"/>
        </w:rPr>
        <w:t>Wpływ ustawy na działalność gospodarczą przedsiębiorców</w:t>
      </w:r>
    </w:p>
    <w:p w14:paraId="1400C976" w14:textId="77777777"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Pr>
          <w:rFonts w:ascii="Times New Roman" w:hAnsi="Times New Roman" w:cs="Times New Roman"/>
          <w:sz w:val="24"/>
          <w:szCs w:val="24"/>
        </w:rPr>
        <w:t>R</w:t>
      </w:r>
      <w:r w:rsidRPr="008C4A4F">
        <w:rPr>
          <w:rFonts w:ascii="Times New Roman" w:hAnsi="Times New Roman" w:cs="Times New Roman"/>
          <w:sz w:val="24"/>
          <w:szCs w:val="24"/>
        </w:rPr>
        <w:t xml:space="preserve">ozwiązania przewidziane </w:t>
      </w:r>
      <w:r>
        <w:rPr>
          <w:rFonts w:ascii="Times New Roman" w:hAnsi="Times New Roman" w:cs="Times New Roman"/>
          <w:sz w:val="24"/>
          <w:szCs w:val="24"/>
        </w:rPr>
        <w:t>w</w:t>
      </w:r>
      <w:r w:rsidRPr="008C4A4F">
        <w:rPr>
          <w:rFonts w:ascii="Times New Roman" w:hAnsi="Times New Roman" w:cs="Times New Roman"/>
          <w:sz w:val="24"/>
          <w:szCs w:val="24"/>
        </w:rPr>
        <w:t xml:space="preserve"> projekcie są korzystne dla przedsiębiorców. Projekt ustawy </w:t>
      </w:r>
      <w:r>
        <w:rPr>
          <w:rFonts w:ascii="Times New Roman" w:hAnsi="Times New Roman" w:cs="Times New Roman"/>
          <w:sz w:val="24"/>
          <w:szCs w:val="24"/>
        </w:rPr>
        <w:t>dotyczy zasad</w:t>
      </w:r>
      <w:r w:rsidRPr="008C4A4F">
        <w:rPr>
          <w:rFonts w:ascii="Times New Roman" w:hAnsi="Times New Roman" w:cs="Times New Roman"/>
          <w:sz w:val="24"/>
          <w:szCs w:val="24"/>
        </w:rPr>
        <w:t xml:space="preserve"> wykonywania działalności gospodarczej, wobec czego znajdzie do niego zastosowania art. 66 ustawy z 6 marca 2018 r. – Prawo przedsiębiorców</w:t>
      </w:r>
      <w:r w:rsidRPr="008C4A4F">
        <w:rPr>
          <w:rStyle w:val="Odwoanieprzypisudolnego"/>
          <w:rFonts w:ascii="Times New Roman" w:hAnsi="Times New Roman"/>
          <w:sz w:val="24"/>
          <w:szCs w:val="24"/>
        </w:rPr>
        <w:footnoteReference w:id="1"/>
      </w:r>
      <w:r w:rsidRPr="008C4A4F">
        <w:rPr>
          <w:rFonts w:ascii="Times New Roman" w:hAnsi="Times New Roman" w:cs="Times New Roman"/>
          <w:sz w:val="24"/>
          <w:szCs w:val="24"/>
        </w:rPr>
        <w:t>.</w:t>
      </w:r>
      <w:r>
        <w:rPr>
          <w:rFonts w:ascii="Times New Roman" w:hAnsi="Times New Roman" w:cs="Times New Roman"/>
          <w:sz w:val="24"/>
          <w:szCs w:val="24"/>
        </w:rPr>
        <w:t xml:space="preserve"> Z uwagi na zakres regulacji, wprowadzający możliwość indywidualnego określenia stawki amortyzacyjnej określonych środków trwałych, wymagane jest wprowadzenie zmian na poziomie ustawowym. </w:t>
      </w:r>
      <w:r>
        <w:rPr>
          <w:rFonts w:ascii="Times New Roman" w:eastAsiaTheme="minorEastAsia" w:hAnsi="Times New Roman" w:cs="Times New Roman"/>
          <w:sz w:val="24"/>
          <w:szCs w:val="24"/>
          <w:lang w:eastAsia="pl-PL"/>
        </w:rPr>
        <w:t xml:space="preserve">Jednocześnie, zmiany przewidziane projektem, jako pomoc de </w:t>
      </w:r>
      <w:proofErr w:type="spellStart"/>
      <w:r>
        <w:rPr>
          <w:rFonts w:ascii="Times New Roman" w:eastAsiaTheme="minorEastAsia" w:hAnsi="Times New Roman" w:cs="Times New Roman"/>
          <w:sz w:val="24"/>
          <w:szCs w:val="24"/>
          <w:lang w:eastAsia="pl-PL"/>
        </w:rPr>
        <w:t>minimis</w:t>
      </w:r>
      <w:proofErr w:type="spellEnd"/>
      <w:r>
        <w:rPr>
          <w:rFonts w:ascii="Times New Roman" w:eastAsiaTheme="minorEastAsia" w:hAnsi="Times New Roman" w:cs="Times New Roman"/>
          <w:sz w:val="24"/>
          <w:szCs w:val="24"/>
          <w:lang w:eastAsia="pl-PL"/>
        </w:rPr>
        <w:t xml:space="preserve">, wymagają wprowadzenia </w:t>
      </w:r>
      <w:r w:rsidRPr="008C4A4F">
        <w:rPr>
          <w:rFonts w:ascii="Times New Roman" w:eastAsiaTheme="minorEastAsia" w:hAnsi="Times New Roman" w:cs="Times New Roman"/>
          <w:sz w:val="24"/>
          <w:szCs w:val="24"/>
          <w:lang w:eastAsia="pl-PL"/>
        </w:rPr>
        <w:t xml:space="preserve">w akcie prawa powszechnie obowiązującego, </w:t>
      </w:r>
      <w:r>
        <w:rPr>
          <w:rFonts w:ascii="Times New Roman" w:eastAsiaTheme="minorEastAsia" w:hAnsi="Times New Roman" w:cs="Times New Roman"/>
          <w:sz w:val="24"/>
          <w:szCs w:val="24"/>
          <w:lang w:eastAsia="pl-PL"/>
        </w:rPr>
        <w:t>stąd potrzeba nowelizacji ustaw PIT i CIT.</w:t>
      </w:r>
    </w:p>
    <w:p w14:paraId="7D3D7EDE" w14:textId="77777777" w:rsidR="00E55A6C" w:rsidRPr="008C4A4F" w:rsidRDefault="00E55A6C" w:rsidP="00E55A6C">
      <w:pPr>
        <w:spacing w:after="120" w:line="300" w:lineRule="auto"/>
        <w:jc w:val="both"/>
        <w:rPr>
          <w:rFonts w:ascii="Times New Roman" w:eastAsia="Calibri" w:hAnsi="Times New Roman" w:cs="Times New Roman"/>
          <w:b/>
          <w:sz w:val="24"/>
          <w:szCs w:val="24"/>
        </w:rPr>
      </w:pPr>
      <w:r w:rsidRPr="008C4A4F">
        <w:rPr>
          <w:rFonts w:ascii="Times New Roman" w:eastAsia="Calibri" w:hAnsi="Times New Roman" w:cs="Times New Roman"/>
          <w:b/>
          <w:sz w:val="24"/>
          <w:szCs w:val="24"/>
        </w:rPr>
        <w:t>Wpływ ustawy na działalność mikro przedsiębiorców i MŚP</w:t>
      </w:r>
    </w:p>
    <w:p w14:paraId="3B390408" w14:textId="77777777"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sidRPr="008C4A4F">
        <w:rPr>
          <w:rFonts w:ascii="Times New Roman" w:hAnsi="Times New Roman" w:cs="Times New Roman"/>
          <w:sz w:val="24"/>
          <w:szCs w:val="24"/>
        </w:rPr>
        <w:t>Projekt ustawy oddziałuje pozytywnie na działalności mikro</w:t>
      </w:r>
      <w:r>
        <w:rPr>
          <w:rFonts w:ascii="Times New Roman" w:hAnsi="Times New Roman" w:cs="Times New Roman"/>
          <w:sz w:val="24"/>
          <w:szCs w:val="24"/>
        </w:rPr>
        <w:t>-, małych i średnich</w:t>
      </w:r>
      <w:r w:rsidRPr="008C4A4F">
        <w:rPr>
          <w:rFonts w:ascii="Times New Roman" w:hAnsi="Times New Roman" w:cs="Times New Roman"/>
          <w:sz w:val="24"/>
          <w:szCs w:val="24"/>
        </w:rPr>
        <w:t xml:space="preserve"> </w:t>
      </w:r>
      <w:r>
        <w:rPr>
          <w:rFonts w:ascii="Times New Roman" w:hAnsi="Times New Roman" w:cs="Times New Roman"/>
          <w:sz w:val="24"/>
          <w:szCs w:val="24"/>
        </w:rPr>
        <w:t>przedsiębiorców</w:t>
      </w:r>
      <w:r w:rsidRPr="008C4A4F">
        <w:rPr>
          <w:rFonts w:ascii="Times New Roman" w:hAnsi="Times New Roman" w:cs="Times New Roman"/>
          <w:sz w:val="24"/>
          <w:szCs w:val="24"/>
        </w:rPr>
        <w:t xml:space="preserve">. </w:t>
      </w:r>
      <w:r w:rsidRPr="008C4A4F">
        <w:rPr>
          <w:rFonts w:ascii="Times New Roman" w:eastAsiaTheme="minorEastAsia" w:hAnsi="Times New Roman" w:cs="Times New Roman"/>
          <w:sz w:val="24"/>
          <w:szCs w:val="24"/>
          <w:lang w:eastAsia="pl-PL"/>
        </w:rPr>
        <w:t xml:space="preserve">Projektowane regulacje mają na celu wsparcie </w:t>
      </w:r>
      <w:r>
        <w:rPr>
          <w:rFonts w:ascii="Times New Roman" w:eastAsiaTheme="minorEastAsia" w:hAnsi="Times New Roman" w:cs="Times New Roman"/>
          <w:sz w:val="24"/>
          <w:szCs w:val="24"/>
          <w:lang w:eastAsia="pl-PL"/>
        </w:rPr>
        <w:t>podmiotów sektora MŚP</w:t>
      </w:r>
      <w:r w:rsidRPr="008C4A4F">
        <w:rPr>
          <w:rFonts w:ascii="Times New Roman" w:eastAsiaTheme="minorEastAsia" w:hAnsi="Times New Roman" w:cs="Times New Roman"/>
          <w:sz w:val="24"/>
          <w:szCs w:val="24"/>
          <w:lang w:eastAsia="pl-PL"/>
        </w:rPr>
        <w:t xml:space="preserve"> prowadzących działalność w gminach o wysokim wskaźniku bezrobocia oraz jednocześnie niskim dochodzie w przeliczeniu na mieszkańca, poprzez umożliwienie tym podmiotom dokonania jednorazowej amortyzacji określonych środków trwałych.</w:t>
      </w:r>
    </w:p>
    <w:p w14:paraId="155C8AA4" w14:textId="77777777" w:rsidR="00E55A6C" w:rsidRPr="008C4A4F" w:rsidRDefault="00E55A6C" w:rsidP="00E55A6C">
      <w:pPr>
        <w:shd w:val="clear" w:color="auto" w:fill="FFFFFF" w:themeFill="background1"/>
        <w:spacing w:after="120" w:line="300" w:lineRule="auto"/>
        <w:jc w:val="both"/>
        <w:rPr>
          <w:rFonts w:ascii="Times New Roman" w:eastAsia="Times New Roman" w:hAnsi="Times New Roman" w:cs="Times New Roman"/>
          <w:b/>
          <w:sz w:val="24"/>
          <w:szCs w:val="24"/>
          <w:lang w:eastAsia="pl-PL"/>
        </w:rPr>
      </w:pPr>
      <w:r w:rsidRPr="008C4A4F">
        <w:rPr>
          <w:rFonts w:ascii="Times New Roman" w:eastAsia="Times New Roman" w:hAnsi="Times New Roman" w:cs="Times New Roman"/>
          <w:b/>
          <w:sz w:val="24"/>
          <w:szCs w:val="24"/>
          <w:lang w:eastAsia="pl-PL"/>
        </w:rPr>
        <w:t>Pozostałe</w:t>
      </w:r>
    </w:p>
    <w:p w14:paraId="1A3F5FFD" w14:textId="77777777" w:rsidR="00E55A6C" w:rsidRPr="008C4A4F" w:rsidRDefault="00E55A6C" w:rsidP="00E55A6C">
      <w:pPr>
        <w:shd w:val="clear" w:color="auto" w:fill="FFFFFF" w:themeFill="background1"/>
        <w:spacing w:after="120" w:line="300" w:lineRule="auto"/>
        <w:jc w:val="both"/>
        <w:rPr>
          <w:rFonts w:ascii="Times New Roman" w:eastAsia="Times New Roman" w:hAnsi="Times New Roman" w:cs="Times New Roman"/>
          <w:sz w:val="24"/>
          <w:szCs w:val="24"/>
          <w:lang w:eastAsia="pl-PL"/>
        </w:rPr>
      </w:pPr>
      <w:r w:rsidRPr="00B02A14">
        <w:rPr>
          <w:rFonts w:ascii="Times New Roman" w:eastAsia="Times New Roman" w:hAnsi="Times New Roman" w:cs="Times New Roman"/>
          <w:sz w:val="24"/>
          <w:szCs w:val="24"/>
          <w:lang w:eastAsia="pl-PL"/>
        </w:rPr>
        <w:t>Projekt ustawy jest zgodny z prawem Unii Europejskiej</w:t>
      </w:r>
      <w:r>
        <w:rPr>
          <w:rFonts w:ascii="Times New Roman" w:eastAsia="Times New Roman" w:hAnsi="Times New Roman" w:cs="Times New Roman"/>
          <w:sz w:val="24"/>
          <w:szCs w:val="24"/>
          <w:lang w:eastAsia="pl-PL"/>
        </w:rPr>
        <w:t>, w szczególności art. 107 Traktatu o Funkcjonowaniu Unii Europejskiej</w:t>
      </w:r>
      <w:r>
        <w:rPr>
          <w:rStyle w:val="Odwoanieprzypisudolnego"/>
          <w:rFonts w:ascii="Times New Roman" w:eastAsia="Times New Roman" w:hAnsi="Times New Roman"/>
          <w:sz w:val="24"/>
          <w:szCs w:val="24"/>
          <w:lang w:eastAsia="pl-PL"/>
        </w:rPr>
        <w:footnoteReference w:id="2"/>
      </w:r>
      <w:r>
        <w:rPr>
          <w:rFonts w:ascii="Times New Roman" w:eastAsia="Times New Roman" w:hAnsi="Times New Roman" w:cs="Times New Roman"/>
          <w:sz w:val="24"/>
          <w:szCs w:val="24"/>
          <w:lang w:eastAsia="pl-PL"/>
        </w:rPr>
        <w:t>. Projekt</w:t>
      </w:r>
      <w:r w:rsidRPr="00B02A14">
        <w:rPr>
          <w:rFonts w:ascii="Times New Roman" w:eastAsia="Times New Roman" w:hAnsi="Times New Roman" w:cs="Times New Roman"/>
          <w:sz w:val="24"/>
          <w:szCs w:val="24"/>
          <w:lang w:eastAsia="pl-PL"/>
        </w:rPr>
        <w:t xml:space="preserve"> nie podlega obowiązkowi przedstawienia właściwym instytucjom Unii Europejskiej, w tym Europejskiemu Bankowi Centralnemu, w celu uzyskania opinii, dokonania powiadomienia, konsultacji albo uzgodnienia.</w:t>
      </w:r>
      <w:r w:rsidRPr="008C4A4F">
        <w:rPr>
          <w:rFonts w:ascii="Times New Roman" w:eastAsia="Times New Roman" w:hAnsi="Times New Roman" w:cs="Times New Roman"/>
          <w:sz w:val="24"/>
          <w:szCs w:val="24"/>
          <w:lang w:eastAsia="pl-PL"/>
        </w:rPr>
        <w:t xml:space="preserve"> </w:t>
      </w:r>
    </w:p>
    <w:p w14:paraId="0C523F69" w14:textId="77777777" w:rsidR="00E55A6C" w:rsidRPr="008C4A4F" w:rsidRDefault="00E55A6C" w:rsidP="00E55A6C">
      <w:pPr>
        <w:shd w:val="clear" w:color="auto" w:fill="FFFFFF" w:themeFill="background1"/>
        <w:spacing w:after="120" w:line="300" w:lineRule="auto"/>
        <w:jc w:val="both"/>
        <w:rPr>
          <w:rFonts w:ascii="Times New Roman" w:eastAsia="Times New Roman" w:hAnsi="Times New Roman" w:cs="Times New Roman"/>
          <w:sz w:val="24"/>
          <w:szCs w:val="24"/>
          <w:lang w:eastAsia="pl-PL"/>
        </w:rPr>
      </w:pPr>
      <w:r w:rsidRPr="00B02A14">
        <w:rPr>
          <w:rFonts w:ascii="Times New Roman" w:eastAsia="Times New Roman" w:hAnsi="Times New Roman" w:cs="Times New Roman"/>
          <w:sz w:val="24"/>
          <w:szCs w:val="24"/>
          <w:lang w:eastAsia="pl-PL"/>
        </w:rPr>
        <w:t>Projekt ustawy nie podlega procedurze notyfikacji aktów prawnych, określonej w przepisach rozporządzenia Rady Ministrów z 23 grudnia 2002 r. w sprawie funkcjonowania krajowego systemu notyfikacji norm i aktów prawnych</w:t>
      </w:r>
      <w:r w:rsidRPr="00B02A14">
        <w:rPr>
          <w:rStyle w:val="Odwoanieprzypisudolnego"/>
          <w:rFonts w:ascii="Times New Roman" w:eastAsia="Times New Roman" w:hAnsi="Times New Roman"/>
          <w:sz w:val="24"/>
          <w:szCs w:val="24"/>
          <w:lang w:eastAsia="pl-PL"/>
        </w:rPr>
        <w:footnoteReference w:id="3"/>
      </w:r>
      <w:r w:rsidRPr="00B02A14">
        <w:rPr>
          <w:rFonts w:ascii="Times New Roman" w:eastAsia="Times New Roman" w:hAnsi="Times New Roman" w:cs="Times New Roman"/>
          <w:sz w:val="24"/>
          <w:szCs w:val="24"/>
          <w:lang w:eastAsia="pl-PL"/>
        </w:rPr>
        <w:t>.</w:t>
      </w:r>
      <w:r w:rsidRPr="008C4A4F">
        <w:rPr>
          <w:rFonts w:ascii="Times New Roman" w:eastAsia="Times New Roman" w:hAnsi="Times New Roman" w:cs="Times New Roman"/>
          <w:sz w:val="24"/>
          <w:szCs w:val="24"/>
          <w:lang w:eastAsia="pl-PL"/>
        </w:rPr>
        <w:t xml:space="preserve"> </w:t>
      </w:r>
    </w:p>
    <w:p w14:paraId="4A575218" w14:textId="77777777" w:rsidR="00E55A6C" w:rsidRPr="008C4A4F" w:rsidRDefault="00E55A6C" w:rsidP="00E55A6C">
      <w:pPr>
        <w:shd w:val="clear" w:color="auto" w:fill="FFFFFF" w:themeFill="background1"/>
        <w:spacing w:after="120" w:line="300" w:lineRule="auto"/>
        <w:jc w:val="both"/>
        <w:rPr>
          <w:rFonts w:ascii="Times New Roman" w:eastAsiaTheme="minorEastAsia" w:hAnsi="Times New Roman" w:cs="Times New Roman"/>
          <w:sz w:val="24"/>
          <w:szCs w:val="24"/>
          <w:lang w:eastAsia="pl-PL"/>
        </w:rPr>
      </w:pPr>
      <w:r w:rsidRPr="008C4A4F">
        <w:rPr>
          <w:rFonts w:ascii="Times New Roman" w:eastAsia="Times New Roman" w:hAnsi="Times New Roman" w:cs="Times New Roman"/>
          <w:sz w:val="24"/>
          <w:szCs w:val="24"/>
          <w:lang w:eastAsia="pl-PL"/>
        </w:rPr>
        <w:t>Projekt nie stwarza zagrożeń korupcyjnych.</w:t>
      </w:r>
    </w:p>
    <w:p w14:paraId="12F55058" w14:textId="77777777" w:rsidR="00E55A6C"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sidRPr="008C4A4F">
        <w:rPr>
          <w:rFonts w:ascii="Times New Roman" w:hAnsi="Times New Roman" w:cs="Times New Roman"/>
          <w:sz w:val="24"/>
          <w:szCs w:val="24"/>
        </w:rPr>
        <w:t xml:space="preserve">Wprowadzone projektem regulacje umożliwiające podatnikom dokonanie jednorazowych </w:t>
      </w:r>
      <w:r w:rsidRPr="008C4A4F">
        <w:rPr>
          <w:rFonts w:ascii="Times New Roman" w:hAnsi="Times New Roman" w:cs="Times New Roman"/>
          <w:sz w:val="24"/>
          <w:szCs w:val="24"/>
        </w:rPr>
        <w:lastRenderedPageBreak/>
        <w:t xml:space="preserve">odpisów amortyzacyjnych określonych środków trwałych stanowią pomoc de </w:t>
      </w:r>
      <w:proofErr w:type="spellStart"/>
      <w:r w:rsidRPr="008C4A4F">
        <w:rPr>
          <w:rFonts w:ascii="Times New Roman" w:hAnsi="Times New Roman" w:cs="Times New Roman"/>
          <w:sz w:val="24"/>
          <w:szCs w:val="24"/>
        </w:rPr>
        <w:t>minimis</w:t>
      </w:r>
      <w:proofErr w:type="spellEnd"/>
      <w:r w:rsidRPr="008C4A4F">
        <w:rPr>
          <w:rFonts w:ascii="Times New Roman" w:hAnsi="Times New Roman" w:cs="Times New Roman"/>
          <w:sz w:val="24"/>
          <w:szCs w:val="24"/>
        </w:rPr>
        <w:t xml:space="preserve">, </w:t>
      </w:r>
      <w:r w:rsidRPr="008C4A4F">
        <w:rPr>
          <w:rFonts w:ascii="Times New Roman" w:eastAsiaTheme="minorEastAsia" w:hAnsi="Times New Roman" w:cs="Times New Roman"/>
          <w:sz w:val="24"/>
          <w:szCs w:val="24"/>
          <w:lang w:eastAsia="pl-PL"/>
        </w:rPr>
        <w:t xml:space="preserve">udzielaną w zakresie i na zasadach określonych w bezpośrednio obowiązujących aktach prawa wspólnotowego dotyczących pomocy w ramach zasady de </w:t>
      </w:r>
      <w:proofErr w:type="spellStart"/>
      <w:r w:rsidRPr="008C4A4F">
        <w:rPr>
          <w:rFonts w:ascii="Times New Roman" w:eastAsiaTheme="minorEastAsia" w:hAnsi="Times New Roman" w:cs="Times New Roman"/>
          <w:sz w:val="24"/>
          <w:szCs w:val="24"/>
          <w:lang w:eastAsia="pl-PL"/>
        </w:rPr>
        <w:t>minimis</w:t>
      </w:r>
      <w:proofErr w:type="spellEnd"/>
      <w:r w:rsidRPr="008C4A4F">
        <w:rPr>
          <w:rFonts w:ascii="Times New Roman" w:eastAsiaTheme="minorEastAsia" w:hAnsi="Times New Roman" w:cs="Times New Roman"/>
          <w:sz w:val="24"/>
          <w:szCs w:val="24"/>
          <w:lang w:eastAsia="pl-PL"/>
        </w:rPr>
        <w:t>. Nie występuje ryzyko udzielenia pomocy publicznej niezgodnej z przepisami szczególnymi w tym zakresie.</w:t>
      </w:r>
    </w:p>
    <w:p w14:paraId="6817E97A" w14:textId="77777777" w:rsidR="00E55A6C" w:rsidRPr="008C4A4F" w:rsidRDefault="00E55A6C" w:rsidP="00E55A6C">
      <w:pPr>
        <w:widowControl w:val="0"/>
        <w:autoSpaceDE w:val="0"/>
        <w:autoSpaceDN w:val="0"/>
        <w:adjustRightInd w:val="0"/>
        <w:spacing w:after="120" w:line="300" w:lineRule="auto"/>
        <w:jc w:val="both"/>
        <w:rPr>
          <w:rFonts w:ascii="Times New Roman" w:eastAsiaTheme="minorEastAsia" w:hAnsi="Times New Roman" w:cs="Times New Roman"/>
          <w:sz w:val="24"/>
          <w:szCs w:val="24"/>
          <w:lang w:eastAsia="pl-PL"/>
        </w:rPr>
      </w:pPr>
      <w:r>
        <w:rPr>
          <w:rFonts w:ascii="Times New Roman" w:eastAsiaTheme="minorEastAsia" w:hAnsi="Times New Roman" w:cs="Times New Roman"/>
          <w:sz w:val="24"/>
          <w:szCs w:val="24"/>
          <w:lang w:eastAsia="pl-PL"/>
        </w:rPr>
        <w:t xml:space="preserve">Zmiany przewidziane projektem, jako pomoc de </w:t>
      </w:r>
      <w:proofErr w:type="spellStart"/>
      <w:r>
        <w:rPr>
          <w:rFonts w:ascii="Times New Roman" w:eastAsiaTheme="minorEastAsia" w:hAnsi="Times New Roman" w:cs="Times New Roman"/>
          <w:sz w:val="24"/>
          <w:szCs w:val="24"/>
          <w:lang w:eastAsia="pl-PL"/>
        </w:rPr>
        <w:t>minimis</w:t>
      </w:r>
      <w:proofErr w:type="spellEnd"/>
      <w:r>
        <w:rPr>
          <w:rFonts w:ascii="Times New Roman" w:eastAsiaTheme="minorEastAsia" w:hAnsi="Times New Roman" w:cs="Times New Roman"/>
          <w:sz w:val="24"/>
          <w:szCs w:val="24"/>
          <w:lang w:eastAsia="pl-PL"/>
        </w:rPr>
        <w:t xml:space="preserve">, wymagają wprowadzenia </w:t>
      </w:r>
      <w:r w:rsidRPr="008C4A4F">
        <w:rPr>
          <w:rFonts w:ascii="Times New Roman" w:eastAsiaTheme="minorEastAsia" w:hAnsi="Times New Roman" w:cs="Times New Roman"/>
          <w:sz w:val="24"/>
          <w:szCs w:val="24"/>
          <w:lang w:eastAsia="pl-PL"/>
        </w:rPr>
        <w:t xml:space="preserve">w akcie prawa powszechnie obowiązującego, </w:t>
      </w:r>
      <w:r>
        <w:rPr>
          <w:rFonts w:ascii="Times New Roman" w:eastAsiaTheme="minorEastAsia" w:hAnsi="Times New Roman" w:cs="Times New Roman"/>
          <w:sz w:val="24"/>
          <w:szCs w:val="24"/>
          <w:lang w:eastAsia="pl-PL"/>
        </w:rPr>
        <w:t>stąd potrzeba nowelizacji ustaw PIT i CIT.</w:t>
      </w:r>
    </w:p>
    <w:p w14:paraId="7864DF48" w14:textId="77777777" w:rsidR="00E55A6C" w:rsidRPr="008C4A4F" w:rsidRDefault="00E55A6C" w:rsidP="00E55A6C">
      <w:pPr>
        <w:spacing w:after="120" w:line="300" w:lineRule="auto"/>
        <w:rPr>
          <w:rFonts w:ascii="Times New Roman" w:hAnsi="Times New Roman" w:cs="Times New Roman"/>
          <w:sz w:val="24"/>
          <w:szCs w:val="24"/>
        </w:rPr>
      </w:pPr>
    </w:p>
    <w:p w14:paraId="50D6D7EC" w14:textId="77777777" w:rsidR="008E40C7" w:rsidRDefault="008E40C7"/>
    <w:sectPr w:rsidR="008E40C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257ED5" w14:textId="77777777" w:rsidR="00BC45D3" w:rsidRDefault="00BC45D3" w:rsidP="00E55A6C">
      <w:pPr>
        <w:spacing w:after="0" w:line="240" w:lineRule="auto"/>
      </w:pPr>
      <w:r>
        <w:separator/>
      </w:r>
    </w:p>
  </w:endnote>
  <w:endnote w:type="continuationSeparator" w:id="0">
    <w:p w14:paraId="653BB801" w14:textId="77777777" w:rsidR="00BC45D3" w:rsidRDefault="00BC45D3" w:rsidP="00E55A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4D7B69" w14:textId="77777777" w:rsidR="00BC45D3" w:rsidRDefault="00BC45D3" w:rsidP="00E55A6C">
      <w:pPr>
        <w:spacing w:after="0" w:line="240" w:lineRule="auto"/>
      </w:pPr>
      <w:r>
        <w:separator/>
      </w:r>
    </w:p>
  </w:footnote>
  <w:footnote w:type="continuationSeparator" w:id="0">
    <w:p w14:paraId="727B23BF" w14:textId="77777777" w:rsidR="00BC45D3" w:rsidRDefault="00BC45D3" w:rsidP="00E55A6C">
      <w:pPr>
        <w:spacing w:after="0" w:line="240" w:lineRule="auto"/>
      </w:pPr>
      <w:r>
        <w:continuationSeparator/>
      </w:r>
    </w:p>
  </w:footnote>
  <w:footnote w:id="1">
    <w:p w14:paraId="7ED509A2" w14:textId="77777777" w:rsidR="00E55A6C" w:rsidRPr="00B02A14" w:rsidRDefault="00E55A6C" w:rsidP="00E55A6C">
      <w:pPr>
        <w:pStyle w:val="Tekstprzypisudolnego"/>
        <w:rPr>
          <w:rFonts w:ascii="Times New Roman" w:hAnsi="Times New Roman" w:cs="Times New Roman"/>
        </w:rPr>
      </w:pPr>
      <w:r w:rsidRPr="00B02A14">
        <w:rPr>
          <w:rStyle w:val="Odwoanieprzypisudolnego"/>
          <w:rFonts w:ascii="Times New Roman" w:hAnsi="Times New Roman"/>
        </w:rPr>
        <w:footnoteRef/>
      </w:r>
      <w:r w:rsidRPr="00B02A14">
        <w:rPr>
          <w:rFonts w:ascii="Times New Roman" w:hAnsi="Times New Roman" w:cs="Times New Roman"/>
        </w:rPr>
        <w:t xml:space="preserve"> Dz. U. z 2020 r. poz. 162, z </w:t>
      </w:r>
      <w:proofErr w:type="spellStart"/>
      <w:r w:rsidRPr="00B02A14">
        <w:rPr>
          <w:rFonts w:ascii="Times New Roman" w:hAnsi="Times New Roman" w:cs="Times New Roman"/>
        </w:rPr>
        <w:t>późn</w:t>
      </w:r>
      <w:proofErr w:type="spellEnd"/>
      <w:r w:rsidRPr="00B02A14">
        <w:rPr>
          <w:rFonts w:ascii="Times New Roman" w:hAnsi="Times New Roman" w:cs="Times New Roman"/>
        </w:rPr>
        <w:t>. zm.</w:t>
      </w:r>
    </w:p>
  </w:footnote>
  <w:footnote w:id="2">
    <w:p w14:paraId="4DDF88AE" w14:textId="77777777" w:rsidR="00E55A6C" w:rsidRPr="00B02A14" w:rsidRDefault="00E55A6C" w:rsidP="00E55A6C">
      <w:pPr>
        <w:pStyle w:val="Tekstprzypisudolnego"/>
        <w:rPr>
          <w:rFonts w:ascii="Times New Roman" w:hAnsi="Times New Roman" w:cs="Times New Roman"/>
        </w:rPr>
      </w:pPr>
      <w:r w:rsidRPr="00B02A14">
        <w:rPr>
          <w:rStyle w:val="Odwoanieprzypisudolnego"/>
          <w:rFonts w:ascii="Times New Roman" w:hAnsi="Times New Roman"/>
        </w:rPr>
        <w:footnoteRef/>
      </w:r>
      <w:r w:rsidRPr="00B02A14">
        <w:rPr>
          <w:rFonts w:ascii="Times New Roman" w:hAnsi="Times New Roman" w:cs="Times New Roman"/>
        </w:rPr>
        <w:t xml:space="preserve"> </w:t>
      </w:r>
      <w:r w:rsidRPr="00910185">
        <w:rPr>
          <w:rFonts w:ascii="Times New Roman" w:hAnsi="Times New Roman" w:cs="Times New Roman"/>
        </w:rPr>
        <w:t>(</w:t>
      </w:r>
      <w:proofErr w:type="spellStart"/>
      <w:r w:rsidRPr="00910185">
        <w:rPr>
          <w:rFonts w:ascii="Times New Roman" w:hAnsi="Times New Roman" w:cs="Times New Roman"/>
        </w:rPr>
        <w:t>Dz.Urz</w:t>
      </w:r>
      <w:proofErr w:type="spellEnd"/>
      <w:r w:rsidRPr="00910185">
        <w:rPr>
          <w:rFonts w:ascii="Times New Roman" w:hAnsi="Times New Roman" w:cs="Times New Roman"/>
        </w:rPr>
        <w:t>. UE L 352 z 24.12.2013, str. 1)</w:t>
      </w:r>
      <w:r>
        <w:rPr>
          <w:rFonts w:ascii="Times New Roman" w:hAnsi="Times New Roman" w:cs="Times New Roman"/>
        </w:rPr>
        <w:t>.</w:t>
      </w:r>
    </w:p>
  </w:footnote>
  <w:footnote w:id="3">
    <w:p w14:paraId="138B6CBB" w14:textId="77777777" w:rsidR="00E55A6C" w:rsidRDefault="00E55A6C" w:rsidP="00E55A6C">
      <w:pPr>
        <w:pStyle w:val="Tekstprzypisudolnego"/>
      </w:pPr>
      <w:r w:rsidRPr="00B02A14">
        <w:rPr>
          <w:rStyle w:val="Odwoanieprzypisudolnego"/>
          <w:rFonts w:ascii="Times New Roman" w:hAnsi="Times New Roman"/>
        </w:rPr>
        <w:footnoteRef/>
      </w:r>
      <w:r w:rsidRPr="00B02A14">
        <w:rPr>
          <w:rFonts w:ascii="Times New Roman" w:hAnsi="Times New Roman" w:cs="Times New Roman"/>
        </w:rPr>
        <w:t xml:space="preserve"> Dz. U. poz. 2039, z </w:t>
      </w:r>
      <w:proofErr w:type="spellStart"/>
      <w:r w:rsidRPr="00B02A14">
        <w:rPr>
          <w:rFonts w:ascii="Times New Roman" w:hAnsi="Times New Roman" w:cs="Times New Roman"/>
        </w:rPr>
        <w:t>późn</w:t>
      </w:r>
      <w:proofErr w:type="spellEnd"/>
      <w:r w:rsidRPr="00B02A14">
        <w:rPr>
          <w:rFonts w:ascii="Times New Roman" w:hAnsi="Times New Roman" w:cs="Times New Roman"/>
        </w:rPr>
        <w:t>. zm.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D02F1"/>
    <w:multiLevelType w:val="hybridMultilevel"/>
    <w:tmpl w:val="01DA542A"/>
    <w:lvl w:ilvl="0" w:tplc="08B424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14D316EF"/>
    <w:multiLevelType w:val="hybridMultilevel"/>
    <w:tmpl w:val="057232DA"/>
    <w:lvl w:ilvl="0" w:tplc="08B424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6045428"/>
    <w:multiLevelType w:val="hybridMultilevel"/>
    <w:tmpl w:val="A330133E"/>
    <w:lvl w:ilvl="0" w:tplc="08B424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4BF94A1D"/>
    <w:multiLevelType w:val="hybridMultilevel"/>
    <w:tmpl w:val="85EC12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52746B7C"/>
    <w:multiLevelType w:val="hybridMultilevel"/>
    <w:tmpl w:val="91585A08"/>
    <w:lvl w:ilvl="0" w:tplc="08B424E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57A80F84"/>
    <w:multiLevelType w:val="hybridMultilevel"/>
    <w:tmpl w:val="9FFAE77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5E274CB1"/>
    <w:multiLevelType w:val="hybridMultilevel"/>
    <w:tmpl w:val="B6EC03C2"/>
    <w:lvl w:ilvl="0" w:tplc="08B424E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3"/>
  </w:num>
  <w:num w:numId="2">
    <w:abstractNumId w:val="5"/>
  </w:num>
  <w:num w:numId="3">
    <w:abstractNumId w:val="6"/>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CDE"/>
    <w:rsid w:val="000B2138"/>
    <w:rsid w:val="00103C7E"/>
    <w:rsid w:val="00115177"/>
    <w:rsid w:val="00162897"/>
    <w:rsid w:val="00174D92"/>
    <w:rsid w:val="00231083"/>
    <w:rsid w:val="00243BAD"/>
    <w:rsid w:val="00371CC1"/>
    <w:rsid w:val="003E0A46"/>
    <w:rsid w:val="00452937"/>
    <w:rsid w:val="004A2CDE"/>
    <w:rsid w:val="004D4727"/>
    <w:rsid w:val="004E305D"/>
    <w:rsid w:val="0053611A"/>
    <w:rsid w:val="006513A1"/>
    <w:rsid w:val="007277C3"/>
    <w:rsid w:val="007C11F3"/>
    <w:rsid w:val="00814A7F"/>
    <w:rsid w:val="00863D3B"/>
    <w:rsid w:val="00875F3C"/>
    <w:rsid w:val="008E40C7"/>
    <w:rsid w:val="00912BE2"/>
    <w:rsid w:val="00AB1A41"/>
    <w:rsid w:val="00AD16F9"/>
    <w:rsid w:val="00BC45D3"/>
    <w:rsid w:val="00D33B40"/>
    <w:rsid w:val="00D409EF"/>
    <w:rsid w:val="00D62A17"/>
    <w:rsid w:val="00DE6B74"/>
    <w:rsid w:val="00E55A6C"/>
    <w:rsid w:val="00E63676"/>
    <w:rsid w:val="00ED5525"/>
    <w:rsid w:val="00F2120D"/>
    <w:rsid w:val="00FB6B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420CED"/>
  <w15:chartTrackingRefBased/>
  <w15:docId w15:val="{DD33BF75-6759-4645-BB0A-226F64442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55A6C"/>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ußnote,Footnote,Podrozdzia3,Przypis,-E Fuﬂnotentext,Fuﬂnotentext Ursprung,footnote text,Fußnotentext Ursprung,-E Fußnotentext,Footnote text,Tekst przypisu Znak Znak Znak Znak,Tekst przypisu Znak Znak Znak Znak Znak,Pl"/>
    <w:basedOn w:val="Normalny"/>
    <w:link w:val="TekstprzypisudolnegoZnak"/>
    <w:uiPriority w:val="99"/>
    <w:unhideWhenUsed/>
    <w:qFormat/>
    <w:rsid w:val="00E55A6C"/>
    <w:pPr>
      <w:spacing w:after="0" w:line="240" w:lineRule="auto"/>
    </w:pPr>
    <w:rPr>
      <w:sz w:val="20"/>
      <w:szCs w:val="20"/>
    </w:rPr>
  </w:style>
  <w:style w:type="character" w:customStyle="1" w:styleId="TekstprzypisudolnegoZnak">
    <w:name w:val="Tekst przypisu dolnego Znak"/>
    <w:aliases w:val="Podrozdział Znak,Fußnote Znak,Footnote Znak,Podrozdzia3 Znak,Przypis Znak,-E Fuﬂnotentext Znak,Fuﬂnotentext Ursprung Znak,footnote text Znak,Fußnotentext Ursprung Znak,-E Fußnotentext Znak,Footnote text Znak,Pl Znak"/>
    <w:basedOn w:val="Domylnaczcionkaakapitu"/>
    <w:link w:val="Tekstprzypisudolnego"/>
    <w:uiPriority w:val="99"/>
    <w:rsid w:val="00E55A6C"/>
    <w:rPr>
      <w:sz w:val="20"/>
      <w:szCs w:val="20"/>
    </w:rPr>
  </w:style>
  <w:style w:type="character" w:styleId="Odwoanieprzypisudolnego">
    <w:name w:val="footnote reference"/>
    <w:aliases w:val="OZNAKA OPOMBE,FZ,number,SUPERS,Footnote Reference Superscript,BVI fnr,Footnote symbol,(Footnote Reference),Footnote reference number,note TESI,EN Footnote Reference,Voetnootverwijzing,Times 10 Point,Exposant 3 Point"/>
    <w:uiPriority w:val="99"/>
    <w:rsid w:val="00E55A6C"/>
    <w:rPr>
      <w:rFonts w:cs="Times New Roman"/>
      <w:vertAlign w:val="superscript"/>
    </w:rPr>
  </w:style>
  <w:style w:type="paragraph" w:styleId="Akapitzlist">
    <w:name w:val="List Paragraph"/>
    <w:basedOn w:val="Normalny"/>
    <w:uiPriority w:val="34"/>
    <w:qFormat/>
    <w:rsid w:val="00E55A6C"/>
    <w:pPr>
      <w:ind w:left="720"/>
      <w:contextualSpacing/>
    </w:pPr>
  </w:style>
  <w:style w:type="character" w:styleId="Odwoaniedokomentarza">
    <w:name w:val="annotation reference"/>
    <w:basedOn w:val="Domylnaczcionkaakapitu"/>
    <w:uiPriority w:val="99"/>
    <w:semiHidden/>
    <w:unhideWhenUsed/>
    <w:rsid w:val="00912BE2"/>
    <w:rPr>
      <w:sz w:val="16"/>
      <w:szCs w:val="16"/>
    </w:rPr>
  </w:style>
  <w:style w:type="paragraph" w:styleId="Tekstkomentarza">
    <w:name w:val="annotation text"/>
    <w:basedOn w:val="Normalny"/>
    <w:link w:val="TekstkomentarzaZnak"/>
    <w:uiPriority w:val="99"/>
    <w:semiHidden/>
    <w:unhideWhenUsed/>
    <w:rsid w:val="00912BE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12BE2"/>
    <w:rPr>
      <w:sz w:val="20"/>
      <w:szCs w:val="20"/>
    </w:rPr>
  </w:style>
  <w:style w:type="paragraph" w:styleId="Tematkomentarza">
    <w:name w:val="annotation subject"/>
    <w:basedOn w:val="Tekstkomentarza"/>
    <w:next w:val="Tekstkomentarza"/>
    <w:link w:val="TematkomentarzaZnak"/>
    <w:uiPriority w:val="99"/>
    <w:semiHidden/>
    <w:unhideWhenUsed/>
    <w:rsid w:val="00912BE2"/>
    <w:rPr>
      <w:b/>
      <w:bCs/>
    </w:rPr>
  </w:style>
  <w:style w:type="character" w:customStyle="1" w:styleId="TematkomentarzaZnak">
    <w:name w:val="Temat komentarza Znak"/>
    <w:basedOn w:val="TekstkomentarzaZnak"/>
    <w:link w:val="Tematkomentarza"/>
    <w:uiPriority w:val="99"/>
    <w:semiHidden/>
    <w:rsid w:val="00912BE2"/>
    <w:rPr>
      <w:b/>
      <w:bCs/>
      <w:sz w:val="20"/>
      <w:szCs w:val="20"/>
    </w:rPr>
  </w:style>
  <w:style w:type="paragraph" w:styleId="Tekstdymka">
    <w:name w:val="Balloon Text"/>
    <w:basedOn w:val="Normalny"/>
    <w:link w:val="TekstdymkaZnak"/>
    <w:uiPriority w:val="99"/>
    <w:semiHidden/>
    <w:unhideWhenUsed/>
    <w:rsid w:val="00912BE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12B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1659</Words>
  <Characters>9956</Characters>
  <DocSecurity>0</DocSecurity>
  <Lines>82</Lines>
  <Paragraphs>23</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11592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2022-09-30T08:35:00Z</cp:lastPrinted>
  <dcterms:created xsi:type="dcterms:W3CDTF">2022-10-03T09:36:00Z</dcterms:created>
  <dcterms:modified xsi:type="dcterms:W3CDTF">2022-10-03T13:19:00Z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InformacjePubliczneInformacjeSektoraPublicznego</vt:lpwstr>
  </property>
  <property fmtid="{D5CDD505-2E9C-101B-9397-08002B2CF9AE}" pid="3" name="MFClassifiedBy">
    <vt:lpwstr>MF\AMZB;Bober Marzena</vt:lpwstr>
  </property>
  <property fmtid="{D5CDD505-2E9C-101B-9397-08002B2CF9AE}" pid="4" name="MFClassificationDate">
    <vt:lpwstr>2022-08-22T12:01:38.5639514+02:00</vt:lpwstr>
  </property>
  <property fmtid="{D5CDD505-2E9C-101B-9397-08002B2CF9AE}" pid="5" name="MFClassifiedBySID">
    <vt:lpwstr>MF\S-1-5-21-1525952054-1005573771-2909822258-9026</vt:lpwstr>
  </property>
  <property fmtid="{D5CDD505-2E9C-101B-9397-08002B2CF9AE}" pid="6" name="MFGRNItemId">
    <vt:lpwstr>GRN-548292b1-c5af-45be-824b-a2fe749d56ee</vt:lpwstr>
  </property>
  <property fmtid="{D5CDD505-2E9C-101B-9397-08002B2CF9AE}" pid="7" name="MFHash">
    <vt:lpwstr>l3rv4fkF1VX2U40OBpVjGjanYjYKGjl+wyuoTAiGMrE=</vt:lpwstr>
  </property>
  <property fmtid="{D5CDD505-2E9C-101B-9397-08002B2CF9AE}" pid="8" name="DLPManualFileClassification">
    <vt:lpwstr>{2755b7d9-e53d-4779-a40c-03797dcf43b3}</vt:lpwstr>
  </property>
  <property fmtid="{D5CDD505-2E9C-101B-9397-08002B2CF9AE}" pid="9" name="MFRefresh">
    <vt:lpwstr>False</vt:lpwstr>
  </property>
</Properties>
</file>