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3911C" w14:textId="77777777" w:rsidR="006466AC" w:rsidRDefault="007E26CA" w:rsidP="009B51A0">
      <w:pPr>
        <w:spacing w:after="240" w:line="360" w:lineRule="auto"/>
        <w:jc w:val="center"/>
        <w:rPr>
          <w:rFonts w:ascii="Times New Roman" w:hAnsi="Times New Roman" w:cs="Times New Roman"/>
          <w:sz w:val="24"/>
          <w:szCs w:val="24"/>
        </w:rPr>
      </w:pPr>
      <w:r>
        <w:rPr>
          <w:rFonts w:ascii="Times New Roman" w:hAnsi="Times New Roman" w:cs="Times New Roman"/>
          <w:sz w:val="24"/>
          <w:szCs w:val="24"/>
        </w:rPr>
        <w:t>UZASADNIENIE</w:t>
      </w:r>
    </w:p>
    <w:p w14:paraId="6C129A10" w14:textId="77777777" w:rsidR="004C5452" w:rsidRDefault="004C5452" w:rsidP="00BD40A3">
      <w:pPr>
        <w:pStyle w:val="NIEARTTEKSTtekstnieartykuowanynppodstprawnarozplubpreambua"/>
        <w:ind w:firstLine="567"/>
        <w:rPr>
          <w:rFonts w:ascii="Times New Roman" w:hAnsi="Times New Roman" w:cs="Times New Roman"/>
          <w:szCs w:val="24"/>
        </w:rPr>
      </w:pPr>
      <w:r>
        <w:rPr>
          <w:rFonts w:ascii="Times New Roman" w:hAnsi="Times New Roman" w:cs="Times New Roman"/>
          <w:szCs w:val="24"/>
        </w:rPr>
        <w:t xml:space="preserve">Projekt </w:t>
      </w:r>
      <w:r>
        <w:t>ustawy o wspieraniu</w:t>
      </w:r>
      <w:r>
        <w:rPr>
          <w:rStyle w:val="Kkursywa"/>
        </w:rPr>
        <w:t xml:space="preserve"> </w:t>
      </w:r>
      <w:r>
        <w:t>zrównoważonego rozwoju sektora rybackiego z udziałem Europejskiego Funduszu Morskiego, Rybackiego i Akwakultury na lata 2021–2027</w:t>
      </w:r>
      <w:r>
        <w:rPr>
          <w:rFonts w:ascii="Times New Roman" w:hAnsi="Times New Roman" w:cs="Times New Roman"/>
          <w:szCs w:val="24"/>
        </w:rPr>
        <w:t>, zwany dalej „projektowaną ustawą”, ma na celu realizację w Polsce programu „Fundusze Europejskie dla Rybactwa na lata 2021–2027”, zwanego dalej „Programem”. Program stanowi instrument wdrażania środków finansowych pochodzących z Europejskiego Funduszu Mo</w:t>
      </w:r>
      <w:r w:rsidR="00BD40A3">
        <w:rPr>
          <w:rFonts w:ascii="Times New Roman" w:hAnsi="Times New Roman" w:cs="Times New Roman"/>
          <w:szCs w:val="24"/>
        </w:rPr>
        <w:t xml:space="preserve">rskiego, Rybackiego i </w:t>
      </w:r>
      <w:r>
        <w:rPr>
          <w:rFonts w:ascii="Times New Roman" w:hAnsi="Times New Roman" w:cs="Times New Roman"/>
          <w:szCs w:val="24"/>
        </w:rPr>
        <w:t>Akwa</w:t>
      </w:r>
      <w:r w:rsidR="00BD40A3">
        <w:rPr>
          <w:rFonts w:ascii="Times New Roman" w:hAnsi="Times New Roman" w:cs="Times New Roman"/>
          <w:szCs w:val="24"/>
        </w:rPr>
        <w:t>kultury, zwanego dalej „EFMRA”.</w:t>
      </w:r>
    </w:p>
    <w:p w14:paraId="20AD4F2D" w14:textId="2FAC6B82"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t xml:space="preserve">EFMRA został ustanowiony na lata 2021–2027 przepisami </w:t>
      </w:r>
      <w:r>
        <w:rPr>
          <w:rStyle w:val="TekstpodstawowyZnak"/>
          <w:rFonts w:eastAsiaTheme="minorEastAsia"/>
        </w:rPr>
        <w:t>rozporządzenia Parlamentu Europejskiego i Rady (UE) 2021/1139 z dnia 7 lipca 2021 r. ustanawiającego Europejski Fundusz Morski, Rybacki i Akwakultury oraz zmieniającego rozporządzenie (UE) nr 2017/1004</w:t>
      </w:r>
      <w:r>
        <w:rPr>
          <w:rFonts w:ascii="Times New Roman" w:hAnsi="Times New Roman" w:cs="Times New Roman"/>
          <w:szCs w:val="24"/>
        </w:rPr>
        <w:t xml:space="preserve"> (Dz. Urz. UE L 247 z 13.07.2021, str. 1), zwanego dalej „rozporządzeniem EFMRA”. Zasady wdrażania EFMRA regulują również przepisy </w:t>
      </w:r>
      <w:r>
        <w:rPr>
          <w:rStyle w:val="TekstpodstawowyZnak"/>
          <w:rFonts w:eastAsiaTheme="minorEastAsia"/>
        </w:rPr>
        <w:t>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w:t>
      </w:r>
      <w:r w:rsidR="0042591D">
        <w:rPr>
          <w:rStyle w:val="TekstpodstawowyZnak"/>
          <w:rFonts w:eastAsiaTheme="minorEastAsia"/>
        </w:rPr>
        <w:t> </w:t>
      </w:r>
      <w:r>
        <w:rPr>
          <w:rStyle w:val="TekstpodstawowyZnak"/>
          <w:rFonts w:eastAsiaTheme="minorEastAsia"/>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Pr>
          <w:rFonts w:ascii="Times New Roman" w:hAnsi="Times New Roman" w:cs="Times New Roman"/>
          <w:szCs w:val="24"/>
        </w:rPr>
        <w:t xml:space="preserve"> (Dz. Urz. UE L 231 z 30.06.2021, str. 159, z późn. zm.), zwanego d</w:t>
      </w:r>
      <w:r w:rsidR="00BD40A3">
        <w:rPr>
          <w:rFonts w:ascii="Times New Roman" w:hAnsi="Times New Roman" w:cs="Times New Roman"/>
          <w:szCs w:val="24"/>
        </w:rPr>
        <w:t>alej „rozporządzeniem ogólnym”.</w:t>
      </w:r>
    </w:p>
    <w:p w14:paraId="33C33276" w14:textId="77777777"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t xml:space="preserve">Rozporządzenie </w:t>
      </w:r>
      <w:r>
        <w:rPr>
          <w:rFonts w:ascii="Times New Roman" w:eastAsia="Times New Roman" w:hAnsi="Times New Roman" w:cs="Times New Roman"/>
          <w:szCs w:val="24"/>
        </w:rPr>
        <w:t xml:space="preserve">ogólne oraz rozporządzenie EFMRA, a także przepisy wydane na ich podstawie, to jest </w:t>
      </w:r>
      <w:r>
        <w:rPr>
          <w:rFonts w:ascii="Times New Roman" w:hAnsi="Times New Roman" w:cs="Times New Roman"/>
          <w:szCs w:val="24"/>
        </w:rPr>
        <w:t xml:space="preserve">obowiązujące wprost przepisy </w:t>
      </w:r>
      <w:r>
        <w:rPr>
          <w:rFonts w:ascii="Times New Roman" w:eastAsia="Times New Roman" w:hAnsi="Times New Roman" w:cs="Times New Roman"/>
          <w:szCs w:val="24"/>
        </w:rPr>
        <w:t xml:space="preserve">Unii Europejskiej (UE), </w:t>
      </w:r>
      <w:r>
        <w:rPr>
          <w:rFonts w:ascii="Times New Roman" w:hAnsi="Times New Roman" w:cs="Times New Roman"/>
          <w:szCs w:val="24"/>
        </w:rPr>
        <w:t>regulują zasadnicze podstawy wdrażania nowego funduszu, z</w:t>
      </w:r>
      <w:r>
        <w:rPr>
          <w:rFonts w:ascii="Times New Roman" w:eastAsia="Times New Roman" w:hAnsi="Times New Roman" w:cs="Times New Roman"/>
          <w:szCs w:val="24"/>
        </w:rPr>
        <w:t xml:space="preserve"> tego względu projektowana ustawa </w:t>
      </w:r>
      <w:r>
        <w:rPr>
          <w:rFonts w:ascii="Times New Roman" w:hAnsi="Times New Roman" w:cs="Times New Roman"/>
          <w:szCs w:val="24"/>
        </w:rPr>
        <w:t>zawiera jedynie regulacje w zakresie, w jakim przepisy UE są niewystarczające z</w:t>
      </w:r>
      <w:r w:rsidR="009B1AC1">
        <w:rPr>
          <w:rFonts w:ascii="Times New Roman" w:hAnsi="Times New Roman" w:cs="Times New Roman"/>
          <w:szCs w:val="24"/>
        </w:rPr>
        <w:t xml:space="preserve"> </w:t>
      </w:r>
      <w:r>
        <w:rPr>
          <w:rFonts w:ascii="Times New Roman" w:hAnsi="Times New Roman" w:cs="Times New Roman"/>
          <w:szCs w:val="24"/>
        </w:rPr>
        <w:t>punktu widzenia systemu prawa krajowego i wymagają właściwego wdrożenia do polskiego porządku prawnego lub uszczegółowienia w przepisach krajowych. W tym celu w</w:t>
      </w:r>
      <w:r w:rsidR="009B1AC1">
        <w:rPr>
          <w:rFonts w:ascii="Times New Roman" w:hAnsi="Times New Roman" w:cs="Times New Roman"/>
          <w:szCs w:val="24"/>
        </w:rPr>
        <w:t xml:space="preserve"> </w:t>
      </w:r>
      <w:r>
        <w:rPr>
          <w:rFonts w:ascii="Times New Roman" w:hAnsi="Times New Roman" w:cs="Times New Roman"/>
          <w:szCs w:val="24"/>
        </w:rPr>
        <w:t>projektowanej ustawie zawarto regulacje prawne niezbędne do realizacji wsparcia dla polskiego sektora rybackiego z udziałem środków finansowych pochodzących z EFMRA na lata 2021–2027. Z kolei w zakresie, w jakim przepisy projektowanej ustawy byłyby niewystarczające dla prawidłowej realizacji Programu oraz wdrożenia przepisów UE, wprowadza się niezbędne</w:t>
      </w:r>
      <w:r w:rsidR="00BD40A3">
        <w:rPr>
          <w:rFonts w:ascii="Times New Roman" w:hAnsi="Times New Roman" w:cs="Times New Roman"/>
          <w:szCs w:val="24"/>
        </w:rPr>
        <w:t xml:space="preserve"> zmiany przepisów innych ustaw.</w:t>
      </w:r>
    </w:p>
    <w:p w14:paraId="6273ACC9" w14:textId="3BF71B0B"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t xml:space="preserve">EFMRA jest następcą wdrażanego w perspektywie finansowej na lata 2014–2020 Europejskiego Funduszu Morskiego i Rybackiego, który został w Polsce wprowadzony Programem Operacyjnym „Rybactwo i Morze” na lata 2014–2020. Skutkiem tego następstwa </w:t>
      </w:r>
      <w:r>
        <w:rPr>
          <w:rFonts w:ascii="Times New Roman" w:hAnsi="Times New Roman" w:cs="Times New Roman"/>
          <w:szCs w:val="24"/>
        </w:rPr>
        <w:lastRenderedPageBreak/>
        <w:t>jest również fakt, że istotna część rozwiązań zawartych w projektowanej ustawie opiera się na</w:t>
      </w:r>
      <w:r w:rsidR="009B1AC1">
        <w:rPr>
          <w:rFonts w:ascii="Times New Roman" w:hAnsi="Times New Roman" w:cs="Times New Roman"/>
          <w:szCs w:val="24"/>
        </w:rPr>
        <w:t xml:space="preserve"> </w:t>
      </w:r>
      <w:r>
        <w:rPr>
          <w:rFonts w:ascii="Times New Roman" w:hAnsi="Times New Roman" w:cs="Times New Roman"/>
          <w:szCs w:val="24"/>
        </w:rPr>
        <w:t>rozwiązaniach funkcjonujących w okresie programowania 2014–2020. Przykładowo zbliżone będą warunki ubiegania się o pomoc finansową i jej przyznawania – uzyskanie pomocy będzie wymagało złożenia wniosku przez zainteresowanego oraz podpisania umowy o</w:t>
      </w:r>
      <w:r w:rsidR="0042591D">
        <w:rPr>
          <w:rFonts w:ascii="Times New Roman" w:hAnsi="Times New Roman" w:cs="Times New Roman"/>
          <w:szCs w:val="24"/>
        </w:rPr>
        <w:t> </w:t>
      </w:r>
      <w:r>
        <w:rPr>
          <w:rFonts w:ascii="Times New Roman" w:hAnsi="Times New Roman" w:cs="Times New Roman"/>
          <w:szCs w:val="24"/>
        </w:rPr>
        <w:t>dofinansowanie. Nowością będzie zastosowanie w szerokim zakresie systemu teleinformatycznego do obsługi udzielanej pomocy, a zasadniczej zmianie ulegnie wdrażanie w programie rozwoju lokalnego kierowanego pr</w:t>
      </w:r>
      <w:r w:rsidR="00BD40A3">
        <w:rPr>
          <w:rFonts w:ascii="Times New Roman" w:hAnsi="Times New Roman" w:cs="Times New Roman"/>
          <w:szCs w:val="24"/>
        </w:rPr>
        <w:t>zez społeczność w ramach EFMRA.</w:t>
      </w:r>
    </w:p>
    <w:p w14:paraId="0AB885A5" w14:textId="77777777"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t>W celu uporządkowania zakresu regulacji, a także ułatwienia korzystania z niej, zwłaszcza przez przyszłych beneficjentów Programu, projektowana ustawa została podzielona na następujące rozdziały:</w:t>
      </w:r>
    </w:p>
    <w:p w14:paraId="63EBD09F" w14:textId="77777777" w:rsidR="004C5452" w:rsidRDefault="004C5452" w:rsidP="004C5452">
      <w:pPr>
        <w:pStyle w:val="NIEARTTEKSTtekstnieartykuowanynppodstprawnarozplubpreambua"/>
        <w:spacing w:before="0"/>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Rozdział 1 – Przepisy ogólne,</w:t>
      </w:r>
    </w:p>
    <w:p w14:paraId="68AF611D" w14:textId="77777777" w:rsidR="004C5452" w:rsidRDefault="004C5452" w:rsidP="004C5452">
      <w:pPr>
        <w:pStyle w:val="NIEARTTEKSTtekstnieartykuowanynppodstprawnarozplubpreambua"/>
        <w:spacing w:before="0"/>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Rozdział 2 – System instytucjonalny,</w:t>
      </w:r>
    </w:p>
    <w:p w14:paraId="2B2D9151" w14:textId="77777777" w:rsidR="004C5452" w:rsidRDefault="004C5452" w:rsidP="004C5452">
      <w:pPr>
        <w:pStyle w:val="NIEARTTEKSTtekstnieartykuowanynppodstprawnarozplubpreambua"/>
        <w:spacing w:before="0"/>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Rozdział 3 – Przyznawanie i wypłata pomocy,</w:t>
      </w:r>
    </w:p>
    <w:p w14:paraId="0E2CACF7" w14:textId="77777777" w:rsidR="004C5452" w:rsidRDefault="004C5452" w:rsidP="004C5452">
      <w:pPr>
        <w:pStyle w:val="NIEARTTEKSTtekstnieartykuowanynppodstprawnarozplubpreambua"/>
        <w:spacing w:before="0"/>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 xml:space="preserve">Rozdział 4 – </w:t>
      </w:r>
      <w:r>
        <w:t>Rozwój lokalny kierowany przez społeczność</w:t>
      </w:r>
      <w:r>
        <w:rPr>
          <w:rFonts w:ascii="Times New Roman" w:hAnsi="Times New Roman" w:cs="Times New Roman"/>
          <w:szCs w:val="24"/>
        </w:rPr>
        <w:t xml:space="preserve"> (RLKS),</w:t>
      </w:r>
    </w:p>
    <w:p w14:paraId="62F43FB8" w14:textId="77777777" w:rsidR="004C5452" w:rsidRDefault="004C5452" w:rsidP="004C5452">
      <w:pPr>
        <w:pStyle w:val="NIEARTTEKSTtekstnieartykuowanynppodstprawnarozplubpreambua"/>
        <w:spacing w:before="0"/>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Rozdział 5 – Zwrot pomocy,</w:t>
      </w:r>
    </w:p>
    <w:p w14:paraId="4F3D5454" w14:textId="77777777" w:rsidR="004C5452" w:rsidRDefault="004C5452" w:rsidP="004C5452">
      <w:pPr>
        <w:pStyle w:val="NIEARTTEKSTtekstnieartykuowanynppodstprawnarozplubpreambua"/>
        <w:spacing w:before="0"/>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Rozdział 6 – Kontrole,</w:t>
      </w:r>
    </w:p>
    <w:p w14:paraId="7ED8F639" w14:textId="77777777" w:rsidR="004C5452" w:rsidRDefault="004C5452" w:rsidP="004C5452">
      <w:pPr>
        <w:pStyle w:val="NIEARTTEKSTtekstnieartykuowanynppodstprawnarozplubpreambua"/>
        <w:spacing w:before="0"/>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Rozdział 7 – Zmiany w przepisach,</w:t>
      </w:r>
    </w:p>
    <w:p w14:paraId="646AF57F" w14:textId="77777777" w:rsidR="004C5452" w:rsidRDefault="004C5452" w:rsidP="004C5452">
      <w:pPr>
        <w:pStyle w:val="NIEARTTEKSTtekstnieartykuowanynppodstprawnarozplubpreambua"/>
        <w:spacing w:before="0"/>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Rozdział 8 – Przepisy przejściowe i przepisy końcowe.</w:t>
      </w:r>
    </w:p>
    <w:p w14:paraId="7658EEA9" w14:textId="77777777" w:rsidR="004C5452" w:rsidRDefault="004C5452" w:rsidP="004C5452">
      <w:pPr>
        <w:pStyle w:val="NIEARTTEKSTtekstnieartykuowanynppodstprawnarozplubpreambua"/>
        <w:spacing w:before="0"/>
        <w:rPr>
          <w:rFonts w:ascii="Times New Roman" w:hAnsi="Times New Roman" w:cs="Times New Roman"/>
          <w:szCs w:val="24"/>
        </w:rPr>
      </w:pPr>
    </w:p>
    <w:p w14:paraId="4CC8CE51" w14:textId="77777777" w:rsidR="004C5452" w:rsidRDefault="004C5452" w:rsidP="004C5452">
      <w:pPr>
        <w:pStyle w:val="LITlitera"/>
      </w:pPr>
      <w:r>
        <w:t>Rozdział 1 – Przepisy ogólne</w:t>
      </w:r>
    </w:p>
    <w:p w14:paraId="4E9FDC41" w14:textId="77777777" w:rsidR="004C5452" w:rsidRDefault="004C5452" w:rsidP="004C5452">
      <w:pPr>
        <w:pStyle w:val="NIEARTTEKSTtekstnieartykuowanynppodstprawnarozplubpreambua"/>
        <w:spacing w:before="0"/>
        <w:rPr>
          <w:rFonts w:ascii="Times New Roman" w:hAnsi="Times New Roman" w:cs="Times New Roman"/>
          <w:szCs w:val="24"/>
        </w:rPr>
      </w:pPr>
      <w:r>
        <w:rPr>
          <w:rFonts w:ascii="Times New Roman" w:hAnsi="Times New Roman" w:cs="Times New Roman"/>
          <w:szCs w:val="24"/>
        </w:rPr>
        <w:t xml:space="preserve">Ten rozdział określa zakres projektowanej ustawy (art. 1), wskazując, że reguluje ona: </w:t>
      </w:r>
    </w:p>
    <w:p w14:paraId="65D199DB" w14:textId="77777777" w:rsidR="004C5452" w:rsidRDefault="004C5452" w:rsidP="004C5452">
      <w:pPr>
        <w:pStyle w:val="PKTpunkt"/>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 xml:space="preserve">zadania oraz właściwość organów i jednostek organizacyjnych w zakresie wspierania zrównoważonego rozwoju sektora rybackiego z udziałem środków finansowych pochodzących z EFMRA, w ramach Programu, określone w </w:t>
      </w:r>
      <w:r>
        <w:rPr>
          <w:rFonts w:ascii="Times New Roman" w:eastAsia="Times New Roman" w:hAnsi="Times New Roman" w:cs="Times New Roman"/>
          <w:szCs w:val="24"/>
        </w:rPr>
        <w:t>rozporządzeniu EFMRA oraz rozporządzeniu ogólnym,</w:t>
      </w:r>
    </w:p>
    <w:p w14:paraId="35084425" w14:textId="6735338F" w:rsidR="004C5452" w:rsidRDefault="004C5452" w:rsidP="004C5452">
      <w:pPr>
        <w:pStyle w:val="PKTpunkt"/>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warunki i tryb przyznawania wypłaty oraz zwrotu pomocy finansowej na realizację operacji w ramach Programu, w zakresie nieokreślonym w ww. przepisach UE lub przewidzianym w tych przepisach do określenia przez państwo członkowskie UE,</w:t>
      </w:r>
    </w:p>
    <w:p w14:paraId="192B1443" w14:textId="29885C1D" w:rsidR="004C5452" w:rsidRDefault="004C5452" w:rsidP="004C5452">
      <w:pPr>
        <w:pStyle w:val="PKTpunkt"/>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wspieranie w ramach Programu RLKS, o</w:t>
      </w:r>
      <w:r w:rsidR="009B1AC1">
        <w:rPr>
          <w:rFonts w:ascii="Times New Roman" w:hAnsi="Times New Roman" w:cs="Times New Roman"/>
          <w:szCs w:val="24"/>
        </w:rPr>
        <w:t xml:space="preserve"> </w:t>
      </w:r>
      <w:r>
        <w:rPr>
          <w:rFonts w:ascii="Times New Roman" w:hAnsi="Times New Roman" w:cs="Times New Roman"/>
          <w:szCs w:val="24"/>
        </w:rPr>
        <w:t>który</w:t>
      </w:r>
      <w:r w:rsidR="0042591D">
        <w:rPr>
          <w:rFonts w:ascii="Times New Roman" w:hAnsi="Times New Roman" w:cs="Times New Roman"/>
          <w:szCs w:val="24"/>
        </w:rPr>
        <w:t>m mowa w tytule III w rozdziale </w:t>
      </w:r>
      <w:r>
        <w:rPr>
          <w:rFonts w:ascii="Times New Roman" w:hAnsi="Times New Roman" w:cs="Times New Roman"/>
          <w:szCs w:val="24"/>
        </w:rPr>
        <w:t>II rozporządzenia ogólnego, w ramach EFMRA, w zakresie nieokreślonym w przepisach UE lub przewidzianym w tych przepisach do określenia przez państwo członkowskie UE,</w:t>
      </w:r>
    </w:p>
    <w:p w14:paraId="24B5197F" w14:textId="2F66C2BB" w:rsidR="004C5452" w:rsidRDefault="004C5452" w:rsidP="004C5452">
      <w:pPr>
        <w:pStyle w:val="PKTpunkt"/>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zasady przeprowadzania kontroli w ramach Programu w zakresie nieokreślonym w</w:t>
      </w:r>
      <w:r w:rsidR="0042591D">
        <w:rPr>
          <w:rFonts w:ascii="Times New Roman" w:hAnsi="Times New Roman" w:cs="Times New Roman"/>
          <w:szCs w:val="24"/>
        </w:rPr>
        <w:t> </w:t>
      </w:r>
      <w:r>
        <w:rPr>
          <w:rFonts w:ascii="Times New Roman" w:hAnsi="Times New Roman" w:cs="Times New Roman"/>
          <w:szCs w:val="24"/>
        </w:rPr>
        <w:t>przepisach UE lub przewidzianym w tych przepisach do określenia przez państwo członkowskie UE.</w:t>
      </w:r>
    </w:p>
    <w:p w14:paraId="529FD7BB" w14:textId="6CD3A7AD"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lastRenderedPageBreak/>
        <w:t>W celu zapewnienia czytelności regulacji w projektowanej ustawie zawarto również krótki słowniczek (art. 2) zawierający definicje niektórych pojęć, m.in. beneficjenta, grantobiorcy, operacji, projektu grantowego oraz systemu teleinformatycznego. Niezależnie od tego przepisu, szereg innych występujących w projektowanej ustawie pojęć zostało zdefiniowanych w przepisach samej ustawy, w których pojawiają się po raz pierwszy, dotyczy to również występujących w przepisach skrótów lub powtarzających się tytułów aktów prawnych.</w:t>
      </w:r>
    </w:p>
    <w:p w14:paraId="5923FC6B" w14:textId="77777777"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t>Projektowana ustawa przesądza w art. 3, że wdrażanie w Polsce EFMRA w ramach Programu obejmie realizację wszystkich priorytetów, na których opiera się ten fundusz (zgodnie z pkt 12 preambuły do rozporządzenia EF</w:t>
      </w:r>
      <w:r w:rsidR="00BD40A3">
        <w:rPr>
          <w:rFonts w:ascii="Times New Roman" w:hAnsi="Times New Roman" w:cs="Times New Roman"/>
          <w:szCs w:val="24"/>
        </w:rPr>
        <w:t>MRA), to jest:</w:t>
      </w:r>
    </w:p>
    <w:p w14:paraId="54978CC1" w14:textId="77777777" w:rsidR="004C5452" w:rsidRDefault="004C5452" w:rsidP="004C5452">
      <w:pPr>
        <w:pStyle w:val="PKTpunkt"/>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 xml:space="preserve">Priorytetu 1. </w:t>
      </w:r>
      <w:r>
        <w:t>Wspieranie zrównoważonego rybołówstwa oraz odbudowy i ochrony żywych zasobów wodnych</w:t>
      </w:r>
      <w:r>
        <w:rPr>
          <w:rStyle w:val="Kkursywa"/>
          <w:rFonts w:ascii="Times New Roman" w:hAnsi="Times New Roman" w:cs="Times New Roman"/>
          <w:szCs w:val="24"/>
        </w:rPr>
        <w:t>,</w:t>
      </w:r>
    </w:p>
    <w:p w14:paraId="54FFB9EE" w14:textId="77777777" w:rsidR="004C5452" w:rsidRDefault="004C5452" w:rsidP="004C5452">
      <w:pPr>
        <w:pStyle w:val="PKTpunkt"/>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 xml:space="preserve">Priorytetu 2. </w:t>
      </w:r>
      <w:r>
        <w:t>Wspieranie zrównoważonej działalności w zakresie akwakultury oraz przetwarzania i wprowadzania do obrotu produktów rybołówstwa i akwakultury, przyczyniając się w ten sposób do bezpieczeństwa żywnościowego w Unii</w:t>
      </w:r>
      <w:r>
        <w:rPr>
          <w:rFonts w:ascii="Times New Roman" w:hAnsi="Times New Roman" w:cs="Times New Roman"/>
          <w:szCs w:val="24"/>
        </w:rPr>
        <w:t>,</w:t>
      </w:r>
    </w:p>
    <w:p w14:paraId="718CB5ED" w14:textId="77777777" w:rsidR="004C5452" w:rsidRDefault="004C5452" w:rsidP="004C5452">
      <w:pPr>
        <w:pStyle w:val="PKTpunkt"/>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 xml:space="preserve">Priorytetu 3. </w:t>
      </w:r>
      <w:r>
        <w:t>Sprzyjanie zrównoważonej niebieskiej gospodarce na obszarach przybrzeżnych, wyspiarskich i śródlądowych oraz wspieranie rozwoju społeczności rybackich i sektora akwakultury</w:t>
      </w:r>
      <w:r>
        <w:rPr>
          <w:rFonts w:ascii="Times New Roman" w:hAnsi="Times New Roman" w:cs="Times New Roman"/>
          <w:szCs w:val="24"/>
        </w:rPr>
        <w:t>,</w:t>
      </w:r>
    </w:p>
    <w:p w14:paraId="3E2C3677" w14:textId="77777777" w:rsidR="004C5452" w:rsidRDefault="004C5452" w:rsidP="004C5452">
      <w:pPr>
        <w:pStyle w:val="PKTpunkt"/>
        <w:ind w:left="567" w:hanging="567"/>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t xml:space="preserve">Priorytetu 4. </w:t>
      </w:r>
      <w:r>
        <w:t>Wzmocnienie międzynarodowego zarządzania oceanami oraz przyczynienie się do zapewnienia bezpieczeństwa i czystości mórz i oceanów, ochrony na nich, a także zrównoważonego zarządzania nimi</w:t>
      </w:r>
      <w:r>
        <w:rPr>
          <w:rStyle w:val="Kkursywa"/>
          <w:rFonts w:ascii="Times New Roman" w:hAnsi="Times New Roman" w:cs="Times New Roman"/>
          <w:szCs w:val="24"/>
        </w:rPr>
        <w:t>.</w:t>
      </w:r>
    </w:p>
    <w:p w14:paraId="41324654" w14:textId="584C7EBB"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t xml:space="preserve">Realizowany będzie również Priorytet 5. – </w:t>
      </w:r>
      <w:r>
        <w:rPr>
          <w:rStyle w:val="TekstpodstawowyZnak"/>
          <w:rFonts w:eastAsiaTheme="minorEastAsia"/>
        </w:rPr>
        <w:t>Pomoc techniczna</w:t>
      </w:r>
      <w:r w:rsidR="0042591D">
        <w:rPr>
          <w:rFonts w:ascii="Times New Roman" w:hAnsi="Times New Roman" w:cs="Times New Roman"/>
          <w:szCs w:val="24"/>
        </w:rPr>
        <w:t>, o którym mowa w art. </w:t>
      </w:r>
      <w:r>
        <w:rPr>
          <w:rFonts w:ascii="Times New Roman" w:hAnsi="Times New Roman" w:cs="Times New Roman"/>
          <w:szCs w:val="24"/>
        </w:rPr>
        <w:t>36 ust. 4 rozporządzenia ogólnego. W przeciwieństwie do poprzedniego okresu programowania, gdzie pomoc techniczna nie była równorzędnym priorytetem w Programie Operacyjnym „Rybactwo i Morze” na lata 2014–2020, w projektowan</w:t>
      </w:r>
      <w:r w:rsidR="0042591D">
        <w:rPr>
          <w:rFonts w:ascii="Times New Roman" w:hAnsi="Times New Roman" w:cs="Times New Roman"/>
          <w:szCs w:val="24"/>
        </w:rPr>
        <w:t>ej ustawie wdrażanie Priorytetu </w:t>
      </w:r>
      <w:r>
        <w:rPr>
          <w:rFonts w:ascii="Times New Roman" w:hAnsi="Times New Roman" w:cs="Times New Roman"/>
          <w:szCs w:val="24"/>
        </w:rPr>
        <w:t>5. – Pomocy technicznej będzie regulowane na zasadach obowiązujących dla wszystkich priorytetów Programu, ewentualnie z wyjątkami niezbędnymi dla skutecznej realizacji dz</w:t>
      </w:r>
      <w:r w:rsidR="00BD40A3">
        <w:rPr>
          <w:rFonts w:ascii="Times New Roman" w:hAnsi="Times New Roman" w:cs="Times New Roman"/>
          <w:szCs w:val="24"/>
        </w:rPr>
        <w:t>iałań w ramach tego priorytetu.</w:t>
      </w:r>
    </w:p>
    <w:p w14:paraId="40C0C8DA" w14:textId="189BC42C"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t>W projektowanej ustawie są wymienione również działania, które będą realizowane w</w:t>
      </w:r>
      <w:r w:rsidR="0042591D">
        <w:rPr>
          <w:rFonts w:ascii="Times New Roman" w:hAnsi="Times New Roman" w:cs="Times New Roman"/>
          <w:szCs w:val="24"/>
        </w:rPr>
        <w:t> </w:t>
      </w:r>
      <w:r>
        <w:rPr>
          <w:rFonts w:ascii="Times New Roman" w:hAnsi="Times New Roman" w:cs="Times New Roman"/>
          <w:szCs w:val="24"/>
        </w:rPr>
        <w:t>ramach wymienionych Priorytetów 1–5. Sprecyzowano również cele szczegółowe z</w:t>
      </w:r>
      <w:r w:rsidR="0042591D">
        <w:rPr>
          <w:rFonts w:ascii="Times New Roman" w:hAnsi="Times New Roman" w:cs="Times New Roman"/>
          <w:szCs w:val="24"/>
        </w:rPr>
        <w:t> </w:t>
      </w:r>
      <w:r>
        <w:rPr>
          <w:rFonts w:ascii="Times New Roman" w:hAnsi="Times New Roman" w:cs="Times New Roman"/>
          <w:szCs w:val="24"/>
        </w:rPr>
        <w:t>rozporządzenia EFMRA, które będą realizowane przez ww. Priorytety i działania.</w:t>
      </w:r>
    </w:p>
    <w:p w14:paraId="3EE61FD9" w14:textId="77777777" w:rsidR="004C5452" w:rsidRDefault="004C5452" w:rsidP="004C5452">
      <w:pPr>
        <w:pStyle w:val="ARTartustawynprozporzdzenia"/>
        <w:rPr>
          <w:rFonts w:ascii="Times New Roman" w:hAnsi="Times New Roman" w:cs="Times New Roman"/>
          <w:szCs w:val="24"/>
        </w:rPr>
      </w:pPr>
    </w:p>
    <w:p w14:paraId="1D609AB5" w14:textId="77777777" w:rsidR="004C5452" w:rsidRDefault="004C5452" w:rsidP="005748CE">
      <w:pPr>
        <w:pStyle w:val="LITlitera"/>
        <w:keepNext/>
      </w:pPr>
      <w:r>
        <w:lastRenderedPageBreak/>
        <w:t>Rozdział 2 – System instytucjonalny</w:t>
      </w:r>
    </w:p>
    <w:p w14:paraId="1E1BC130" w14:textId="3DC44ACF" w:rsidR="004C5452" w:rsidRDefault="004C5452" w:rsidP="00BD40A3">
      <w:pPr>
        <w:pStyle w:val="ARTartustawynprozporzdzenia"/>
        <w:spacing w:before="0"/>
        <w:ind w:firstLine="567"/>
        <w:rPr>
          <w:rFonts w:ascii="Times New Roman" w:hAnsi="Times New Roman" w:cs="Times New Roman"/>
          <w:szCs w:val="24"/>
        </w:rPr>
      </w:pPr>
      <w:r>
        <w:rPr>
          <w:rFonts w:ascii="Times New Roman" w:hAnsi="Times New Roman" w:cs="Times New Roman"/>
          <w:szCs w:val="24"/>
        </w:rPr>
        <w:t>Ten rozdział projektowanej ustawy (art. 4–9) ustanawia instytuc</w:t>
      </w:r>
      <w:r w:rsidR="0042591D">
        <w:rPr>
          <w:rFonts w:ascii="Times New Roman" w:hAnsi="Times New Roman" w:cs="Times New Roman"/>
          <w:szCs w:val="24"/>
        </w:rPr>
        <w:t>je zaangażowane w </w:t>
      </w:r>
      <w:r>
        <w:rPr>
          <w:rFonts w:ascii="Times New Roman" w:hAnsi="Times New Roman" w:cs="Times New Roman"/>
          <w:szCs w:val="24"/>
        </w:rPr>
        <w:t>realizację Programu. Zaproponowane w nim rozwiązania mają na celu optymalizację realizacji Programu i wynikają z praktyki zdobytej w perspektywie finansowej 2014–2020.</w:t>
      </w:r>
    </w:p>
    <w:p w14:paraId="29CF0117" w14:textId="5DBA4EEA" w:rsidR="004C5452" w:rsidRDefault="004C5452" w:rsidP="004C5452">
      <w:pPr>
        <w:pStyle w:val="NIEARTTEKSTtekstnieartykuowanynppodstprawnarozplubpreambua"/>
        <w:spacing w:before="0"/>
        <w:rPr>
          <w:rFonts w:ascii="Times New Roman" w:hAnsi="Times New Roman" w:cs="Times New Roman"/>
          <w:szCs w:val="24"/>
        </w:rPr>
      </w:pPr>
      <w:r>
        <w:rPr>
          <w:rFonts w:ascii="Times New Roman" w:hAnsi="Times New Roman" w:cs="Times New Roman"/>
          <w:szCs w:val="24"/>
        </w:rPr>
        <w:t>Instytucją zarządzającą (IZ), czyli instytucją, o której mowa w art. 7</w:t>
      </w:r>
      <w:r w:rsidR="0042591D">
        <w:rPr>
          <w:rFonts w:ascii="Times New Roman" w:hAnsi="Times New Roman" w:cs="Times New Roman"/>
          <w:szCs w:val="24"/>
        </w:rPr>
        <w:t>1 ust. </w:t>
      </w:r>
      <w:r>
        <w:rPr>
          <w:rFonts w:ascii="Times New Roman" w:hAnsi="Times New Roman" w:cs="Times New Roman"/>
          <w:szCs w:val="24"/>
        </w:rPr>
        <w:t>1 rozporządzenia ogólnego, podobnie jak w perspektywie finansowej 2014–2020, będzie minister właściwy do spraw rybołówstwa (art. 4). Kompetencje IZ są określone w</w:t>
      </w:r>
      <w:r w:rsidR="009B1AC1">
        <w:rPr>
          <w:rFonts w:ascii="Times New Roman" w:hAnsi="Times New Roman" w:cs="Times New Roman"/>
          <w:szCs w:val="24"/>
        </w:rPr>
        <w:t xml:space="preserve"> </w:t>
      </w:r>
      <w:r>
        <w:rPr>
          <w:rFonts w:ascii="Times New Roman" w:hAnsi="Times New Roman" w:cs="Times New Roman"/>
          <w:szCs w:val="24"/>
        </w:rPr>
        <w:t>obowiązujących wprost przepisach UE, z tego względu nie zostały powtórzone w</w:t>
      </w:r>
      <w:r w:rsidR="009B1AC1">
        <w:rPr>
          <w:rFonts w:ascii="Times New Roman" w:hAnsi="Times New Roman" w:cs="Times New Roman"/>
          <w:szCs w:val="24"/>
        </w:rPr>
        <w:t xml:space="preserve"> </w:t>
      </w:r>
      <w:r>
        <w:rPr>
          <w:rFonts w:ascii="Times New Roman" w:hAnsi="Times New Roman" w:cs="Times New Roman"/>
          <w:szCs w:val="24"/>
        </w:rPr>
        <w:t>projektowanej ustawie. Doprecyzowano jedynie, że specjalista do spraw komunikacji, o</w:t>
      </w:r>
      <w:r w:rsidR="009B1AC1">
        <w:rPr>
          <w:rFonts w:ascii="Times New Roman" w:hAnsi="Times New Roman" w:cs="Times New Roman"/>
          <w:szCs w:val="24"/>
        </w:rPr>
        <w:t xml:space="preserve"> </w:t>
      </w:r>
      <w:r w:rsidR="0042591D">
        <w:rPr>
          <w:rFonts w:ascii="Times New Roman" w:hAnsi="Times New Roman" w:cs="Times New Roman"/>
          <w:szCs w:val="24"/>
        </w:rPr>
        <w:t>którym mowa w art. 48 ust. </w:t>
      </w:r>
      <w:r>
        <w:rPr>
          <w:rFonts w:ascii="Times New Roman" w:hAnsi="Times New Roman" w:cs="Times New Roman"/>
          <w:szCs w:val="24"/>
        </w:rPr>
        <w:t>2 rozporządzenia ogólnego, zostanie wyznaczony przez IZ spośród pracowników urzędu obsługującego ministra właściwego do spraw rybołówstwa, a</w:t>
      </w:r>
      <w:r w:rsidR="009B1AC1">
        <w:rPr>
          <w:rFonts w:ascii="Times New Roman" w:hAnsi="Times New Roman" w:cs="Times New Roman"/>
          <w:szCs w:val="24"/>
        </w:rPr>
        <w:t xml:space="preserve"> </w:t>
      </w:r>
      <w:r>
        <w:rPr>
          <w:rFonts w:ascii="Times New Roman" w:hAnsi="Times New Roman" w:cs="Times New Roman"/>
          <w:szCs w:val="24"/>
        </w:rPr>
        <w:t xml:space="preserve">IZ będzie realizować również zadania w zakresie komunikacji i widoczności określone </w:t>
      </w:r>
      <w:r w:rsidR="00D96AFE">
        <w:rPr>
          <w:rFonts w:ascii="Times New Roman" w:hAnsi="Times New Roman" w:cs="Times New Roman"/>
          <w:szCs w:val="24"/>
        </w:rPr>
        <w:t xml:space="preserve">w </w:t>
      </w:r>
      <w:r>
        <w:rPr>
          <w:rFonts w:ascii="Times New Roman" w:hAnsi="Times New Roman" w:cs="Times New Roman"/>
          <w:szCs w:val="24"/>
        </w:rPr>
        <w:t>art.</w:t>
      </w:r>
      <w:r w:rsidR="009B1AC1">
        <w:rPr>
          <w:rFonts w:ascii="Times New Roman" w:hAnsi="Times New Roman" w:cs="Times New Roman"/>
          <w:szCs w:val="24"/>
        </w:rPr>
        <w:t xml:space="preserve"> </w:t>
      </w:r>
      <w:r>
        <w:rPr>
          <w:rFonts w:ascii="Times New Roman" w:hAnsi="Times New Roman" w:cs="Times New Roman"/>
          <w:szCs w:val="24"/>
        </w:rPr>
        <w:t>49 rozporządzenia ogólnego. Ponadto IZ przypisano realizowanie w</w:t>
      </w:r>
      <w:r w:rsidR="009B1AC1">
        <w:rPr>
          <w:rFonts w:ascii="Times New Roman" w:hAnsi="Times New Roman" w:cs="Times New Roman"/>
          <w:szCs w:val="24"/>
        </w:rPr>
        <w:t xml:space="preserve"> </w:t>
      </w:r>
      <w:r>
        <w:rPr>
          <w:rFonts w:ascii="Times New Roman" w:hAnsi="Times New Roman" w:cs="Times New Roman"/>
          <w:szCs w:val="24"/>
        </w:rPr>
        <w:t>Programie zadań państwa członkowskiego UE określonych w rozporządzeniu ogólnym oraz rozporządzeniu EFMRA, nieprzypisanych innym organom.</w:t>
      </w:r>
    </w:p>
    <w:p w14:paraId="0569A11B" w14:textId="77777777"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t xml:space="preserve">Niezbędny w Programie, stosownie do art. </w:t>
      </w:r>
      <w:r>
        <w:rPr>
          <w:rFonts w:ascii="Times New Roman" w:eastAsia="Times New Roman" w:hAnsi="Times New Roman" w:cs="Times New Roman"/>
          <w:szCs w:val="24"/>
        </w:rPr>
        <w:t>38</w:t>
      </w:r>
      <w:r>
        <w:rPr>
          <w:rFonts w:ascii="Times New Roman" w:hAnsi="Times New Roman" w:cs="Times New Roman"/>
          <w:szCs w:val="24"/>
        </w:rPr>
        <w:t xml:space="preserve"> </w:t>
      </w:r>
      <w:r>
        <w:rPr>
          <w:rFonts w:ascii="Times New Roman" w:eastAsia="Times New Roman" w:hAnsi="Times New Roman" w:cs="Times New Roman"/>
          <w:szCs w:val="24"/>
        </w:rPr>
        <w:t>rozporządzenia ogólnego,</w:t>
      </w:r>
      <w:r>
        <w:rPr>
          <w:rFonts w:ascii="Times New Roman" w:hAnsi="Times New Roman" w:cs="Times New Roman"/>
          <w:szCs w:val="24"/>
        </w:rPr>
        <w:t xml:space="preserve"> komitet monitorujący (KM) powoła, w drodze zarządzenia, minister właściwy do spraw rybołówstwa. Kompetencje KM są określone w</w:t>
      </w:r>
      <w:r w:rsidR="009B1AC1">
        <w:rPr>
          <w:rFonts w:ascii="Times New Roman" w:hAnsi="Times New Roman" w:cs="Times New Roman"/>
          <w:szCs w:val="24"/>
        </w:rPr>
        <w:t xml:space="preserve"> </w:t>
      </w:r>
      <w:r>
        <w:rPr>
          <w:rFonts w:ascii="Times New Roman" w:hAnsi="Times New Roman" w:cs="Times New Roman"/>
          <w:szCs w:val="24"/>
        </w:rPr>
        <w:t>obowiązujących wprost przepisach UE, z tego względu nie zostały powt</w:t>
      </w:r>
      <w:r w:rsidR="00BD40A3">
        <w:rPr>
          <w:rFonts w:ascii="Times New Roman" w:hAnsi="Times New Roman" w:cs="Times New Roman"/>
          <w:szCs w:val="24"/>
        </w:rPr>
        <w:t>órzone w</w:t>
      </w:r>
      <w:r w:rsidR="009B1AC1">
        <w:rPr>
          <w:rFonts w:ascii="Times New Roman" w:hAnsi="Times New Roman" w:cs="Times New Roman"/>
          <w:szCs w:val="24"/>
        </w:rPr>
        <w:t xml:space="preserve"> </w:t>
      </w:r>
      <w:r w:rsidR="00BD40A3">
        <w:rPr>
          <w:rFonts w:ascii="Times New Roman" w:hAnsi="Times New Roman" w:cs="Times New Roman"/>
          <w:szCs w:val="24"/>
        </w:rPr>
        <w:t>projektowanej ustawie.</w:t>
      </w:r>
    </w:p>
    <w:p w14:paraId="405642CE" w14:textId="77777777"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t>Ponadto będzie możliwe również fakultatywne powołanie przez ministra właściwego do spraw rybołówstwa, w drodze zarządzenia, organów opiniodawczo-doradczych w sprawach należących do zadań i kompetencji IZ. Analogiczne ciało powołano w obecnym okresie programowania i służy ono m.in. eksperckiej ocenie realizacji projektów o charakterze innowacyjnym, przy których analizie szczególnie istotna jest wiedza specjali</w:t>
      </w:r>
      <w:r w:rsidR="00BD40A3">
        <w:rPr>
          <w:rFonts w:ascii="Times New Roman" w:hAnsi="Times New Roman" w:cs="Times New Roman"/>
          <w:szCs w:val="24"/>
        </w:rPr>
        <w:t>styczna ekspertów zewnętrznych.</w:t>
      </w:r>
    </w:p>
    <w:p w14:paraId="484DA2F1" w14:textId="54027E0F"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t>Projektowana ustawa przewiduje również możliwość wydawania przez IZ wytycznych, które będą – uzupełniając regulacje zawarte w aktach prawa powszechnie obowiązującego oraz regulacje umowne – pomocniczym instrumentem zapewnienia prawidłowej realizacji Programu. W przeciwieństwie jednak do wytycznych stosowanych w perspektywie finansowej 2021–2027 na gruncie przepisów z zakresu realizacji zadań finansowanych z innych niż EFMRA środków europejskich, wytyczne te będą miały jedynie charakter uzupełniający, w</w:t>
      </w:r>
      <w:r w:rsidR="0042591D">
        <w:rPr>
          <w:rFonts w:ascii="Times New Roman" w:hAnsi="Times New Roman" w:cs="Times New Roman"/>
          <w:szCs w:val="24"/>
        </w:rPr>
        <w:t> </w:t>
      </w:r>
      <w:r>
        <w:rPr>
          <w:rFonts w:ascii="Times New Roman" w:hAnsi="Times New Roman" w:cs="Times New Roman"/>
          <w:szCs w:val="24"/>
        </w:rPr>
        <w:t xml:space="preserve">związku z tym nie ma potrzeby ustanawiania szczególnego trybu ich uzgadniania, a ich podawanie do publicznej wiadomości nastąpi na stronie internetowej Programu. W wytycznych zostaną ustalone, w razie potrzeby, praktyczne standardy wdrażania Programu, które będą </w:t>
      </w:r>
      <w:r>
        <w:rPr>
          <w:rFonts w:ascii="Times New Roman" w:hAnsi="Times New Roman" w:cs="Times New Roman"/>
          <w:szCs w:val="24"/>
        </w:rPr>
        <w:lastRenderedPageBreak/>
        <w:t>wiązać Agencję Restrukturyzacji i Modernizacji Rolnictwa (ARiMR), rybackie lokalne grupy działania (RLGD) oraz wnioskodawców i beneficjentów Programu. Wytyczne nie mogą dotyczyć rozstrzygnięcia co do istoty indywidualnej sprawy wnioskodawcy lub beneficjenta dotyczącej realizacji określonej operacji. Podstawą stosow</w:t>
      </w:r>
      <w:r w:rsidR="0042591D">
        <w:rPr>
          <w:rFonts w:ascii="Times New Roman" w:hAnsi="Times New Roman" w:cs="Times New Roman"/>
          <w:szCs w:val="24"/>
        </w:rPr>
        <w:t>ania wytycznych – o czym mowa w </w:t>
      </w:r>
      <w:r>
        <w:rPr>
          <w:rFonts w:ascii="Times New Roman" w:hAnsi="Times New Roman" w:cs="Times New Roman"/>
          <w:szCs w:val="24"/>
        </w:rPr>
        <w:t>dalszych przepisach projektowanej ustawy – w stosunku</w:t>
      </w:r>
      <w:r w:rsidR="0042591D">
        <w:rPr>
          <w:rFonts w:ascii="Times New Roman" w:hAnsi="Times New Roman" w:cs="Times New Roman"/>
          <w:szCs w:val="24"/>
        </w:rPr>
        <w:t xml:space="preserve"> do ARiMR będzie porozumienie z </w:t>
      </w:r>
      <w:r>
        <w:rPr>
          <w:rFonts w:ascii="Times New Roman" w:hAnsi="Times New Roman" w:cs="Times New Roman"/>
          <w:szCs w:val="24"/>
        </w:rPr>
        <w:t>IZ, w</w:t>
      </w:r>
      <w:r w:rsidR="009B1AC1">
        <w:rPr>
          <w:rFonts w:ascii="Times New Roman" w:hAnsi="Times New Roman" w:cs="Times New Roman"/>
          <w:szCs w:val="24"/>
        </w:rPr>
        <w:t xml:space="preserve"> </w:t>
      </w:r>
      <w:r>
        <w:rPr>
          <w:rFonts w:ascii="Times New Roman" w:hAnsi="Times New Roman" w:cs="Times New Roman"/>
          <w:szCs w:val="24"/>
        </w:rPr>
        <w:t>stosunku do RLGD – jej umowa ramowa, a w stosunku do beneficjenta – jego umowa o dofinansowanie, przy czym wytyczne w swojej treści będą mogły dotyczyć również etapu wniosku o dofinansowanie.</w:t>
      </w:r>
    </w:p>
    <w:p w14:paraId="6570C3AD" w14:textId="5DF7054F"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t xml:space="preserve">Do realizacji Programu będzie wykorzystywany system teleinformatyczny, o którym mowa w art. 2 pkt 29 </w:t>
      </w:r>
      <w:r>
        <w:rPr>
          <w:rStyle w:val="TekstpodstawowyZnak"/>
          <w:rFonts w:eastAsiaTheme="minorEastAsia"/>
        </w:rPr>
        <w:t>ustawy z dnia 28 kwietnia 2022 r. o zasadach realizacji zadań finansowanych ze środków europejskich w perspektywie finansowej 2021–2027</w:t>
      </w:r>
      <w:r w:rsidR="0042591D">
        <w:rPr>
          <w:rFonts w:ascii="Times New Roman" w:hAnsi="Times New Roman" w:cs="Times New Roman"/>
          <w:szCs w:val="24"/>
        </w:rPr>
        <w:t xml:space="preserve"> (Dz. U. poz. </w:t>
      </w:r>
      <w:r>
        <w:rPr>
          <w:rFonts w:ascii="Times New Roman" w:hAnsi="Times New Roman" w:cs="Times New Roman"/>
          <w:szCs w:val="24"/>
        </w:rPr>
        <w:t>1079), zwanej dalej „ustawą wdrożeniową”. Jest to jeden system o charakterze centralnym, funkcjonujący w Polsce poczynając już od perspektywy 2007–</w:t>
      </w:r>
      <w:r w:rsidR="0042591D">
        <w:rPr>
          <w:rFonts w:ascii="Times New Roman" w:hAnsi="Times New Roman" w:cs="Times New Roman"/>
          <w:szCs w:val="24"/>
        </w:rPr>
        <w:t>2013, w którym rejestruje się i </w:t>
      </w:r>
      <w:r>
        <w:rPr>
          <w:rFonts w:ascii="Times New Roman" w:hAnsi="Times New Roman" w:cs="Times New Roman"/>
          <w:szCs w:val="24"/>
        </w:rPr>
        <w:t>przechowuje, w formie elektronicznej, dane zgodnie z art. 72 ust. 1 lit. e rozporządzenia ogólnego, a który nie był dotychczas wykorzystywany przy wdrażaniu w Polsce funduszy rybackich. W tym systemie będzie następować rejestracja i przechowywanie, w formie elektronicznej, danych dotyczących każdej operacji, niezbędnych do monitorowania, ewaluacji, zarządzania finansowego, weryfikacji i</w:t>
      </w:r>
      <w:r w:rsidR="009B1AC1">
        <w:rPr>
          <w:rFonts w:ascii="Times New Roman" w:hAnsi="Times New Roman" w:cs="Times New Roman"/>
          <w:szCs w:val="24"/>
        </w:rPr>
        <w:t xml:space="preserve"> </w:t>
      </w:r>
      <w:r>
        <w:rPr>
          <w:rFonts w:ascii="Times New Roman" w:hAnsi="Times New Roman" w:cs="Times New Roman"/>
          <w:szCs w:val="24"/>
        </w:rPr>
        <w:t>audytów, zgodnie z załącznikiem XVII do rozporządzenia ogólnego. System zapewnia bezpieczeństwo, integralność i poufność danych oraz uwierzytelnianie jego użytkowników.</w:t>
      </w:r>
    </w:p>
    <w:p w14:paraId="320FB2AB" w14:textId="77777777" w:rsidR="004C5452" w:rsidRDefault="004C5452" w:rsidP="00BD40A3">
      <w:pPr>
        <w:pStyle w:val="ARTartustawynprozporzdzenia"/>
        <w:ind w:firstLine="567"/>
        <w:rPr>
          <w:rFonts w:ascii="Times New Roman" w:hAnsi="Times New Roman" w:cs="Times New Roman"/>
          <w:szCs w:val="24"/>
        </w:rPr>
      </w:pPr>
      <w:r>
        <w:rPr>
          <w:rFonts w:ascii="Times New Roman" w:hAnsi="Times New Roman" w:cs="Times New Roman"/>
          <w:szCs w:val="24"/>
        </w:rPr>
        <w:t>Instytucją pośredniczącą Programu (IP) będzie ARiMR, której IZ powierzy swoje zadania w drodze pisemnego porozumienia (art. 5), podobnie jak w obecnym okresie programowania. W tym porozumieniu zostaną określone, oprócz zakresu zadań ARiMR jako IP, również sposób ich wykonywania, działania podejmowane w przypadku stwierdzenia nieprawidłowej realizacji przez ARiMR powierzonych zadań oraz zobowiązanie do stosowania przez ARiMR wytycznych wydawanych przez IZ. Przewidziane do ujęcia w przedmiotowym porozumieniu działania podejmowane w przypadku stwierdzenia nieprawidłowej realizacji przez ARiMR powierzonych zadań mogą objąć nawet wypowiedzenie umowy z powodu rażących nieprawidłowości, a także zostanie w nim dookreślony system kar umownych.</w:t>
      </w:r>
    </w:p>
    <w:p w14:paraId="1F461667" w14:textId="77777777" w:rsidR="004C5452" w:rsidRDefault="004C5452" w:rsidP="00BD40A3">
      <w:pPr>
        <w:pStyle w:val="ARTartustawynprozporzdzenia"/>
        <w:ind w:firstLine="567"/>
        <w:rPr>
          <w:rFonts w:ascii="Times New Roman" w:hAnsi="Times New Roman" w:cs="Times New Roman"/>
          <w:szCs w:val="24"/>
        </w:rPr>
      </w:pPr>
      <w:r>
        <w:rPr>
          <w:rFonts w:ascii="Times New Roman" w:hAnsi="Times New Roman" w:cs="Times New Roman"/>
          <w:szCs w:val="24"/>
        </w:rPr>
        <w:t>W Programie, jak dotychczas, nie przewiduje się ustanowienia instytucji wdrażających.</w:t>
      </w:r>
    </w:p>
    <w:p w14:paraId="5ED61D72" w14:textId="3C40729A" w:rsidR="004C5452" w:rsidRDefault="004C5452" w:rsidP="00BD40A3">
      <w:pPr>
        <w:pStyle w:val="NIEARTTEKSTtekstnieartykuowanynppodstprawnarozplubpreambua"/>
        <w:spacing w:before="0"/>
        <w:ind w:firstLine="567"/>
        <w:rPr>
          <w:rFonts w:ascii="Times New Roman" w:eastAsia="Times New Roman" w:hAnsi="Times New Roman" w:cs="Times New Roman"/>
          <w:szCs w:val="24"/>
        </w:rPr>
      </w:pPr>
      <w:r>
        <w:rPr>
          <w:rFonts w:ascii="Times New Roman" w:hAnsi="Times New Roman" w:cs="Times New Roman"/>
          <w:szCs w:val="24"/>
        </w:rPr>
        <w:t>Różnicą w stosunku do obecnego okresu programowania jest przesądzenie, że ARiMR będzie jedyną IP w Programie realizującą zadania w odniesieniu do wszystkich jego priorytetów, w</w:t>
      </w:r>
      <w:r w:rsidR="009B1AC1">
        <w:rPr>
          <w:rFonts w:ascii="Times New Roman" w:hAnsi="Times New Roman" w:cs="Times New Roman"/>
          <w:szCs w:val="24"/>
        </w:rPr>
        <w:t xml:space="preserve"> </w:t>
      </w:r>
      <w:r>
        <w:rPr>
          <w:rFonts w:ascii="Times New Roman" w:hAnsi="Times New Roman" w:cs="Times New Roman"/>
          <w:szCs w:val="24"/>
        </w:rPr>
        <w:t xml:space="preserve">tym realizacji w ramach EFMRA wsparcia rozwoju lokalnego kierowanego </w:t>
      </w:r>
      <w:r>
        <w:rPr>
          <w:rFonts w:ascii="Times New Roman" w:hAnsi="Times New Roman" w:cs="Times New Roman"/>
          <w:szCs w:val="24"/>
        </w:rPr>
        <w:lastRenderedPageBreak/>
        <w:t>przez społeczność, o którym mowa w tytule III w rozdziale II rozporządzenia ogólnego, podczas gdy w poprzednim okresie programowania instytucjami pośredniczącymi w zakresie realizacji wspierania rozwoju społeczności rybackic</w:t>
      </w:r>
      <w:r w:rsidR="00B8006C">
        <w:rPr>
          <w:rFonts w:ascii="Times New Roman" w:hAnsi="Times New Roman" w:cs="Times New Roman"/>
          <w:szCs w:val="24"/>
        </w:rPr>
        <w:t>h i sektora akwakultury było 16 </w:t>
      </w:r>
      <w:r>
        <w:rPr>
          <w:rFonts w:ascii="Times New Roman" w:hAnsi="Times New Roman" w:cs="Times New Roman"/>
          <w:szCs w:val="24"/>
        </w:rPr>
        <w:t>samorządów województw. Zmiana ta powinna pozwolić na obniżenie kosztów administracyjnych wdrażania Programu i wpłynąć na ujednolicenie oraz standaryzację procedur wdrażania środków EFMRA. Również fakt, że w ramach EFMRA rozwój lokalny kierowany przez społeczność nie będzie podlegał przepisom us</w:t>
      </w:r>
      <w:r w:rsidR="0042591D">
        <w:rPr>
          <w:rFonts w:ascii="Times New Roman" w:hAnsi="Times New Roman" w:cs="Times New Roman"/>
          <w:szCs w:val="24"/>
        </w:rPr>
        <w:t>tawy z dnia 20 lutego 2015 r. o </w:t>
      </w:r>
      <w:r>
        <w:rPr>
          <w:rFonts w:ascii="Times New Roman" w:hAnsi="Times New Roman" w:cs="Times New Roman"/>
          <w:szCs w:val="24"/>
        </w:rPr>
        <w:t>rozwoju lokalnym z udziałem lokalnej społeczności (Dz.</w:t>
      </w:r>
      <w:r w:rsidR="0042591D">
        <w:rPr>
          <w:rFonts w:ascii="Times New Roman" w:hAnsi="Times New Roman" w:cs="Times New Roman"/>
          <w:szCs w:val="24"/>
        </w:rPr>
        <w:t xml:space="preserve"> U. z 2022 r. poz. 943, z późn. </w:t>
      </w:r>
      <w:r>
        <w:rPr>
          <w:rFonts w:ascii="Times New Roman" w:hAnsi="Times New Roman" w:cs="Times New Roman"/>
          <w:szCs w:val="24"/>
        </w:rPr>
        <w:t>zm.), natomiast będzie stosowany oddzielny tryb wyboru i wdrażania określony w projektowanej ustawie i</w:t>
      </w:r>
      <w:r w:rsidR="009B1AC1">
        <w:rPr>
          <w:rFonts w:ascii="Times New Roman" w:hAnsi="Times New Roman" w:cs="Times New Roman"/>
          <w:szCs w:val="24"/>
        </w:rPr>
        <w:t xml:space="preserve"> </w:t>
      </w:r>
      <w:r>
        <w:rPr>
          <w:rFonts w:ascii="Times New Roman" w:hAnsi="Times New Roman" w:cs="Times New Roman"/>
          <w:szCs w:val="24"/>
        </w:rPr>
        <w:t>aktach wykonawczych wydanych na jej podstawie, stanowi istotną różnicę w stosunku do dotychczasowych regulacji. Uzasadnieniem zaproponowanego rozwiązania jest zapewnienie, że środki przeznaczone na wdrażanie</w:t>
      </w:r>
      <w:r>
        <w:rPr>
          <w:rFonts w:ascii="Times New Roman" w:eastAsia="Times New Roman" w:hAnsi="Times New Roman" w:cs="Times New Roman"/>
          <w:szCs w:val="24"/>
        </w:rPr>
        <w:t xml:space="preserve"> Priorytetu 3. </w:t>
      </w:r>
      <w:r>
        <w:rPr>
          <w:rStyle w:val="TekstpodstawowyZnak"/>
          <w:rFonts w:eastAsiaTheme="minorEastAsia"/>
        </w:rPr>
        <w:t>Sprzyjanie zrównoważonej niebieskiej gospodarce na obszarach przybrzeżnych, wyspiarskich i śródlądowych oraz wspieranie rozwoju społeczności rybackich i sektora akwakultury</w:t>
      </w:r>
      <w:r>
        <w:rPr>
          <w:rStyle w:val="Kkursywa"/>
          <w:rFonts w:ascii="Times New Roman" w:hAnsi="Times New Roman" w:cs="Times New Roman"/>
          <w:szCs w:val="24"/>
        </w:rPr>
        <w:t xml:space="preserve"> </w:t>
      </w:r>
      <w:r>
        <w:rPr>
          <w:rFonts w:ascii="Times New Roman" w:hAnsi="Times New Roman" w:cs="Times New Roman"/>
          <w:szCs w:val="24"/>
        </w:rPr>
        <w:t>trafią d</w:t>
      </w:r>
      <w:r w:rsidR="0042591D">
        <w:rPr>
          <w:rFonts w:ascii="Times New Roman" w:eastAsia="Times New Roman" w:hAnsi="Times New Roman" w:cs="Times New Roman"/>
          <w:szCs w:val="24"/>
        </w:rPr>
        <w:t>o społeczności o </w:t>
      </w:r>
      <w:r>
        <w:rPr>
          <w:rFonts w:ascii="Times New Roman" w:eastAsia="Times New Roman" w:hAnsi="Times New Roman" w:cs="Times New Roman"/>
          <w:szCs w:val="24"/>
        </w:rPr>
        <w:t xml:space="preserve">charakterze typowo rybackim. Wybór </w:t>
      </w:r>
      <w:r>
        <w:rPr>
          <w:rFonts w:ascii="Times New Roman" w:hAnsi="Times New Roman" w:cs="Times New Roman"/>
          <w:szCs w:val="24"/>
        </w:rPr>
        <w:t>strategii rozwoju lokalnego kierowanego przez społeczność w</w:t>
      </w:r>
      <w:r w:rsidR="009B1AC1">
        <w:rPr>
          <w:rFonts w:ascii="Times New Roman" w:hAnsi="Times New Roman" w:cs="Times New Roman"/>
          <w:szCs w:val="24"/>
        </w:rPr>
        <w:t xml:space="preserve"> </w:t>
      </w:r>
      <w:r>
        <w:rPr>
          <w:rFonts w:ascii="Times New Roman" w:hAnsi="Times New Roman" w:cs="Times New Roman"/>
          <w:szCs w:val="24"/>
        </w:rPr>
        <w:t xml:space="preserve">rozumieniu art. 32 rozporządzenia ogólnego jest uregulowany w dalszych przepisach projektowanej ustawy i </w:t>
      </w:r>
      <w:r>
        <w:rPr>
          <w:rFonts w:ascii="Times New Roman" w:eastAsia="Times New Roman" w:hAnsi="Times New Roman" w:cs="Times New Roman"/>
          <w:szCs w:val="24"/>
        </w:rPr>
        <w:t>będzie oparty na rozwiązaniach sprawdzonych na gruncie Programu Operacyjnego „Rybactwo i Morze” na lata 2014–2020.</w:t>
      </w:r>
    </w:p>
    <w:p w14:paraId="573488D0" w14:textId="6B10A60B" w:rsidR="004C5452" w:rsidRDefault="004C5452" w:rsidP="004C5452">
      <w:pPr>
        <w:pStyle w:val="NIEARTTEKSTtekstnieartykuowanynppodstprawnarozplubpreambua"/>
        <w:tabs>
          <w:tab w:val="left" w:pos="8647"/>
        </w:tabs>
        <w:spacing w:before="0"/>
        <w:rPr>
          <w:rFonts w:ascii="Times New Roman" w:hAnsi="Times New Roman" w:cs="Times New Roman"/>
          <w:szCs w:val="24"/>
        </w:rPr>
      </w:pPr>
      <w:r>
        <w:rPr>
          <w:rFonts w:ascii="Times New Roman" w:hAnsi="Times New Roman" w:cs="Times New Roman"/>
          <w:szCs w:val="24"/>
        </w:rPr>
        <w:t>Kolejnymi instytucjami w Programie będą: minister właściwy do spraw finansów publicznych realizujący zadania w zakresie księgowania wydatków określo</w:t>
      </w:r>
      <w:r w:rsidR="0042591D">
        <w:rPr>
          <w:rFonts w:ascii="Times New Roman" w:hAnsi="Times New Roman" w:cs="Times New Roman"/>
          <w:szCs w:val="24"/>
        </w:rPr>
        <w:t>ne w art. </w:t>
      </w:r>
      <w:r>
        <w:rPr>
          <w:rFonts w:ascii="Times New Roman" w:hAnsi="Times New Roman" w:cs="Times New Roman"/>
          <w:szCs w:val="24"/>
        </w:rPr>
        <w:t>76 rozporządzenia ogólnego (art. 6) oraz Szef Krajowej Administracji Skarbowej jako instytucja audytowa w rozumieniu art. 71 ust. 2 rozporządzenia ogólnego (art. 7). Dodatkowo</w:t>
      </w:r>
      <w:r w:rsidR="005D4A76">
        <w:rPr>
          <w:rFonts w:ascii="Times New Roman" w:hAnsi="Times New Roman" w:cs="Times New Roman"/>
          <w:szCs w:val="24"/>
        </w:rPr>
        <w:t>,</w:t>
      </w:r>
      <w:r w:rsidR="0042591D">
        <w:rPr>
          <w:rFonts w:ascii="Times New Roman" w:hAnsi="Times New Roman" w:cs="Times New Roman"/>
          <w:szCs w:val="24"/>
        </w:rPr>
        <w:t xml:space="preserve"> w </w:t>
      </w:r>
      <w:r>
        <w:rPr>
          <w:rFonts w:ascii="Times New Roman" w:hAnsi="Times New Roman" w:cs="Times New Roman"/>
          <w:szCs w:val="24"/>
        </w:rPr>
        <w:t>odniesieniu do współpracy IZ z ministrem właściwym do spraw finansów publicznych, jest przewidziane zawarcie porozumienia, które uszczegółowi zasady tej współpracy w odni</w:t>
      </w:r>
      <w:r w:rsidR="00BD40A3">
        <w:rPr>
          <w:rFonts w:ascii="Times New Roman" w:hAnsi="Times New Roman" w:cs="Times New Roman"/>
          <w:szCs w:val="24"/>
        </w:rPr>
        <w:t>esieniu do realizacji Programu.</w:t>
      </w:r>
    </w:p>
    <w:p w14:paraId="15716AB5" w14:textId="0FF18F46" w:rsidR="004C5452" w:rsidRPr="00BD40A3" w:rsidRDefault="004C5452" w:rsidP="00BD40A3">
      <w:pPr>
        <w:pStyle w:val="USTustnpkodeksu"/>
        <w:ind w:firstLine="567"/>
        <w:rPr>
          <w:rFonts w:cs="Times New Roman"/>
          <w:sz w:val="24"/>
          <w:szCs w:val="24"/>
        </w:rPr>
      </w:pPr>
      <w:r w:rsidRPr="00BD40A3">
        <w:rPr>
          <w:rFonts w:cs="Times New Roman"/>
          <w:sz w:val="24"/>
          <w:szCs w:val="24"/>
        </w:rPr>
        <w:t>W celu zapewnienia w procesie realizacji Programu poszanowania praw podstawowych oraz praw osób z niepełnosprawnościami projektowana ustawa przewiduje wyznaczenie przez IZ rzecznika Programu (art. 8). Do jego głównych zadań będzie należeć przyjmowanie i</w:t>
      </w:r>
      <w:r w:rsidR="0042591D">
        <w:rPr>
          <w:rFonts w:cs="Times New Roman"/>
          <w:sz w:val="24"/>
          <w:szCs w:val="24"/>
        </w:rPr>
        <w:t> </w:t>
      </w:r>
      <w:r w:rsidRPr="00BD40A3">
        <w:rPr>
          <w:rFonts w:cs="Times New Roman"/>
          <w:sz w:val="24"/>
          <w:szCs w:val="24"/>
        </w:rPr>
        <w:t xml:space="preserve">analizowanie zgłoszeń dotyczących utrudnień dotyczących ww. zakresu i proponowanie usprawnień, które mogłyby zostać wdrożone w ramach realizacji Programu, z zastosowaniem procedur z </w:t>
      </w:r>
      <w:r w:rsidRPr="00BD40A3">
        <w:rPr>
          <w:rStyle w:val="TekstpodstawowyZnak"/>
          <w:rFonts w:eastAsiaTheme="minorEastAsia"/>
        </w:rPr>
        <w:t>działu VIII – Skargi i wnioski ustawy z dnia 14 czerwca 1960 r. – Kodeks postępowania administracyjnego</w:t>
      </w:r>
      <w:r w:rsidRPr="00BD40A3">
        <w:rPr>
          <w:rFonts w:cs="Times New Roman"/>
          <w:sz w:val="24"/>
          <w:szCs w:val="24"/>
        </w:rPr>
        <w:t xml:space="preserve"> (Dz. U. z 2022 r. poz. 2000, z późn. zm.). Ze względu na horyzontalny charakter zasad równości szans i niedyskryminacji, oraz zasady równości kobiet i mężczyzn, wszystkie programy wdrażane w ramach funduszy UE powinny zaplanować </w:t>
      </w:r>
      <w:r w:rsidRPr="00BD40A3">
        <w:rPr>
          <w:rFonts w:cs="Times New Roman"/>
          <w:sz w:val="24"/>
          <w:szCs w:val="24"/>
        </w:rPr>
        <w:lastRenderedPageBreak/>
        <w:t>mechanizmy pozwalające na przeciwdziałanie wszelkim formom dyskryminacji, w tym w</w:t>
      </w:r>
      <w:r w:rsidR="0042591D">
        <w:rPr>
          <w:rFonts w:cs="Times New Roman"/>
          <w:sz w:val="24"/>
          <w:szCs w:val="24"/>
        </w:rPr>
        <w:t> </w:t>
      </w:r>
      <w:r w:rsidRPr="00BD40A3">
        <w:rPr>
          <w:rFonts w:cs="Times New Roman"/>
          <w:sz w:val="24"/>
          <w:szCs w:val="24"/>
        </w:rPr>
        <w:t>szczególności dyskryminacji ze względu na niepełnosprawność. Rzecznika</w:t>
      </w:r>
      <w:r w:rsidRPr="00BD40A3">
        <w:rPr>
          <w:rFonts w:eastAsia="Times New Roman" w:cs="Times New Roman"/>
          <w:sz w:val="24"/>
          <w:szCs w:val="24"/>
        </w:rPr>
        <w:t xml:space="preserve"> Programu wyznaczy IZ </w:t>
      </w:r>
      <w:r w:rsidRPr="00BD40A3">
        <w:rPr>
          <w:rFonts w:cs="Times New Roman"/>
          <w:sz w:val="24"/>
          <w:szCs w:val="24"/>
        </w:rPr>
        <w:t>spośród pracowników urzędu obsługującego ministra właściwego do spraw rybołówstwa, zapewniając, aby nie dochodziło do konfliktu interesów polegającego na tym, że rzecznik Programu rozpatruje sprawy dotyczące czynności wykonywanych przez niego samego w ramach innych obowiązków służbowych. Przewidziano, że rzecznik Programu będzie sporządzał w terminie do dnia 31 marca roczny raport ze swojej działalności za poprzedni rok i przedkładał go IZ, która opublikuje go na stronie programu.</w:t>
      </w:r>
      <w:r w:rsidR="003D65FC">
        <w:rPr>
          <w:rFonts w:cs="Times New Roman"/>
          <w:sz w:val="24"/>
          <w:szCs w:val="24"/>
        </w:rPr>
        <w:t xml:space="preserve"> Biorąc pod uwagę, że wejście w </w:t>
      </w:r>
      <w:r w:rsidRPr="00BD40A3">
        <w:rPr>
          <w:rFonts w:cs="Times New Roman"/>
          <w:sz w:val="24"/>
          <w:szCs w:val="24"/>
        </w:rPr>
        <w:t>życie projektowanej ustawy jest przewidziane w trakcie 2023 r., i dopiero wówczas rzecznik Programu zostanie powołany, pierwszy raport roczny z je</w:t>
      </w:r>
      <w:r w:rsidR="0042591D">
        <w:rPr>
          <w:rFonts w:cs="Times New Roman"/>
          <w:sz w:val="24"/>
          <w:szCs w:val="24"/>
        </w:rPr>
        <w:t>go działalności, dotyczący 2023 </w:t>
      </w:r>
      <w:r w:rsidRPr="00BD40A3">
        <w:rPr>
          <w:rFonts w:cs="Times New Roman"/>
          <w:sz w:val="24"/>
          <w:szCs w:val="24"/>
        </w:rPr>
        <w:t>r., zostanie sporządzony na podstawie omawianego przepisu art. 8 projektowanej ustawy do dnia 31 marca 2024 r., czyli obejmie okres faktycznej działalności rzecznika Programu, krótszy niż 12 miesięcy.</w:t>
      </w:r>
    </w:p>
    <w:p w14:paraId="3B175EBF" w14:textId="63506E28"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t>Projektowana ustawa w odniesieniu do kwestii przetwarzania danych osobowych oraz dostępu do rejestrów zakłada (art. 9), że wskazane instytucje realizujące Program są administratorami przetwarzającymi dane osob</w:t>
      </w:r>
      <w:r w:rsidR="0042591D">
        <w:rPr>
          <w:rFonts w:ascii="Times New Roman" w:hAnsi="Times New Roman" w:cs="Times New Roman"/>
          <w:szCs w:val="24"/>
        </w:rPr>
        <w:t>owe w celach określonych w art. </w:t>
      </w:r>
      <w:r>
        <w:rPr>
          <w:rFonts w:ascii="Times New Roman" w:hAnsi="Times New Roman" w:cs="Times New Roman"/>
          <w:szCs w:val="24"/>
        </w:rPr>
        <w:t>4 rozporządzenia ogólnego, zgodnie z którym państwa członkowskie UE oraz Komisja Europejska mogą przetwarzać dane osobowe tylko wtedy, gdy jest to konieczne do celów wykonywania ich odpowiednich obowiązków wynika</w:t>
      </w:r>
      <w:r w:rsidR="0042591D">
        <w:rPr>
          <w:rFonts w:ascii="Times New Roman" w:hAnsi="Times New Roman" w:cs="Times New Roman"/>
          <w:szCs w:val="24"/>
        </w:rPr>
        <w:t>jących z tego rozporządzenia, w </w:t>
      </w:r>
      <w:r>
        <w:rPr>
          <w:rFonts w:ascii="Times New Roman" w:hAnsi="Times New Roman" w:cs="Times New Roman"/>
          <w:szCs w:val="24"/>
        </w:rPr>
        <w:t xml:space="preserve">szczególności do celów monitorowania, sprawozdawczości, komunikacji, publikacji, ewaluacji, zarządzania finansowego, weryfikacji i audytów oraz w stosownych przypadkach − do celów określania kwalifikowalności uczestników. Dane osobowe mogą być pozyskiwane bezpośrednio od osób, których dane dotyczą, z systemu teleinformatycznego lub z rejestrów wymienionych w art. 92 ust. 2 ustawy wdrożeniowej, jak </w:t>
      </w:r>
      <w:r w:rsidR="0042591D">
        <w:rPr>
          <w:rFonts w:ascii="Times New Roman" w:hAnsi="Times New Roman" w:cs="Times New Roman"/>
          <w:szCs w:val="24"/>
        </w:rPr>
        <w:t>również – w przypadku ARiMR – z </w:t>
      </w:r>
      <w:r>
        <w:rPr>
          <w:rFonts w:ascii="Times New Roman" w:hAnsi="Times New Roman" w:cs="Times New Roman"/>
          <w:szCs w:val="24"/>
        </w:rPr>
        <w:t xml:space="preserve">rejestru statków rybackich, o którym mowa w art. 13 </w:t>
      </w:r>
      <w:r w:rsidR="0042591D">
        <w:rPr>
          <w:rStyle w:val="TekstpodstawowyZnak"/>
          <w:rFonts w:eastAsiaTheme="minorEastAsia"/>
        </w:rPr>
        <w:t>ustawy z dnia 19 grudnia 2014 r. o </w:t>
      </w:r>
      <w:r>
        <w:rPr>
          <w:rStyle w:val="TekstpodstawowyZnak"/>
          <w:rFonts w:eastAsiaTheme="minorEastAsia"/>
        </w:rPr>
        <w:t xml:space="preserve">rybołówstwie morskim </w:t>
      </w:r>
      <w:r>
        <w:rPr>
          <w:rFonts w:ascii="Times New Roman" w:hAnsi="Times New Roman" w:cs="Times New Roman"/>
          <w:szCs w:val="24"/>
        </w:rPr>
        <w:t>(Dz. U. z 2023 r. poz. 475), zwanej dalej „ustawą o rybołówstwie morskim”. W</w:t>
      </w:r>
      <w:r w:rsidR="009B1AC1">
        <w:rPr>
          <w:rFonts w:ascii="Times New Roman" w:hAnsi="Times New Roman" w:cs="Times New Roman"/>
          <w:szCs w:val="24"/>
        </w:rPr>
        <w:t xml:space="preserve"> </w:t>
      </w:r>
      <w:r>
        <w:rPr>
          <w:rFonts w:ascii="Times New Roman" w:hAnsi="Times New Roman" w:cs="Times New Roman"/>
          <w:szCs w:val="24"/>
        </w:rPr>
        <w:t>pozostałym zakresie stosuje się odpowiednio przepisy ustawy wdrożeniowej umożliwiające m.in. przetwarzanie danych w systemie teleinformatycznym czy precyzujące nieodpłatny dostęp instytucji Programu do wskazanych wyżej rejestrów.</w:t>
      </w:r>
    </w:p>
    <w:p w14:paraId="0A9A99AF" w14:textId="77777777" w:rsidR="004C5452" w:rsidRDefault="004C5452" w:rsidP="004C5452">
      <w:pPr>
        <w:pStyle w:val="NIEARTTEKSTtekstnieartykuowanynppodstprawnarozplubpreambua"/>
        <w:spacing w:before="0"/>
        <w:rPr>
          <w:rFonts w:ascii="Times New Roman" w:hAnsi="Times New Roman" w:cs="Times New Roman"/>
          <w:szCs w:val="24"/>
        </w:rPr>
      </w:pPr>
    </w:p>
    <w:p w14:paraId="68068F4F" w14:textId="77777777" w:rsidR="004C5452" w:rsidRDefault="004C5452" w:rsidP="004C5452">
      <w:pPr>
        <w:pStyle w:val="NIEARTTEKSTtekstnieartykuowanynppodstprawnarozplubpreambua"/>
        <w:spacing w:before="0"/>
        <w:ind w:firstLine="0"/>
        <w:rPr>
          <w:rFonts w:ascii="Times New Roman" w:hAnsi="Times New Roman" w:cs="Times New Roman"/>
          <w:szCs w:val="24"/>
          <w:u w:val="single"/>
        </w:rPr>
      </w:pPr>
      <w:r>
        <w:rPr>
          <w:rFonts w:ascii="Times New Roman" w:hAnsi="Times New Roman" w:cs="Times New Roman"/>
          <w:szCs w:val="24"/>
          <w:u w:val="single"/>
        </w:rPr>
        <w:t>Rozdział 3 – Przyznawanie i wypłata pomocy</w:t>
      </w:r>
    </w:p>
    <w:p w14:paraId="5EB4C781" w14:textId="15EB760D" w:rsidR="004C5452" w:rsidRDefault="004C5452" w:rsidP="00BD40A3">
      <w:pPr>
        <w:pStyle w:val="NIEARTTEKSTtekstnieartykuowanynppodstprawnarozplubpreambua"/>
        <w:spacing w:before="0"/>
        <w:ind w:firstLine="567"/>
        <w:rPr>
          <w:rFonts w:ascii="Times New Roman" w:hAnsi="Times New Roman" w:cs="Times New Roman"/>
          <w:szCs w:val="24"/>
        </w:rPr>
      </w:pPr>
      <w:r>
        <w:rPr>
          <w:rFonts w:ascii="Times New Roman" w:hAnsi="Times New Roman" w:cs="Times New Roman"/>
          <w:szCs w:val="24"/>
        </w:rPr>
        <w:t xml:space="preserve">Ten rozdział projektowanej ustawy zawiera rozwiązania w znacznym stopniu oparte na procedurach stosowanych w okresie programowania 2014–2020. W szczególności warunki ubiegania się o pomoc finansową będą zbliżone do obecnego okresu programowania, a w celu </w:t>
      </w:r>
      <w:r>
        <w:rPr>
          <w:rFonts w:ascii="Times New Roman" w:hAnsi="Times New Roman" w:cs="Times New Roman"/>
          <w:szCs w:val="24"/>
        </w:rPr>
        <w:lastRenderedPageBreak/>
        <w:t>uzyskania wsparcia finansowego zainteresowany podmiot</w:t>
      </w:r>
      <w:r w:rsidR="0042591D">
        <w:rPr>
          <w:rFonts w:ascii="Times New Roman" w:hAnsi="Times New Roman" w:cs="Times New Roman"/>
          <w:szCs w:val="24"/>
        </w:rPr>
        <w:t xml:space="preserve"> będzie musiał wystąpić do IP z </w:t>
      </w:r>
      <w:r>
        <w:rPr>
          <w:rFonts w:ascii="Times New Roman" w:hAnsi="Times New Roman" w:cs="Times New Roman"/>
          <w:szCs w:val="24"/>
        </w:rPr>
        <w:t>wnioskiem o</w:t>
      </w:r>
      <w:r w:rsidR="009B1AC1">
        <w:rPr>
          <w:rFonts w:ascii="Times New Roman" w:hAnsi="Times New Roman" w:cs="Times New Roman"/>
          <w:szCs w:val="24"/>
        </w:rPr>
        <w:t xml:space="preserve"> </w:t>
      </w:r>
      <w:r>
        <w:rPr>
          <w:rFonts w:ascii="Times New Roman" w:hAnsi="Times New Roman" w:cs="Times New Roman"/>
          <w:szCs w:val="24"/>
        </w:rPr>
        <w:t xml:space="preserve">dofinansowanie, a w przypadku spełnienia warunków przyznania pomocy nastąpi podpisanie z beneficjentem umowy o dofinansowanie (art. 10). </w:t>
      </w:r>
    </w:p>
    <w:p w14:paraId="585678BA" w14:textId="2A5F5835" w:rsidR="004C5452" w:rsidRPr="00BD40A3" w:rsidRDefault="004C5452" w:rsidP="004C5452">
      <w:pPr>
        <w:pStyle w:val="USTustnpkodeksu"/>
        <w:ind w:firstLine="567"/>
        <w:rPr>
          <w:rFonts w:cs="Times New Roman"/>
          <w:sz w:val="24"/>
          <w:szCs w:val="24"/>
        </w:rPr>
      </w:pPr>
      <w:r w:rsidRPr="00BD40A3">
        <w:rPr>
          <w:rFonts w:cs="Times New Roman"/>
          <w:sz w:val="24"/>
          <w:szCs w:val="24"/>
        </w:rPr>
        <w:t xml:space="preserve">W kolejnym przepisie projektowanej ustawy wskazano warunki podmiotowe, jakie uniemożliwiają wnioskodawcy otrzymanie pomocy z Programu </w:t>
      </w:r>
      <w:r w:rsidR="0042591D">
        <w:rPr>
          <w:rFonts w:cs="Times New Roman"/>
          <w:sz w:val="24"/>
          <w:szCs w:val="24"/>
        </w:rPr>
        <w:t>(art. 11), które podobnie jak w </w:t>
      </w:r>
      <w:r w:rsidRPr="00BD40A3">
        <w:rPr>
          <w:rFonts w:cs="Times New Roman"/>
          <w:sz w:val="24"/>
          <w:szCs w:val="24"/>
        </w:rPr>
        <w:t>dotychczasowym okresie programowania 2014–2020 zakładają, że z otrzymania pomocy wykluczony będzie podmiot</w:t>
      </w:r>
      <w:r w:rsidR="003E601D">
        <w:rPr>
          <w:rFonts w:cs="Times New Roman"/>
          <w:sz w:val="24"/>
          <w:szCs w:val="24"/>
        </w:rPr>
        <w:t>,</w:t>
      </w:r>
      <w:r w:rsidRPr="00BD40A3">
        <w:rPr>
          <w:rFonts w:cs="Times New Roman"/>
          <w:sz w:val="24"/>
          <w:szCs w:val="24"/>
        </w:rPr>
        <w:t xml:space="preserve"> który ma orzeczony prawomocnym wyrokiem sądu zakaz dostępu do środków z funduszy europejskich, zakaz korzystania z dotacji, subwencji lub innych form wsparcia finansowego środkami publicznymi lub zakaz ubiegania się o zamówienia publiczne, wobec którego sąd ogłosił upadłość, jest podmiotem wykluczonym </w:t>
      </w:r>
      <w:r w:rsidRPr="00BD40A3">
        <w:rPr>
          <w:rFonts w:eastAsia="Times New Roman" w:cs="Times New Roman"/>
          <w:sz w:val="24"/>
          <w:szCs w:val="24"/>
        </w:rPr>
        <w:t xml:space="preserve">z możliwości otrzymania środków zgodnie z </w:t>
      </w:r>
      <w:r w:rsidRPr="00BD40A3">
        <w:rPr>
          <w:rFonts w:cs="Times New Roman"/>
          <w:sz w:val="24"/>
          <w:szCs w:val="24"/>
        </w:rPr>
        <w:t>art. 207 ust. 4 ustawy z dnia 27 sierpnia 2009 r. o finansach publicznych (Dz. U. z 2022 r. poz. 1634, z późn. zm.) lub podmiotem, którego wniosek o dofinansowanie jest uznany za niedopuszczalny zgodnie z art. 11 ust. 1 lub 3 rozporządzenia EFMRA. Ta ostatnia podstawa wykluczenia z pomocy wynika wprost</w:t>
      </w:r>
      <w:r w:rsidR="0042591D">
        <w:rPr>
          <w:rFonts w:cs="Times New Roman"/>
          <w:sz w:val="24"/>
          <w:szCs w:val="24"/>
        </w:rPr>
        <w:t xml:space="preserve"> z ww. przepisu UE, natomiast w </w:t>
      </w:r>
      <w:r w:rsidRPr="00BD40A3">
        <w:rPr>
          <w:rFonts w:cs="Times New Roman"/>
          <w:sz w:val="24"/>
          <w:szCs w:val="24"/>
        </w:rPr>
        <w:t>projektowanej ustawie rozwinięto regulację o wskazanie środków służących zweryfikowaniu wystąpienia ustalonych w przepisach UE okoliczności wyłączających pomoc. W szczególności będzie to następować na podstawie rejestru naruszeń, o</w:t>
      </w:r>
      <w:r w:rsidR="0042591D">
        <w:rPr>
          <w:rFonts w:cs="Times New Roman"/>
          <w:sz w:val="24"/>
          <w:szCs w:val="24"/>
        </w:rPr>
        <w:t xml:space="preserve"> którym mowa w art. 80 ustawy o </w:t>
      </w:r>
      <w:r w:rsidRPr="00BD40A3">
        <w:rPr>
          <w:rFonts w:cs="Times New Roman"/>
          <w:sz w:val="24"/>
          <w:szCs w:val="24"/>
        </w:rPr>
        <w:t>rybołówstwie morskim, prowadzonym przez ministra właściwego do spraw rybołówstwa, unijnego wykazu statków prowadzących nielegalne, nieraportowane i nieuregulowane połowy, a także unijnej listy niewspółpracujących państw trzecich. Ponadto wskazano przestępstwa, które będą uznawane za okoliczność określoną w art.</w:t>
      </w:r>
      <w:r w:rsidR="009B1AC1">
        <w:rPr>
          <w:rFonts w:cs="Times New Roman"/>
          <w:sz w:val="24"/>
          <w:szCs w:val="24"/>
        </w:rPr>
        <w:t xml:space="preserve"> </w:t>
      </w:r>
      <w:r w:rsidRPr="00BD40A3">
        <w:rPr>
          <w:rFonts w:cs="Times New Roman"/>
          <w:sz w:val="24"/>
          <w:szCs w:val="24"/>
        </w:rPr>
        <w:t>11 ust. 1 lit. c rozporządzenia EFMRA, wykluczającą pomoc dla podmiotu składającego wniosek w zakresie akwakultury.</w:t>
      </w:r>
    </w:p>
    <w:p w14:paraId="086261BF" w14:textId="783E6276" w:rsidR="004C5452" w:rsidRPr="00BD40A3" w:rsidRDefault="004C5452" w:rsidP="004C5452">
      <w:pPr>
        <w:pStyle w:val="USTustnpkodeksu"/>
        <w:ind w:firstLine="567"/>
        <w:rPr>
          <w:rFonts w:cs="Times New Roman"/>
          <w:bCs w:val="0"/>
          <w:sz w:val="24"/>
          <w:szCs w:val="24"/>
        </w:rPr>
      </w:pPr>
      <w:r w:rsidRPr="00BD40A3">
        <w:rPr>
          <w:rFonts w:cs="Times New Roman"/>
          <w:bCs w:val="0"/>
          <w:sz w:val="24"/>
          <w:szCs w:val="24"/>
        </w:rPr>
        <w:t xml:space="preserve">Przy tym należy pamiętać, że określone warunki podmiotowe wobec wnioskodawców (beneficjentów) są zawarte również w obowiązujących wprost przepisach UE dotyczących konkretnych typów operacji (np. art. 17 ust. 2 i art. 21 </w:t>
      </w:r>
      <w:r w:rsidR="0042591D">
        <w:rPr>
          <w:rFonts w:cs="Times New Roman"/>
          <w:bCs w:val="0"/>
          <w:sz w:val="24"/>
          <w:szCs w:val="24"/>
        </w:rPr>
        <w:t>ust. 5 rozporządzenia EFMRA), w </w:t>
      </w:r>
      <w:r w:rsidRPr="00BD40A3">
        <w:rPr>
          <w:rFonts w:cs="Times New Roman"/>
          <w:bCs w:val="0"/>
          <w:sz w:val="24"/>
          <w:szCs w:val="24"/>
        </w:rPr>
        <w:t xml:space="preserve">związku z czym nie muszą być powtarzane w </w:t>
      </w:r>
      <w:r w:rsidRPr="00BD40A3">
        <w:rPr>
          <w:rFonts w:cs="Times New Roman"/>
          <w:sz w:val="24"/>
          <w:szCs w:val="24"/>
        </w:rPr>
        <w:t>projektowanej ustawie</w:t>
      </w:r>
      <w:r w:rsidRPr="00BD40A3">
        <w:rPr>
          <w:rFonts w:cs="Times New Roman"/>
          <w:bCs w:val="0"/>
          <w:sz w:val="24"/>
          <w:szCs w:val="24"/>
        </w:rPr>
        <w:t>, a co więcej będą stanowić ramy dla uszczegółowienia w aktach wykonawczych do projektowanej ustawy warunków udzielania pomocy.</w:t>
      </w:r>
    </w:p>
    <w:p w14:paraId="414C9EA0" w14:textId="5D6F1AA1" w:rsidR="004C5452" w:rsidRPr="00BD40A3" w:rsidRDefault="004C5452" w:rsidP="004C5452">
      <w:pPr>
        <w:pStyle w:val="USTustnpkodeksu"/>
        <w:ind w:firstLine="567"/>
        <w:rPr>
          <w:rFonts w:cs="Times New Roman"/>
          <w:bCs w:val="0"/>
          <w:sz w:val="24"/>
          <w:szCs w:val="24"/>
        </w:rPr>
      </w:pPr>
      <w:r w:rsidRPr="00BD40A3">
        <w:rPr>
          <w:rFonts w:cs="Times New Roman"/>
          <w:bCs w:val="0"/>
          <w:sz w:val="24"/>
          <w:szCs w:val="24"/>
        </w:rPr>
        <w:t>W kolejnym przepisie określono wykorzystywane</w:t>
      </w:r>
      <w:r w:rsidR="0042591D">
        <w:rPr>
          <w:rFonts w:cs="Times New Roman"/>
          <w:bCs w:val="0"/>
          <w:sz w:val="24"/>
          <w:szCs w:val="24"/>
        </w:rPr>
        <w:t xml:space="preserve"> w Programie formy pomocy (art. </w:t>
      </w:r>
      <w:r w:rsidRPr="00BD40A3">
        <w:rPr>
          <w:rFonts w:cs="Times New Roman"/>
          <w:bCs w:val="0"/>
          <w:sz w:val="24"/>
          <w:szCs w:val="24"/>
        </w:rPr>
        <w:t xml:space="preserve">12), które są </w:t>
      </w:r>
      <w:r w:rsidRPr="00BD40A3">
        <w:rPr>
          <w:rFonts w:cs="Times New Roman"/>
          <w:bCs w:val="0"/>
          <w:i/>
          <w:sz w:val="24"/>
          <w:szCs w:val="24"/>
        </w:rPr>
        <w:t>de facto</w:t>
      </w:r>
      <w:r w:rsidRPr="00BD40A3">
        <w:rPr>
          <w:rFonts w:cs="Times New Roman"/>
          <w:bCs w:val="0"/>
          <w:sz w:val="24"/>
          <w:szCs w:val="24"/>
        </w:rPr>
        <w:t xml:space="preserve"> formami dotacji przewidzianymi w rozporządzeniu ogólnym. Należy dodać, że dalsze uszczegółowienie odnośnie do dokumentowania, </w:t>
      </w:r>
      <w:r w:rsidR="0042591D">
        <w:rPr>
          <w:rFonts w:cs="Times New Roman"/>
          <w:bCs w:val="0"/>
          <w:sz w:val="24"/>
          <w:szCs w:val="24"/>
        </w:rPr>
        <w:t>weryfikowania i potwierdzania w </w:t>
      </w:r>
      <w:r w:rsidRPr="00BD40A3">
        <w:rPr>
          <w:rFonts w:cs="Times New Roman"/>
          <w:bCs w:val="0"/>
          <w:sz w:val="24"/>
          <w:szCs w:val="24"/>
        </w:rPr>
        <w:t xml:space="preserve">szczególności pomocy przyznawanej w formie zwrotu kosztów uznawanych w umowie za kwalifikowalne, które zostały poniesione przez beneficjenta na realizację operacji, będą regulowane w aktach wykonawczych do projektowanej ustawy. Projektowana ustawa nie </w:t>
      </w:r>
      <w:r w:rsidRPr="00BD40A3">
        <w:rPr>
          <w:rFonts w:cs="Times New Roman"/>
          <w:bCs w:val="0"/>
          <w:sz w:val="24"/>
          <w:szCs w:val="24"/>
        </w:rPr>
        <w:lastRenderedPageBreak/>
        <w:t>przewiduje natomiast realizacji instrumentów finansowych, p</w:t>
      </w:r>
      <w:r w:rsidR="0042591D">
        <w:rPr>
          <w:rFonts w:cs="Times New Roman"/>
          <w:bCs w:val="0"/>
          <w:sz w:val="24"/>
          <w:szCs w:val="24"/>
        </w:rPr>
        <w:t>onieważ nie zostały one ujęte w </w:t>
      </w:r>
      <w:r w:rsidRPr="00BD40A3">
        <w:rPr>
          <w:rFonts w:cs="Times New Roman"/>
          <w:bCs w:val="0"/>
          <w:sz w:val="24"/>
          <w:szCs w:val="24"/>
        </w:rPr>
        <w:t>Programie.</w:t>
      </w:r>
    </w:p>
    <w:p w14:paraId="336E297B" w14:textId="78B5D4EB" w:rsidR="004C5452" w:rsidRDefault="004C5452" w:rsidP="004C5452">
      <w:pPr>
        <w:pStyle w:val="USTustnpkodeksu"/>
        <w:ind w:firstLine="567"/>
        <w:rPr>
          <w:rFonts w:cs="Times New Roman"/>
          <w:szCs w:val="24"/>
        </w:rPr>
      </w:pPr>
      <w:r w:rsidRPr="00BD40A3">
        <w:rPr>
          <w:rFonts w:cs="Times New Roman"/>
          <w:bCs w:val="0"/>
          <w:sz w:val="24"/>
          <w:szCs w:val="24"/>
        </w:rPr>
        <w:t>Projektowana ustawa określa również limity środków, do wysokości których pomoc jest przyznawana (art. 13), zarówno w odniesieniu do całości</w:t>
      </w:r>
      <w:r w:rsidR="003D65FC">
        <w:rPr>
          <w:rFonts w:cs="Times New Roman"/>
          <w:bCs w:val="0"/>
          <w:sz w:val="24"/>
          <w:szCs w:val="24"/>
        </w:rPr>
        <w:t xml:space="preserve"> Programu (ust. 1 pkt 1), jak i </w:t>
      </w:r>
      <w:r w:rsidRPr="00BD40A3">
        <w:rPr>
          <w:rFonts w:cs="Times New Roman"/>
          <w:bCs w:val="0"/>
          <w:sz w:val="24"/>
          <w:szCs w:val="24"/>
        </w:rPr>
        <w:t xml:space="preserve">konkretnego naboru wniosków o dofinansowanie realizowanego przez ARiMR czy </w:t>
      </w:r>
      <w:r w:rsidR="00B8006C">
        <w:rPr>
          <w:rFonts w:cs="Times New Roman"/>
          <w:bCs w:val="0"/>
          <w:sz w:val="24"/>
          <w:szCs w:val="24"/>
        </w:rPr>
        <w:t>RLGD (ust. </w:t>
      </w:r>
      <w:r w:rsidRPr="00BD40A3">
        <w:rPr>
          <w:rFonts w:cs="Times New Roman"/>
          <w:bCs w:val="0"/>
          <w:sz w:val="24"/>
          <w:szCs w:val="24"/>
        </w:rPr>
        <w:t>1 pkt 2), a także możliwości zwiększania tych limitów.</w:t>
      </w:r>
      <w:r w:rsidRPr="00BD40A3">
        <w:rPr>
          <w:rFonts w:cs="Times New Roman"/>
          <w:sz w:val="24"/>
          <w:szCs w:val="24"/>
        </w:rPr>
        <w:t xml:space="preserve"> Projektowane mechanizmy podnoszenia limitu środków funkcjonują w obecnym okresie </w:t>
      </w:r>
      <w:r w:rsidR="003D65FC">
        <w:rPr>
          <w:rFonts w:cs="Times New Roman"/>
          <w:sz w:val="24"/>
          <w:szCs w:val="24"/>
        </w:rPr>
        <w:t>programowania i służą pełnemu i </w:t>
      </w:r>
      <w:r w:rsidRPr="00BD40A3">
        <w:rPr>
          <w:rFonts w:cs="Times New Roman"/>
          <w:sz w:val="24"/>
          <w:szCs w:val="24"/>
        </w:rPr>
        <w:t xml:space="preserve">efektywnemu wykorzystaniu środków Programu. W zakresie całości Programu IZ może, po uzyskaniu opinii KM, wyrazić zgodę na przyznawanie pomocy do określonej wysokości nieprzekraczającej 2% wysokości limitu środków Programu, o czym niezwłocznie informuje ministra właściwego do spraw finansów publicznych, albo w porozumieniu z tym ministrem zwiększyć wysokość limitu środków Programu o ponad 2%. Mechanizm umożliwia uniknięcie problemów z różnicami kursowymi oraz ryzyka niezrealizowanych umów na pełne wykorzystanie całości Programu. Natomiast drugi mechanizm umożliwiający zwiększenie limitu środków dla </w:t>
      </w:r>
      <w:r w:rsidRPr="00BD40A3">
        <w:rPr>
          <w:rFonts w:cs="Times New Roman"/>
          <w:bCs w:val="0"/>
          <w:sz w:val="24"/>
          <w:szCs w:val="24"/>
        </w:rPr>
        <w:t xml:space="preserve">konkretnego realizowanego naboru wniosków o dofinansowanie odbywa się na wniosek ARiMR i dokonuje go IZ do </w:t>
      </w:r>
      <w:r w:rsidRPr="00BD40A3">
        <w:rPr>
          <w:rFonts w:cs="Times New Roman"/>
          <w:sz w:val="24"/>
          <w:szCs w:val="24"/>
        </w:rPr>
        <w:t>wysokości nieprzekraczającej limitu środków Programu. Wskazane instytucje Programu stosują powyższy mechanizm z własnej inicjatywy, uznając określone nabory za szczególnie istotne dla sektora rybackiego i warte dodatkowego wsparcia finansowego.</w:t>
      </w:r>
    </w:p>
    <w:p w14:paraId="243A26DB" w14:textId="070D89D1" w:rsidR="004C5452" w:rsidRPr="00BD40A3" w:rsidRDefault="004C5452" w:rsidP="004C5452">
      <w:pPr>
        <w:pStyle w:val="USTustnpkodeksu"/>
        <w:ind w:firstLine="567"/>
        <w:rPr>
          <w:rFonts w:cs="Times New Roman"/>
          <w:bCs w:val="0"/>
          <w:i/>
          <w:sz w:val="24"/>
          <w:szCs w:val="24"/>
        </w:rPr>
      </w:pPr>
      <w:r w:rsidRPr="00BD40A3">
        <w:rPr>
          <w:rFonts w:cs="Times New Roman"/>
          <w:bCs w:val="0"/>
          <w:sz w:val="24"/>
          <w:szCs w:val="24"/>
        </w:rPr>
        <w:t>Przewidziano również upoważnienie do wydania przez ministra właściwego do spraw rybołówstwa rozporządzenia o podziale środków finans</w:t>
      </w:r>
      <w:r w:rsidR="003D65FC">
        <w:rPr>
          <w:rFonts w:cs="Times New Roman"/>
          <w:bCs w:val="0"/>
          <w:sz w:val="24"/>
          <w:szCs w:val="24"/>
        </w:rPr>
        <w:t>owych na realizację Programu, w </w:t>
      </w:r>
      <w:r w:rsidRPr="00BD40A3">
        <w:rPr>
          <w:rFonts w:cs="Times New Roman"/>
          <w:bCs w:val="0"/>
          <w:sz w:val="24"/>
          <w:szCs w:val="24"/>
        </w:rPr>
        <w:t>którym zostaną ustalone limity na poszczególne priorytety, cele szczegółowe lub rodzaje interwencji, o których mowa w załączniku IV do rozporządzenia EFMRA.</w:t>
      </w:r>
    </w:p>
    <w:p w14:paraId="65F16ADC" w14:textId="28B9ED81" w:rsidR="004C5452" w:rsidRPr="00BD40A3" w:rsidRDefault="004C5452" w:rsidP="004C5452">
      <w:pPr>
        <w:pStyle w:val="USTustnpkodeksu"/>
        <w:ind w:firstLine="567"/>
        <w:rPr>
          <w:rFonts w:cs="Times New Roman"/>
          <w:bCs w:val="0"/>
          <w:sz w:val="24"/>
          <w:szCs w:val="24"/>
        </w:rPr>
      </w:pPr>
      <w:r w:rsidRPr="00BD40A3">
        <w:rPr>
          <w:rFonts w:cs="Times New Roman"/>
          <w:bCs w:val="0"/>
          <w:sz w:val="24"/>
          <w:szCs w:val="24"/>
        </w:rPr>
        <w:t>Wprowadzono również dodatkowe, w stosunku do obowiązujących wprost regulacji zawartych w art. 49 ust. 2 i następne rozporządzenia ogólnego, unormowania dotyczące publikacji harmonogramów planowanych nab</w:t>
      </w:r>
      <w:r w:rsidR="0042591D">
        <w:rPr>
          <w:rFonts w:cs="Times New Roman"/>
          <w:bCs w:val="0"/>
          <w:sz w:val="24"/>
          <w:szCs w:val="24"/>
        </w:rPr>
        <w:t>orów wniosków w Programie (art. </w:t>
      </w:r>
      <w:r w:rsidRPr="00BD40A3">
        <w:rPr>
          <w:rFonts w:cs="Times New Roman"/>
          <w:bCs w:val="0"/>
          <w:sz w:val="24"/>
          <w:szCs w:val="24"/>
        </w:rPr>
        <w:t>14). Planowane jest, że harmonogramy naborów będą aktualizowane i publikowane na stronie Programu 4 razy w</w:t>
      </w:r>
      <w:r w:rsidR="009B1AC1">
        <w:rPr>
          <w:rFonts w:cs="Times New Roman"/>
          <w:bCs w:val="0"/>
          <w:sz w:val="24"/>
          <w:szCs w:val="24"/>
        </w:rPr>
        <w:t xml:space="preserve"> </w:t>
      </w:r>
      <w:r w:rsidRPr="00BD40A3">
        <w:rPr>
          <w:rFonts w:cs="Times New Roman"/>
          <w:bCs w:val="0"/>
          <w:sz w:val="24"/>
          <w:szCs w:val="24"/>
        </w:rPr>
        <w:t>roku, czyli częściej niż wymagają tego przepisy rozporządzenia UE. Ich zakres obejmie dodatkowo, ponad niezbędne dane wynikające wprost z przepisów UE, w</w:t>
      </w:r>
      <w:r w:rsidRPr="00BD40A3">
        <w:rPr>
          <w:rFonts w:cs="Times New Roman"/>
          <w:sz w:val="24"/>
          <w:szCs w:val="24"/>
        </w:rPr>
        <w:t xml:space="preserve">skazanie priorytetu Programu lub numeru i nazwy działania, w ramach których jest planowany nabór, a także typy operacji podlegających dofinansowaniu w naborze. Publikacja będzie miała istotne znaczenie dla ułatwienia realizacji naborów przez instytucje Programu. Ułatwi planowanie operacji oraz przygotowanie wniosków o dofinansowanie przez przyszłych </w:t>
      </w:r>
      <w:r w:rsidRPr="00BD40A3">
        <w:rPr>
          <w:rFonts w:cs="Times New Roman"/>
          <w:sz w:val="24"/>
          <w:szCs w:val="24"/>
        </w:rPr>
        <w:lastRenderedPageBreak/>
        <w:t>wnioskodawców i beneficjentów Programu, którzy będą mieli możliwość przygotowania odpowiedniej dokumentacji operacji.</w:t>
      </w:r>
    </w:p>
    <w:p w14:paraId="799D68D0" w14:textId="37C30011" w:rsidR="004C5452" w:rsidRPr="00BD40A3" w:rsidRDefault="004C5452" w:rsidP="004C5452">
      <w:pPr>
        <w:pStyle w:val="USTustnpkodeksu"/>
        <w:ind w:firstLine="567"/>
        <w:rPr>
          <w:rStyle w:val="Kkursywa"/>
          <w:sz w:val="24"/>
          <w:szCs w:val="24"/>
        </w:rPr>
      </w:pPr>
      <w:r w:rsidRPr="00BD40A3">
        <w:rPr>
          <w:rFonts w:cs="Times New Roman"/>
          <w:bCs w:val="0"/>
          <w:sz w:val="24"/>
          <w:szCs w:val="24"/>
        </w:rPr>
        <w:t>Zaproponowano, że wniosek o dofinansowanie (art. 15) będzie zawierał, co do zasady, dane wnioskodawcy i opis planowanej operacji, w tym określenie miejsca jej realizacji, celów, zakresu i kosztów, i będzie składany za pomocą omówionego wcześniej systemu teleinformatycznego na formularzu w nim udostępnionym. Wzór wniosku o dofinansowanie przygotowuje ARiMR i zatwierdza IZ, a</w:t>
      </w:r>
      <w:r w:rsidRPr="00BD40A3">
        <w:rPr>
          <w:rFonts w:cs="Times New Roman"/>
          <w:sz w:val="24"/>
          <w:szCs w:val="24"/>
        </w:rPr>
        <w:t xml:space="preserve"> podmiot zainteresowany uzyskaniem pomocy będzie mógł się z nim zapoznać jeszcze zanim zostanie uruchomiony nabór w systemie teleinformatycznym, ponieważ wniosek o dofinansowanie zostanie wcześniej opublikowany na stronie Programu. Ponadto wszystkie wnioski o</w:t>
      </w:r>
      <w:r w:rsidR="009B1AC1">
        <w:rPr>
          <w:rFonts w:cs="Times New Roman"/>
          <w:sz w:val="24"/>
          <w:szCs w:val="24"/>
        </w:rPr>
        <w:t xml:space="preserve"> </w:t>
      </w:r>
      <w:r w:rsidRPr="00BD40A3">
        <w:rPr>
          <w:rFonts w:cs="Times New Roman"/>
          <w:sz w:val="24"/>
          <w:szCs w:val="24"/>
        </w:rPr>
        <w:t xml:space="preserve">dofinansowanie będą składane w systemie teleinformatycznym, jednak projektowana ustawa precyzuje właściwość rzeczową instytucji Programu, przez którą dany wniosek będzie rozpatrzony, wskazując, że co do zasady ARiMR będzie rozpatrywać złożone wnioski, a jedynie w przypadku działania </w:t>
      </w:r>
      <w:r w:rsidRPr="00BD40A3">
        <w:rPr>
          <w:sz w:val="24"/>
          <w:szCs w:val="24"/>
        </w:rPr>
        <w:t>Realizacja lokalnych strategii rozwoju i współpraca</w:t>
      </w:r>
      <w:r w:rsidRPr="00BD40A3">
        <w:rPr>
          <w:rStyle w:val="Kkursywa"/>
          <w:rFonts w:cs="Times New Roman"/>
          <w:sz w:val="24"/>
          <w:szCs w:val="24"/>
        </w:rPr>
        <w:t xml:space="preserve"> </w:t>
      </w:r>
      <w:r w:rsidRPr="00BD40A3">
        <w:rPr>
          <w:rFonts w:cs="Times New Roman"/>
          <w:sz w:val="24"/>
          <w:szCs w:val="24"/>
        </w:rPr>
        <w:t>zawartego w Priorytecie 3</w:t>
      </w:r>
      <w:r w:rsidRPr="00BD40A3">
        <w:rPr>
          <w:rStyle w:val="Kkursywa"/>
          <w:rFonts w:cs="Times New Roman"/>
          <w:sz w:val="24"/>
          <w:szCs w:val="24"/>
        </w:rPr>
        <w:t xml:space="preserve"> </w:t>
      </w:r>
      <w:r w:rsidRPr="00BD40A3">
        <w:rPr>
          <w:rFonts w:cs="Times New Roman"/>
          <w:sz w:val="24"/>
          <w:szCs w:val="24"/>
        </w:rPr>
        <w:t>– nastąpi to po rozpatrzeniu wniosku przez</w:t>
      </w:r>
      <w:r w:rsidRPr="00BD40A3">
        <w:rPr>
          <w:rStyle w:val="Kkursywa"/>
          <w:rFonts w:cs="Times New Roman"/>
          <w:sz w:val="24"/>
          <w:szCs w:val="24"/>
        </w:rPr>
        <w:t xml:space="preserve"> </w:t>
      </w:r>
      <w:r w:rsidRPr="00BD40A3">
        <w:rPr>
          <w:rFonts w:cs="Times New Roman"/>
          <w:sz w:val="24"/>
          <w:szCs w:val="24"/>
        </w:rPr>
        <w:t xml:space="preserve">właściwą RLGD, zaś </w:t>
      </w:r>
      <w:r w:rsidRPr="00BD40A3">
        <w:rPr>
          <w:sz w:val="24"/>
          <w:szCs w:val="24"/>
        </w:rPr>
        <w:t>w przypadku Priorytetu 5. Pomoc techniczna,</w:t>
      </w:r>
      <w:r w:rsidRPr="00BD40A3">
        <w:rPr>
          <w:rStyle w:val="Kkursywa"/>
          <w:rFonts w:cs="Times New Roman"/>
          <w:sz w:val="24"/>
          <w:szCs w:val="24"/>
        </w:rPr>
        <w:t xml:space="preserve"> </w:t>
      </w:r>
      <w:r w:rsidRPr="00BD40A3">
        <w:rPr>
          <w:rFonts w:cs="Times New Roman"/>
          <w:sz w:val="24"/>
          <w:szCs w:val="24"/>
        </w:rPr>
        <w:t>jeżeli wnioskodawcą będzie ARiMR – wniosek o dofinansowanie rozpatrzy IZ. Termin składania wniosku będzie określany w ogłoszeniu o naborze wniosków o dofinansowanie albo w przepisach rozporządzenia wykonawczego dotyczącego Priorytetu 5</w:t>
      </w:r>
      <w:r w:rsidR="003E601D">
        <w:rPr>
          <w:rFonts w:cs="Times New Roman"/>
          <w:sz w:val="24"/>
          <w:szCs w:val="24"/>
        </w:rPr>
        <w:t>.</w:t>
      </w:r>
      <w:r w:rsidRPr="00BD40A3">
        <w:rPr>
          <w:sz w:val="24"/>
          <w:szCs w:val="24"/>
        </w:rPr>
        <w:t xml:space="preserve"> Pomoc techniczna</w:t>
      </w:r>
      <w:r w:rsidRPr="00BD40A3">
        <w:rPr>
          <w:rFonts w:cs="Times New Roman"/>
          <w:sz w:val="24"/>
          <w:szCs w:val="24"/>
        </w:rPr>
        <w:t>.</w:t>
      </w:r>
    </w:p>
    <w:p w14:paraId="26CAED2C" w14:textId="5A1F7B3B" w:rsidR="004C5452" w:rsidRPr="00A04463" w:rsidRDefault="004C5452" w:rsidP="004C5452">
      <w:pPr>
        <w:pStyle w:val="USTustnpkodeksu"/>
        <w:rPr>
          <w:sz w:val="24"/>
          <w:szCs w:val="24"/>
        </w:rPr>
      </w:pPr>
      <w:r w:rsidRPr="00A04463">
        <w:rPr>
          <w:rFonts w:cs="Times New Roman"/>
          <w:sz w:val="24"/>
          <w:szCs w:val="24"/>
        </w:rPr>
        <w:t>Kolejne przepisy projektowanej ustawy (art. 16 i art. 17) zawierają szczególne rozwiązania określające kompetencje RLGD w procesie rozpatrywa</w:t>
      </w:r>
      <w:r w:rsidR="003D65FC">
        <w:rPr>
          <w:rFonts w:cs="Times New Roman"/>
          <w:sz w:val="24"/>
          <w:szCs w:val="24"/>
        </w:rPr>
        <w:t>nia wniosków o </w:t>
      </w:r>
      <w:r w:rsidR="00A04463">
        <w:rPr>
          <w:rFonts w:cs="Times New Roman"/>
          <w:sz w:val="24"/>
          <w:szCs w:val="24"/>
        </w:rPr>
        <w:t xml:space="preserve">dofinansowanie w </w:t>
      </w:r>
      <w:r w:rsidRPr="00A04463">
        <w:rPr>
          <w:rFonts w:cs="Times New Roman"/>
          <w:sz w:val="24"/>
          <w:szCs w:val="24"/>
        </w:rPr>
        <w:t xml:space="preserve">ramach działania </w:t>
      </w:r>
      <w:r w:rsidRPr="00A04463">
        <w:rPr>
          <w:rStyle w:val="TekstpodstawowyZnak"/>
          <w:rFonts w:eastAsiaTheme="minorEastAsia"/>
        </w:rPr>
        <w:t>Realizacja lokalnych strategii rozwoju i współpraca</w:t>
      </w:r>
      <w:r w:rsidRPr="00A04463">
        <w:rPr>
          <w:rStyle w:val="Kkursywa"/>
          <w:rFonts w:cs="Times New Roman"/>
          <w:sz w:val="24"/>
          <w:szCs w:val="24"/>
        </w:rPr>
        <w:t xml:space="preserve"> </w:t>
      </w:r>
      <w:r w:rsidR="00A04463">
        <w:rPr>
          <w:rFonts w:cs="Times New Roman"/>
          <w:sz w:val="24"/>
          <w:szCs w:val="24"/>
        </w:rPr>
        <w:t xml:space="preserve">zawartego w </w:t>
      </w:r>
      <w:r w:rsidRPr="00A04463">
        <w:rPr>
          <w:rFonts w:cs="Times New Roman"/>
          <w:sz w:val="24"/>
          <w:szCs w:val="24"/>
        </w:rPr>
        <w:t>Priorytecie 3</w:t>
      </w:r>
      <w:r w:rsidR="00146FF3">
        <w:rPr>
          <w:rFonts w:cs="Times New Roman"/>
          <w:sz w:val="24"/>
          <w:szCs w:val="24"/>
        </w:rPr>
        <w:t>,</w:t>
      </w:r>
      <w:r w:rsidRPr="00A04463">
        <w:rPr>
          <w:rFonts w:cs="Times New Roman"/>
          <w:sz w:val="24"/>
          <w:szCs w:val="24"/>
        </w:rPr>
        <w:t xml:space="preserve"> jeżeli operację realizuje podmiot inny niż ta RLGD </w:t>
      </w:r>
      <w:r w:rsidRPr="00A04463">
        <w:rPr>
          <w:rFonts w:cs="Times New Roman"/>
          <w:bCs w:val="0"/>
          <w:sz w:val="24"/>
          <w:szCs w:val="24"/>
        </w:rPr>
        <w:t xml:space="preserve">lub tzw. grantobiorca. Jak wynika z art. 2 pkt 2 projektowanej ustawy – grantobiorca to podmiot </w:t>
      </w:r>
      <w:r w:rsidRPr="00A04463">
        <w:rPr>
          <w:rFonts w:cs="Times New Roman"/>
          <w:sz w:val="24"/>
          <w:szCs w:val="24"/>
        </w:rPr>
        <w:t>inny niż RLGD wybrany przez RLGD będącą beneficjentem projektu grantowego do realizacji zadania służącego osiągnięciu celu tego projektu, czyli</w:t>
      </w:r>
      <w:r w:rsidR="003D65FC">
        <w:rPr>
          <w:rFonts w:cs="Times New Roman"/>
          <w:sz w:val="24"/>
          <w:szCs w:val="24"/>
        </w:rPr>
        <w:t xml:space="preserve"> taki, któremu RLGD przyznaje w </w:t>
      </w:r>
      <w:r w:rsidRPr="00A04463">
        <w:rPr>
          <w:rFonts w:cs="Times New Roman"/>
          <w:sz w:val="24"/>
          <w:szCs w:val="24"/>
        </w:rPr>
        <w:t>ramach realizowanego przez siebie projektu środki finansowe na zrealizowanie zadań służących osiągnięciu celu jej operacji. Projektowane przepisy określają zakres oceny wniosku o dofinansowanie przez RLGD przed jego przekazaniem ARiMR w celu dalszej obsługi (w tym ostatecznej weryfikacji wniosku o dofinansowanie oraz zawarcia umowy o dofinansowanie</w:t>
      </w:r>
      <w:r w:rsidR="003D65FC">
        <w:rPr>
          <w:rFonts w:cs="Times New Roman"/>
          <w:sz w:val="24"/>
          <w:szCs w:val="24"/>
        </w:rPr>
        <w:t>), a </w:t>
      </w:r>
      <w:r w:rsidRPr="00A04463">
        <w:rPr>
          <w:rFonts w:cs="Times New Roman"/>
          <w:sz w:val="24"/>
          <w:szCs w:val="24"/>
        </w:rPr>
        <w:t>także drogę odwoławczą przysługując</w:t>
      </w:r>
      <w:r w:rsidR="00146FF3">
        <w:rPr>
          <w:rFonts w:cs="Times New Roman"/>
          <w:sz w:val="24"/>
          <w:szCs w:val="24"/>
        </w:rPr>
        <w:t>ą</w:t>
      </w:r>
      <w:r w:rsidRPr="00A04463">
        <w:rPr>
          <w:rFonts w:cs="Times New Roman"/>
          <w:sz w:val="24"/>
          <w:szCs w:val="24"/>
        </w:rPr>
        <w:t xml:space="preserve"> wnioskodawcy – w postaci protestu, a następnie skargi do sądu administracyjnego, do których stosuje się odpowiednio określone regulacje ustawy wdrożeniowej.</w:t>
      </w:r>
    </w:p>
    <w:p w14:paraId="51F98354" w14:textId="4DE1945D" w:rsidR="004C5452" w:rsidRPr="00A04463" w:rsidRDefault="004C5452" w:rsidP="004C5452">
      <w:pPr>
        <w:pStyle w:val="USTustnpkodeksu"/>
        <w:rPr>
          <w:rFonts w:cs="Times New Roman"/>
          <w:sz w:val="24"/>
          <w:szCs w:val="24"/>
        </w:rPr>
      </w:pPr>
      <w:r w:rsidRPr="00A04463">
        <w:rPr>
          <w:rFonts w:cs="Times New Roman"/>
          <w:sz w:val="24"/>
          <w:szCs w:val="24"/>
        </w:rPr>
        <w:t>Kolejne przepisy projektowanej ustawy regulują zakres oceny wniosku o</w:t>
      </w:r>
      <w:r w:rsidR="009B1AC1">
        <w:rPr>
          <w:rFonts w:cs="Times New Roman"/>
          <w:sz w:val="24"/>
          <w:szCs w:val="24"/>
        </w:rPr>
        <w:t xml:space="preserve"> </w:t>
      </w:r>
      <w:r w:rsidRPr="00A04463">
        <w:rPr>
          <w:rFonts w:cs="Times New Roman"/>
          <w:sz w:val="24"/>
          <w:szCs w:val="24"/>
        </w:rPr>
        <w:t xml:space="preserve">dofinansowanie (art. 18) oraz zobowiązują podmioty, przed którymi toczy się postępowanie w sprawie </w:t>
      </w:r>
      <w:r w:rsidRPr="00A04463">
        <w:rPr>
          <w:rFonts w:cs="Times New Roman"/>
          <w:sz w:val="24"/>
          <w:szCs w:val="24"/>
        </w:rPr>
        <w:lastRenderedPageBreak/>
        <w:t>udzielenia pomocy (art. 19) – czyli zarówno ARiMR, jak i IZ oraz RLGD – do stania na straży praworządności, rozpatrzenia w sposób wyczerpujący całego materiału dowodowego, udzielania wnioskodawcy niezbędnych pouczeń oraz zapewnienia mu czynnego udziału w</w:t>
      </w:r>
      <w:r w:rsidR="003D65FC">
        <w:rPr>
          <w:rFonts w:cs="Times New Roman"/>
          <w:sz w:val="24"/>
          <w:szCs w:val="24"/>
        </w:rPr>
        <w:t> </w:t>
      </w:r>
      <w:r w:rsidRPr="00A04463">
        <w:rPr>
          <w:rFonts w:cs="Times New Roman"/>
          <w:sz w:val="24"/>
          <w:szCs w:val="24"/>
        </w:rPr>
        <w:t>każdym stadium postępowania. Wnioskodawca oraz inne osoby uczestniczące w</w:t>
      </w:r>
      <w:r w:rsidR="003D65FC">
        <w:rPr>
          <w:rFonts w:cs="Times New Roman"/>
          <w:sz w:val="24"/>
          <w:szCs w:val="24"/>
        </w:rPr>
        <w:t> </w:t>
      </w:r>
      <w:r w:rsidRPr="00A04463">
        <w:rPr>
          <w:rFonts w:cs="Times New Roman"/>
          <w:sz w:val="24"/>
          <w:szCs w:val="24"/>
        </w:rPr>
        <w:t>postępowaniu w sprawie udzielenia pomocy na realizacje operacji w Programie będą obowiązane przedstawiać dowody oraz składać wyjaśnienia co do okoliczności sprawy zgodnie z prawdą i bez zatajania czegokolwiek. Ciężar udowodnienia faktu spoczywa na osobie, która wywodzi z tego faktu skutki prawne. Wnioskodawca zostanie zobowiązany również do informowania o wszelkich zmianach w zakresie danych przedstawionych w złożonym wniosku o dofinansowanie. Do postępowań w sprawach przyznawania pomocy w Programie nie będą miały zastosowania przepisy Kodeksu postępowania administracyjnego, z wyjątkiem przepisów wskazanych w projektowanej ustawie, czyli wyłączenia pracowników organu, wezwań, udostępniania akt, a także skarg i wniosków.</w:t>
      </w:r>
    </w:p>
    <w:p w14:paraId="6C301F41" w14:textId="222D678B" w:rsidR="004C5452" w:rsidRPr="00A04463" w:rsidRDefault="004C5452" w:rsidP="004C5452">
      <w:pPr>
        <w:pStyle w:val="USTustnpkodeksu"/>
        <w:rPr>
          <w:rFonts w:cs="Times New Roman"/>
          <w:sz w:val="24"/>
          <w:szCs w:val="24"/>
        </w:rPr>
      </w:pPr>
      <w:r w:rsidRPr="00A04463">
        <w:rPr>
          <w:rFonts w:cs="Times New Roman"/>
          <w:sz w:val="24"/>
          <w:szCs w:val="24"/>
        </w:rPr>
        <w:t>Analogicznie jak w obecnym okresie programowania, w przypadku gdy nie zostaną spełnione warunki przyznania pomocy lub zostanie wyczerpany limit środków finansowych umożliwiający jej udzielenie (art. 20), ARiMR poinformuje wnioskodawcę o odmowie przyznania pomocy, podając przyczyny tej odmowy, a wnioskodawcy będzie przysługiwało prawo wniesienia do sądu administracyjnego skargi na zasadach i w trybie określonym dla aktów lub czynności, o których mowa w art. 3 § 2 pkt 4</w:t>
      </w:r>
      <w:r w:rsidR="0042591D">
        <w:rPr>
          <w:rFonts w:cs="Times New Roman"/>
          <w:sz w:val="24"/>
          <w:szCs w:val="24"/>
        </w:rPr>
        <w:t xml:space="preserve"> ustawy z dnia 30 sierpnia 2002 </w:t>
      </w:r>
      <w:r w:rsidRPr="00A04463">
        <w:rPr>
          <w:rFonts w:cs="Times New Roman"/>
          <w:sz w:val="24"/>
          <w:szCs w:val="24"/>
        </w:rPr>
        <w:t>r. – Prawo o postępowaniu przed sądami administracyjnymi (Dz. U. z 2023 r. poz. 259), czyli będzie to postępowanie dotyczące tzw. innych aktów lub czynności z zakresu administracji publicznej dotyczące uprawnień lub obowiązków wynikających z przepisów prawa.</w:t>
      </w:r>
    </w:p>
    <w:p w14:paraId="0D2BF67B" w14:textId="77777777" w:rsidR="004C5452" w:rsidRPr="00A04463" w:rsidRDefault="004C5452" w:rsidP="004C5452">
      <w:pPr>
        <w:pStyle w:val="USTustnpkodeksu"/>
        <w:rPr>
          <w:rFonts w:cs="Times New Roman"/>
          <w:sz w:val="24"/>
          <w:szCs w:val="24"/>
        </w:rPr>
      </w:pPr>
      <w:r w:rsidRPr="00A04463">
        <w:rPr>
          <w:rFonts w:cs="Times New Roman"/>
          <w:sz w:val="24"/>
          <w:szCs w:val="24"/>
        </w:rPr>
        <w:t>Odnośnie do umowy o dofinansowanie (art. 21) projektowana ustawa przewiduje, że będzie zawierana – pod rygorem nieważności, w formie pisemnej albo w formie elektronicznej, zgodnie ze wzorem przygotowanym przez ARiMR i zatwierdzonym przez IZ. Określono również minimalny zakres umowy o dofinansowanie oraz wskazano okoliczności, których wystąpienie powoduje nieważność tej umowy lub jej zmian.</w:t>
      </w:r>
    </w:p>
    <w:p w14:paraId="6A9B7584" w14:textId="0ACA3241" w:rsidR="004C5452" w:rsidRPr="00A04463" w:rsidRDefault="004C5452" w:rsidP="004C5452">
      <w:pPr>
        <w:pStyle w:val="USTustnpkodeksu"/>
        <w:ind w:firstLine="567"/>
        <w:rPr>
          <w:rFonts w:cs="Times New Roman"/>
          <w:bCs w:val="0"/>
          <w:sz w:val="24"/>
          <w:szCs w:val="24"/>
        </w:rPr>
      </w:pPr>
      <w:r w:rsidRPr="00A04463">
        <w:rPr>
          <w:rFonts w:cs="Times New Roman"/>
          <w:sz w:val="24"/>
          <w:szCs w:val="24"/>
        </w:rPr>
        <w:t>Nowym rozwiązaniem mającym na celu łagodzenie problemów gospodarczych wynikających z nadzwyczajnych wydarzeń, jak np. pandemia, jest umożliwienie zwiększenia wysokości pomocy przyznanej umową beneficjentowi na realizację określonej operacji o</w:t>
      </w:r>
      <w:r w:rsidR="003D65FC">
        <w:rPr>
          <w:rFonts w:cs="Times New Roman"/>
          <w:sz w:val="24"/>
          <w:szCs w:val="24"/>
        </w:rPr>
        <w:t> </w:t>
      </w:r>
      <w:r w:rsidRPr="00A04463">
        <w:rPr>
          <w:rFonts w:cs="Times New Roman"/>
          <w:sz w:val="24"/>
          <w:szCs w:val="24"/>
        </w:rPr>
        <w:t xml:space="preserve">maksymalnie 20% pomocy przyznanej pierwotnie. Zmiana taka będzie mogła nastąpić na uzasadniony wniosek beneficjenta, maksymalnie jeden raz w okresie obowiązywania umowy o dofinansowanie, najpóźniej przed dniem złożenia wniosku o płatność końcową, oraz o ile są dostępne środki finansowe na dany cel szczegółowy lub rodzaj interwencji, o którym mowa </w:t>
      </w:r>
      <w:r w:rsidRPr="00A04463">
        <w:rPr>
          <w:rFonts w:cs="Times New Roman"/>
          <w:sz w:val="24"/>
          <w:szCs w:val="24"/>
        </w:rPr>
        <w:lastRenderedPageBreak/>
        <w:t>w</w:t>
      </w:r>
      <w:r w:rsidR="003D65FC">
        <w:rPr>
          <w:rFonts w:cs="Times New Roman"/>
          <w:sz w:val="24"/>
          <w:szCs w:val="24"/>
        </w:rPr>
        <w:t> </w:t>
      </w:r>
      <w:r w:rsidRPr="00A04463">
        <w:rPr>
          <w:rFonts w:cs="Times New Roman"/>
          <w:sz w:val="24"/>
          <w:szCs w:val="24"/>
        </w:rPr>
        <w:t xml:space="preserve">załączniku IV do rozporządzenia EFMRA. Taka zmiana umowy o dofinansowanie nie będzie mogła </w:t>
      </w:r>
      <w:r w:rsidRPr="00A04463">
        <w:rPr>
          <w:rFonts w:cs="Times New Roman"/>
          <w:bCs w:val="0"/>
          <w:sz w:val="24"/>
          <w:szCs w:val="24"/>
        </w:rPr>
        <w:t>powodować zmiany jej zakresu rzeczowego. Przy czym, biorąc pod uwagę postulaty strony społecznej, wyłączono stosowanie powyższego mechanizmu</w:t>
      </w:r>
      <w:r>
        <w:rPr>
          <w:rFonts w:cs="Times New Roman"/>
          <w:bCs w:val="0"/>
          <w:szCs w:val="24"/>
        </w:rPr>
        <w:t xml:space="preserve"> </w:t>
      </w:r>
      <w:r w:rsidRPr="00A04463">
        <w:rPr>
          <w:rFonts w:cs="Times New Roman"/>
          <w:sz w:val="24"/>
          <w:szCs w:val="24"/>
        </w:rPr>
        <w:t xml:space="preserve">zwiększenia wysokości pomocy w stosunku do operacji realizowanych przez inne podmioty niż RLGD i grantobiorca w ramach działania </w:t>
      </w:r>
      <w:r w:rsidRPr="00A04463">
        <w:rPr>
          <w:sz w:val="24"/>
          <w:szCs w:val="24"/>
        </w:rPr>
        <w:t>Realizacja lokalnych strategii rozwoju i współpraca</w:t>
      </w:r>
      <w:r w:rsidR="003D65FC">
        <w:rPr>
          <w:rFonts w:cs="Times New Roman"/>
          <w:sz w:val="24"/>
          <w:szCs w:val="24"/>
        </w:rPr>
        <w:t>, o którym mowa w art. </w:t>
      </w:r>
      <w:r w:rsidRPr="00A04463">
        <w:rPr>
          <w:rFonts w:cs="Times New Roman"/>
          <w:sz w:val="24"/>
          <w:szCs w:val="24"/>
        </w:rPr>
        <w:t>3 ust. 1 pkt 3 lit. a projektowanej ustawy, ponieważ ze względu na stosunkowo ograniczony budżet, jakim będą dysponowały RLGD, mogłoby to utrudnić realizację przez n</w:t>
      </w:r>
      <w:r w:rsidR="00A04463">
        <w:rPr>
          <w:rFonts w:cs="Times New Roman"/>
          <w:sz w:val="24"/>
          <w:szCs w:val="24"/>
        </w:rPr>
        <w:t>ie lokalnych strategii rozwoju.</w:t>
      </w:r>
    </w:p>
    <w:p w14:paraId="68F848EE" w14:textId="34428497" w:rsidR="004C5452" w:rsidRPr="00A04463" w:rsidRDefault="004C5452" w:rsidP="004C5452">
      <w:pPr>
        <w:pStyle w:val="USTustnpkodeksu"/>
        <w:ind w:firstLine="567"/>
        <w:rPr>
          <w:rFonts w:cs="Times New Roman"/>
          <w:bCs w:val="0"/>
          <w:sz w:val="24"/>
          <w:szCs w:val="24"/>
        </w:rPr>
      </w:pPr>
      <w:r w:rsidRPr="00A04463">
        <w:rPr>
          <w:rFonts w:cs="Times New Roman"/>
          <w:bCs w:val="0"/>
          <w:sz w:val="24"/>
          <w:szCs w:val="24"/>
        </w:rPr>
        <w:t>Kolejny przepis</w:t>
      </w:r>
      <w:r w:rsidRPr="00A04463">
        <w:rPr>
          <w:rFonts w:cs="Times New Roman"/>
          <w:sz w:val="24"/>
          <w:szCs w:val="24"/>
        </w:rPr>
        <w:t xml:space="preserve"> projektowanej ustawy </w:t>
      </w:r>
      <w:r w:rsidRPr="00A04463">
        <w:rPr>
          <w:rFonts w:cs="Times New Roman"/>
          <w:bCs w:val="0"/>
          <w:sz w:val="24"/>
          <w:szCs w:val="24"/>
        </w:rPr>
        <w:t>(art. 22) precyzuje, że wypłata beneficjentowi pomocy na realizację określonej operacji następuje na pods</w:t>
      </w:r>
      <w:r w:rsidR="003D65FC">
        <w:rPr>
          <w:rFonts w:cs="Times New Roman"/>
          <w:bCs w:val="0"/>
          <w:sz w:val="24"/>
          <w:szCs w:val="24"/>
        </w:rPr>
        <w:t>tawie umowy o dofinansowanie, a </w:t>
      </w:r>
      <w:r w:rsidRPr="00A04463">
        <w:rPr>
          <w:rFonts w:cs="Times New Roman"/>
          <w:bCs w:val="0"/>
          <w:sz w:val="24"/>
          <w:szCs w:val="24"/>
        </w:rPr>
        <w:t>następnie po złożeniu wniosku o płatność. Ponadto do postępowania w sprawie wypłaty pomocy stosuje się odpowiednio przepisy art. 19 projektowanej ustawy dotyczące postępowania</w:t>
      </w:r>
      <w:r w:rsidR="00A04463">
        <w:rPr>
          <w:rFonts w:cs="Times New Roman"/>
          <w:bCs w:val="0"/>
          <w:sz w:val="24"/>
          <w:szCs w:val="24"/>
        </w:rPr>
        <w:t xml:space="preserve"> w sprawie przyznawania pomocy.</w:t>
      </w:r>
    </w:p>
    <w:p w14:paraId="1812B598" w14:textId="5A2E939A" w:rsidR="004C5452" w:rsidRPr="00A04463" w:rsidRDefault="004C5452" w:rsidP="004C5452">
      <w:pPr>
        <w:pStyle w:val="USTustnpkodeksu"/>
        <w:ind w:firstLine="567"/>
        <w:rPr>
          <w:rFonts w:cs="Times New Roman"/>
          <w:sz w:val="24"/>
          <w:szCs w:val="24"/>
        </w:rPr>
      </w:pPr>
      <w:r w:rsidRPr="00A04463">
        <w:rPr>
          <w:rFonts w:cs="Times New Roman"/>
          <w:bCs w:val="0"/>
          <w:sz w:val="24"/>
          <w:szCs w:val="24"/>
        </w:rPr>
        <w:t>Ze względu na fakt, że wnioski o płatność (art. 23) będą składane w systemie teleinformatycznym, zastosowano w stosunku do nic</w:t>
      </w:r>
      <w:r w:rsidR="003D65FC">
        <w:rPr>
          <w:rFonts w:cs="Times New Roman"/>
          <w:bCs w:val="0"/>
          <w:sz w:val="24"/>
          <w:szCs w:val="24"/>
        </w:rPr>
        <w:t>h rozwiązanie analogiczne jak w </w:t>
      </w:r>
      <w:r w:rsidRPr="00A04463">
        <w:rPr>
          <w:rFonts w:cs="Times New Roman"/>
          <w:bCs w:val="0"/>
          <w:sz w:val="24"/>
          <w:szCs w:val="24"/>
        </w:rPr>
        <w:t xml:space="preserve">przepisach ustawy wdrożeniowej </w:t>
      </w:r>
      <w:r w:rsidRPr="00A04463">
        <w:rPr>
          <w:rFonts w:cs="Times New Roman"/>
          <w:sz w:val="24"/>
          <w:szCs w:val="24"/>
        </w:rPr>
        <w:t>zobowiązujących beneficjenta do składania wniosku o</w:t>
      </w:r>
      <w:r w:rsidR="003D65FC">
        <w:rPr>
          <w:rFonts w:cs="Times New Roman"/>
          <w:sz w:val="24"/>
          <w:szCs w:val="24"/>
        </w:rPr>
        <w:t> </w:t>
      </w:r>
      <w:r w:rsidRPr="00A04463">
        <w:rPr>
          <w:rFonts w:cs="Times New Roman"/>
          <w:sz w:val="24"/>
          <w:szCs w:val="24"/>
        </w:rPr>
        <w:t>płatność oraz dokumentów niezbędnych do rozliczenia projektu określonych w umowie o</w:t>
      </w:r>
      <w:r w:rsidR="003D65FC">
        <w:rPr>
          <w:rFonts w:cs="Times New Roman"/>
          <w:sz w:val="24"/>
          <w:szCs w:val="24"/>
        </w:rPr>
        <w:t> </w:t>
      </w:r>
      <w:r w:rsidRPr="00A04463">
        <w:rPr>
          <w:rFonts w:cs="Times New Roman"/>
          <w:sz w:val="24"/>
          <w:szCs w:val="24"/>
        </w:rPr>
        <w:t>dofinansowanie projektu, w szczególności w zakresie monitoringu rzeczowo-finansowego, harmonogramów finansowych i trwałości projektu. W ramach wniosku o płatność beneficjent będzie wykazywał zarówno wydatki związane z realizacją projektu, jak i przekazywał informację o postępie realizacji projektu. Do wniosku o płatność beneficjent będzie dołączał dokumenty niezbędne do rozliczenia operacji określone w przepisach wykonawczych do projektowanej ustawy</w:t>
      </w:r>
      <w:r w:rsidRPr="00A04463">
        <w:rPr>
          <w:rFonts w:cs="Times New Roman"/>
          <w:bCs w:val="0"/>
          <w:sz w:val="24"/>
          <w:szCs w:val="24"/>
        </w:rPr>
        <w:t>. Wyjątkowo, w przypadku gdy z powodów technicznych złożenie wniosku o płatność za pomocą systemu</w:t>
      </w:r>
      <w:r w:rsidRPr="00A04463">
        <w:rPr>
          <w:rFonts w:cs="Times New Roman"/>
          <w:sz w:val="24"/>
          <w:szCs w:val="24"/>
        </w:rPr>
        <w:t xml:space="preserve"> teleinformatycznego nie jest możliwe, beneficjent, za zgodą ARiMR, będzie mógł złożyć ten wniosek w</w:t>
      </w:r>
      <w:r w:rsidR="009B1AC1">
        <w:rPr>
          <w:rFonts w:cs="Times New Roman"/>
          <w:sz w:val="24"/>
          <w:szCs w:val="24"/>
        </w:rPr>
        <w:t xml:space="preserve"> </w:t>
      </w:r>
      <w:r w:rsidRPr="00A04463">
        <w:rPr>
          <w:rFonts w:cs="Times New Roman"/>
          <w:sz w:val="24"/>
          <w:szCs w:val="24"/>
        </w:rPr>
        <w:t>sposób pr</w:t>
      </w:r>
      <w:r w:rsidR="003D65FC">
        <w:rPr>
          <w:rFonts w:cs="Times New Roman"/>
          <w:sz w:val="24"/>
          <w:szCs w:val="24"/>
        </w:rPr>
        <w:t>zez nią wskazany. Rozwiązanie w </w:t>
      </w:r>
      <w:r w:rsidRPr="00A04463">
        <w:rPr>
          <w:rFonts w:cs="Times New Roman"/>
          <w:sz w:val="24"/>
          <w:szCs w:val="24"/>
        </w:rPr>
        <w:t>tym zakresie jest istotne ze względu na negatywne konsekwencje, jakie poniósłby beneficjent w przypadku ewentualnej awarii systemu teleinformatycznego w</w:t>
      </w:r>
      <w:r w:rsidR="009B1AC1">
        <w:rPr>
          <w:rFonts w:cs="Times New Roman"/>
          <w:sz w:val="24"/>
          <w:szCs w:val="24"/>
        </w:rPr>
        <w:t xml:space="preserve"> </w:t>
      </w:r>
      <w:r w:rsidRPr="00A04463">
        <w:rPr>
          <w:rFonts w:cs="Times New Roman"/>
          <w:sz w:val="24"/>
          <w:szCs w:val="24"/>
        </w:rPr>
        <w:t>momencie gdy upływa termin złożenia przez niego wniosku o płatność.</w:t>
      </w:r>
    </w:p>
    <w:p w14:paraId="20CD479C" w14:textId="77777777" w:rsidR="004C5452" w:rsidRPr="00A04463" w:rsidRDefault="004C5452" w:rsidP="004C5452">
      <w:pPr>
        <w:pStyle w:val="USTustnpkodeksu"/>
        <w:rPr>
          <w:rFonts w:cs="Times New Roman"/>
          <w:sz w:val="24"/>
          <w:szCs w:val="24"/>
        </w:rPr>
      </w:pPr>
      <w:r w:rsidRPr="00A04463">
        <w:rPr>
          <w:rFonts w:cs="Times New Roman"/>
          <w:sz w:val="24"/>
          <w:szCs w:val="24"/>
        </w:rPr>
        <w:t xml:space="preserve">Kolejny przepis projektowanej ustawy (art. 24) reguluje szczególne działanie, jakim jest </w:t>
      </w:r>
      <w:r w:rsidRPr="00A04463">
        <w:rPr>
          <w:rStyle w:val="TekstpodstawowyZnak"/>
          <w:rFonts w:eastAsiaTheme="minorEastAsia"/>
        </w:rPr>
        <w:t>Gromadzenie danych rybackich,</w:t>
      </w:r>
      <w:r w:rsidRPr="00A04463">
        <w:rPr>
          <w:rFonts w:cs="Times New Roman"/>
          <w:sz w:val="24"/>
          <w:szCs w:val="24"/>
        </w:rPr>
        <w:t xml:space="preserve"> realizowane w ramach Priorytetu 1. Kwestia ta wynika wprost z ciążącego na państwie członkowskim UE obowiązku zapewnienia prawidłowej realizacji wspólnej polityki rybołówstwa m.in. przez ciągłą i niezakłóconą realizację Wieloletniego Programu Zbierania Danych Rybackich, który jest obecnie prowadzony przez Morski Instytut Rybacki – Państwowy Instytut Badawczy w Gdyni. Biorąc pod uwagę, że to zadanie musi być </w:t>
      </w:r>
      <w:r w:rsidRPr="00A04463">
        <w:rPr>
          <w:rFonts w:cs="Times New Roman"/>
          <w:sz w:val="24"/>
          <w:szCs w:val="24"/>
        </w:rPr>
        <w:lastRenderedPageBreak/>
        <w:t>realizowane bez względu na aktualną dostępność finansowania z</w:t>
      </w:r>
      <w:r w:rsidR="009B1AC1">
        <w:rPr>
          <w:rFonts w:cs="Times New Roman"/>
          <w:sz w:val="24"/>
          <w:szCs w:val="24"/>
        </w:rPr>
        <w:t xml:space="preserve"> </w:t>
      </w:r>
      <w:r w:rsidRPr="00A04463">
        <w:rPr>
          <w:rFonts w:cs="Times New Roman"/>
          <w:sz w:val="24"/>
          <w:szCs w:val="24"/>
        </w:rPr>
        <w:t>Programu, które może być opóźnione z uwagi na problemy z jego uruchomieniem, przewidziano, że środki budżetowe wydatkowane na taką operację mogą być rozliczone jako wydatki kwalifikowalne ze środków EFMRA. Jest to rozwiązanie analogiczne do zastosowanego w obecnym okresie programowania.</w:t>
      </w:r>
    </w:p>
    <w:p w14:paraId="7E40F8C5" w14:textId="0D2A7FEF" w:rsidR="004C5452" w:rsidRPr="00A04463" w:rsidRDefault="004C5452" w:rsidP="004C5452">
      <w:pPr>
        <w:pStyle w:val="USTustnpkodeksu"/>
        <w:rPr>
          <w:rFonts w:cs="Times New Roman"/>
          <w:sz w:val="24"/>
          <w:szCs w:val="24"/>
        </w:rPr>
      </w:pPr>
      <w:r w:rsidRPr="00A04463">
        <w:rPr>
          <w:rFonts w:cs="Times New Roman"/>
          <w:sz w:val="24"/>
          <w:szCs w:val="24"/>
        </w:rPr>
        <w:t>W kolejnym przepisie projektowanej ustawy (art. 25) przewidziano możliwość następstwa prawnego wobec wnioskodawcy pomocy oraz beneficjenta pomocy realizujących określoną operację, jak również beneficjenta, który zakończył realizację operacji. W każdej z tych trzech sytuacji będzie konieczne spełnienie przez następcę prawnego zarówno warunków otrzymania pomocy, jak również stwierdzenie, że nie sprzeciwia się to przepisom, istocie i celowi działania, w ramach którego przyznano pomoc, a także przejęcie przez następcę prawnego zobowiązań związanych z przyznaną pomocą lub zrealizowaną operacją. Projektowane przepisy mają na celu utrzymanie trwałości realizowanych operacji na każdym ich etapie (od momentu złożenia wniosku o</w:t>
      </w:r>
      <w:r w:rsidR="009B1AC1">
        <w:rPr>
          <w:rFonts w:cs="Times New Roman"/>
          <w:sz w:val="24"/>
          <w:szCs w:val="24"/>
        </w:rPr>
        <w:t xml:space="preserve"> </w:t>
      </w:r>
      <w:r w:rsidRPr="00A04463">
        <w:rPr>
          <w:rFonts w:cs="Times New Roman"/>
          <w:sz w:val="24"/>
          <w:szCs w:val="24"/>
        </w:rPr>
        <w:t>dofinansowanie, przez realizację operacji, aż po okres związania z celem określony w umowie o dofinansowanie) zarówno w sytuacjach losowych takich jak śmierć beneficjenta, jak i</w:t>
      </w:r>
      <w:r w:rsidR="009B1AC1">
        <w:rPr>
          <w:rFonts w:cs="Times New Roman"/>
          <w:sz w:val="24"/>
          <w:szCs w:val="24"/>
        </w:rPr>
        <w:t xml:space="preserve"> </w:t>
      </w:r>
      <w:r w:rsidRPr="00A04463">
        <w:rPr>
          <w:rFonts w:cs="Times New Roman"/>
          <w:sz w:val="24"/>
          <w:szCs w:val="24"/>
        </w:rPr>
        <w:t>w przypadku zmian prowadzonej działalności gospodarczej typu sprzedaż przedsiębiorstwa czy gospodarstwa rolnego. W związku z powyższym beneficjent będzie zobowiązany do zgłoszenia ARiMR zamiaru przeprowadzenia transakcji prowadzącej do następstwa prawnego przed jej faktycznym dokonaniem, o ile jest to możliwe. W przypadku gdy operacja nie zostanie przejęta przez właściwy podmiot, ARiMR, na zasadach ogólnych, ma obowiązek zażądać od beneficjenta zwrotu pomocy wraz z odsetkami.</w:t>
      </w:r>
    </w:p>
    <w:p w14:paraId="1D949A40" w14:textId="06A4C489" w:rsidR="004C5452" w:rsidRPr="00A04463" w:rsidRDefault="004C5452" w:rsidP="004C5452">
      <w:pPr>
        <w:pStyle w:val="USTustnpkodeksu"/>
        <w:rPr>
          <w:rFonts w:eastAsia="Times New Roman" w:cs="Times New Roman"/>
          <w:sz w:val="24"/>
          <w:szCs w:val="24"/>
        </w:rPr>
      </w:pPr>
      <w:r w:rsidRPr="00A04463">
        <w:rPr>
          <w:rFonts w:cs="Times New Roman"/>
          <w:sz w:val="24"/>
          <w:szCs w:val="24"/>
        </w:rPr>
        <w:t>Projektowana ustawa (art. 26) upoważnia ministra właściwego do spraw rybołówstwa do określenia, w drodze obligatoryjnych rozporządzeń, szczegółowych warunków, a także trybu przyznawania, wypłaty lub zwrotu pomocy w przypadku dzia</w:t>
      </w:r>
      <w:r w:rsidR="003D65FC">
        <w:rPr>
          <w:rFonts w:cs="Times New Roman"/>
          <w:sz w:val="24"/>
          <w:szCs w:val="24"/>
        </w:rPr>
        <w:t>łań w ramach Priorytetów 1–4. W </w:t>
      </w:r>
      <w:r w:rsidRPr="00A04463">
        <w:rPr>
          <w:rFonts w:cs="Times New Roman"/>
          <w:sz w:val="24"/>
          <w:szCs w:val="24"/>
        </w:rPr>
        <w:t xml:space="preserve">szczególności </w:t>
      </w:r>
      <w:r w:rsidR="00C7545C" w:rsidRPr="00A04463">
        <w:rPr>
          <w:rFonts w:cs="Times New Roman"/>
          <w:sz w:val="24"/>
          <w:szCs w:val="24"/>
        </w:rPr>
        <w:t xml:space="preserve">jest </w:t>
      </w:r>
      <w:r w:rsidRPr="00A04463">
        <w:rPr>
          <w:rFonts w:cs="Times New Roman"/>
          <w:sz w:val="24"/>
          <w:szCs w:val="24"/>
        </w:rPr>
        <w:t xml:space="preserve">planowane wydanie jednego wspólnego rozporządzenia regulującego </w:t>
      </w:r>
      <w:r w:rsidRPr="00A04463">
        <w:rPr>
          <w:rFonts w:eastAsia="Times New Roman" w:cs="Times New Roman"/>
          <w:sz w:val="24"/>
          <w:szCs w:val="24"/>
        </w:rPr>
        <w:t xml:space="preserve">tryb przyznawania i wypłaty pomocy w ramach tych </w:t>
      </w:r>
      <w:r w:rsidR="00D91F05">
        <w:rPr>
          <w:rFonts w:eastAsia="Times New Roman" w:cs="Times New Roman"/>
          <w:sz w:val="24"/>
          <w:szCs w:val="24"/>
        </w:rPr>
        <w:t>czterech</w:t>
      </w:r>
      <w:r w:rsidR="00D91F05" w:rsidRPr="00A04463">
        <w:rPr>
          <w:rFonts w:eastAsia="Times New Roman" w:cs="Times New Roman"/>
          <w:sz w:val="24"/>
          <w:szCs w:val="24"/>
        </w:rPr>
        <w:t xml:space="preserve"> </w:t>
      </w:r>
      <w:r w:rsidRPr="00A04463">
        <w:rPr>
          <w:rFonts w:eastAsia="Times New Roman" w:cs="Times New Roman"/>
          <w:sz w:val="24"/>
          <w:szCs w:val="24"/>
        </w:rPr>
        <w:t xml:space="preserve">priorytetów oraz odrębnych rozporządzeń regulujących szczegółowe warunki przyznawania, wypłaty lub zwrotu pomocy w każdym z tych priorytetów. </w:t>
      </w:r>
    </w:p>
    <w:p w14:paraId="68EE4650" w14:textId="25087957" w:rsidR="004C5452" w:rsidRPr="00A04463" w:rsidRDefault="004C5452" w:rsidP="004C5452">
      <w:pPr>
        <w:pStyle w:val="USTustnpkodeksu"/>
        <w:rPr>
          <w:rFonts w:cs="Times New Roman"/>
          <w:sz w:val="24"/>
          <w:szCs w:val="24"/>
        </w:rPr>
      </w:pPr>
      <w:r w:rsidRPr="00A04463">
        <w:rPr>
          <w:rFonts w:cs="Times New Roman"/>
          <w:sz w:val="24"/>
          <w:szCs w:val="24"/>
        </w:rPr>
        <w:t xml:space="preserve">Wydanie osobnego rozporządzenia jest przewidziane </w:t>
      </w:r>
      <w:r w:rsidR="0042591D">
        <w:rPr>
          <w:rFonts w:cs="Times New Roman"/>
          <w:sz w:val="24"/>
          <w:szCs w:val="24"/>
        </w:rPr>
        <w:t>natomiast w zakresie Priorytetu </w:t>
      </w:r>
      <w:r w:rsidRPr="00A04463">
        <w:rPr>
          <w:rFonts w:cs="Times New Roman"/>
          <w:sz w:val="24"/>
          <w:szCs w:val="24"/>
        </w:rPr>
        <w:t xml:space="preserve">5. </w:t>
      </w:r>
      <w:r w:rsidRPr="00A04463">
        <w:rPr>
          <w:rStyle w:val="TekstpodstawowyZnak"/>
          <w:rFonts w:eastAsiaTheme="minorEastAsia"/>
        </w:rPr>
        <w:t>Pomoc techniczna</w:t>
      </w:r>
      <w:r w:rsidRPr="00A04463">
        <w:rPr>
          <w:rFonts w:cs="Times New Roman"/>
          <w:sz w:val="24"/>
          <w:szCs w:val="24"/>
        </w:rPr>
        <w:t>, którego tryb i warunki realizacji zo</w:t>
      </w:r>
      <w:r w:rsidR="003D65FC">
        <w:rPr>
          <w:rFonts w:cs="Times New Roman"/>
          <w:sz w:val="24"/>
          <w:szCs w:val="24"/>
        </w:rPr>
        <w:t>staną kompleksowo uregulowane w </w:t>
      </w:r>
      <w:r w:rsidRPr="00A04463">
        <w:rPr>
          <w:rFonts w:cs="Times New Roman"/>
          <w:sz w:val="24"/>
          <w:szCs w:val="24"/>
        </w:rPr>
        <w:t>drodze jednego aktu wykonawczego, który całościowo ureguluje tryb i warunki rozpatrywania wniosków o dofinansowanie oraz realizacji operacji w ra</w:t>
      </w:r>
      <w:r w:rsidR="0042591D">
        <w:rPr>
          <w:rFonts w:cs="Times New Roman"/>
          <w:sz w:val="24"/>
          <w:szCs w:val="24"/>
        </w:rPr>
        <w:t>mach tego Priorytetu. Priorytet </w:t>
      </w:r>
      <w:r w:rsidRPr="00A04463">
        <w:rPr>
          <w:rFonts w:cs="Times New Roman"/>
          <w:sz w:val="24"/>
          <w:szCs w:val="24"/>
        </w:rPr>
        <w:t xml:space="preserve">5. </w:t>
      </w:r>
      <w:r w:rsidRPr="00A04463">
        <w:rPr>
          <w:rStyle w:val="TekstpodstawowyZnak"/>
          <w:rFonts w:eastAsiaTheme="minorEastAsia"/>
        </w:rPr>
        <w:t>Pomoc techniczna</w:t>
      </w:r>
      <w:r w:rsidRPr="00A04463">
        <w:rPr>
          <w:rFonts w:cs="Times New Roman"/>
          <w:sz w:val="24"/>
          <w:szCs w:val="24"/>
        </w:rPr>
        <w:t xml:space="preserve"> jako część Programu podlega regulacjom w znacznym stopniu jednolitym z pozostałymi Priorytetami, co obejmuje np. konieczność stosowania systemu </w:t>
      </w:r>
      <w:r w:rsidRPr="00A04463">
        <w:rPr>
          <w:rFonts w:cs="Times New Roman"/>
          <w:sz w:val="24"/>
          <w:szCs w:val="24"/>
        </w:rPr>
        <w:lastRenderedPageBreak/>
        <w:t>teleinformatycznego do składania i obsługi wniosków, czy konieczność określonego ogłaszania naborów wniosków o dofinansowanie. Jednakże ze względu na specyfikę beneficjentów instytucjonalnych, a także na fakt rozpatrywania części wniosków przez IZ, a część przez ARiMR, niezbędne jest wydanie odrębnej regulacji dla Priorytetu 5. W tym rozporządzeniu znajdzie się również regulacja podziału środków finansow</w:t>
      </w:r>
      <w:r w:rsidR="003D65FC">
        <w:rPr>
          <w:rFonts w:cs="Times New Roman"/>
          <w:sz w:val="24"/>
          <w:szCs w:val="24"/>
        </w:rPr>
        <w:t>ych na beneficjentów Priorytetu </w:t>
      </w:r>
      <w:r w:rsidRPr="00A04463">
        <w:rPr>
          <w:rFonts w:cs="Times New Roman"/>
          <w:sz w:val="24"/>
          <w:szCs w:val="24"/>
        </w:rPr>
        <w:t>5, w tym jest planowane, że obejmie ono także zapewnienie samorządom województw, które były IP w Programie Operacyjnym „Rybactwo i Morze” na lata 2014−2020, dalsze finasowanie na zapewnienie kontynuacji realizacji zadań dotyczących tego programu w ramach Pomocy technicznej nowego Programu.</w:t>
      </w:r>
    </w:p>
    <w:p w14:paraId="180C6CB1" w14:textId="31B8AFE1" w:rsidR="004C5452" w:rsidRPr="00A04463" w:rsidRDefault="004C5452" w:rsidP="004C5452">
      <w:pPr>
        <w:pStyle w:val="USTustnpkodeksu"/>
        <w:rPr>
          <w:rFonts w:cs="Times New Roman"/>
          <w:sz w:val="24"/>
          <w:szCs w:val="24"/>
        </w:rPr>
      </w:pPr>
      <w:r w:rsidRPr="00A04463">
        <w:rPr>
          <w:rFonts w:cs="Times New Roman"/>
          <w:sz w:val="24"/>
          <w:szCs w:val="24"/>
        </w:rPr>
        <w:t xml:space="preserve">Ponadto przewidziano odrębne podejście odnośnie do regulacji działania </w:t>
      </w:r>
      <w:r w:rsidRPr="00A04463">
        <w:rPr>
          <w:rStyle w:val="TekstpodstawowyZnak"/>
          <w:rFonts w:eastAsiaTheme="minorEastAsia"/>
        </w:rPr>
        <w:t>Mechanizmu interwencyjnego</w:t>
      </w:r>
      <w:r w:rsidRPr="00A04463">
        <w:rPr>
          <w:rFonts w:cs="Times New Roman"/>
          <w:sz w:val="24"/>
          <w:szCs w:val="24"/>
        </w:rPr>
        <w:t xml:space="preserve"> zawartego w Priorytecie 2 Programu, w odniesieniu do którego wydanie rozporządzenia będzie fakultatywne, a ponadto warunkowe – uzależnione od uprzedniego wydania przez Komisję Europejską decyzji, o której mowa w art. 26 ust. 2 akapit drugi rozporządzenia EFMRA, czyli wystąpienia wyjątkowych zdarzeń powodujących znaczące zakłócenia na rynkach, jak n</w:t>
      </w:r>
      <w:r w:rsidR="00A04463">
        <w:rPr>
          <w:rFonts w:cs="Times New Roman"/>
          <w:sz w:val="24"/>
          <w:szCs w:val="24"/>
        </w:rPr>
        <w:t>p. pandemia COVID-19 lub wojna.</w:t>
      </w:r>
    </w:p>
    <w:p w14:paraId="2FB27EEB" w14:textId="77777777" w:rsidR="004C5452" w:rsidRDefault="004C5452" w:rsidP="004C5452">
      <w:pPr>
        <w:pStyle w:val="USTustnpkodeksu"/>
        <w:rPr>
          <w:rFonts w:cs="Times New Roman"/>
          <w:szCs w:val="24"/>
        </w:rPr>
      </w:pPr>
    </w:p>
    <w:p w14:paraId="6DBBD52F" w14:textId="77777777" w:rsidR="004C5452" w:rsidRPr="00B16420" w:rsidRDefault="004C5452" w:rsidP="004C5452">
      <w:pPr>
        <w:pStyle w:val="LITlitera"/>
        <w:rPr>
          <w:rFonts w:ascii="Times New Roman" w:hAnsi="Times New Roman" w:cs="Times New Roman"/>
          <w:szCs w:val="24"/>
        </w:rPr>
      </w:pPr>
      <w:r w:rsidRPr="00B16420">
        <w:rPr>
          <w:rFonts w:ascii="Times New Roman" w:hAnsi="Times New Roman" w:cs="Times New Roman"/>
          <w:szCs w:val="24"/>
        </w:rPr>
        <w:t>Rozdział 4 – RLKS</w:t>
      </w:r>
    </w:p>
    <w:p w14:paraId="59EE67C8" w14:textId="40C75629" w:rsidR="004C5452" w:rsidRPr="00B16420" w:rsidRDefault="004C5452" w:rsidP="004C5452">
      <w:pPr>
        <w:pStyle w:val="USTustnpkodeksu"/>
        <w:rPr>
          <w:rFonts w:eastAsia="Times New Roman" w:cs="Times New Roman"/>
          <w:sz w:val="24"/>
          <w:szCs w:val="24"/>
        </w:rPr>
      </w:pPr>
      <w:r w:rsidRPr="00B16420">
        <w:rPr>
          <w:rFonts w:cs="Times New Roman"/>
          <w:sz w:val="24"/>
          <w:szCs w:val="24"/>
        </w:rPr>
        <w:t>Ten rozdział projektowanej ustawy zawiera przepisy regulujące realizację wspierania RLKS w ramach Programu, które zakładają, że</w:t>
      </w:r>
      <w:r w:rsidR="00D91F05">
        <w:rPr>
          <w:rFonts w:cs="Times New Roman"/>
          <w:sz w:val="24"/>
          <w:szCs w:val="24"/>
        </w:rPr>
        <w:t>,</w:t>
      </w:r>
      <w:r w:rsidRPr="00B16420">
        <w:rPr>
          <w:rFonts w:cs="Times New Roman"/>
          <w:sz w:val="24"/>
          <w:szCs w:val="24"/>
        </w:rPr>
        <w:t xml:space="preserve"> odmiennie niż w dotychczasowej perspektywie finansowej, nie będą stosowane rozwiązania określone w przepisach ustawy z dnia 20 lutego 2015 r. o rozwoju lokalnym z udziałem lokalnej społeczności</w:t>
      </w:r>
      <w:r w:rsidR="00532BDA">
        <w:rPr>
          <w:rFonts w:cs="Times New Roman"/>
          <w:sz w:val="24"/>
          <w:szCs w:val="24"/>
        </w:rPr>
        <w:t>,</w:t>
      </w:r>
      <w:r w:rsidRPr="00B16420">
        <w:rPr>
          <w:rFonts w:cs="Times New Roman"/>
          <w:sz w:val="24"/>
          <w:szCs w:val="24"/>
        </w:rPr>
        <w:t xml:space="preserve"> lecz odrębne, zawarte w</w:t>
      </w:r>
      <w:r w:rsidR="003D65FC">
        <w:rPr>
          <w:rFonts w:cs="Times New Roman"/>
          <w:sz w:val="24"/>
          <w:szCs w:val="24"/>
        </w:rPr>
        <w:t> </w:t>
      </w:r>
      <w:r w:rsidRPr="00B16420">
        <w:rPr>
          <w:rFonts w:cs="Times New Roman"/>
          <w:sz w:val="24"/>
          <w:szCs w:val="24"/>
        </w:rPr>
        <w:t>projektowanej ustawie. Celem takiej regulacji jest potrzeba uwzględnienia specyfiki wdrażania EFMRA, zgodnie z którą wszystkie środki przez</w:t>
      </w:r>
      <w:r w:rsidR="003D65FC">
        <w:rPr>
          <w:rFonts w:cs="Times New Roman"/>
          <w:sz w:val="24"/>
          <w:szCs w:val="24"/>
        </w:rPr>
        <w:t>naczone na wdrożenie Priorytetu </w:t>
      </w:r>
      <w:r w:rsidRPr="00B16420">
        <w:rPr>
          <w:rFonts w:cs="Times New Roman"/>
          <w:sz w:val="24"/>
          <w:szCs w:val="24"/>
        </w:rPr>
        <w:t xml:space="preserve">3. </w:t>
      </w:r>
      <w:r w:rsidRPr="00B16420">
        <w:rPr>
          <w:rStyle w:val="TekstpodstawowyZnak"/>
          <w:rFonts w:eastAsiaTheme="minorEastAsia"/>
        </w:rPr>
        <w:t xml:space="preserve">Sprzyjanie zrównoważonej niebieskiej gospodarce na obszarach przybrzeżnych, wyspiarskich i śródlądowych oraz wspieranie rozwoju społeczności rybackich i sektora </w:t>
      </w:r>
      <w:r w:rsidRPr="00532BDA">
        <w:rPr>
          <w:rStyle w:val="TekstpodstawowyZnak"/>
          <w:rFonts w:eastAsiaTheme="minorEastAsia"/>
        </w:rPr>
        <w:t>akwakultury</w:t>
      </w:r>
      <w:r w:rsidRPr="00532BDA">
        <w:rPr>
          <w:rStyle w:val="Kkursywa"/>
          <w:rFonts w:cs="Times New Roman"/>
          <w:sz w:val="24"/>
          <w:szCs w:val="24"/>
        </w:rPr>
        <w:t xml:space="preserve"> </w:t>
      </w:r>
      <w:r w:rsidRPr="00532BDA">
        <w:rPr>
          <w:rStyle w:val="Kkursywa"/>
          <w:rFonts w:cs="Times New Roman"/>
          <w:i w:val="0"/>
          <w:sz w:val="24"/>
          <w:szCs w:val="24"/>
        </w:rPr>
        <w:t>będą</w:t>
      </w:r>
      <w:r w:rsidRPr="00B16420">
        <w:rPr>
          <w:rStyle w:val="Kkursywa"/>
          <w:rFonts w:cs="Times New Roman"/>
          <w:sz w:val="24"/>
          <w:szCs w:val="24"/>
        </w:rPr>
        <w:t xml:space="preserve"> </w:t>
      </w:r>
      <w:r w:rsidRPr="00B16420">
        <w:rPr>
          <w:rFonts w:cs="Times New Roman"/>
          <w:sz w:val="24"/>
          <w:szCs w:val="24"/>
        </w:rPr>
        <w:t xml:space="preserve">służyły rozwojowi </w:t>
      </w:r>
      <w:r w:rsidRPr="00B16420">
        <w:rPr>
          <w:rFonts w:eastAsia="Times New Roman" w:cs="Times New Roman"/>
          <w:sz w:val="24"/>
          <w:szCs w:val="24"/>
        </w:rPr>
        <w:t>obszarów o charakterze typowo rybackim. Wykorzystane zostaną również doświadczenia sprawdzone w ramach realizacji EFMR 2014–2020.</w:t>
      </w:r>
    </w:p>
    <w:p w14:paraId="2A10394D" w14:textId="48119D74" w:rsidR="004C5452" w:rsidRPr="00B16420" w:rsidRDefault="004C5452" w:rsidP="004C5452">
      <w:pPr>
        <w:pStyle w:val="USTustnpkodeksu"/>
        <w:rPr>
          <w:rFonts w:cs="Times New Roman"/>
          <w:sz w:val="24"/>
          <w:szCs w:val="24"/>
        </w:rPr>
      </w:pPr>
      <w:r w:rsidRPr="00B16420">
        <w:rPr>
          <w:rFonts w:cs="Times New Roman"/>
          <w:sz w:val="24"/>
          <w:szCs w:val="24"/>
        </w:rPr>
        <w:t xml:space="preserve">Projektowana ustawa (art. 27) przewiduje powołanie na potrzeby Programu odrębnego komitetu w rozumieniu art. 32 ust. 2 rozporządzenia ogólnego, właściwego do spraw wyboru rybackich lokalnych strategii rozwoju (LSR). Kolejne projektowane przepisy precyzują formę prawną i strukturę rybackich lokalnych grup działania (art. 28), a także warunki wyboru rybackich LSR spośród zgłoszonych przez RLGD (art. 29) do konkursu ogłoszonego przez IZ (art. 30). Konkurs ten będzie prowadzony na podstawie ustalonego przez IZ regulaminu, którego zakres określa projektowana ustawa (art. 31). Należy dodać, że faktyczna wysokość </w:t>
      </w:r>
      <w:r w:rsidRPr="00B16420">
        <w:rPr>
          <w:rFonts w:cs="Times New Roman"/>
          <w:sz w:val="24"/>
          <w:szCs w:val="24"/>
        </w:rPr>
        <w:lastRenderedPageBreak/>
        <w:t>limitu środków przewidzianych w konkursie na r</w:t>
      </w:r>
      <w:r w:rsidR="003D65FC">
        <w:rPr>
          <w:rFonts w:cs="Times New Roman"/>
          <w:sz w:val="24"/>
          <w:szCs w:val="24"/>
        </w:rPr>
        <w:t>ealizację LSR będzie wynikała z </w:t>
      </w:r>
      <w:r w:rsidRPr="00B16420">
        <w:rPr>
          <w:rFonts w:cs="Times New Roman"/>
          <w:sz w:val="24"/>
          <w:szCs w:val="24"/>
        </w:rPr>
        <w:t>rozporządzenia o podziale środków Programu, które zostanie w</w:t>
      </w:r>
      <w:r w:rsidR="0042591D">
        <w:rPr>
          <w:rFonts w:cs="Times New Roman"/>
          <w:sz w:val="24"/>
          <w:szCs w:val="24"/>
        </w:rPr>
        <w:t>ydane na podstawie art. </w:t>
      </w:r>
      <w:r w:rsidR="00B8006C">
        <w:rPr>
          <w:rFonts w:cs="Times New Roman"/>
          <w:sz w:val="24"/>
          <w:szCs w:val="24"/>
        </w:rPr>
        <w:t>13 ust. </w:t>
      </w:r>
      <w:r w:rsidRPr="00B16420">
        <w:rPr>
          <w:rFonts w:cs="Times New Roman"/>
          <w:sz w:val="24"/>
          <w:szCs w:val="24"/>
        </w:rPr>
        <w:t xml:space="preserve">6, a będą to środki przewidziane na realizację Priorytetu 3 pomniejszone o jego część przeznaczoną na działanie </w:t>
      </w:r>
      <w:r w:rsidRPr="00B16420">
        <w:rPr>
          <w:rStyle w:val="TekstpodstawowyZnak"/>
          <w:rFonts w:eastAsiaTheme="minorEastAsia"/>
        </w:rPr>
        <w:t>Wsparcie przygotowawcze</w:t>
      </w:r>
      <w:r w:rsidRPr="00B16420">
        <w:rPr>
          <w:rFonts w:cs="Times New Roman"/>
          <w:sz w:val="24"/>
          <w:szCs w:val="24"/>
        </w:rPr>
        <w:t xml:space="preserve">. </w:t>
      </w:r>
    </w:p>
    <w:p w14:paraId="4B730A0D" w14:textId="6229E56E" w:rsidR="004C5452" w:rsidRPr="00B16420" w:rsidRDefault="004C5452" w:rsidP="004C5452">
      <w:pPr>
        <w:pStyle w:val="USTustnpkodeksu"/>
        <w:rPr>
          <w:rFonts w:cs="Times New Roman"/>
          <w:sz w:val="24"/>
          <w:szCs w:val="24"/>
        </w:rPr>
      </w:pPr>
      <w:r w:rsidRPr="00B16420">
        <w:rPr>
          <w:rFonts w:cs="Times New Roman"/>
          <w:sz w:val="24"/>
          <w:szCs w:val="24"/>
        </w:rPr>
        <w:t>Odnośnie do przebiegu konkursu zaproponowano, że wniosek o wybór LSR składa się do IZ w określonej formie, to jest na wzorze przygotowanym przez IZ, udostępnionym na stronie programu, i w określonym terminie (art. 32), a szczegóły dotyczące konkursu znajdą się w</w:t>
      </w:r>
      <w:r w:rsidR="003D65FC">
        <w:rPr>
          <w:rFonts w:cs="Times New Roman"/>
          <w:sz w:val="24"/>
          <w:szCs w:val="24"/>
        </w:rPr>
        <w:t> </w:t>
      </w:r>
      <w:r w:rsidRPr="00B16420">
        <w:rPr>
          <w:rFonts w:cs="Times New Roman"/>
          <w:sz w:val="24"/>
          <w:szCs w:val="24"/>
        </w:rPr>
        <w:t>ogłoszeniu o konkursie (art. 33). W trakcie konkursu, jeżeli wniosek o wybór LSR będzie zawierał określone braki (art. 34) IZ pozostawi go bez rozpatrzenia, a w przypadku innych braków wezwie RLGD do jego uzupełnienia, przy czym uzupełnienie braków nie może prowadzić do istotnej modyfikacji tego wniosku. Wyznaczony termin 7 dni na uzupełnienie wniosku o wybór LSR jest wystarczający, gdyż jest to jedynie czas na uzupełnienie drugorzędnych braków, a nie modyfikację samego wniosku ani tym bardziej strategii przygotowanej przez RLGD. Zaproponowano również (art. 35), że oceny każdej LSR komitet do spraw wyboru LSR będzie dokonywał w drodze uchwały, wskazując czy zostały spełnione warunki dostępu RLGD oraz podając liczbę punktów uzyskanych przez tę LSR w ramach oceny tzw. kryteriów oceny LSR, a także uzasadnienie tej oceny i pouczenie o możliwości wniesienia sprzeciwu. Od uchwały o</w:t>
      </w:r>
      <w:r w:rsidR="009B1AC1">
        <w:rPr>
          <w:rFonts w:cs="Times New Roman"/>
          <w:sz w:val="24"/>
          <w:szCs w:val="24"/>
        </w:rPr>
        <w:t xml:space="preserve"> </w:t>
      </w:r>
      <w:r w:rsidRPr="00B16420">
        <w:rPr>
          <w:rFonts w:cs="Times New Roman"/>
          <w:sz w:val="24"/>
          <w:szCs w:val="24"/>
        </w:rPr>
        <w:t>dokonaniu oceny LSR będzie przysługiwać RLGD prawo wniesienia do komitetu do spraw wyboru LSR sprzeciwu na określonych w projektowanej ustawie zasadach i w określonym trybie. Ponadto na rozstrzygnięcie</w:t>
      </w:r>
      <w:r w:rsidR="003D65FC">
        <w:rPr>
          <w:rFonts w:cs="Times New Roman"/>
          <w:sz w:val="24"/>
          <w:szCs w:val="24"/>
        </w:rPr>
        <w:t xml:space="preserve"> komitetu do spraw wyboru LSR w </w:t>
      </w:r>
      <w:r w:rsidRPr="00B16420">
        <w:rPr>
          <w:rFonts w:cs="Times New Roman"/>
          <w:sz w:val="24"/>
          <w:szCs w:val="24"/>
        </w:rPr>
        <w:t>sprawie wniesionego sprzeciwu RLGD</w:t>
      </w:r>
      <w:r w:rsidRPr="00B16420">
        <w:rPr>
          <w:rFonts w:cs="Times New Roman"/>
          <w:b/>
          <w:sz w:val="24"/>
          <w:szCs w:val="24"/>
        </w:rPr>
        <w:t xml:space="preserve"> </w:t>
      </w:r>
      <w:r w:rsidRPr="00B16420">
        <w:rPr>
          <w:rFonts w:cs="Times New Roman"/>
          <w:sz w:val="24"/>
          <w:szCs w:val="24"/>
        </w:rPr>
        <w:t>będzie przysługiwać prawo wniesienia skargi do sądu administracyjnego (art. 36), przy czym wniesienie skargi nie</w:t>
      </w:r>
      <w:r w:rsidR="009B1AC1">
        <w:rPr>
          <w:rFonts w:cs="Times New Roman"/>
          <w:sz w:val="24"/>
          <w:szCs w:val="24"/>
        </w:rPr>
        <w:t xml:space="preserve"> </w:t>
      </w:r>
      <w:r w:rsidRPr="00B16420">
        <w:rPr>
          <w:rFonts w:cs="Times New Roman"/>
          <w:sz w:val="24"/>
          <w:szCs w:val="24"/>
        </w:rPr>
        <w:t>wstrzymuje możliwości wyboru innych LSR w ramach ogłoszonego konkursu. Jeżeli zaś zostaną wyczerpane środki przeznaczone na wybór LSR sąd, uwzględniając skargę, nie uchyli rozstrzygnięcia komitetu, lecz stwierdzi, że ocena LSR została przeprowadzona z naruszeniem prawa.</w:t>
      </w:r>
    </w:p>
    <w:p w14:paraId="17556EB7" w14:textId="67FF275D" w:rsidR="004C5452" w:rsidRPr="00B16420" w:rsidRDefault="004C5452" w:rsidP="004C5452">
      <w:pPr>
        <w:pStyle w:val="USTustnpkodeksu"/>
        <w:rPr>
          <w:rFonts w:cs="Times New Roman"/>
          <w:sz w:val="24"/>
          <w:szCs w:val="24"/>
        </w:rPr>
      </w:pPr>
      <w:r w:rsidRPr="00B16420">
        <w:rPr>
          <w:rFonts w:cs="Times New Roman"/>
          <w:sz w:val="24"/>
          <w:szCs w:val="24"/>
        </w:rPr>
        <w:t>Ostateczny wybór LSR (art. 37) będzie dokonywany w drodze uchwały komitetu, która zawiera listę ocenionych LSR, liczbę punktów otrzymanych przez poszczególne LSR oraz wskazanie LSR, które zostały wybrane. Uchwałę tę publikuje się na stronie Programu. Z</w:t>
      </w:r>
      <w:r w:rsidR="003D65FC">
        <w:rPr>
          <w:rFonts w:cs="Times New Roman"/>
          <w:sz w:val="24"/>
          <w:szCs w:val="24"/>
        </w:rPr>
        <w:t> </w:t>
      </w:r>
      <w:r w:rsidRPr="00B16420">
        <w:rPr>
          <w:rFonts w:cs="Times New Roman"/>
          <w:sz w:val="24"/>
          <w:szCs w:val="24"/>
        </w:rPr>
        <w:t>RLGD, której LSR została wybrana w konkursie, IZ zawiera umowę ramową, której minimalny zakres również określono w projektowanej ustawie (art. 38). Ponadto IZ będzie podawać na stronie Programu informację o wyczerpaniu limitu środków w</w:t>
      </w:r>
      <w:r w:rsidR="009B1AC1">
        <w:rPr>
          <w:rFonts w:cs="Times New Roman"/>
          <w:sz w:val="24"/>
          <w:szCs w:val="24"/>
        </w:rPr>
        <w:t xml:space="preserve"> </w:t>
      </w:r>
      <w:r w:rsidRPr="00B16420">
        <w:rPr>
          <w:rFonts w:cs="Times New Roman"/>
          <w:sz w:val="24"/>
          <w:szCs w:val="24"/>
        </w:rPr>
        <w:t xml:space="preserve">konkursie przeznaczonych </w:t>
      </w:r>
      <w:r w:rsidR="00B16420">
        <w:rPr>
          <w:rFonts w:cs="Times New Roman"/>
          <w:sz w:val="24"/>
          <w:szCs w:val="24"/>
        </w:rPr>
        <w:t>na realizację LSR na wybór LSR.</w:t>
      </w:r>
    </w:p>
    <w:p w14:paraId="43851BBA" w14:textId="0DC3FE9C" w:rsidR="004C5452" w:rsidRPr="00B16420" w:rsidRDefault="004C5452" w:rsidP="004C5452">
      <w:pPr>
        <w:pStyle w:val="USTustnpkodeksu"/>
        <w:rPr>
          <w:rFonts w:cs="Times New Roman"/>
          <w:color w:val="000000"/>
          <w:sz w:val="24"/>
          <w:szCs w:val="24"/>
        </w:rPr>
      </w:pPr>
      <w:r w:rsidRPr="00B16420">
        <w:rPr>
          <w:rFonts w:cs="Times New Roman"/>
          <w:sz w:val="24"/>
          <w:szCs w:val="24"/>
        </w:rPr>
        <w:t xml:space="preserve">Projektowana ustawa (art. 39) przewiduje również, że do postępowania w sprawie wyboru LSR, w tym w zakresie oceny </w:t>
      </w:r>
      <w:r w:rsidRPr="00B16420">
        <w:rPr>
          <w:rFonts w:cs="Times New Roman"/>
          <w:color w:val="000000"/>
          <w:sz w:val="24"/>
          <w:szCs w:val="24"/>
        </w:rPr>
        <w:t>spełniania warunków dostępu RLGD i kryteriów oceny</w:t>
      </w:r>
      <w:r w:rsidRPr="00B16420">
        <w:rPr>
          <w:rFonts w:cs="Times New Roman"/>
          <w:sz w:val="24"/>
          <w:szCs w:val="24"/>
        </w:rPr>
        <w:t xml:space="preserve"> LSR, </w:t>
      </w:r>
      <w:r w:rsidRPr="00B16420">
        <w:rPr>
          <w:rFonts w:cs="Times New Roman"/>
          <w:sz w:val="24"/>
          <w:szCs w:val="24"/>
        </w:rPr>
        <w:lastRenderedPageBreak/>
        <w:t>oraz do postępowania w sprawie sprzeciwu nie stosuje się przepisów Kodeksu postępowania administracyjnego,</w:t>
      </w:r>
      <w:r w:rsidRPr="00B16420">
        <w:rPr>
          <w:rFonts w:cs="Times New Roman"/>
          <w:color w:val="000000"/>
          <w:sz w:val="24"/>
          <w:szCs w:val="24"/>
        </w:rPr>
        <w:t xml:space="preserve"> z wyjątkiem przepisów dotyczących wyłączenia pracowników organu, doręczeń i udostępniania akt. Stosuje się natomiast </w:t>
      </w:r>
      <w:r w:rsidRPr="00B16420">
        <w:rPr>
          <w:rFonts w:eastAsia="Times New Roman" w:cs="Times New Roman"/>
          <w:sz w:val="24"/>
          <w:szCs w:val="24"/>
        </w:rPr>
        <w:t>odpowiednio zasady określone w</w:t>
      </w:r>
      <w:r w:rsidR="009B1AC1">
        <w:rPr>
          <w:rFonts w:eastAsia="Times New Roman" w:cs="Times New Roman"/>
          <w:sz w:val="24"/>
          <w:szCs w:val="24"/>
        </w:rPr>
        <w:t xml:space="preserve"> </w:t>
      </w:r>
      <w:r w:rsidR="0042591D">
        <w:rPr>
          <w:rFonts w:eastAsia="Times New Roman" w:cs="Times New Roman"/>
          <w:sz w:val="24"/>
          <w:szCs w:val="24"/>
        </w:rPr>
        <w:t>art. </w:t>
      </w:r>
      <w:r w:rsidR="00B8006C">
        <w:rPr>
          <w:rFonts w:eastAsia="Times New Roman" w:cs="Times New Roman"/>
          <w:sz w:val="24"/>
          <w:szCs w:val="24"/>
        </w:rPr>
        <w:t>19 ust. </w:t>
      </w:r>
      <w:r w:rsidRPr="00B16420">
        <w:rPr>
          <w:rFonts w:eastAsia="Times New Roman" w:cs="Times New Roman"/>
          <w:sz w:val="24"/>
          <w:szCs w:val="24"/>
        </w:rPr>
        <w:t xml:space="preserve">1−3 projektowanej ustawy, dotyczące </w:t>
      </w:r>
      <w:r w:rsidRPr="00B16420">
        <w:rPr>
          <w:rFonts w:cs="Times New Roman"/>
          <w:sz w:val="24"/>
          <w:szCs w:val="24"/>
        </w:rPr>
        <w:t>postępowania w sprawie przyznawania pomocy.</w:t>
      </w:r>
    </w:p>
    <w:p w14:paraId="64857FB7" w14:textId="77777777" w:rsidR="004C5452" w:rsidRDefault="004C5452" w:rsidP="004C5452">
      <w:pPr>
        <w:pStyle w:val="USTustnpkodeksu"/>
        <w:rPr>
          <w:rFonts w:cs="Times New Roman"/>
          <w:szCs w:val="24"/>
        </w:rPr>
      </w:pPr>
    </w:p>
    <w:p w14:paraId="708184D1" w14:textId="77777777" w:rsidR="004C5452" w:rsidRPr="00B16420" w:rsidRDefault="004C5452" w:rsidP="004C5452">
      <w:pPr>
        <w:pStyle w:val="LITlitera"/>
        <w:rPr>
          <w:rFonts w:ascii="Times New Roman" w:hAnsi="Times New Roman" w:cs="Times New Roman"/>
          <w:szCs w:val="24"/>
        </w:rPr>
      </w:pPr>
      <w:r w:rsidRPr="00B16420">
        <w:rPr>
          <w:rFonts w:ascii="Times New Roman" w:hAnsi="Times New Roman" w:cs="Times New Roman"/>
          <w:szCs w:val="24"/>
        </w:rPr>
        <w:t>Rozdział 5 – Zwrot pomocy</w:t>
      </w:r>
    </w:p>
    <w:p w14:paraId="33D13100" w14:textId="3EA1D7E7" w:rsidR="004C5452" w:rsidRPr="00B16420" w:rsidRDefault="004C5452" w:rsidP="004C5452">
      <w:pPr>
        <w:pStyle w:val="USTustnpkodeksu"/>
        <w:rPr>
          <w:rFonts w:cs="Times New Roman"/>
          <w:sz w:val="24"/>
          <w:szCs w:val="24"/>
        </w:rPr>
      </w:pPr>
      <w:r w:rsidRPr="00B16420">
        <w:rPr>
          <w:rFonts w:cs="Times New Roman"/>
          <w:sz w:val="24"/>
          <w:szCs w:val="24"/>
        </w:rPr>
        <w:t>Ten rozdział projektowanej ustawy (art. 40 i art. 41) reguluje zwrot pomocy – to jest pomocy finansowej na realizację operacji w ramach Programu – odwołując się do odpowiednich regulacji ustawy z dnia 27 sierpnia 2009 r. o</w:t>
      </w:r>
      <w:r w:rsidR="009B1AC1">
        <w:rPr>
          <w:rFonts w:cs="Times New Roman"/>
          <w:sz w:val="24"/>
          <w:szCs w:val="24"/>
        </w:rPr>
        <w:t xml:space="preserve"> </w:t>
      </w:r>
      <w:r w:rsidRPr="00B16420">
        <w:rPr>
          <w:rFonts w:cs="Times New Roman"/>
          <w:sz w:val="24"/>
          <w:szCs w:val="24"/>
        </w:rPr>
        <w:t xml:space="preserve">finansach publicznych. Zwrotowi wraz z odsetkami określonymi jak dla zaległości </w:t>
      </w:r>
      <w:r w:rsidR="003D65FC">
        <w:rPr>
          <w:rFonts w:cs="Times New Roman"/>
          <w:sz w:val="24"/>
          <w:szCs w:val="24"/>
        </w:rPr>
        <w:t>podatkowych, analogicznie jak w </w:t>
      </w:r>
      <w:r w:rsidRPr="00B16420">
        <w:rPr>
          <w:rFonts w:cs="Times New Roman"/>
          <w:sz w:val="24"/>
          <w:szCs w:val="24"/>
        </w:rPr>
        <w:t>dotychczasowym okresie programowania, będzie podlegać pomoc wykorzystana niezgodnie z przeznaczeniem, wykorzystana z naruszeniem procedur, o któ</w:t>
      </w:r>
      <w:r w:rsidR="003D65FC">
        <w:rPr>
          <w:rFonts w:cs="Times New Roman"/>
          <w:sz w:val="24"/>
          <w:szCs w:val="24"/>
        </w:rPr>
        <w:t>rych mowa w art. 184 ustawy z </w:t>
      </w:r>
      <w:r w:rsidRPr="00B16420">
        <w:rPr>
          <w:rFonts w:cs="Times New Roman"/>
          <w:sz w:val="24"/>
          <w:szCs w:val="24"/>
        </w:rPr>
        <w:t>dnia 27 sierpnia 2009 r. o finansach publicznych, pobrana nienależnie lub w nadmiernej wysokości. Doprecyzowano również jak rozumieć pomoc pobraną nienależnie lub w</w:t>
      </w:r>
      <w:r w:rsidR="003D65FC">
        <w:rPr>
          <w:rFonts w:cs="Times New Roman"/>
          <w:sz w:val="24"/>
          <w:szCs w:val="24"/>
        </w:rPr>
        <w:t> </w:t>
      </w:r>
      <w:r w:rsidRPr="00B16420">
        <w:rPr>
          <w:rFonts w:cs="Times New Roman"/>
          <w:sz w:val="24"/>
          <w:szCs w:val="24"/>
        </w:rPr>
        <w:t>nadmiernej wysokości (art. 40).</w:t>
      </w:r>
    </w:p>
    <w:p w14:paraId="7B519634" w14:textId="09F97211" w:rsidR="004C5452" w:rsidRPr="00B16420" w:rsidRDefault="004C5452" w:rsidP="004C5452">
      <w:pPr>
        <w:pStyle w:val="NIEARTTEKSTtekstnieartykuowanynppodstprawnarozplubpreambua"/>
        <w:spacing w:before="0"/>
        <w:rPr>
          <w:rFonts w:ascii="Times New Roman" w:hAnsi="Times New Roman" w:cs="Times New Roman"/>
          <w:szCs w:val="24"/>
        </w:rPr>
      </w:pPr>
      <w:r w:rsidRPr="00B16420">
        <w:rPr>
          <w:rFonts w:ascii="Times New Roman" w:hAnsi="Times New Roman" w:cs="Times New Roman"/>
          <w:szCs w:val="24"/>
        </w:rPr>
        <w:t>Projektowana ustawa przewiduje (art. 41), że organem właściwym w sprawach dotyczących dochodzenia zwrotu pomocy w powyższym zakresie będzie Prezes ARiMR, a</w:t>
      </w:r>
      <w:r w:rsidR="003D65FC">
        <w:rPr>
          <w:rFonts w:ascii="Times New Roman" w:hAnsi="Times New Roman" w:cs="Times New Roman"/>
          <w:szCs w:val="24"/>
        </w:rPr>
        <w:t> </w:t>
      </w:r>
      <w:r w:rsidRPr="00B16420">
        <w:rPr>
          <w:rFonts w:ascii="Times New Roman" w:hAnsi="Times New Roman" w:cs="Times New Roman"/>
          <w:szCs w:val="24"/>
        </w:rPr>
        <w:t>w</w:t>
      </w:r>
      <w:r w:rsidR="003D65FC">
        <w:rPr>
          <w:rFonts w:ascii="Times New Roman" w:hAnsi="Times New Roman" w:cs="Times New Roman"/>
          <w:szCs w:val="24"/>
        </w:rPr>
        <w:t> </w:t>
      </w:r>
      <w:r w:rsidRPr="00B16420">
        <w:rPr>
          <w:rFonts w:ascii="Times New Roman" w:hAnsi="Times New Roman" w:cs="Times New Roman"/>
          <w:szCs w:val="24"/>
        </w:rPr>
        <w:t>przypadku gdy beneficjentem jest ARiMR – IZ. Zwrot będzie następował w trybie przepisów o postępowaniu egzekucyjnym w administracji, a właściwość i</w:t>
      </w:r>
      <w:r w:rsidR="009B1AC1">
        <w:rPr>
          <w:rFonts w:ascii="Times New Roman" w:hAnsi="Times New Roman" w:cs="Times New Roman"/>
          <w:szCs w:val="24"/>
        </w:rPr>
        <w:t xml:space="preserve"> </w:t>
      </w:r>
      <w:r w:rsidRPr="00B16420">
        <w:rPr>
          <w:rFonts w:ascii="Times New Roman" w:hAnsi="Times New Roman" w:cs="Times New Roman"/>
          <w:szCs w:val="24"/>
        </w:rPr>
        <w:t>tryb ustalania kwoty pomocy zwracanej określa ustawa z dnia 27 sierpnia 200</w:t>
      </w:r>
      <w:r w:rsidR="003D65FC">
        <w:rPr>
          <w:rFonts w:ascii="Times New Roman" w:hAnsi="Times New Roman" w:cs="Times New Roman"/>
          <w:szCs w:val="24"/>
        </w:rPr>
        <w:t>9 r. o finansach publicznych. W </w:t>
      </w:r>
      <w:r w:rsidRPr="00B16420">
        <w:rPr>
          <w:rFonts w:ascii="Times New Roman" w:hAnsi="Times New Roman" w:cs="Times New Roman"/>
          <w:szCs w:val="24"/>
        </w:rPr>
        <w:t xml:space="preserve">związku z tymi regulacjami należy zauważyć, że do zwrotów pomocy z Programu nie będą miały zastosowania przepisy ustawy z dnia 9 maja 2008 </w:t>
      </w:r>
      <w:r w:rsidR="003D65FC">
        <w:rPr>
          <w:rFonts w:ascii="Times New Roman" w:hAnsi="Times New Roman" w:cs="Times New Roman"/>
          <w:szCs w:val="24"/>
        </w:rPr>
        <w:t>r. o Agencji Restrukturyzacji i </w:t>
      </w:r>
      <w:r w:rsidRPr="00B16420">
        <w:rPr>
          <w:rFonts w:ascii="Times New Roman" w:hAnsi="Times New Roman" w:cs="Times New Roman"/>
          <w:szCs w:val="24"/>
        </w:rPr>
        <w:t>Modernizacji Rolnictwa (Dz. U. z 2022 r. poz. 2157, z póź</w:t>
      </w:r>
      <w:r w:rsidR="003D65FC">
        <w:rPr>
          <w:rFonts w:ascii="Times New Roman" w:hAnsi="Times New Roman" w:cs="Times New Roman"/>
          <w:szCs w:val="24"/>
        </w:rPr>
        <w:t>n. zm.). Zgodnie z art. 30 ust. </w:t>
      </w:r>
      <w:r w:rsidRPr="00B16420">
        <w:rPr>
          <w:rFonts w:ascii="Times New Roman" w:hAnsi="Times New Roman" w:cs="Times New Roman"/>
          <w:szCs w:val="24"/>
        </w:rPr>
        <w:t>2 tej ustawy ma ona zastosowanie jedynie do tzw. Sektor</w:t>
      </w:r>
      <w:r w:rsidR="003D65FC">
        <w:rPr>
          <w:rFonts w:ascii="Times New Roman" w:hAnsi="Times New Roman" w:cs="Times New Roman"/>
          <w:szCs w:val="24"/>
        </w:rPr>
        <w:t>owych Programów Operacyjnych, z </w:t>
      </w:r>
      <w:r w:rsidRPr="00B16420">
        <w:rPr>
          <w:rFonts w:ascii="Times New Roman" w:hAnsi="Times New Roman" w:cs="Times New Roman"/>
          <w:szCs w:val="24"/>
        </w:rPr>
        <w:t>których ostatnim – w zakresie funduszy rybackich – był Sektorowy Program Operacyjny „Rybołówstwo i</w:t>
      </w:r>
      <w:r w:rsidR="009B1AC1">
        <w:rPr>
          <w:rFonts w:ascii="Times New Roman" w:hAnsi="Times New Roman" w:cs="Times New Roman"/>
          <w:szCs w:val="24"/>
        </w:rPr>
        <w:t xml:space="preserve"> </w:t>
      </w:r>
      <w:r w:rsidRPr="00B16420">
        <w:rPr>
          <w:rFonts w:ascii="Times New Roman" w:hAnsi="Times New Roman" w:cs="Times New Roman"/>
          <w:szCs w:val="24"/>
        </w:rPr>
        <w:t>przetwórstwo ryb” na lata 2004–2006.</w:t>
      </w:r>
    </w:p>
    <w:p w14:paraId="03FC347E" w14:textId="77777777" w:rsidR="004C5452" w:rsidRPr="00B16420" w:rsidRDefault="004C5452" w:rsidP="004C5452">
      <w:pPr>
        <w:pStyle w:val="ARTartustawynprozporzdzenia"/>
        <w:rPr>
          <w:rFonts w:ascii="Times New Roman" w:hAnsi="Times New Roman" w:cs="Times New Roman"/>
          <w:szCs w:val="24"/>
        </w:rPr>
      </w:pPr>
    </w:p>
    <w:p w14:paraId="7D7672F4" w14:textId="77777777" w:rsidR="004C5452" w:rsidRPr="00B16420" w:rsidRDefault="004C5452" w:rsidP="004C5452">
      <w:pPr>
        <w:pStyle w:val="LITlitera"/>
        <w:rPr>
          <w:rFonts w:ascii="Times New Roman" w:hAnsi="Times New Roman" w:cs="Times New Roman"/>
          <w:szCs w:val="24"/>
        </w:rPr>
      </w:pPr>
      <w:r w:rsidRPr="00B16420">
        <w:rPr>
          <w:rFonts w:ascii="Times New Roman" w:hAnsi="Times New Roman" w:cs="Times New Roman"/>
          <w:szCs w:val="24"/>
        </w:rPr>
        <w:t>Rozdział 6 – Kontrole</w:t>
      </w:r>
    </w:p>
    <w:p w14:paraId="4424E8C9" w14:textId="77777777" w:rsidR="004C5452" w:rsidRPr="00B16420" w:rsidRDefault="004C5452" w:rsidP="004C5452">
      <w:pPr>
        <w:pStyle w:val="USTustnpkodeksu"/>
        <w:rPr>
          <w:rFonts w:cs="Times New Roman"/>
          <w:sz w:val="24"/>
          <w:szCs w:val="24"/>
        </w:rPr>
      </w:pPr>
      <w:r w:rsidRPr="00B16420">
        <w:rPr>
          <w:rFonts w:cs="Times New Roman"/>
          <w:sz w:val="24"/>
          <w:szCs w:val="24"/>
        </w:rPr>
        <w:t xml:space="preserve">Ten rozdział projektowanej ustawy (art. 42–46) reguluje zakres kontroli w ramach Programu dotyczących zarówno instytucji realizujących ten Program, jak i podmiotów zainteresowanych uzyskaniem lub korzystających z pomocy w Programie. Należy mieć na uwadze, że te przepisy powinny regulować przedmiotowe kwestie w sposób kompleksowy, ponieważ w ich zakresie nie stosuje się przepisów o kontroli w administracji rządowej. </w:t>
      </w:r>
    </w:p>
    <w:p w14:paraId="57034175" w14:textId="639974B6" w:rsidR="004C5452" w:rsidRPr="00B16420" w:rsidRDefault="004C5452" w:rsidP="004C5452">
      <w:pPr>
        <w:pStyle w:val="USTustnpkodeksu"/>
        <w:rPr>
          <w:rFonts w:cs="Times New Roman"/>
          <w:sz w:val="24"/>
          <w:szCs w:val="24"/>
        </w:rPr>
      </w:pPr>
      <w:r w:rsidRPr="00B16420">
        <w:rPr>
          <w:rFonts w:cs="Times New Roman"/>
          <w:sz w:val="24"/>
          <w:szCs w:val="24"/>
        </w:rPr>
        <w:lastRenderedPageBreak/>
        <w:t>Przewidziano, że kontrole będą prowadzone przez IZ, w określonym zakresie, w stosunku do ARiMR, RLKS, a także wnioskodawców i beneficjentów. Z kolei ARiMR uzyska uprawnienia kontrolne, w określonym zakresie, w stosunku do RLKS</w:t>
      </w:r>
      <w:r w:rsidR="003D65FC">
        <w:rPr>
          <w:rFonts w:cs="Times New Roman"/>
          <w:sz w:val="24"/>
          <w:szCs w:val="24"/>
        </w:rPr>
        <w:t>, wnioskodawców i </w:t>
      </w:r>
      <w:r w:rsidRPr="00B16420">
        <w:rPr>
          <w:rFonts w:cs="Times New Roman"/>
          <w:sz w:val="24"/>
          <w:szCs w:val="24"/>
        </w:rPr>
        <w:t>beneficjentów. Ponadto IZ będzie mogła również powierzyć przeprowadzenie kontroli wnioskodawców lub beneficjentów, w określonym zakresie, ARiMR lub organom administracji dysponującym odpowiednimi warunka</w:t>
      </w:r>
      <w:r w:rsidR="003D65FC">
        <w:rPr>
          <w:rFonts w:cs="Times New Roman"/>
          <w:sz w:val="24"/>
          <w:szCs w:val="24"/>
        </w:rPr>
        <w:t>mi organizacyjnymi, kadrowymi i </w:t>
      </w:r>
      <w:r w:rsidRPr="00B16420">
        <w:rPr>
          <w:rFonts w:cs="Times New Roman"/>
          <w:sz w:val="24"/>
          <w:szCs w:val="24"/>
        </w:rPr>
        <w:t>technicznymi. Przykładowo, za taki organ można uznać Prezesa Urzędu Ochrony Konkurencji i Konsumentów, przy czym mimo analogicznej regulacji w obecnym okresie programowania, IZ nie korzystała dotychczas z takiej możliwości kontroli.</w:t>
      </w:r>
    </w:p>
    <w:p w14:paraId="32F3088F" w14:textId="77777777" w:rsidR="004C5452" w:rsidRPr="00B16420" w:rsidRDefault="004C5452" w:rsidP="004C5452">
      <w:pPr>
        <w:pStyle w:val="USTustnpkodeksu"/>
        <w:rPr>
          <w:rFonts w:cs="Times New Roman"/>
          <w:sz w:val="24"/>
          <w:szCs w:val="24"/>
        </w:rPr>
      </w:pPr>
      <w:r w:rsidRPr="00B16420">
        <w:rPr>
          <w:rFonts w:cs="Times New Roman"/>
          <w:sz w:val="24"/>
          <w:szCs w:val="24"/>
        </w:rPr>
        <w:t>Projektowane przepisy określają sprawy dotyczące upoważnienia do wykonywania czynności kontrolnych, zawierają możliwość żądania przedstawienia informacji i udostępnienia dokumentów przez podmiot kontrolowany, kierowania do niego zaleceń pokontrolnych. Przewidują również, że IZ będzie sporządzać plan kontroli na kolejny rok obrachunkowy realizacji Programu, który będzie umieszczany na stronie Programu. Szczegółowy sposób, tryb oraz terminy przeprowadzania kontroli w ramach Programu oraz wzór upoważnienia do wykonywania czynności kontrolnych zostaną zaś uregulowane w</w:t>
      </w:r>
      <w:r w:rsidR="009B1AC1">
        <w:rPr>
          <w:rFonts w:cs="Times New Roman"/>
          <w:sz w:val="24"/>
          <w:szCs w:val="24"/>
        </w:rPr>
        <w:t xml:space="preserve"> </w:t>
      </w:r>
      <w:r w:rsidRPr="00B16420">
        <w:rPr>
          <w:rFonts w:cs="Times New Roman"/>
          <w:sz w:val="24"/>
          <w:szCs w:val="24"/>
        </w:rPr>
        <w:t xml:space="preserve">rozporządzeniu wydanym przez ministra właściwego do spraw rybołówstwa. </w:t>
      </w:r>
    </w:p>
    <w:p w14:paraId="309C34BC" w14:textId="77777777" w:rsidR="004C5452" w:rsidRPr="00B16420" w:rsidRDefault="004C5452" w:rsidP="004C5452">
      <w:pPr>
        <w:pStyle w:val="USTustnpkodeksu"/>
        <w:rPr>
          <w:rFonts w:cs="Times New Roman"/>
          <w:sz w:val="24"/>
          <w:szCs w:val="24"/>
        </w:rPr>
      </w:pPr>
    </w:p>
    <w:p w14:paraId="739FE184" w14:textId="77777777" w:rsidR="004C5452" w:rsidRPr="00B16420" w:rsidRDefault="004C5452" w:rsidP="004C5452">
      <w:pPr>
        <w:pStyle w:val="LITlitera"/>
        <w:rPr>
          <w:rFonts w:ascii="Times New Roman" w:hAnsi="Times New Roman" w:cs="Times New Roman"/>
          <w:szCs w:val="24"/>
        </w:rPr>
      </w:pPr>
      <w:r w:rsidRPr="00B16420">
        <w:rPr>
          <w:rFonts w:ascii="Times New Roman" w:hAnsi="Times New Roman" w:cs="Times New Roman"/>
          <w:szCs w:val="24"/>
        </w:rPr>
        <w:t xml:space="preserve">Rozdział 7 – Zmiany w przepisach </w:t>
      </w:r>
    </w:p>
    <w:p w14:paraId="579B8142" w14:textId="77777777" w:rsidR="004C5452" w:rsidRPr="00B16420" w:rsidRDefault="004C5452" w:rsidP="004C5452">
      <w:pPr>
        <w:pStyle w:val="USTustnpkodeksu"/>
        <w:rPr>
          <w:rFonts w:cs="Times New Roman"/>
          <w:sz w:val="24"/>
          <w:szCs w:val="24"/>
        </w:rPr>
      </w:pPr>
      <w:r w:rsidRPr="00B16420">
        <w:rPr>
          <w:rFonts w:cs="Times New Roman"/>
          <w:sz w:val="24"/>
          <w:szCs w:val="24"/>
        </w:rPr>
        <w:t xml:space="preserve">Jak wspomniano na wstępie, w zakresie, w jakim przepisy projektowanej ustawy byłyby niewystarczające dla prawidłowej realizacji Programu oraz wdrożenia przepisów UE, zaproponowano niezbędne zmiany przepisów innych ustaw. </w:t>
      </w:r>
    </w:p>
    <w:p w14:paraId="03BAA802" w14:textId="4DE5D041" w:rsidR="004C5452" w:rsidRPr="00B16420" w:rsidRDefault="004C5452" w:rsidP="004C5452">
      <w:pPr>
        <w:pStyle w:val="USTustnpkodeksu"/>
        <w:rPr>
          <w:rFonts w:cs="Times New Roman"/>
          <w:sz w:val="24"/>
          <w:szCs w:val="24"/>
        </w:rPr>
      </w:pPr>
      <w:r w:rsidRPr="00B16420">
        <w:rPr>
          <w:rFonts w:cs="Times New Roman"/>
          <w:sz w:val="24"/>
          <w:szCs w:val="24"/>
        </w:rPr>
        <w:t>Przede wszystkim zmiany obejmują przepisy o charakterze finansowym, w tym ustawę z</w:t>
      </w:r>
      <w:r w:rsidR="003D65FC">
        <w:rPr>
          <w:rFonts w:cs="Times New Roman"/>
          <w:sz w:val="24"/>
          <w:szCs w:val="24"/>
        </w:rPr>
        <w:t> </w:t>
      </w:r>
      <w:r w:rsidRPr="00B16420">
        <w:rPr>
          <w:rFonts w:cs="Times New Roman"/>
          <w:sz w:val="24"/>
          <w:szCs w:val="24"/>
        </w:rPr>
        <w:t xml:space="preserve">dnia 6 grudnia 2006 r. o zasadach prowadzenia polityki rozwoju </w:t>
      </w:r>
      <w:r w:rsidRPr="00B16420">
        <w:rPr>
          <w:sz w:val="24"/>
          <w:szCs w:val="24"/>
        </w:rPr>
        <w:t>(Dz</w:t>
      </w:r>
      <w:r w:rsidR="0042591D">
        <w:rPr>
          <w:sz w:val="24"/>
          <w:szCs w:val="24"/>
        </w:rPr>
        <w:t>. U. z 2023 r. poz. 225, z </w:t>
      </w:r>
      <w:r w:rsidRPr="00B16420">
        <w:rPr>
          <w:sz w:val="24"/>
          <w:szCs w:val="24"/>
        </w:rPr>
        <w:t>późn. zm.)</w:t>
      </w:r>
      <w:r w:rsidRPr="00B16420">
        <w:rPr>
          <w:rFonts w:cs="Times New Roman"/>
          <w:sz w:val="24"/>
          <w:szCs w:val="24"/>
        </w:rPr>
        <w:t>, ustawę z dnia 27 sierpnia 2009 r. o finansach pu</w:t>
      </w:r>
      <w:r w:rsidR="00B8006C">
        <w:rPr>
          <w:rFonts w:cs="Times New Roman"/>
          <w:sz w:val="24"/>
          <w:szCs w:val="24"/>
        </w:rPr>
        <w:t>blicznych oraz ustawę z dnia 16 </w:t>
      </w:r>
      <w:r w:rsidRPr="00B16420">
        <w:rPr>
          <w:rFonts w:cs="Times New Roman"/>
          <w:sz w:val="24"/>
          <w:szCs w:val="24"/>
        </w:rPr>
        <w:t xml:space="preserve">listopada 2006 r. o opłacie skarbowej </w:t>
      </w:r>
      <w:r w:rsidRPr="00B16420">
        <w:rPr>
          <w:sz w:val="24"/>
          <w:szCs w:val="24"/>
        </w:rPr>
        <w:t>(Dz. U. z 2022 r. poz. 2142, z późn. zm.)</w:t>
      </w:r>
      <w:r w:rsidRPr="00B16420">
        <w:rPr>
          <w:rFonts w:cs="Times New Roman"/>
          <w:sz w:val="24"/>
          <w:szCs w:val="24"/>
        </w:rPr>
        <w:t>. Zmiany te sprowadzają się zasadniczo do rozszerzenia na EFMRA oraz nowy Program regulacji dotyczących jego poprzedników, to jest Europejskiego Funduszu Morskiego i</w:t>
      </w:r>
      <w:r w:rsidR="009B1AC1">
        <w:rPr>
          <w:rFonts w:cs="Times New Roman"/>
          <w:sz w:val="24"/>
          <w:szCs w:val="24"/>
        </w:rPr>
        <w:t xml:space="preserve"> </w:t>
      </w:r>
      <w:r w:rsidRPr="00B16420">
        <w:rPr>
          <w:rFonts w:cs="Times New Roman"/>
          <w:sz w:val="24"/>
          <w:szCs w:val="24"/>
        </w:rPr>
        <w:t>Rybackiego na lata 2014–2020 oraz Programu Operacyjnego „Rybactwo i Morze” na lata 2014–2020. Przy czym, w celu zapewnienia sprawnego wdrażania równ</w:t>
      </w:r>
      <w:r w:rsidR="003D65FC">
        <w:rPr>
          <w:rFonts w:cs="Times New Roman"/>
          <w:sz w:val="24"/>
          <w:szCs w:val="24"/>
        </w:rPr>
        <w:t>ież innych środków UE, zmiany w </w:t>
      </w:r>
      <w:r w:rsidRPr="00B16420">
        <w:rPr>
          <w:rFonts w:cs="Times New Roman"/>
          <w:sz w:val="24"/>
          <w:szCs w:val="24"/>
        </w:rPr>
        <w:t xml:space="preserve">ustawie z dnia 27 sierpnia 2009 r. o finansach publicznych (art. 50) obejmują nie tylko uwzględnienie EFMRA m.in. w mechanizmie przeniesień między programami finansowanymi z udziałem środków europejskich w ramach części i działu klasyfikacji wydatków, lecz również umożliwią przeniesienia środków Europejskiego Funduszu Pomocy Najbardziej </w:t>
      </w:r>
      <w:r w:rsidRPr="00B16420">
        <w:rPr>
          <w:rFonts w:cs="Times New Roman"/>
          <w:sz w:val="24"/>
          <w:szCs w:val="24"/>
        </w:rPr>
        <w:lastRenderedPageBreak/>
        <w:t>Potrzebującym także pomiędzy częściami, a nie jak dotychczas wyłącznie pomiędzy działami (projektowany art. 194 ust. 4 i 5 ustawy z dnia 27 sierpnia 2009 r. o finansach publicznych). Nowelizacja obejmie również art. 210 ust.</w:t>
      </w:r>
      <w:r w:rsidR="009B1AC1">
        <w:rPr>
          <w:rFonts w:cs="Times New Roman"/>
          <w:sz w:val="24"/>
          <w:szCs w:val="24"/>
        </w:rPr>
        <w:t xml:space="preserve"> </w:t>
      </w:r>
      <w:r w:rsidRPr="00B16420">
        <w:rPr>
          <w:rFonts w:cs="Times New Roman"/>
          <w:sz w:val="24"/>
          <w:szCs w:val="24"/>
        </w:rPr>
        <w:t>1 ww. ustawy, gdyż zachodzi konieczność umożliwienia instytucji audytowej oraz beneficjentom projektów grantowych dostępu do rejestru podmiotów wykluczonych, o którym mowa w tym przepisie, w terminie krótszym niż pozwala na to jego nowelizacja dokonana ustawą wdrożeniową.</w:t>
      </w:r>
    </w:p>
    <w:p w14:paraId="2ACBFED6" w14:textId="54DD6590" w:rsidR="004C5452" w:rsidRPr="00B16420" w:rsidRDefault="004C5452" w:rsidP="004C5452">
      <w:pPr>
        <w:pStyle w:val="USTustnpkodeksu"/>
        <w:rPr>
          <w:rFonts w:cs="Times New Roman"/>
          <w:sz w:val="24"/>
          <w:szCs w:val="24"/>
        </w:rPr>
      </w:pPr>
      <w:r w:rsidRPr="00B16420">
        <w:rPr>
          <w:rFonts w:cs="Times New Roman"/>
          <w:sz w:val="24"/>
          <w:szCs w:val="24"/>
        </w:rPr>
        <w:t xml:space="preserve">Ponadto w projektowanej ustawie zaproponowano zmiany podstawowych aktów regulujących branżę rybacką, to jest przepisów ustawy z dnia 5 grudnia 2008 r. o organizacji rynku rybnego </w:t>
      </w:r>
      <w:r w:rsidRPr="00B16420">
        <w:rPr>
          <w:sz w:val="24"/>
          <w:szCs w:val="24"/>
        </w:rPr>
        <w:t xml:space="preserve">(Dz. U. z 2021 r. poz. 678) </w:t>
      </w:r>
      <w:r w:rsidRPr="00B16420">
        <w:rPr>
          <w:rFonts w:cs="Times New Roman"/>
          <w:sz w:val="24"/>
          <w:szCs w:val="24"/>
        </w:rPr>
        <w:t>oraz ustawy z dnia 19 grudnia 2014 r. o rybołówstwie morskim. Zmiany tych dwóch aktów prawnych są niezbędn</w:t>
      </w:r>
      <w:r w:rsidR="003D65FC">
        <w:rPr>
          <w:rFonts w:cs="Times New Roman"/>
          <w:sz w:val="24"/>
          <w:szCs w:val="24"/>
        </w:rPr>
        <w:t>e dla usprawnienia realizacji i </w:t>
      </w:r>
      <w:r w:rsidRPr="00B16420">
        <w:rPr>
          <w:rFonts w:cs="Times New Roman"/>
          <w:sz w:val="24"/>
          <w:szCs w:val="24"/>
        </w:rPr>
        <w:t xml:space="preserve">kontroli wspólnej polityki rybołówstwa UE, co jest niezbędnym warunkiem korzystania przez państwo członkowskie UE ze środków finansowych pochodzących z EFMRA. </w:t>
      </w:r>
    </w:p>
    <w:p w14:paraId="6EFC34BA" w14:textId="6922562F" w:rsidR="004C5452" w:rsidRPr="00B16420" w:rsidRDefault="004C5452" w:rsidP="004C5452">
      <w:pPr>
        <w:pStyle w:val="USTustnpkodeksu"/>
        <w:rPr>
          <w:rFonts w:cs="Times New Roman"/>
          <w:sz w:val="24"/>
          <w:szCs w:val="24"/>
        </w:rPr>
      </w:pPr>
      <w:r w:rsidRPr="00B16420">
        <w:rPr>
          <w:rFonts w:cs="Times New Roman"/>
          <w:sz w:val="24"/>
          <w:szCs w:val="24"/>
        </w:rPr>
        <w:t xml:space="preserve">W szczególności w ustawie z dnia 5 grudnia 2008 r. o </w:t>
      </w:r>
      <w:r w:rsidR="0042591D">
        <w:rPr>
          <w:rFonts w:cs="Times New Roman"/>
          <w:sz w:val="24"/>
          <w:szCs w:val="24"/>
        </w:rPr>
        <w:t>organizacji rynku rybnego (art. </w:t>
      </w:r>
      <w:r w:rsidRPr="00B16420">
        <w:rPr>
          <w:rFonts w:cs="Times New Roman"/>
          <w:sz w:val="24"/>
          <w:szCs w:val="24"/>
        </w:rPr>
        <w:t>49), w wyniku nowelizacji art. 22 tej ustawy wprowadza się obowiązek stosowania przez wszystkich przedsiębiorców wpisanych do rejestru skupujących formy elektronicznej przesyłania informacji, o których mowa w art. 64 lub art. 66 ust. 3 rozporządzenia nr 1224/2009, do Centrum Monitorowania Rybołówstwa stanowiącego ośrodek monitorowania rybołówstwa w rozumieniu rozporządzenia nr 1224/2009. Dotychczas częś</w:t>
      </w:r>
      <w:r w:rsidR="003D65FC">
        <w:rPr>
          <w:rFonts w:cs="Times New Roman"/>
          <w:sz w:val="24"/>
          <w:szCs w:val="24"/>
        </w:rPr>
        <w:t>ć mniejszych przedsiębiorców, o </w:t>
      </w:r>
      <w:r w:rsidRPr="00B16420">
        <w:rPr>
          <w:rFonts w:cs="Times New Roman"/>
          <w:sz w:val="24"/>
          <w:szCs w:val="24"/>
        </w:rPr>
        <w:t>obrocie poniżej 200 tys. euro, przesyłała dane w formie pap</w:t>
      </w:r>
      <w:r w:rsidR="003D65FC">
        <w:rPr>
          <w:rFonts w:cs="Times New Roman"/>
          <w:sz w:val="24"/>
          <w:szCs w:val="24"/>
        </w:rPr>
        <w:t>ierowej. Pozostałe zmiany (art. </w:t>
      </w:r>
      <w:r w:rsidRPr="00B16420">
        <w:rPr>
          <w:rFonts w:cs="Times New Roman"/>
          <w:sz w:val="24"/>
          <w:szCs w:val="24"/>
        </w:rPr>
        <w:t>62a, art. 62b, art. 62c i art. 62e w ustawie z dnia 5 grudnia 2008 r. o organizacji rynku rybnego) porządkują kwestie kontroli przenosząc na Głównego Inspektora Rybołówstwa Morskiego określone kompetencje ministra właściwego do spraw rybołówstwa. Dzięki czemu będzie mogła nastąpić lepsza koordynacja i ustandaryzowanie czynności kontrolnych.</w:t>
      </w:r>
    </w:p>
    <w:p w14:paraId="5C7FAD5E" w14:textId="77777777" w:rsidR="004C5452" w:rsidRPr="00B16420" w:rsidRDefault="004C5452" w:rsidP="004C5452">
      <w:pPr>
        <w:pStyle w:val="USTustnpkodeksu"/>
        <w:rPr>
          <w:rFonts w:cs="Times New Roman"/>
          <w:sz w:val="24"/>
          <w:szCs w:val="24"/>
        </w:rPr>
      </w:pPr>
      <w:r w:rsidRPr="00B16420">
        <w:rPr>
          <w:rFonts w:cs="Times New Roman"/>
          <w:sz w:val="24"/>
          <w:szCs w:val="24"/>
        </w:rPr>
        <w:t>Z kolei w ustawie z dnia 19 grudnia 2014 r. o rybołówstwie morskim (art. 51) wprowadza się szereg zmian, które eliminują ujawnione w praktyce prowadzonych kontroli braki we wdrażaniu wspólnej polityki rybołówstwa. W</w:t>
      </w:r>
      <w:r w:rsidR="009B1AC1">
        <w:rPr>
          <w:rFonts w:cs="Times New Roman"/>
          <w:sz w:val="24"/>
          <w:szCs w:val="24"/>
        </w:rPr>
        <w:t xml:space="preserve"> </w:t>
      </w:r>
      <w:r w:rsidRPr="00B16420">
        <w:rPr>
          <w:rFonts w:cs="Times New Roman"/>
          <w:sz w:val="24"/>
          <w:szCs w:val="24"/>
        </w:rPr>
        <w:t>szczególności nowelizacja:</w:t>
      </w:r>
    </w:p>
    <w:p w14:paraId="292ADB46" w14:textId="2F8048CF" w:rsidR="004C5452" w:rsidRPr="00B16420" w:rsidRDefault="004C5452" w:rsidP="004C5452">
      <w:pPr>
        <w:pStyle w:val="USTustnpkodeksu"/>
        <w:ind w:left="426" w:hanging="426"/>
        <w:rPr>
          <w:rFonts w:cs="Times New Roman"/>
          <w:sz w:val="24"/>
          <w:szCs w:val="24"/>
        </w:rPr>
      </w:pPr>
      <w:r w:rsidRPr="00B16420">
        <w:rPr>
          <w:rFonts w:cs="Times New Roman"/>
          <w:sz w:val="24"/>
          <w:szCs w:val="24"/>
        </w:rPr>
        <w:t>–</w:t>
      </w:r>
      <w:r w:rsidRPr="00B16420">
        <w:rPr>
          <w:rFonts w:cs="Times New Roman"/>
          <w:sz w:val="24"/>
          <w:szCs w:val="24"/>
        </w:rPr>
        <w:tab/>
        <w:t>zawiera zmianę zakresu podmiotów, do który</w:t>
      </w:r>
      <w:r w:rsidR="0042591D">
        <w:rPr>
          <w:rFonts w:cs="Times New Roman"/>
          <w:sz w:val="24"/>
          <w:szCs w:val="24"/>
        </w:rPr>
        <w:t>ch ma zastosowanie ustawa (art. </w:t>
      </w:r>
      <w:r w:rsidRPr="00B16420">
        <w:rPr>
          <w:rFonts w:cs="Times New Roman"/>
          <w:sz w:val="24"/>
          <w:szCs w:val="24"/>
        </w:rPr>
        <w:t xml:space="preserve">1), wskazując, że stosuje się ją również do osób fizycznych, osób prawnych oraz jednostek organizacyjnych nieposiadających osobowości prawnej, które zajmują się obrotem produktami rybołówstwa, w zakresie dotyczącym danych gromadzonych w rejestrze naruszeń przepisów Unii Europejskiej dotyczących wspólnej polityki rybołówstwa. Z kolei do rejestru naruszeń (nowy art. 80 ust. 3 pkt 2a ww. ustawy) będą wpisywane dane osoby fizycznej, osoby prawnej lub jednostki organizacyjnej nieposiadającej osobowości prawnej, która dokonała naruszenia przepisów wspólnej polityki rybołówstwa, </w:t>
      </w:r>
      <w:r w:rsidRPr="00B16420">
        <w:rPr>
          <w:rFonts w:cs="Times New Roman"/>
          <w:sz w:val="24"/>
          <w:szCs w:val="24"/>
        </w:rPr>
        <w:lastRenderedPageBreak/>
        <w:t>uwzględniając w ten sposób wpisywanie do rejestru naruszeń szerokiego kręgu podmiotów, nie tylko armatorów czy kapitanów statków</w:t>
      </w:r>
      <w:r w:rsidR="003D65FC">
        <w:rPr>
          <w:rFonts w:cs="Times New Roman"/>
          <w:sz w:val="24"/>
          <w:szCs w:val="24"/>
        </w:rPr>
        <w:t xml:space="preserve"> rybackich. Jest to konieczne w </w:t>
      </w:r>
      <w:r w:rsidRPr="00B16420">
        <w:rPr>
          <w:rFonts w:cs="Times New Roman"/>
          <w:sz w:val="24"/>
          <w:szCs w:val="24"/>
        </w:rPr>
        <w:t xml:space="preserve">celu pełnego i jednoznacznego identyfikowania podmiotów, które dopuściły się tzw. poważnych naruszeń przepisów z zakresu rybołówstwa, </w:t>
      </w:r>
    </w:p>
    <w:p w14:paraId="6C2AC406" w14:textId="051C14C3" w:rsidR="004C5452" w:rsidRPr="00B16420" w:rsidRDefault="004C5452" w:rsidP="004C5452">
      <w:pPr>
        <w:pStyle w:val="USTustnpkodeksu"/>
        <w:ind w:left="426" w:hanging="426"/>
        <w:rPr>
          <w:rFonts w:eastAsia="Times New Roman" w:cs="Times New Roman"/>
          <w:sz w:val="24"/>
          <w:szCs w:val="24"/>
        </w:rPr>
      </w:pPr>
      <w:r w:rsidRPr="00B16420">
        <w:rPr>
          <w:rFonts w:eastAsia="Times New Roman" w:cs="Times New Roman"/>
          <w:sz w:val="24"/>
          <w:szCs w:val="24"/>
        </w:rPr>
        <w:t>–</w:t>
      </w:r>
      <w:r w:rsidRPr="00B16420">
        <w:rPr>
          <w:rFonts w:eastAsia="Times New Roman" w:cs="Times New Roman"/>
          <w:sz w:val="24"/>
          <w:szCs w:val="24"/>
        </w:rPr>
        <w:tab/>
        <w:t xml:space="preserve">wprowadza mechanizm umożliwiający aktualizację przez ministra właściwego do spraw rybołówstwa, z urzędu, danych dotyczących narzędzi połowowych w rejestrze statków rybackich w zakresie oznaczeń statystycznych określonych w </w:t>
      </w:r>
      <w:r w:rsidRPr="00B16420">
        <w:rPr>
          <w:rFonts w:cs="Times New Roman"/>
          <w:sz w:val="24"/>
          <w:szCs w:val="24"/>
        </w:rPr>
        <w:t>przepisach UE regulujących przekazywani</w:t>
      </w:r>
      <w:r w:rsidR="00B058A2">
        <w:rPr>
          <w:rFonts w:cs="Times New Roman"/>
          <w:sz w:val="24"/>
          <w:szCs w:val="24"/>
        </w:rPr>
        <w:t>e</w:t>
      </w:r>
      <w:r w:rsidRPr="00B16420">
        <w:rPr>
          <w:rFonts w:cs="Times New Roman"/>
          <w:sz w:val="24"/>
          <w:szCs w:val="24"/>
        </w:rPr>
        <w:t xml:space="preserve"> danych statystycznych dotyczących połowów i działalności rybackiej przez państwa członkowskie</w:t>
      </w:r>
      <w:r w:rsidRPr="00B16420">
        <w:rPr>
          <w:rFonts w:eastAsia="Times New Roman" w:cs="Times New Roman"/>
          <w:sz w:val="24"/>
          <w:szCs w:val="24"/>
        </w:rPr>
        <w:t xml:space="preserve"> (art. 16 ust. 1 pkt 2 lit. d, art. 33, art. 41 ust. 7b),</w:t>
      </w:r>
    </w:p>
    <w:p w14:paraId="3FAF11D7" w14:textId="6952E41F" w:rsidR="004C5452" w:rsidRPr="00B16420" w:rsidRDefault="004C5452" w:rsidP="004C5452">
      <w:pPr>
        <w:pStyle w:val="USTustnpkodeksu"/>
        <w:ind w:left="426" w:hanging="426"/>
        <w:rPr>
          <w:rFonts w:eastAsia="Times New Roman" w:cs="Times New Roman"/>
          <w:sz w:val="24"/>
          <w:szCs w:val="24"/>
        </w:rPr>
      </w:pPr>
      <w:r w:rsidRPr="00B16420">
        <w:rPr>
          <w:rFonts w:eastAsia="Times New Roman" w:cs="Times New Roman"/>
          <w:sz w:val="24"/>
          <w:szCs w:val="24"/>
        </w:rPr>
        <w:t>–</w:t>
      </w:r>
      <w:r w:rsidRPr="00B16420">
        <w:rPr>
          <w:rFonts w:eastAsia="Times New Roman" w:cs="Times New Roman"/>
          <w:sz w:val="24"/>
          <w:szCs w:val="24"/>
        </w:rPr>
        <w:tab/>
        <w:t>wzmacnia środki zarządzania flotą połowową w związku z restrukturyzacją floty prowadzoną z użyciem funduszy UE (art. 18 pkt 2, art. 25, ar</w:t>
      </w:r>
      <w:r w:rsidR="0042591D">
        <w:rPr>
          <w:rFonts w:eastAsia="Times New Roman" w:cs="Times New Roman"/>
          <w:sz w:val="24"/>
          <w:szCs w:val="24"/>
        </w:rPr>
        <w:t>t. 27 ust. 2 pkt 1, art. 28 pkt </w:t>
      </w:r>
      <w:r w:rsidRPr="00B16420">
        <w:rPr>
          <w:rFonts w:eastAsia="Times New Roman" w:cs="Times New Roman"/>
          <w:sz w:val="24"/>
          <w:szCs w:val="24"/>
        </w:rPr>
        <w:t>2, art. 30), ograniczając m.in. możliwość zmian w rejestr</w:t>
      </w:r>
      <w:r w:rsidR="003D65FC">
        <w:rPr>
          <w:rFonts w:eastAsia="Times New Roman" w:cs="Times New Roman"/>
          <w:sz w:val="24"/>
          <w:szCs w:val="24"/>
        </w:rPr>
        <w:t>ze statków rybackich, tak aby w </w:t>
      </w:r>
      <w:r w:rsidRPr="00B16420">
        <w:rPr>
          <w:rFonts w:eastAsia="Times New Roman" w:cs="Times New Roman"/>
          <w:sz w:val="24"/>
          <w:szCs w:val="24"/>
        </w:rPr>
        <w:t>przypadku modernizacji statku rybackiego o długości całkowitej mniejszej niż 5 m lub mocy silnika głównego mniejszej niż 15 kW konieczne było osiągnięcie przez tę jednostkę jednocześnie obu minimalnych parametrów, czyli długości statku co najmniej 5 m oraz mocy silnika głównego co najmniej 15 kW,</w:t>
      </w:r>
    </w:p>
    <w:p w14:paraId="3A4C4218" w14:textId="77777777" w:rsidR="004C5452" w:rsidRPr="00B16420" w:rsidRDefault="004C5452" w:rsidP="004C5452">
      <w:pPr>
        <w:pStyle w:val="USTustnpkodeksu"/>
        <w:ind w:left="426" w:hanging="426"/>
        <w:rPr>
          <w:rFonts w:eastAsia="Times New Roman" w:cs="Times New Roman"/>
          <w:sz w:val="24"/>
          <w:szCs w:val="24"/>
        </w:rPr>
      </w:pPr>
      <w:r w:rsidRPr="00B16420">
        <w:rPr>
          <w:rFonts w:eastAsia="Times New Roman" w:cs="Times New Roman"/>
          <w:sz w:val="24"/>
          <w:szCs w:val="24"/>
        </w:rPr>
        <w:t>–</w:t>
      </w:r>
      <w:r w:rsidRPr="00B16420">
        <w:rPr>
          <w:rFonts w:eastAsia="Times New Roman" w:cs="Times New Roman"/>
          <w:sz w:val="24"/>
          <w:szCs w:val="24"/>
        </w:rPr>
        <w:tab/>
        <w:t xml:space="preserve">wprowadza obowiązek sporządzania miesięcznego raportu połowowego w postaci elektronicznej również przez mniejsze statki rybackie (art. 70 ust. 1 i 5), </w:t>
      </w:r>
    </w:p>
    <w:p w14:paraId="1A905628" w14:textId="77777777" w:rsidR="004C5452" w:rsidRPr="00B16420" w:rsidRDefault="004C5452" w:rsidP="004C5452">
      <w:pPr>
        <w:pStyle w:val="USTustnpkodeksu"/>
        <w:ind w:left="426" w:hanging="426"/>
        <w:rPr>
          <w:rFonts w:eastAsia="Times New Roman" w:cs="Times New Roman"/>
          <w:sz w:val="24"/>
          <w:szCs w:val="24"/>
        </w:rPr>
      </w:pPr>
      <w:r w:rsidRPr="00B16420">
        <w:rPr>
          <w:rFonts w:eastAsia="Times New Roman" w:cs="Times New Roman"/>
          <w:sz w:val="24"/>
          <w:szCs w:val="24"/>
        </w:rPr>
        <w:t>–</w:t>
      </w:r>
      <w:r w:rsidRPr="00B16420">
        <w:rPr>
          <w:rFonts w:eastAsia="Times New Roman" w:cs="Times New Roman"/>
          <w:sz w:val="24"/>
          <w:szCs w:val="24"/>
        </w:rPr>
        <w:tab/>
        <w:t>porządkuje tryb prowadzenia postępowań w sprawie nałożenia punktów za poważne naruszenia, które powinny obejmować łącznie kapitana oraz armatora statku rybackiego (art. 79 ust. 3, 5 i 6 oraz art. 130),</w:t>
      </w:r>
    </w:p>
    <w:p w14:paraId="2E46024A" w14:textId="5BD2491B" w:rsidR="004C5452" w:rsidRPr="00B16420" w:rsidRDefault="004C5452" w:rsidP="004C5452">
      <w:pPr>
        <w:pStyle w:val="USTustnpkodeksu"/>
        <w:ind w:left="426" w:hanging="426"/>
        <w:rPr>
          <w:rFonts w:eastAsia="Times New Roman" w:cs="Times New Roman"/>
          <w:sz w:val="24"/>
          <w:szCs w:val="24"/>
        </w:rPr>
      </w:pPr>
      <w:r w:rsidRPr="00B16420">
        <w:rPr>
          <w:rFonts w:eastAsia="Times New Roman" w:cs="Times New Roman"/>
          <w:sz w:val="24"/>
          <w:szCs w:val="24"/>
        </w:rPr>
        <w:t>–</w:t>
      </w:r>
      <w:r w:rsidRPr="00B16420">
        <w:rPr>
          <w:rFonts w:eastAsia="Times New Roman" w:cs="Times New Roman"/>
          <w:sz w:val="24"/>
          <w:szCs w:val="24"/>
        </w:rPr>
        <w:tab/>
        <w:t xml:space="preserve">dostosowuje przepisy, przez eliminację adresu, do istniejących regulacji dotyczących dokumentów tożsamości (art. 90 ust. 2 pkt 2), </w:t>
      </w:r>
    </w:p>
    <w:p w14:paraId="4ED2AED8" w14:textId="53088566" w:rsidR="004C5452" w:rsidRPr="00B16420" w:rsidRDefault="004C5452" w:rsidP="004C5452">
      <w:pPr>
        <w:pStyle w:val="USTustnpkodeksu"/>
        <w:ind w:left="426" w:hanging="426"/>
        <w:rPr>
          <w:rFonts w:eastAsia="Times New Roman" w:cs="Times New Roman"/>
          <w:sz w:val="24"/>
          <w:szCs w:val="24"/>
        </w:rPr>
      </w:pPr>
      <w:r w:rsidRPr="00B16420">
        <w:rPr>
          <w:rFonts w:eastAsia="Times New Roman" w:cs="Times New Roman"/>
          <w:sz w:val="24"/>
          <w:szCs w:val="24"/>
        </w:rPr>
        <w:t>–</w:t>
      </w:r>
      <w:r w:rsidRPr="00B16420">
        <w:rPr>
          <w:rFonts w:eastAsia="Times New Roman" w:cs="Times New Roman"/>
          <w:sz w:val="24"/>
          <w:szCs w:val="24"/>
        </w:rPr>
        <w:tab/>
        <w:t xml:space="preserve">modyfikuje przepisy </w:t>
      </w:r>
      <w:r w:rsidRPr="00B16420">
        <w:rPr>
          <w:rFonts w:cs="Times New Roman"/>
          <w:sz w:val="24"/>
          <w:szCs w:val="24"/>
        </w:rPr>
        <w:t>dotyczące rybołówstwa rekreacyjnego (a</w:t>
      </w:r>
      <w:r w:rsidR="00B8006C">
        <w:rPr>
          <w:rFonts w:cs="Times New Roman"/>
          <w:sz w:val="24"/>
          <w:szCs w:val="24"/>
        </w:rPr>
        <w:t xml:space="preserve">rt. </w:t>
      </w:r>
      <w:r w:rsidR="0042591D">
        <w:rPr>
          <w:rFonts w:cs="Times New Roman"/>
          <w:sz w:val="24"/>
          <w:szCs w:val="24"/>
        </w:rPr>
        <w:t>90, art. 91, art. 94 i </w:t>
      </w:r>
      <w:r w:rsidR="00B8006C">
        <w:rPr>
          <w:rFonts w:cs="Times New Roman"/>
          <w:sz w:val="24"/>
          <w:szCs w:val="24"/>
        </w:rPr>
        <w:t>art. </w:t>
      </w:r>
      <w:r w:rsidRPr="00B16420">
        <w:rPr>
          <w:rFonts w:cs="Times New Roman"/>
          <w:sz w:val="24"/>
          <w:szCs w:val="24"/>
        </w:rPr>
        <w:t xml:space="preserve">96a), co stanowi częściowo realizację postulatów zgłaszanych przez sektor rybołówstwa morskiego w trakcie procesu konsultacji publicznych projektowanej ustawy. Zaproponowane zmiany upraszczają zasady wykonywania rybołówstwa rekreacyjnego ze statku. Dotychczasowe przepisy wymagały uzyskania pozwolenia, wydawanego przez Głównego Inspektora Rybołówstwa Morskiego (GIRM), przez armatora statku, z którego będzie wykonywane rybołówstwo rekreacyjne. Zaproponowane przepisy znoszą przedmiotowy wymóg formalny, wskazując, że wykonywanie rybołówstwa rekreacyjnego ze statku będzie możliwe po wniesieniu opłaty przez osobę fizyczną. Osoba fizyczna będzie również zobowiązana do poinformowania GIRM, za pomocą poczty elektronicznej, o nazwie statku, a dla statku rybackiego − o oznace rybackiej oraz nazwie, jeżeli została </w:t>
      </w:r>
      <w:r w:rsidRPr="00B16420">
        <w:rPr>
          <w:rFonts w:cs="Times New Roman"/>
          <w:sz w:val="24"/>
          <w:szCs w:val="24"/>
        </w:rPr>
        <w:lastRenderedPageBreak/>
        <w:t>nadana, dacie i czasie rozpoczęcia wykonywania rybołówstwa rekreacyjnego, obszarze prowadzenia połowów lub porcie rozpoczęcia żeglugi w celu wykonywania rybołówstwa rekreacyjnego. Z</w:t>
      </w:r>
      <w:r w:rsidR="009B1AC1">
        <w:rPr>
          <w:rFonts w:cs="Times New Roman"/>
          <w:sz w:val="24"/>
          <w:szCs w:val="24"/>
        </w:rPr>
        <w:t xml:space="preserve"> </w:t>
      </w:r>
      <w:r w:rsidRPr="00B16420">
        <w:rPr>
          <w:rFonts w:cs="Times New Roman"/>
          <w:sz w:val="24"/>
          <w:szCs w:val="24"/>
        </w:rPr>
        <w:t>połowów rekreacyjnych ze statku, jak dotychczas, będzie sporządzany raport. Projektowane przepisy dają możliwość wykonywania rybołówstwa rekreacyjnego ze statku przez osoby fizyczne, bez konieczności pośredniczenia przez armatora statku w</w:t>
      </w:r>
      <w:r w:rsidR="003D65FC">
        <w:rPr>
          <w:rFonts w:cs="Times New Roman"/>
          <w:sz w:val="24"/>
          <w:szCs w:val="24"/>
        </w:rPr>
        <w:t> </w:t>
      </w:r>
      <w:r w:rsidRPr="00B16420">
        <w:rPr>
          <w:rFonts w:cs="Times New Roman"/>
          <w:sz w:val="24"/>
          <w:szCs w:val="24"/>
        </w:rPr>
        <w:t xml:space="preserve">uzyskiwaniu pozwolenia. Z tą zmianą jest powiązana również zmiana w ustawie </w:t>
      </w:r>
      <w:r w:rsidR="00B8006C">
        <w:rPr>
          <w:sz w:val="24"/>
          <w:szCs w:val="24"/>
        </w:rPr>
        <w:t>z dnia 16 </w:t>
      </w:r>
      <w:r w:rsidRPr="00B16420">
        <w:rPr>
          <w:sz w:val="24"/>
          <w:szCs w:val="24"/>
        </w:rPr>
        <w:t xml:space="preserve">listopada 2006 r. </w:t>
      </w:r>
      <w:r w:rsidRPr="00B16420">
        <w:rPr>
          <w:rFonts w:cs="Times New Roman"/>
          <w:sz w:val="24"/>
          <w:szCs w:val="24"/>
        </w:rPr>
        <w:t>o</w:t>
      </w:r>
      <w:r w:rsidR="009B1AC1">
        <w:rPr>
          <w:rFonts w:cs="Times New Roman"/>
          <w:sz w:val="24"/>
          <w:szCs w:val="24"/>
        </w:rPr>
        <w:t xml:space="preserve"> </w:t>
      </w:r>
      <w:r w:rsidRPr="00B16420">
        <w:rPr>
          <w:rFonts w:cs="Times New Roman"/>
          <w:sz w:val="24"/>
          <w:szCs w:val="24"/>
        </w:rPr>
        <w:t>opłacie skarbowej, w której rezygnuje się z opłaty za wyeliminowane pozwolenia,</w:t>
      </w:r>
    </w:p>
    <w:p w14:paraId="038A65C5" w14:textId="264521AA" w:rsidR="004C5452" w:rsidRPr="00B16420" w:rsidRDefault="004C5452" w:rsidP="004C5452">
      <w:pPr>
        <w:pStyle w:val="PKTpunkt"/>
        <w:rPr>
          <w:rFonts w:ascii="Times New Roman" w:eastAsia="Times New Roman" w:hAnsi="Times New Roman" w:cs="Times New Roman"/>
          <w:szCs w:val="24"/>
        </w:rPr>
      </w:pPr>
      <w:r w:rsidRPr="00B16420">
        <w:rPr>
          <w:rFonts w:ascii="Times New Roman" w:eastAsia="Times New Roman" w:hAnsi="Times New Roman" w:cs="Times New Roman"/>
          <w:szCs w:val="24"/>
        </w:rPr>
        <w:t>–</w:t>
      </w:r>
      <w:r w:rsidRPr="00B16420">
        <w:rPr>
          <w:rFonts w:ascii="Times New Roman" w:eastAsia="Times New Roman" w:hAnsi="Times New Roman" w:cs="Times New Roman"/>
          <w:szCs w:val="24"/>
        </w:rPr>
        <w:tab/>
        <w:t>uzupełnia kompetencje ministra właściwego do spraw rybołówstwa do opracowania dokumentów programowych niezbędnych do realizacji Pro</w:t>
      </w:r>
      <w:r w:rsidR="0042591D">
        <w:rPr>
          <w:rFonts w:ascii="Times New Roman" w:eastAsia="Times New Roman" w:hAnsi="Times New Roman" w:cs="Times New Roman"/>
          <w:szCs w:val="24"/>
        </w:rPr>
        <w:t>gramu (art. 105 ust. 1 pkt 10 i </w:t>
      </w:r>
      <w:r w:rsidRPr="00B16420">
        <w:rPr>
          <w:rFonts w:ascii="Times New Roman" w:eastAsia="Times New Roman" w:hAnsi="Times New Roman" w:cs="Times New Roman"/>
          <w:szCs w:val="24"/>
        </w:rPr>
        <w:t xml:space="preserve">11), </w:t>
      </w:r>
    </w:p>
    <w:p w14:paraId="6F6EED1D" w14:textId="33170795" w:rsidR="004C5452" w:rsidRDefault="004C5452" w:rsidP="004C5452">
      <w:pPr>
        <w:pStyle w:val="PKTpunkt"/>
        <w:rPr>
          <w:rFonts w:ascii="Times New Roman" w:hAnsi="Times New Roman" w:cs="Times New Roman"/>
          <w:szCs w:val="24"/>
        </w:rPr>
      </w:pPr>
      <w:r>
        <w:rPr>
          <w:rFonts w:ascii="Times New Roman" w:eastAsia="Times New Roman" w:hAnsi="Times New Roman" w:cs="Times New Roman"/>
          <w:szCs w:val="24"/>
        </w:rPr>
        <w:t>–</w:t>
      </w:r>
      <w:r>
        <w:rPr>
          <w:rFonts w:ascii="Times New Roman" w:eastAsia="Times New Roman" w:hAnsi="Times New Roman" w:cs="Times New Roman"/>
          <w:szCs w:val="24"/>
        </w:rPr>
        <w:tab/>
        <w:t xml:space="preserve">porządkuje i wzmacnia kompetencje kontrolne </w:t>
      </w:r>
      <w:r>
        <w:rPr>
          <w:rFonts w:ascii="Times New Roman" w:hAnsi="Times New Roman" w:cs="Times New Roman"/>
          <w:szCs w:val="24"/>
        </w:rPr>
        <w:t>GIRM (</w:t>
      </w:r>
      <w:r>
        <w:rPr>
          <w:rFonts w:ascii="Times New Roman" w:eastAsia="Times New Roman" w:hAnsi="Times New Roman" w:cs="Times New Roman"/>
          <w:szCs w:val="24"/>
        </w:rPr>
        <w:t>art. 10</w:t>
      </w:r>
      <w:r w:rsidR="0042591D">
        <w:rPr>
          <w:rFonts w:ascii="Times New Roman" w:eastAsia="Times New Roman" w:hAnsi="Times New Roman" w:cs="Times New Roman"/>
          <w:szCs w:val="24"/>
        </w:rPr>
        <w:t>7 ust. 1, art. 109 ust. </w:t>
      </w:r>
      <w:r w:rsidR="00B8006C">
        <w:rPr>
          <w:rFonts w:ascii="Times New Roman" w:eastAsia="Times New Roman" w:hAnsi="Times New Roman" w:cs="Times New Roman"/>
          <w:szCs w:val="24"/>
        </w:rPr>
        <w:t>1, art. </w:t>
      </w:r>
      <w:r>
        <w:rPr>
          <w:rFonts w:ascii="Times New Roman" w:eastAsia="Times New Roman" w:hAnsi="Times New Roman" w:cs="Times New Roman"/>
          <w:szCs w:val="24"/>
        </w:rPr>
        <w:t>111).</w:t>
      </w:r>
    </w:p>
    <w:p w14:paraId="0D8B545E" w14:textId="77777777" w:rsidR="004C5452" w:rsidRDefault="004C5452" w:rsidP="004C5452">
      <w:pPr>
        <w:pStyle w:val="ARTartustawynprozporzdzenia"/>
        <w:rPr>
          <w:rFonts w:ascii="Times New Roman" w:hAnsi="Times New Roman" w:cs="Times New Roman"/>
          <w:szCs w:val="24"/>
        </w:rPr>
      </w:pPr>
    </w:p>
    <w:p w14:paraId="3530641B" w14:textId="77777777" w:rsidR="004C5452" w:rsidRDefault="004C5452" w:rsidP="004C5452">
      <w:pPr>
        <w:pStyle w:val="LITlitera"/>
      </w:pPr>
      <w:r>
        <w:t>Rozdział 8 – Przepisy przejściowe i przepisy końcowe</w:t>
      </w:r>
    </w:p>
    <w:p w14:paraId="1C7D1E00" w14:textId="0F8E420B" w:rsidR="004C5452" w:rsidRDefault="004C5452" w:rsidP="004C5452">
      <w:pPr>
        <w:pStyle w:val="NIEARTTEKSTtekstnieartykuowanynppodstprawnarozplubpreambua"/>
        <w:spacing w:before="0"/>
        <w:rPr>
          <w:rFonts w:ascii="Times New Roman" w:hAnsi="Times New Roman" w:cs="Times New Roman"/>
          <w:szCs w:val="24"/>
        </w:rPr>
      </w:pPr>
      <w:r>
        <w:rPr>
          <w:rFonts w:ascii="Times New Roman" w:hAnsi="Times New Roman" w:cs="Times New Roman"/>
          <w:szCs w:val="24"/>
        </w:rPr>
        <w:t>W tym rozdziale umieszczono przepis (art. 52) regulujący rozliczanie środków przeznaczonych na tzw. gromadzenie danych rybackich ot</w:t>
      </w:r>
      <w:r w:rsidR="003D65FC">
        <w:rPr>
          <w:rFonts w:ascii="Times New Roman" w:hAnsi="Times New Roman" w:cs="Times New Roman"/>
          <w:szCs w:val="24"/>
        </w:rPr>
        <w:t>rzymanych przed dniem wejścia w </w:t>
      </w:r>
      <w:r>
        <w:rPr>
          <w:rFonts w:ascii="Times New Roman" w:hAnsi="Times New Roman" w:cs="Times New Roman"/>
          <w:szCs w:val="24"/>
        </w:rPr>
        <w:t xml:space="preserve">życie projektowanej ustawy. Od strony merytorycznej przepis ten jest analogiczny do dotyczącego tej samej materii przepisu zawartego w rozdziale </w:t>
      </w:r>
      <w:r>
        <w:rPr>
          <w:rStyle w:val="TekstpodstawowyZnak"/>
          <w:rFonts w:eastAsiaTheme="minorEastAsia"/>
        </w:rPr>
        <w:t>Przyznawanie i wypłata pomocy.</w:t>
      </w:r>
      <w:r>
        <w:rPr>
          <w:rFonts w:ascii="Times New Roman" w:hAnsi="Times New Roman" w:cs="Times New Roman"/>
          <w:szCs w:val="24"/>
        </w:rPr>
        <w:t xml:space="preserve"> Różnicę stanowi jedynie fakt, iż zadanie polegające na gromadzeniu danych rybackich przed uruchomieniem Programu musiało być finansowane z budżetu państwa. Kwestia ta wynika wprost z ciążącego na państwie członkowskim UE obowiązku zapewnienia prawidłowej realizacji Wspólnej Polityki Rybołówstwa przez ciągłą i niezakłóconą realizację Wieloletniego Programu Zbierania Danych Rybackich, który jest obecnie prowadzony przez Morski Instytut Rybacki – Państwowy Instytut Badawczy w Gdyni. Środki te po uruchomieniu Programu mogą zostać zrefundowane ze środków UE, jako refundacja wydatków kwalifikowalnych ze środków EFMRA w ramach działania, o którym mowa </w:t>
      </w:r>
      <w:r w:rsidR="00B058A2">
        <w:rPr>
          <w:rFonts w:ascii="Times New Roman" w:hAnsi="Times New Roman" w:cs="Times New Roman"/>
          <w:szCs w:val="24"/>
        </w:rPr>
        <w:t xml:space="preserve">w </w:t>
      </w:r>
      <w:r>
        <w:rPr>
          <w:rFonts w:ascii="Times New Roman" w:hAnsi="Times New Roman" w:cs="Times New Roman"/>
          <w:szCs w:val="24"/>
        </w:rPr>
        <w:t>art. 3 ust. 1 pkt 1</w:t>
      </w:r>
      <w:r w:rsidR="003D65FC">
        <w:rPr>
          <w:rFonts w:ascii="Times New Roman" w:hAnsi="Times New Roman" w:cs="Times New Roman"/>
          <w:szCs w:val="24"/>
        </w:rPr>
        <w:t xml:space="preserve"> lit. j projektowanej ustawy, i </w:t>
      </w:r>
      <w:r>
        <w:rPr>
          <w:rFonts w:ascii="Times New Roman" w:hAnsi="Times New Roman" w:cs="Times New Roman"/>
          <w:szCs w:val="24"/>
        </w:rPr>
        <w:t xml:space="preserve">trafić na dochód budżetu państwa. </w:t>
      </w:r>
    </w:p>
    <w:p w14:paraId="06F4B6B4" w14:textId="1E357A22" w:rsidR="004C5452" w:rsidRDefault="004C5452" w:rsidP="004C5452">
      <w:pPr>
        <w:pStyle w:val="NIEARTTEKSTtekstnieartykuowanynppodstprawnarozplubpreambua"/>
        <w:spacing w:before="0"/>
        <w:rPr>
          <w:rFonts w:ascii="Times New Roman" w:hAnsi="Times New Roman" w:cs="Times New Roman"/>
          <w:szCs w:val="24"/>
        </w:rPr>
      </w:pPr>
      <w:r>
        <w:rPr>
          <w:rFonts w:ascii="Times New Roman" w:hAnsi="Times New Roman" w:cs="Times New Roman"/>
          <w:szCs w:val="24"/>
        </w:rPr>
        <w:t xml:space="preserve">Kolejny projektowany przepis (art. 53) ma na celu </w:t>
      </w:r>
      <w:r w:rsidR="003D65FC">
        <w:rPr>
          <w:rFonts w:ascii="Times New Roman" w:hAnsi="Times New Roman" w:cs="Times New Roman"/>
          <w:szCs w:val="24"/>
        </w:rPr>
        <w:t>zachowanie ważności czynności i </w:t>
      </w:r>
      <w:r>
        <w:rPr>
          <w:rFonts w:ascii="Times New Roman" w:hAnsi="Times New Roman" w:cs="Times New Roman"/>
          <w:szCs w:val="24"/>
        </w:rPr>
        <w:t xml:space="preserve">działań instytucji audytowej, o której mowa w art. 71 ust. 2 rozporządzenia ogólnego, przeprowadzone przez Szefa Krajowej Administracji Skarbowej przed dniem wejścia w życie projektowanej ustawy, odnoszące się do perspektywy finansowej 2021–2027. Należy wyjaśnić, że w celu przygotowania Programu przez Polskę jako państwo członkowskie UE konieczne </w:t>
      </w:r>
      <w:r>
        <w:rPr>
          <w:rFonts w:ascii="Times New Roman" w:hAnsi="Times New Roman" w:cs="Times New Roman"/>
          <w:szCs w:val="24"/>
        </w:rPr>
        <w:lastRenderedPageBreak/>
        <w:t>było prowadzenie czynności o charakterze audytowym przez Szefa Krajowej Administracji Skarbowej przed dniem wejścia w życie projektowanej ustawy.</w:t>
      </w:r>
    </w:p>
    <w:p w14:paraId="7511BC8D" w14:textId="77777777" w:rsidR="004C5452" w:rsidRDefault="004C5452" w:rsidP="004C5452">
      <w:pPr>
        <w:pStyle w:val="NIEARTTEKSTtekstnieartykuowanynppodstprawnarozplubpreambua"/>
        <w:spacing w:before="0"/>
        <w:rPr>
          <w:rFonts w:ascii="Times New Roman" w:hAnsi="Times New Roman" w:cs="Times New Roman"/>
          <w:szCs w:val="24"/>
        </w:rPr>
      </w:pPr>
      <w:r>
        <w:rPr>
          <w:rFonts w:ascii="Times New Roman" w:hAnsi="Times New Roman" w:cs="Times New Roman"/>
          <w:szCs w:val="24"/>
        </w:rPr>
        <w:t>Ponadto wprowadzono w</w:t>
      </w:r>
      <w:r w:rsidR="009B1AC1">
        <w:rPr>
          <w:rFonts w:ascii="Times New Roman" w:hAnsi="Times New Roman" w:cs="Times New Roman"/>
          <w:szCs w:val="24"/>
        </w:rPr>
        <w:t xml:space="preserve"> </w:t>
      </w:r>
      <w:r>
        <w:rPr>
          <w:rFonts w:ascii="Times New Roman" w:hAnsi="Times New Roman" w:cs="Times New Roman"/>
          <w:szCs w:val="24"/>
        </w:rPr>
        <w:t xml:space="preserve">przepisach tego rozdziału postanowienia (art. 54) regulujące sprawy z zakresu rybołówstwa morskiego rozpoczęte przed dniem jej wejścia w życie dotyczące wymierzania kar administracyjnych, zmian wpisu w rejestrze statków rybackich oraz wykonywania rybołówstwa rekreacyjnego. Utrzymano również w mocy przepisy wykonawcze wydane na podstawie art. 95 ust. 1 ustawy </w:t>
      </w:r>
      <w:r>
        <w:rPr>
          <w:rStyle w:val="TekstpodstawowyZnak"/>
          <w:rFonts w:eastAsiaTheme="minorEastAsia"/>
        </w:rPr>
        <w:t xml:space="preserve">z dnia 19 grudnia 2014 r. </w:t>
      </w:r>
      <w:r>
        <w:rPr>
          <w:rFonts w:ascii="Times New Roman" w:hAnsi="Times New Roman" w:cs="Times New Roman"/>
          <w:szCs w:val="24"/>
        </w:rPr>
        <w:t>o rybołówstwie morskim (art. 55), które są pośrednio uchylane ze względu na zmianę art. 90 ust. 1 pkt 2 ustawy</w:t>
      </w:r>
      <w:r>
        <w:rPr>
          <w:rStyle w:val="TekstpodstawowyZnak"/>
          <w:rFonts w:eastAsiaTheme="minorEastAsia"/>
        </w:rPr>
        <w:t xml:space="preserve"> z dnia 19 grudnia 2014 r. </w:t>
      </w:r>
      <w:r>
        <w:rPr>
          <w:rFonts w:ascii="Times New Roman" w:hAnsi="Times New Roman" w:cs="Times New Roman"/>
          <w:szCs w:val="24"/>
        </w:rPr>
        <w:t>o rybołówstwie morskim.</w:t>
      </w:r>
    </w:p>
    <w:p w14:paraId="447B7106" w14:textId="2D4B76DD" w:rsidR="004C5452" w:rsidRDefault="004C5452" w:rsidP="004C5452">
      <w:pPr>
        <w:pStyle w:val="NIEARTTEKSTtekstnieartykuowanynppodstprawnarozplubpreambua"/>
        <w:spacing w:before="0"/>
        <w:rPr>
          <w:rFonts w:ascii="Times New Roman" w:hAnsi="Times New Roman" w:cs="Times New Roman"/>
          <w:szCs w:val="24"/>
        </w:rPr>
      </w:pPr>
      <w:r>
        <w:rPr>
          <w:rFonts w:ascii="Times New Roman" w:hAnsi="Times New Roman" w:cs="Times New Roman"/>
          <w:szCs w:val="24"/>
        </w:rPr>
        <w:t xml:space="preserve">Zaproponowano, że wejście w życie projektowanej ustawy </w:t>
      </w:r>
      <w:r w:rsidR="00B8006C">
        <w:rPr>
          <w:rFonts w:ascii="Times New Roman" w:hAnsi="Times New Roman" w:cs="Times New Roman"/>
          <w:szCs w:val="24"/>
        </w:rPr>
        <w:t>(art. 56) nastąpi po upływie 14 </w:t>
      </w:r>
      <w:r>
        <w:rPr>
          <w:rFonts w:ascii="Times New Roman" w:hAnsi="Times New Roman" w:cs="Times New Roman"/>
          <w:szCs w:val="24"/>
        </w:rPr>
        <w:t>dni od dnia ogłoszenia. Przewidziano dwa wyjątki od tej zasady. Pierwszy stanowić będą przepisy art. 49 pkt 2 i 3 dotyczące rynku rybnego (rozszerzenie elektronicznego przekazywania tzw. dokumentów pierwszej sprzedaży i kompetencji Głównego Inspektora Rybołówstwa Morskiego), które wejdą w życie po upływie 3 miesięcy od dnia ogłoszenia projektowanej ustawy. Okres przejściowy pozwoli na zapewnienie zainteresowanym przedsiębiorcom branży rybackiej, którzy dotychczas nie korzystali z</w:t>
      </w:r>
      <w:r w:rsidR="009B1AC1">
        <w:rPr>
          <w:rFonts w:ascii="Times New Roman" w:hAnsi="Times New Roman" w:cs="Times New Roman"/>
          <w:szCs w:val="24"/>
        </w:rPr>
        <w:t xml:space="preserve"> </w:t>
      </w:r>
      <w:r>
        <w:rPr>
          <w:rFonts w:ascii="Times New Roman" w:hAnsi="Times New Roman" w:cs="Times New Roman"/>
          <w:szCs w:val="24"/>
        </w:rPr>
        <w:t>elektronizacji, odpowiedniego czasu na rozpoczęcie korzystania z</w:t>
      </w:r>
      <w:r w:rsidR="009B1AC1">
        <w:rPr>
          <w:rFonts w:ascii="Times New Roman" w:hAnsi="Times New Roman" w:cs="Times New Roman"/>
          <w:szCs w:val="24"/>
        </w:rPr>
        <w:t xml:space="preserve"> </w:t>
      </w:r>
      <w:r>
        <w:rPr>
          <w:rFonts w:ascii="Times New Roman" w:hAnsi="Times New Roman" w:cs="Times New Roman"/>
          <w:szCs w:val="24"/>
        </w:rPr>
        <w:t xml:space="preserve">realizowanych przez polską administrację rybacką elektronicznych platform zbioru danych rybackich. Dotyczy to również umożliwienia przygotowania się przez GIRM do szerszej niż dotychczas realizacji kompetencji związanych ze świadectwami połowowymi. Ponadto z dniem 1 stycznia 2024 r. mają wejść w życie zawarte w art. 51 pkt 10 zmiany art. 70 </w:t>
      </w:r>
      <w:r>
        <w:rPr>
          <w:rStyle w:val="TekstpodstawowyZnak"/>
          <w:rFonts w:eastAsiaTheme="minorEastAsia"/>
        </w:rPr>
        <w:t xml:space="preserve">ustawy z dnia 19 grudnia 2014 r. o rybołówstwie morskim, dotyczące </w:t>
      </w:r>
      <w:r>
        <w:rPr>
          <w:rFonts w:ascii="Times New Roman" w:hAnsi="Times New Roman" w:cs="Times New Roman"/>
          <w:szCs w:val="24"/>
        </w:rPr>
        <w:t>szerszej elektronizacji raportowania połowów. Dzię</w:t>
      </w:r>
      <w:r w:rsidR="00B8006C">
        <w:rPr>
          <w:rFonts w:ascii="Times New Roman" w:hAnsi="Times New Roman" w:cs="Times New Roman"/>
          <w:szCs w:val="24"/>
        </w:rPr>
        <w:t>ki temu do dnia 31 grudnia 2023 </w:t>
      </w:r>
      <w:r>
        <w:rPr>
          <w:rFonts w:ascii="Times New Roman" w:hAnsi="Times New Roman" w:cs="Times New Roman"/>
          <w:szCs w:val="24"/>
        </w:rPr>
        <w:t>r. nadal będzie możliwe – w zakresie takim, jak obecnie – sporządzanie miesięcznego raportu połowowego w</w:t>
      </w:r>
      <w:r w:rsidR="009B1AC1">
        <w:rPr>
          <w:rFonts w:ascii="Times New Roman" w:hAnsi="Times New Roman" w:cs="Times New Roman"/>
          <w:szCs w:val="24"/>
        </w:rPr>
        <w:t xml:space="preserve"> </w:t>
      </w:r>
      <w:r>
        <w:rPr>
          <w:rFonts w:ascii="Times New Roman" w:hAnsi="Times New Roman" w:cs="Times New Roman"/>
          <w:szCs w:val="24"/>
        </w:rPr>
        <w:t>postaci papierowej i przekazywanie go do Centrum Monitorowania Rybołówstwa za pośrednictwem GIRM, nie później niż do 5. dnia miesiąca następującego po miesiącu, za który został sporządzony raport.</w:t>
      </w:r>
    </w:p>
    <w:p w14:paraId="4EABBA23" w14:textId="77777777" w:rsidR="004C5452" w:rsidRDefault="004C5452" w:rsidP="004C5452">
      <w:pPr>
        <w:pStyle w:val="NIEARTTEKSTtekstnieartykuowanynppodstprawnarozplubpreambua"/>
        <w:spacing w:before="0"/>
        <w:rPr>
          <w:rFonts w:ascii="Times New Roman" w:hAnsi="Times New Roman" w:cs="Times New Roman"/>
          <w:szCs w:val="24"/>
        </w:rPr>
      </w:pPr>
      <w:r>
        <w:rPr>
          <w:rFonts w:ascii="Times New Roman" w:hAnsi="Times New Roman" w:cs="Times New Roman"/>
          <w:szCs w:val="24"/>
        </w:rPr>
        <w:t>Projektowana ustawa jest zgodna z prawem Unii Europejskiej.</w:t>
      </w:r>
    </w:p>
    <w:p w14:paraId="2D10AB14" w14:textId="77777777" w:rsidR="004C5452" w:rsidRDefault="004C5452" w:rsidP="004C5452">
      <w:pPr>
        <w:pStyle w:val="NIEARTTEKSTtekstnieartykuowanynppodstprawnarozplubpreambua"/>
        <w:spacing w:before="0"/>
        <w:rPr>
          <w:rFonts w:ascii="Times New Roman" w:hAnsi="Times New Roman" w:cs="Times New Roman"/>
          <w:szCs w:val="24"/>
        </w:rPr>
      </w:pPr>
      <w:r>
        <w:rPr>
          <w:rFonts w:ascii="Times New Roman" w:hAnsi="Times New Roman" w:cs="Times New Roman"/>
          <w:szCs w:val="24"/>
        </w:rPr>
        <w:t xml:space="preserve">Zgodnie z art. 5 ustawy z dnia 7 lipca 2005 r. o działalności lobbingowej w procesie stanowienia prawa (Dz. U. z 2017 r. poz. 248) projekt ustawy został zamieszczony na stronie podmiotowej Biuletynu Informacji Publicznej Ministerstwa Rolnictwa i Rozwoju Wsi oraz Rządowego Centrum Legislacji. </w:t>
      </w:r>
    </w:p>
    <w:p w14:paraId="737FFA5A" w14:textId="0CAAF781" w:rsidR="004C5452" w:rsidRDefault="004C5452" w:rsidP="004C5452">
      <w:pPr>
        <w:pStyle w:val="NIEARTTEKSTtekstnieartykuowanynppodstprawnarozplubpreambua"/>
        <w:spacing w:before="0"/>
        <w:rPr>
          <w:rFonts w:ascii="Times New Roman" w:hAnsi="Times New Roman" w:cs="Times New Roman"/>
          <w:szCs w:val="24"/>
        </w:rPr>
      </w:pPr>
      <w:r>
        <w:rPr>
          <w:rFonts w:ascii="Times New Roman" w:hAnsi="Times New Roman" w:cs="Times New Roman"/>
          <w:szCs w:val="24"/>
        </w:rPr>
        <w:t>Projekt ustawy nie zawiera przepisów technicznych, w związku z tym nie podlega notyfikacji w rozumieniu przepisów rozporządzenia Rady M</w:t>
      </w:r>
      <w:r w:rsidR="0042591D">
        <w:rPr>
          <w:rFonts w:ascii="Times New Roman" w:hAnsi="Times New Roman" w:cs="Times New Roman"/>
          <w:szCs w:val="24"/>
        </w:rPr>
        <w:t>inistrów z dnia 23 grudnia 2002 </w:t>
      </w:r>
      <w:r>
        <w:rPr>
          <w:rFonts w:ascii="Times New Roman" w:hAnsi="Times New Roman" w:cs="Times New Roman"/>
          <w:szCs w:val="24"/>
        </w:rPr>
        <w:t xml:space="preserve">r. </w:t>
      </w:r>
      <w:r>
        <w:rPr>
          <w:rFonts w:ascii="Times New Roman" w:hAnsi="Times New Roman" w:cs="Times New Roman"/>
          <w:szCs w:val="24"/>
        </w:rPr>
        <w:lastRenderedPageBreak/>
        <w:t xml:space="preserve">w sprawie sposobu funkcjonowania krajowego systemu notyfikacji norm i aktów prawnych (Dz. U. poz. 2039, z późn. zm.). </w:t>
      </w:r>
    </w:p>
    <w:p w14:paraId="0FB4319B" w14:textId="19BF27F7" w:rsidR="004C5452" w:rsidRDefault="004C5452" w:rsidP="004C5452">
      <w:pPr>
        <w:pStyle w:val="NIEARTTEKSTtekstnieartykuowanynppodstprawnarozplubpreambua"/>
        <w:spacing w:before="0"/>
        <w:rPr>
          <w:rFonts w:ascii="Times New Roman" w:hAnsi="Times New Roman" w:cs="Times New Roman"/>
          <w:szCs w:val="24"/>
        </w:rPr>
      </w:pPr>
      <w:r>
        <w:rPr>
          <w:rFonts w:ascii="Times New Roman" w:hAnsi="Times New Roman" w:cs="Times New Roman"/>
          <w:szCs w:val="24"/>
        </w:rPr>
        <w:t>Projektowana ustawa nie podlega obowiązkowi przedstawienia właściwym organom i</w:t>
      </w:r>
      <w:r w:rsidR="003D65FC">
        <w:rPr>
          <w:rFonts w:ascii="Times New Roman" w:hAnsi="Times New Roman" w:cs="Times New Roman"/>
          <w:szCs w:val="24"/>
        </w:rPr>
        <w:t> </w:t>
      </w:r>
      <w:r>
        <w:rPr>
          <w:rFonts w:ascii="Times New Roman" w:hAnsi="Times New Roman" w:cs="Times New Roman"/>
          <w:szCs w:val="24"/>
        </w:rPr>
        <w:t>instytucjom Unii Europejskiej, w tym Europejskiemu Bankowi Centralnemu, w celu uzyskania opinii, dokonania powiadomienia, konsultacji lub uzgodnienia stosownie do §</w:t>
      </w:r>
      <w:r w:rsidR="003D65FC">
        <w:rPr>
          <w:rFonts w:ascii="Times New Roman" w:hAnsi="Times New Roman" w:cs="Times New Roman"/>
          <w:szCs w:val="24"/>
        </w:rPr>
        <w:t> </w:t>
      </w:r>
      <w:bookmarkStart w:id="0" w:name="_GoBack"/>
      <w:bookmarkEnd w:id="0"/>
      <w:r w:rsidR="003D65FC">
        <w:rPr>
          <w:rFonts w:ascii="Times New Roman" w:hAnsi="Times New Roman" w:cs="Times New Roman"/>
          <w:szCs w:val="24"/>
        </w:rPr>
        <w:t>27 ust. </w:t>
      </w:r>
      <w:r>
        <w:rPr>
          <w:rFonts w:ascii="Times New Roman" w:hAnsi="Times New Roman" w:cs="Times New Roman"/>
          <w:szCs w:val="24"/>
        </w:rPr>
        <w:t>4 uchwały nr 190 Rady Ministrów z dnia 29 października 2013 r. – Regulamin pracy Rady Ministrów (M.P. z 2022 r. poz. 348).</w:t>
      </w:r>
    </w:p>
    <w:p w14:paraId="0EDFB1CC" w14:textId="77777777" w:rsidR="004C5452" w:rsidRDefault="004C5452" w:rsidP="004C5452">
      <w:pPr>
        <w:pStyle w:val="NIEARTTEKSTtekstnieartykuowanynppodstprawnarozplubpreambua"/>
        <w:spacing w:before="0"/>
        <w:rPr>
          <w:rFonts w:ascii="Times New Roman" w:hAnsi="Times New Roman" w:cs="Times New Roman"/>
          <w:szCs w:val="24"/>
        </w:rPr>
      </w:pPr>
      <w:r>
        <w:rPr>
          <w:rFonts w:ascii="Times New Roman" w:hAnsi="Times New Roman" w:cs="Times New Roman"/>
          <w:szCs w:val="24"/>
        </w:rPr>
        <w:t xml:space="preserve">Przyjmuje się że projektowana ustawa będzie miała pozytywny wpływ na działalność mikro-, małych i średnich przedsiębiorców. </w:t>
      </w:r>
    </w:p>
    <w:p w14:paraId="36B49236" w14:textId="77777777" w:rsidR="00DE0567" w:rsidRPr="00B16420" w:rsidRDefault="004C5452" w:rsidP="00B16420">
      <w:pPr>
        <w:pStyle w:val="NIEARTTEKSTtekstnieartykuowanynppodstprawnarozplubpreambua"/>
        <w:spacing w:before="0"/>
        <w:rPr>
          <w:rFonts w:ascii="Times New Roman" w:hAnsi="Times New Roman" w:cs="Times New Roman"/>
          <w:szCs w:val="24"/>
        </w:rPr>
      </w:pPr>
      <w:r>
        <w:rPr>
          <w:rFonts w:ascii="Times New Roman" w:hAnsi="Times New Roman" w:cs="Times New Roman"/>
          <w:szCs w:val="24"/>
        </w:rPr>
        <w:t xml:space="preserve">Projekt ustawy został umieszczony w Wykazie prac legislacyjnych Rady Ministrów pod numerem UC22. </w:t>
      </w:r>
    </w:p>
    <w:sectPr w:rsidR="00DE0567" w:rsidRPr="00B16420" w:rsidSect="00727934">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A19B6" w14:textId="77777777" w:rsidR="004B222F" w:rsidRDefault="004B222F" w:rsidP="009D78F9">
      <w:pPr>
        <w:spacing w:after="0" w:line="240" w:lineRule="auto"/>
      </w:pPr>
      <w:r>
        <w:separator/>
      </w:r>
    </w:p>
  </w:endnote>
  <w:endnote w:type="continuationSeparator" w:id="0">
    <w:p w14:paraId="64F001F1" w14:textId="77777777" w:rsidR="004B222F" w:rsidRDefault="004B222F"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441108"/>
      <w:docPartObj>
        <w:docPartGallery w:val="Page Numbers (Bottom of Page)"/>
        <w:docPartUnique/>
      </w:docPartObj>
    </w:sdtPr>
    <w:sdtEndPr>
      <w:rPr>
        <w:rFonts w:ascii="Times New Roman" w:hAnsi="Times New Roman" w:cs="Times New Roman"/>
        <w:sz w:val="24"/>
        <w:szCs w:val="24"/>
      </w:rPr>
    </w:sdtEndPr>
    <w:sdtContent>
      <w:p w14:paraId="46E39364" w14:textId="303453F2"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3D65FC">
          <w:rPr>
            <w:rFonts w:ascii="Times New Roman" w:hAnsi="Times New Roman" w:cs="Times New Roman"/>
            <w:noProof/>
            <w:sz w:val="24"/>
            <w:szCs w:val="24"/>
          </w:rPr>
          <w:t>21</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88B13" w14:textId="77777777" w:rsidR="004B222F" w:rsidRDefault="004B222F" w:rsidP="009D78F9">
      <w:pPr>
        <w:spacing w:after="0" w:line="240" w:lineRule="auto"/>
      </w:pPr>
      <w:r>
        <w:separator/>
      </w:r>
    </w:p>
  </w:footnote>
  <w:footnote w:type="continuationSeparator" w:id="0">
    <w:p w14:paraId="54AE5D12" w14:textId="77777777" w:rsidR="004B222F" w:rsidRDefault="004B222F" w:rsidP="009D7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15:restartNumberingAfterBreak="0">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15:restartNumberingAfterBreak="0">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1"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2" w15:restartNumberingAfterBreak="0">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6" w15:restartNumberingAfterBreak="0">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29"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2"/>
  </w:num>
  <w:num w:numId="2">
    <w:abstractNumId w:val="14"/>
  </w:num>
  <w:num w:numId="3">
    <w:abstractNumId w:val="7"/>
  </w:num>
  <w:num w:numId="4">
    <w:abstractNumId w:val="1"/>
  </w:num>
  <w:num w:numId="5">
    <w:abstractNumId w:val="27"/>
  </w:num>
  <w:num w:numId="6">
    <w:abstractNumId w:val="2"/>
  </w:num>
  <w:num w:numId="7">
    <w:abstractNumId w:val="12"/>
  </w:num>
  <w:num w:numId="8">
    <w:abstractNumId w:val="19"/>
  </w:num>
  <w:num w:numId="9">
    <w:abstractNumId w:val="8"/>
  </w:num>
  <w:num w:numId="10">
    <w:abstractNumId w:val="21"/>
  </w:num>
  <w:num w:numId="11">
    <w:abstractNumId w:val="16"/>
  </w:num>
  <w:num w:numId="12">
    <w:abstractNumId w:val="20"/>
  </w:num>
  <w:num w:numId="13">
    <w:abstractNumId w:val="5"/>
  </w:num>
  <w:num w:numId="14">
    <w:abstractNumId w:val="15"/>
  </w:num>
  <w:num w:numId="15">
    <w:abstractNumId w:val="28"/>
  </w:num>
  <w:num w:numId="16">
    <w:abstractNumId w:val="23"/>
  </w:num>
  <w:num w:numId="17">
    <w:abstractNumId w:val="25"/>
  </w:num>
  <w:num w:numId="18">
    <w:abstractNumId w:val="9"/>
  </w:num>
  <w:num w:numId="19">
    <w:abstractNumId w:val="29"/>
  </w:num>
  <w:num w:numId="20">
    <w:abstractNumId w:val="31"/>
  </w:num>
  <w:num w:numId="21">
    <w:abstractNumId w:val="24"/>
  </w:num>
  <w:num w:numId="22">
    <w:abstractNumId w:val="10"/>
  </w:num>
  <w:num w:numId="23">
    <w:abstractNumId w:val="17"/>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3"/>
  </w:num>
  <w:num w:numId="27">
    <w:abstractNumId w:val="11"/>
  </w:num>
  <w:num w:numId="28">
    <w:abstractNumId w:val="26"/>
  </w:num>
  <w:num w:numId="29">
    <w:abstractNumId w:val="4"/>
  </w:num>
  <w:num w:numId="30">
    <w:abstractNumId w:val="6"/>
  </w:num>
  <w:num w:numId="31">
    <w:abstractNumId w:val="30"/>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95"/>
    <w:rsid w:val="00056E79"/>
    <w:rsid w:val="00146FF3"/>
    <w:rsid w:val="001B3166"/>
    <w:rsid w:val="001C7821"/>
    <w:rsid w:val="001E469B"/>
    <w:rsid w:val="00236955"/>
    <w:rsid w:val="00271D28"/>
    <w:rsid w:val="002D3299"/>
    <w:rsid w:val="002E56D7"/>
    <w:rsid w:val="003876DE"/>
    <w:rsid w:val="00392C21"/>
    <w:rsid w:val="003938F7"/>
    <w:rsid w:val="003D65FC"/>
    <w:rsid w:val="003E601D"/>
    <w:rsid w:val="003F6C95"/>
    <w:rsid w:val="0042591D"/>
    <w:rsid w:val="00445210"/>
    <w:rsid w:val="00453BA3"/>
    <w:rsid w:val="00475BA0"/>
    <w:rsid w:val="004A2B6D"/>
    <w:rsid w:val="004A37A6"/>
    <w:rsid w:val="004B222F"/>
    <w:rsid w:val="004C5452"/>
    <w:rsid w:val="004E0A95"/>
    <w:rsid w:val="004F3862"/>
    <w:rsid w:val="00532BDA"/>
    <w:rsid w:val="005748CE"/>
    <w:rsid w:val="005D4A76"/>
    <w:rsid w:val="005F249D"/>
    <w:rsid w:val="005F4005"/>
    <w:rsid w:val="006466AC"/>
    <w:rsid w:val="006C666B"/>
    <w:rsid w:val="00725B90"/>
    <w:rsid w:val="00726F0A"/>
    <w:rsid w:val="00727934"/>
    <w:rsid w:val="007455B5"/>
    <w:rsid w:val="007A3A37"/>
    <w:rsid w:val="007E26CA"/>
    <w:rsid w:val="007F7652"/>
    <w:rsid w:val="00867028"/>
    <w:rsid w:val="00874676"/>
    <w:rsid w:val="00877B10"/>
    <w:rsid w:val="00882207"/>
    <w:rsid w:val="00887DB4"/>
    <w:rsid w:val="008D1573"/>
    <w:rsid w:val="008F6235"/>
    <w:rsid w:val="009B1AC1"/>
    <w:rsid w:val="009B51A0"/>
    <w:rsid w:val="009D78F9"/>
    <w:rsid w:val="009E788D"/>
    <w:rsid w:val="009F03C5"/>
    <w:rsid w:val="00A04463"/>
    <w:rsid w:val="00A263E2"/>
    <w:rsid w:val="00AB053F"/>
    <w:rsid w:val="00AD453B"/>
    <w:rsid w:val="00B058A2"/>
    <w:rsid w:val="00B10041"/>
    <w:rsid w:val="00B16420"/>
    <w:rsid w:val="00B8006C"/>
    <w:rsid w:val="00BD40A3"/>
    <w:rsid w:val="00C04DCD"/>
    <w:rsid w:val="00C62021"/>
    <w:rsid w:val="00C7545C"/>
    <w:rsid w:val="00CF08F2"/>
    <w:rsid w:val="00D033A0"/>
    <w:rsid w:val="00D03895"/>
    <w:rsid w:val="00D91F05"/>
    <w:rsid w:val="00D96AFE"/>
    <w:rsid w:val="00DA05EB"/>
    <w:rsid w:val="00DE0567"/>
    <w:rsid w:val="00DF4048"/>
    <w:rsid w:val="00DF5F5A"/>
    <w:rsid w:val="00EE2731"/>
    <w:rsid w:val="00F14062"/>
    <w:rsid w:val="00F736BD"/>
    <w:rsid w:val="00FA0A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53A8E"/>
  <w15:docId w15:val="{7E59353C-FF48-4A97-9338-2D0045D9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link w:val="ARTartustawynprozporzdzeniaZnak"/>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styleId="Tekstpodstawowy">
    <w:name w:val="Body Text"/>
    <w:basedOn w:val="Normalny"/>
    <w:link w:val="TekstpodstawowyZnak"/>
    <w:semiHidden/>
    <w:unhideWhenUsed/>
    <w:qFormat/>
    <w:rsid w:val="004C5452"/>
    <w:pPr>
      <w:widowControl w:val="0"/>
      <w:shd w:val="clear" w:color="auto" w:fill="FFFFFF"/>
      <w:spacing w:after="0" w:line="360" w:lineRule="auto"/>
      <w:jc w:val="both"/>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semiHidden/>
    <w:rsid w:val="004C5452"/>
    <w:rPr>
      <w:rFonts w:ascii="Times New Roman" w:eastAsia="Times New Roman" w:hAnsi="Times New Roman" w:cs="Times New Roman"/>
      <w:sz w:val="24"/>
      <w:szCs w:val="24"/>
      <w:shd w:val="clear" w:color="auto" w:fill="FFFFFF"/>
      <w:lang w:eastAsia="pl-PL"/>
    </w:rPr>
  </w:style>
  <w:style w:type="character" w:customStyle="1" w:styleId="ARTartustawynprozporzdzeniaZnak">
    <w:name w:val="ART(§) – art. ustawy (§ np. rozporządzenia) Znak"/>
    <w:link w:val="ARTartustawynprozporzdzenia"/>
    <w:uiPriority w:val="11"/>
    <w:locked/>
    <w:rsid w:val="004C5452"/>
    <w:rPr>
      <w:rFonts w:ascii="Times" w:eastAsiaTheme="minorEastAsia" w:hAnsi="Times" w:cs="Arial"/>
      <w:sz w:val="24"/>
      <w:szCs w:val="20"/>
      <w:lang w:eastAsia="pl-PL"/>
    </w:rPr>
  </w:style>
  <w:style w:type="paragraph" w:customStyle="1" w:styleId="USTustnpkodeksu">
    <w:name w:val="UST(§) – ust. (§ np. kodeksu)"/>
    <w:basedOn w:val="ARTartustawynprozporzdzenia"/>
    <w:uiPriority w:val="12"/>
    <w:qFormat/>
    <w:rsid w:val="004C5452"/>
    <w:pPr>
      <w:spacing w:before="0"/>
    </w:pPr>
    <w:rPr>
      <w:rFonts w:ascii="Times New Roman" w:hAnsi="Times New Roman"/>
      <w:bCs/>
      <w:sz w:val="22"/>
      <w:lang w:eastAsia="en-US"/>
    </w:rPr>
  </w:style>
  <w:style w:type="paragraph" w:customStyle="1" w:styleId="LITlitera">
    <w:name w:val="LIT – litera"/>
    <w:basedOn w:val="PKTpunkt"/>
    <w:qFormat/>
    <w:rsid w:val="004C5452"/>
    <w:pPr>
      <w:ind w:left="986" w:hanging="476"/>
    </w:pPr>
  </w:style>
  <w:style w:type="paragraph" w:customStyle="1" w:styleId="TYTTABELItytutabeli">
    <w:name w:val="TYT_TABELI – tytuł tabeli"/>
    <w:basedOn w:val="Normalny"/>
    <w:uiPriority w:val="99"/>
    <w:qFormat/>
    <w:rsid w:val="004C5452"/>
    <w:pPr>
      <w:keepNext/>
      <w:spacing w:before="120" w:after="0" w:line="360" w:lineRule="auto"/>
      <w:jc w:val="center"/>
    </w:pPr>
    <w:rPr>
      <w:rFonts w:ascii="Times" w:eastAsiaTheme="minorEastAsia" w:hAnsi="Times" w:cs="Arial"/>
      <w:b/>
      <w:bCs/>
      <w:caps/>
      <w:kern w:val="24"/>
      <w:sz w:val="24"/>
      <w:szCs w:val="24"/>
      <w:lang w:eastAsia="pl-PL"/>
    </w:rPr>
  </w:style>
  <w:style w:type="character" w:customStyle="1" w:styleId="Kkursywa">
    <w:name w:val="_K_ – kursywa"/>
    <w:basedOn w:val="Domylnaczcionkaakapitu"/>
    <w:uiPriority w:val="1"/>
    <w:qFormat/>
    <w:rsid w:val="004C5452"/>
    <w:rPr>
      <w: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442462933">
      <w:bodyDiv w:val="1"/>
      <w:marLeft w:val="0"/>
      <w:marRight w:val="0"/>
      <w:marTop w:val="0"/>
      <w:marBottom w:val="0"/>
      <w:divBdr>
        <w:top w:val="none" w:sz="0" w:space="0" w:color="auto"/>
        <w:left w:val="none" w:sz="0" w:space="0" w:color="auto"/>
        <w:bottom w:val="none" w:sz="0" w:space="0" w:color="auto"/>
        <w:right w:val="none" w:sz="0" w:space="0" w:color="auto"/>
      </w:divBdr>
    </w:div>
    <w:div w:id="689374087">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599604018">
      <w:bodyDiv w:val="1"/>
      <w:marLeft w:val="0"/>
      <w:marRight w:val="0"/>
      <w:marTop w:val="0"/>
      <w:marBottom w:val="0"/>
      <w:divBdr>
        <w:top w:val="none" w:sz="0" w:space="0" w:color="auto"/>
        <w:left w:val="none" w:sz="0" w:space="0" w:color="auto"/>
        <w:bottom w:val="none" w:sz="0" w:space="0" w:color="auto"/>
        <w:right w:val="none" w:sz="0" w:space="0" w:color="auto"/>
      </w:divBdr>
    </w:div>
    <w:div w:id="164628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6315F-8B47-478E-A825-83A8E6FB6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22</Pages>
  <Words>8073</Words>
  <Characters>48439</Characters>
  <Application>Microsoft Office Word</Application>
  <DocSecurity>0</DocSecurity>
  <Lines>403</Lines>
  <Paragraphs>112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Autor</cp:lastModifiedBy>
  <cp:revision>7</cp:revision>
  <cp:lastPrinted>2018-10-02T13:01:00Z</cp:lastPrinted>
  <dcterms:created xsi:type="dcterms:W3CDTF">2023-03-31T12:08:00Z</dcterms:created>
  <dcterms:modified xsi:type="dcterms:W3CDTF">2023-03-31T14:21:00Z</dcterms:modified>
</cp:coreProperties>
</file>