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6C9B3" w14:textId="77777777" w:rsidR="00C52F09" w:rsidRPr="00C52F09" w:rsidRDefault="00C52F09" w:rsidP="0003018A">
      <w:pPr>
        <w:keepNext/>
        <w:widowControl/>
        <w:suppressAutoHyphens/>
        <w:autoSpaceDE/>
        <w:autoSpaceDN/>
        <w:adjustRightInd/>
        <w:spacing w:after="240"/>
        <w:jc w:val="center"/>
        <w:rPr>
          <w:rFonts w:eastAsia="Times New Roman" w:cs="Times New Roman"/>
          <w:bCs/>
          <w:caps/>
          <w:color w:val="000000"/>
          <w:kern w:val="24"/>
          <w:szCs w:val="24"/>
        </w:rPr>
      </w:pPr>
      <w:bookmarkStart w:id="0" w:name="_GoBack"/>
      <w:bookmarkEnd w:id="0"/>
      <w:r w:rsidRPr="00C52F09">
        <w:rPr>
          <w:rFonts w:eastAsia="Times New Roman" w:cs="Times New Roman"/>
          <w:bCs/>
          <w:caps/>
          <w:kern w:val="24"/>
          <w:szCs w:val="24"/>
          <w:shd w:val="clear" w:color="auto" w:fill="FFFFFF"/>
        </w:rPr>
        <w:t xml:space="preserve">UZASADNIENIE </w:t>
      </w:r>
    </w:p>
    <w:p w14:paraId="1814836A" w14:textId="77777777" w:rsidR="00C52F09" w:rsidRPr="00C52F09" w:rsidRDefault="00C52F09" w:rsidP="00C52F09">
      <w:pPr>
        <w:widowControl/>
        <w:numPr>
          <w:ilvl w:val="0"/>
          <w:numId w:val="1"/>
        </w:numPr>
        <w:autoSpaceDE/>
        <w:autoSpaceDN/>
        <w:adjustRightInd/>
        <w:spacing w:before="120"/>
        <w:ind w:left="357" w:hanging="357"/>
        <w:contextualSpacing/>
        <w:jc w:val="both"/>
        <w:rPr>
          <w:rFonts w:eastAsia="Calibri" w:cs="Times New Roman"/>
          <w:b/>
          <w:szCs w:val="24"/>
          <w:lang w:eastAsia="en-US"/>
        </w:rPr>
      </w:pPr>
      <w:r w:rsidRPr="00C52F09">
        <w:rPr>
          <w:rFonts w:eastAsia="Calibri" w:cs="Times New Roman"/>
          <w:b/>
          <w:szCs w:val="24"/>
          <w:lang w:eastAsia="en-US"/>
        </w:rPr>
        <w:t>Potrzeba i cel wydania aktu</w:t>
      </w:r>
    </w:p>
    <w:p w14:paraId="66023380" w14:textId="1112A442"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Celem projektu ustawy o przygotowaniu i realizacji inwestycji w zakresie Krajowego Centrum Przetwarzania Danych (dalej: „projekt ustawy”) jest stworzenie ram prawnych umożliwiających realizację inwestycji wzmacniających bezpieczeństwo cybernetyczne zasobów administracji rządowej. Realizacji tego celu ma służyć budowa wydajnych, bezpiecznych i wysoce dostępnych usług cyfrowych z zabezpieczeniem infrastruktury krytycznej dla systemów teleinformatycznych i telekomunikacyjnych. Cel zostanie osiągnięty poprzez utworzenie połączonych ze sobą ośrodków przetwarzania danych na potrzeby Krajowego Centrum Przetwarzania Danych realizowanego w ramach Krajowego Planu O</w:t>
      </w:r>
      <w:r w:rsidR="00CD1EDF">
        <w:rPr>
          <w:rFonts w:eastAsia="Times New Roman" w:cs="Times New Roman"/>
          <w:szCs w:val="24"/>
        </w:rPr>
        <w:t>d</w:t>
      </w:r>
      <w:r w:rsidRPr="00C52F09">
        <w:rPr>
          <w:rFonts w:eastAsia="Times New Roman" w:cs="Times New Roman"/>
          <w:szCs w:val="24"/>
        </w:rPr>
        <w:t>budowy i</w:t>
      </w:r>
      <w:r w:rsidR="0003018A">
        <w:rPr>
          <w:rFonts w:eastAsia="Times New Roman" w:cs="Times New Roman"/>
          <w:szCs w:val="24"/>
        </w:rPr>
        <w:t xml:space="preserve"> </w:t>
      </w:r>
      <w:r w:rsidRPr="00C52F09">
        <w:rPr>
          <w:rFonts w:eastAsia="Times New Roman" w:cs="Times New Roman"/>
          <w:szCs w:val="24"/>
        </w:rPr>
        <w:t>Zwiększ</w:t>
      </w:r>
      <w:r w:rsidR="00345830">
        <w:rPr>
          <w:rFonts w:eastAsia="Times New Roman" w:cs="Times New Roman"/>
          <w:szCs w:val="24"/>
        </w:rPr>
        <w:t>a</w:t>
      </w:r>
      <w:r w:rsidRPr="00C52F09">
        <w:rPr>
          <w:rFonts w:eastAsia="Times New Roman" w:cs="Times New Roman"/>
          <w:szCs w:val="24"/>
        </w:rPr>
        <w:t>nia Odporności (dalej „KPO”).</w:t>
      </w:r>
    </w:p>
    <w:p w14:paraId="7D7EA5F7" w14:textId="02BD5939" w:rsidR="00C52F09" w:rsidRPr="00C52F09" w:rsidRDefault="00C52F09" w:rsidP="00C52F09">
      <w:pPr>
        <w:kinsoku w:val="0"/>
        <w:overflowPunct w:val="0"/>
        <w:spacing w:before="120"/>
        <w:jc w:val="both"/>
        <w:textAlignment w:val="baseline"/>
        <w:rPr>
          <w:rFonts w:eastAsia="Times New Roman" w:cs="Times New Roman"/>
          <w:szCs w:val="24"/>
        </w:rPr>
      </w:pPr>
      <w:r w:rsidRPr="00C52F09">
        <w:rPr>
          <w:rFonts w:eastAsia="Times New Roman" w:cs="Times New Roman"/>
          <w:szCs w:val="24"/>
        </w:rPr>
        <w:t>Cele ustawy wpisują się w realizację komponentu infrastruktura przetwarzania danych oraz optymalizacja infrastruktury służb państwowych odpowiedzialnych za bezpieczeństwo, (określonych szczegółowo w KPO), które dotyczą wyłącznie podmiotów administracji publicznej i mogą być realizowane wyłącznie przez podmioty administracji publicznej lub przez nią nadzorowane</w:t>
      </w:r>
      <w:r w:rsidR="00282C85">
        <w:rPr>
          <w:rFonts w:eastAsia="Times New Roman" w:cs="Times New Roman"/>
          <w:szCs w:val="24"/>
        </w:rPr>
        <w:t>,</w:t>
      </w:r>
      <w:r w:rsidRPr="00C52F09">
        <w:rPr>
          <w:rFonts w:eastAsia="Times New Roman" w:cs="Times New Roman"/>
          <w:szCs w:val="24"/>
        </w:rPr>
        <w:t xml:space="preserve"> m.in. państwowe instytuty badawcze. </w:t>
      </w:r>
    </w:p>
    <w:p w14:paraId="7EB1E738" w14:textId="77777777" w:rsidR="00C52F09" w:rsidRPr="00C52F09" w:rsidRDefault="00C52F09" w:rsidP="00C52F09">
      <w:pPr>
        <w:kinsoku w:val="0"/>
        <w:overflowPunct w:val="0"/>
        <w:spacing w:before="120"/>
        <w:jc w:val="both"/>
        <w:textAlignment w:val="baseline"/>
        <w:rPr>
          <w:rFonts w:eastAsia="Times New Roman" w:cs="Times New Roman"/>
          <w:szCs w:val="24"/>
        </w:rPr>
      </w:pPr>
      <w:r w:rsidRPr="00C52F09">
        <w:rPr>
          <w:rFonts w:eastAsia="Times New Roman" w:cs="Times New Roman"/>
          <w:szCs w:val="24"/>
        </w:rPr>
        <w:t xml:space="preserve">Oczekiwane zgodnie z KPO produkty działań inwestycyjnych mają być zorientowane na usługi w następujących obszarach: </w:t>
      </w:r>
    </w:p>
    <w:p w14:paraId="0A003E2B" w14:textId="028498E7" w:rsidR="00C52F09" w:rsidRPr="00C52F09" w:rsidRDefault="00C52F09" w:rsidP="00C52F09">
      <w:pPr>
        <w:kinsoku w:val="0"/>
        <w:overflowPunct w:val="0"/>
        <w:ind w:left="425" w:hanging="425"/>
        <w:jc w:val="both"/>
        <w:textAlignment w:val="baseline"/>
        <w:rPr>
          <w:rFonts w:eastAsia="Times New Roman" w:cs="Times New Roman"/>
          <w:szCs w:val="24"/>
        </w:rPr>
      </w:pPr>
      <w:r>
        <w:rPr>
          <w:rFonts w:eastAsia="Times New Roman" w:cs="Times New Roman"/>
          <w:szCs w:val="24"/>
        </w:rPr>
        <w:t>1)</w:t>
      </w:r>
      <w:r>
        <w:rPr>
          <w:rFonts w:eastAsia="Times New Roman" w:cs="Times New Roman"/>
          <w:szCs w:val="24"/>
        </w:rPr>
        <w:tab/>
      </w:r>
      <w:r w:rsidRPr="00C52F09">
        <w:rPr>
          <w:rFonts w:eastAsia="Times New Roman" w:cs="Times New Roman"/>
          <w:szCs w:val="24"/>
        </w:rPr>
        <w:t xml:space="preserve">budowania zdolności do kolokacji i koncentracji zasobów IT w nowoczesnych ośrodkach obliczeniowych oraz stopniowe wygaszanie ośrodków nieefektywnych i kosztochłonnych, </w:t>
      </w:r>
    </w:p>
    <w:p w14:paraId="465D9D9C" w14:textId="24A7418E" w:rsidR="00C52F09" w:rsidRPr="00C52F09" w:rsidRDefault="00C52F09" w:rsidP="00C52F09">
      <w:pPr>
        <w:kinsoku w:val="0"/>
        <w:overflowPunct w:val="0"/>
        <w:ind w:left="425" w:hanging="425"/>
        <w:jc w:val="both"/>
        <w:textAlignment w:val="baseline"/>
        <w:rPr>
          <w:rFonts w:eastAsia="Times New Roman" w:cs="Times New Roman"/>
          <w:szCs w:val="24"/>
        </w:rPr>
      </w:pPr>
      <w:r w:rsidRPr="00C52F09">
        <w:rPr>
          <w:rFonts w:eastAsia="Times New Roman" w:cs="Times New Roman"/>
          <w:szCs w:val="24"/>
        </w:rPr>
        <w:t>2)</w:t>
      </w:r>
      <w:r>
        <w:rPr>
          <w:rFonts w:eastAsia="Times New Roman" w:cs="Times New Roman"/>
          <w:szCs w:val="24"/>
        </w:rPr>
        <w:tab/>
      </w:r>
      <w:r w:rsidRPr="00C52F09">
        <w:rPr>
          <w:rFonts w:eastAsia="Times New Roman" w:cs="Times New Roman"/>
          <w:szCs w:val="24"/>
        </w:rPr>
        <w:t xml:space="preserve">usług adresowanych do MŚP oraz specyficznych potrzeb w zakresie organizacji pracy zdalnej, </w:t>
      </w:r>
    </w:p>
    <w:p w14:paraId="10744709" w14:textId="7F1DD8C5" w:rsidR="00C52F09" w:rsidRPr="00C52F09" w:rsidRDefault="00C52F09" w:rsidP="00C52F09">
      <w:pPr>
        <w:kinsoku w:val="0"/>
        <w:overflowPunct w:val="0"/>
        <w:ind w:left="425" w:hanging="425"/>
        <w:jc w:val="both"/>
        <w:textAlignment w:val="baseline"/>
        <w:rPr>
          <w:rFonts w:eastAsia="Times New Roman" w:cs="Times New Roman"/>
          <w:szCs w:val="24"/>
        </w:rPr>
      </w:pPr>
      <w:r>
        <w:rPr>
          <w:rFonts w:eastAsia="Times New Roman" w:cs="Times New Roman"/>
          <w:szCs w:val="24"/>
        </w:rPr>
        <w:t>3)</w:t>
      </w:r>
      <w:r>
        <w:rPr>
          <w:rFonts w:eastAsia="Times New Roman" w:cs="Times New Roman"/>
          <w:szCs w:val="24"/>
        </w:rPr>
        <w:tab/>
      </w:r>
      <w:r w:rsidRPr="00C52F09">
        <w:rPr>
          <w:rFonts w:eastAsia="Times New Roman" w:cs="Times New Roman"/>
          <w:szCs w:val="24"/>
        </w:rPr>
        <w:t xml:space="preserve">usług sektora e-zdrowia, </w:t>
      </w:r>
    </w:p>
    <w:p w14:paraId="57D5E42F" w14:textId="77777777" w:rsidR="00C52F09" w:rsidRPr="00C52F09" w:rsidRDefault="00C52F09" w:rsidP="00C52F09">
      <w:pPr>
        <w:kinsoku w:val="0"/>
        <w:overflowPunct w:val="0"/>
        <w:ind w:left="425" w:hanging="425"/>
        <w:jc w:val="both"/>
        <w:textAlignment w:val="baseline"/>
        <w:rPr>
          <w:rFonts w:eastAsia="Times New Roman" w:cs="Times New Roman"/>
          <w:szCs w:val="24"/>
        </w:rPr>
      </w:pPr>
      <w:r>
        <w:rPr>
          <w:rFonts w:eastAsia="Times New Roman" w:cs="Times New Roman"/>
          <w:szCs w:val="24"/>
        </w:rPr>
        <w:t>4)</w:t>
      </w:r>
      <w:r>
        <w:rPr>
          <w:rFonts w:eastAsia="Times New Roman" w:cs="Times New Roman"/>
          <w:szCs w:val="24"/>
        </w:rPr>
        <w:tab/>
      </w:r>
      <w:r w:rsidRPr="00C52F09">
        <w:rPr>
          <w:rFonts w:eastAsia="Times New Roman" w:cs="Times New Roman"/>
          <w:szCs w:val="24"/>
        </w:rPr>
        <w:t xml:space="preserve">usług związanych z bezpieczeństwem publicznym oraz </w:t>
      </w:r>
    </w:p>
    <w:p w14:paraId="439FB697" w14:textId="77777777" w:rsidR="00C52F09" w:rsidRPr="00C52F09" w:rsidRDefault="00C52F09" w:rsidP="00C52F09">
      <w:pPr>
        <w:kinsoku w:val="0"/>
        <w:overflowPunct w:val="0"/>
        <w:ind w:left="425" w:hanging="425"/>
        <w:jc w:val="both"/>
        <w:textAlignment w:val="baseline"/>
        <w:rPr>
          <w:rFonts w:eastAsia="Times New Roman" w:cs="Times New Roman"/>
          <w:szCs w:val="24"/>
        </w:rPr>
      </w:pPr>
      <w:r>
        <w:rPr>
          <w:rFonts w:eastAsia="Times New Roman" w:cs="Times New Roman"/>
          <w:szCs w:val="24"/>
        </w:rPr>
        <w:t>5)</w:t>
      </w:r>
      <w:r>
        <w:rPr>
          <w:rFonts w:eastAsia="Times New Roman" w:cs="Times New Roman"/>
          <w:szCs w:val="24"/>
        </w:rPr>
        <w:tab/>
      </w:r>
      <w:r w:rsidRPr="00C52F09">
        <w:rPr>
          <w:rFonts w:eastAsia="Times New Roman" w:cs="Times New Roman"/>
          <w:szCs w:val="24"/>
        </w:rPr>
        <w:t xml:space="preserve">publikacji wspólnych katalogów usług cyfrowych adresowanych do szerokiego grona odbiorców, zarówno w administracji publicznej, dostawców kluczowych usług publicznych oraz przedsiębiorstw. Cel ten będzie możliwy do osiągnięcia </w:t>
      </w:r>
      <w:r w:rsidRPr="00C52F09">
        <w:rPr>
          <w:rFonts w:eastAsia="Times New Roman" w:cs="Times New Roman"/>
          <w:szCs w:val="24"/>
        </w:rPr>
        <w:lastRenderedPageBreak/>
        <w:t xml:space="preserve">poprzez budowę ośrodków obliczeniowych, z wykorzystaniem których odpowiednie agendy administracji rządowej i publicznej będą mogły zaoferować i rozwijać szereg usług, w tym usługi oparte na modelu chmury obliczeniowej. </w:t>
      </w:r>
    </w:p>
    <w:p w14:paraId="612C9EB0" w14:textId="5226C859"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Rozbudowa państwowej infrastruktury przetwarzania i</w:t>
      </w:r>
      <w:r w:rsidR="0003018A">
        <w:rPr>
          <w:rFonts w:eastAsia="Times New Roman" w:cs="Times New Roman"/>
          <w:szCs w:val="24"/>
        </w:rPr>
        <w:t xml:space="preserve"> </w:t>
      </w:r>
      <w:r w:rsidRPr="00C52F09">
        <w:rPr>
          <w:rFonts w:eastAsia="Times New Roman" w:cs="Times New Roman"/>
          <w:szCs w:val="24"/>
        </w:rPr>
        <w:t>dostarczania usług cyfrowych poprzez m.in. modernizację i wzmocnienie infrastruktury przetwarzania danych, czyli sieci ośrodków obliczeniowych zabezpieczających ciągłość przepływu danych na potrzeby systemów IT, m.in. dla służby zdrowia, finansów, rejestrów państwowych i sądowych czy chmury rządowej, jest projektem o wysokiej wrażliwości ze względu na bezpieczeństwo państwa oraz bezpieczeństwo obywateli. Powyższe elementy mają posłużyć zapewnieniu ciągłości świadczenia usług nawet w wypadku przerw w dostawach energii elektrycznej lub prób zakłócenia działania infrastruktury telekomunikacyjnej.</w:t>
      </w:r>
    </w:p>
    <w:p w14:paraId="07D0ABFE" w14:textId="1334314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Jest to szczególnie istotne, ponieważ w ostatnich latach, wobec zwiększającego się stale poziomu wykorzystania nowych technologii w obszarze realizacji zadań publicznych, jest odczuwalny</w:t>
      </w:r>
      <w:r w:rsidR="0003018A">
        <w:rPr>
          <w:rFonts w:eastAsia="Times New Roman" w:cs="Times New Roman"/>
          <w:szCs w:val="24"/>
        </w:rPr>
        <w:t xml:space="preserve"> </w:t>
      </w:r>
      <w:r w:rsidRPr="00C52F09">
        <w:rPr>
          <w:rFonts w:eastAsia="Times New Roman" w:cs="Times New Roman"/>
          <w:szCs w:val="24"/>
        </w:rPr>
        <w:t>brak (w zasobach administracji rządowej) wystarczającej powierzchni centrów przetwarzania danych, przeznaczonych w szczególności na p</w:t>
      </w:r>
      <w:r w:rsidR="00F733EB">
        <w:rPr>
          <w:rFonts w:eastAsia="Times New Roman" w:cs="Times New Roman"/>
          <w:szCs w:val="24"/>
        </w:rPr>
        <w:t>otrzeby rejestrów państwowych i </w:t>
      </w:r>
      <w:r w:rsidRPr="00C52F09">
        <w:rPr>
          <w:rFonts w:eastAsia="Times New Roman" w:cs="Times New Roman"/>
          <w:szCs w:val="24"/>
        </w:rPr>
        <w:t xml:space="preserve">rządowej chmury obliczeniowej. Z usług kolokacji, w bezpieczny i nieprzerwany sposób, mogłyby korzystać podmioty publiczne. Dotyczy to m.in. Kancelarii Prezesa Rady Ministrów, Prokuratury Krajowej, Centrum Informatyki Resortu Finansów, Centrum e-Zdrowia oraz jednostek podległych i nadzorowanych przez Ministra Sprawiedliwości (np. Służby Więziennej) i Ministra Cyfryzacji. Nie bez znaczenia jest także obecna sytuacja, w której coraz częściej dochodzi do ataków cybernetycznych na zasoby </w:t>
      </w:r>
      <w:r w:rsidR="00F733EB">
        <w:rPr>
          <w:rFonts w:eastAsia="Times New Roman" w:cs="Times New Roman"/>
          <w:szCs w:val="24"/>
        </w:rPr>
        <w:t>administracji rządowej, które w </w:t>
      </w:r>
      <w:r w:rsidRPr="00C52F09">
        <w:rPr>
          <w:rFonts w:eastAsia="Times New Roman" w:cs="Times New Roman"/>
          <w:szCs w:val="24"/>
        </w:rPr>
        <w:t>naturalny sposób powinny podlegać szczególnej ochronie w zakresie bezpieczeństwa. Polska administracja jako administracja państwa NATO i członka UE aktywnie działającego na arenie międzynarodowej na rzecz wsparcia Ukrainy wobec agresji Federacji Rosyjskiej jest też coraz częściej obiektem ataków hakerów wspierających agresję Federacji Rosyjskiej na Ukrainę.</w:t>
      </w:r>
    </w:p>
    <w:p w14:paraId="6B62F1E2" w14:textId="0091C21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Niezbędne jest sprawne przeprowadzenie inwestycji polegających na budowie szeregu nowych ustandaryzowanych i efektywnych energetycznie ośrodków przetwa</w:t>
      </w:r>
      <w:r w:rsidRPr="00C52F09">
        <w:rPr>
          <w:rFonts w:eastAsia="Times New Roman" w:cs="Times New Roman"/>
          <w:szCs w:val="24"/>
        </w:rPr>
        <w:lastRenderedPageBreak/>
        <w:t>rzania danych oraz wsparcia rozwiązań zorientowanych na usługi cyfrowe, zapewniających możliwość niezakłóconego korzystania z tych obiektów – inwestycji w</w:t>
      </w:r>
      <w:r w:rsidR="0003018A">
        <w:rPr>
          <w:rFonts w:eastAsia="Times New Roman" w:cs="Times New Roman"/>
          <w:szCs w:val="24"/>
        </w:rPr>
        <w:t xml:space="preserve"> </w:t>
      </w:r>
      <w:r w:rsidRPr="00C52F09">
        <w:rPr>
          <w:rFonts w:eastAsia="Times New Roman" w:cs="Times New Roman"/>
          <w:szCs w:val="24"/>
        </w:rPr>
        <w:t>zakresie Krajowego Centrum Przetwarzania Danych, a także na ich przebudowy, rozbudowy, remont</w:t>
      </w:r>
      <w:r w:rsidR="00650D3C">
        <w:rPr>
          <w:rFonts w:eastAsia="Times New Roman" w:cs="Times New Roman"/>
          <w:szCs w:val="24"/>
        </w:rPr>
        <w:t>y</w:t>
      </w:r>
      <w:r w:rsidRPr="00C52F09">
        <w:rPr>
          <w:rFonts w:eastAsia="Times New Roman" w:cs="Times New Roman"/>
          <w:szCs w:val="24"/>
        </w:rPr>
        <w:t>, utrzymani</w:t>
      </w:r>
      <w:r w:rsidR="00650D3C">
        <w:rPr>
          <w:rFonts w:eastAsia="Times New Roman" w:cs="Times New Roman"/>
          <w:szCs w:val="24"/>
        </w:rPr>
        <w:t>e</w:t>
      </w:r>
      <w:r w:rsidRPr="00C52F09">
        <w:rPr>
          <w:rFonts w:eastAsia="Times New Roman" w:cs="Times New Roman"/>
          <w:szCs w:val="24"/>
        </w:rPr>
        <w:t>, użytkowani</w:t>
      </w:r>
      <w:r w:rsidR="00650D3C">
        <w:rPr>
          <w:rFonts w:eastAsia="Times New Roman" w:cs="Times New Roman"/>
          <w:szCs w:val="24"/>
        </w:rPr>
        <w:t>e</w:t>
      </w:r>
      <w:r w:rsidRPr="00C52F09">
        <w:rPr>
          <w:rFonts w:eastAsia="Times New Roman" w:cs="Times New Roman"/>
          <w:szCs w:val="24"/>
        </w:rPr>
        <w:t>, zmiany sposobu użytkowania, eksploatacji lub rozbiórki. Realizacja inwestycji w zakresie Krajowego Centrum Przetwarzania Danych na podstawie obowiązujących ogólnych przepisów regulujących proces inwestycyjny oznaczałaby konieczność przeprowadzenia długotrwałego procesu przygotowania inwestycji, co miałoby negatywny wpływ na bezpieczeństwo cybernetyczne zasobów administracji rządowej.</w:t>
      </w:r>
    </w:p>
    <w:p w14:paraId="4DE6574C" w14:textId="336739E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Zauważyć należy, że obowiązujące ogólne przepisy prawa dotyczące realizacji inwestycji nie są dostosowane do realizacji złożonych inwestycji o charakterze połączonych ze sobą ośrodków obliczeniowych (centrów przetwarzania danych), jakimi są inwestycje w zakresie Krajowego Centrum Przetwarzania Danych, a ich rozproszony charakter utrudnia ich sprawne przygotowanie i powoduje wydłużenie okresu na ich zrealizowanie. Inwestor odpowiedzialny za przygotowanie inwestycji w zakresie Krajowego Centrum Przetwarzania Danych musi bowiem liczyć się z koniecznością wszczynania szeregu nieskoordynowanych ze sobą postępowań administracyjnych, których ostateczne i prawomocne zakończenie może trwać nawet kilka lat. W związku z powyższym konieczne jest wprowadzenie rozwiązań kompleksowo regulujących kwestię przygotowania i przeprowadzenia procesu inwestycyjnego w odniesieniu do inwestycji w zakresie Krajowego Centrum Przetwarzania </w:t>
      </w:r>
      <w:r w:rsidR="006C4A91">
        <w:rPr>
          <w:rFonts w:eastAsia="Times New Roman" w:cs="Times New Roman"/>
          <w:szCs w:val="24"/>
        </w:rPr>
        <w:t>D</w:t>
      </w:r>
      <w:r w:rsidRPr="00C52F09">
        <w:rPr>
          <w:rFonts w:eastAsia="Times New Roman" w:cs="Times New Roman"/>
          <w:szCs w:val="24"/>
        </w:rPr>
        <w:t>anych, które uproszczą i usprawnią ten proces, przyczyniając się do szybki</w:t>
      </w:r>
      <w:r w:rsidR="00F733EB">
        <w:rPr>
          <w:rFonts w:eastAsia="Times New Roman" w:cs="Times New Roman"/>
          <w:szCs w:val="24"/>
        </w:rPr>
        <w:t>ego zrealizowania inwestycji. Z </w:t>
      </w:r>
      <w:r w:rsidRPr="00C52F09">
        <w:rPr>
          <w:rFonts w:eastAsia="Times New Roman" w:cs="Times New Roman"/>
          <w:szCs w:val="24"/>
        </w:rPr>
        <w:t>tego względu projekt ustawy przewiduje katalog stosowanych już w innych przepisach rozwiązań upraszczających proces przygotowania i realizacji inwestycji w zakresie Krajowego Centrum Przetwarzania Danych, które polegają w szczególności na:</w:t>
      </w:r>
    </w:p>
    <w:p w14:paraId="18AFE38A" w14:textId="1A260826"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wprowadzeniu do systemu prawnego decyzji o ustaleniu lokalizacji inwestycji w</w:t>
      </w:r>
      <w:r w:rsidR="0003018A">
        <w:rPr>
          <w:rFonts w:eastAsia="Calibri" w:cs="Times New Roman"/>
          <w:szCs w:val="24"/>
          <w:lang w:eastAsia="en-US"/>
        </w:rPr>
        <w:t xml:space="preserve"> </w:t>
      </w:r>
      <w:r w:rsidRPr="00C52F09">
        <w:rPr>
          <w:rFonts w:eastAsia="Calibri" w:cs="Times New Roman"/>
          <w:szCs w:val="24"/>
          <w:lang w:eastAsia="en-US"/>
        </w:rPr>
        <w:t>zakresie Krajowego Centrum Przetwarzania Danych, wydawanej przez właściwego wojewodę, która to decyzja będzie instrumentem regulującym kwestię lokalizacji inwestycji i jej poszczególnych elementów, co doprowadzi do mini</w:t>
      </w:r>
      <w:r w:rsidRPr="00C52F09">
        <w:rPr>
          <w:rFonts w:eastAsia="Calibri" w:cs="Times New Roman"/>
          <w:szCs w:val="24"/>
          <w:lang w:eastAsia="en-US"/>
        </w:rPr>
        <w:lastRenderedPageBreak/>
        <w:t xml:space="preserve">malizacji liczby postępowań oraz czasu potrzebnego na wydanie aktów administracyjnych niezbędnych do realizacji inwestycji. Na podstawie decyzji o ustaleniu lokalizacji inwestycji w zakresie Krajowego Centrum Przetwarzania Danych inwestor uzyska tytuł prawny do nieruchomości niezbędnych w celu realizacji tych inwestycji (zarówno uprawniający </w:t>
      </w:r>
      <w:r w:rsidR="006C4A91">
        <w:rPr>
          <w:rFonts w:eastAsia="Calibri" w:cs="Times New Roman"/>
          <w:szCs w:val="24"/>
          <w:lang w:eastAsia="en-US"/>
        </w:rPr>
        <w:t>d</w:t>
      </w:r>
      <w:r w:rsidRPr="00C52F09">
        <w:rPr>
          <w:rFonts w:eastAsia="Calibri" w:cs="Times New Roman"/>
          <w:szCs w:val="24"/>
          <w:lang w:eastAsia="en-US"/>
        </w:rPr>
        <w:t>o wejścia na nieruchomość</w:t>
      </w:r>
      <w:r w:rsidR="006C4A91">
        <w:rPr>
          <w:rFonts w:eastAsia="Calibri" w:cs="Times New Roman"/>
          <w:szCs w:val="24"/>
          <w:lang w:eastAsia="en-US"/>
        </w:rPr>
        <w:t>,</w:t>
      </w:r>
      <w:r w:rsidRPr="00C52F09">
        <w:rPr>
          <w:rFonts w:eastAsia="Calibri" w:cs="Times New Roman"/>
          <w:szCs w:val="24"/>
          <w:lang w:eastAsia="en-US"/>
        </w:rPr>
        <w:t xml:space="preserve"> jak i na realizację inwestycji</w:t>
      </w:r>
      <w:r w:rsidR="00282C85">
        <w:rPr>
          <w:rFonts w:eastAsia="Calibri" w:cs="Times New Roman"/>
          <w:szCs w:val="24"/>
          <w:lang w:eastAsia="en-US"/>
        </w:rPr>
        <w:t>,</w:t>
      </w:r>
      <w:r w:rsidRPr="00C52F09">
        <w:rPr>
          <w:rFonts w:eastAsia="Calibri" w:cs="Times New Roman"/>
          <w:szCs w:val="24"/>
          <w:lang w:eastAsia="en-US"/>
        </w:rPr>
        <w:t xml:space="preserve"> a następnie jej właściwą eksploatację), co sprawia, że wprowadzenie rozwiązania pozwoli na skrócenie czasu niezbędnego do zrealizowania takich inwestycji nawet o kilka lat, jak również zapewnienia ich prawidłowej eksploatacji;</w:t>
      </w:r>
    </w:p>
    <w:p w14:paraId="2EB8F24F" w14:textId="77777777"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szczególnych zasadach udzielania zamówień na potrzeby inwestycji w zakresie Krajowego Centrum Przetwarzania Danych – co pozwoli na wzmocnienie bezpieczeństwa realizacji inwestycji ze względu na jej newralgiczny charakter;</w:t>
      </w:r>
    </w:p>
    <w:p w14:paraId="08349DFD" w14:textId="77777777"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uproszczeniu procedury uzyskiwania decyzji poprzedzających decyzję o ustaleniu lokalizacji inwestycji w zakresie Krajowego Centrum Przetwarzania Danych (np.</w:t>
      </w:r>
      <w:r w:rsidR="0003018A">
        <w:rPr>
          <w:rFonts w:eastAsia="Calibri" w:cs="Times New Roman"/>
          <w:szCs w:val="24"/>
          <w:lang w:eastAsia="en-US"/>
        </w:rPr>
        <w:t xml:space="preserve"> </w:t>
      </w:r>
      <w:r w:rsidRPr="00C52F09">
        <w:rPr>
          <w:rFonts w:eastAsia="Calibri" w:cs="Times New Roman"/>
          <w:szCs w:val="24"/>
          <w:lang w:eastAsia="en-US"/>
        </w:rPr>
        <w:t>decyzja o środowiskowych uwarunkowaniach realizacji inwestycji w zakresie Krajowego Centrum Przetwarzania Danych) – co pozwoli na skrócenie procesu inwestycyjnego;</w:t>
      </w:r>
    </w:p>
    <w:p w14:paraId="659DABDB" w14:textId="2E95783B"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usprawnieniu postępowań administracyjnych poprzez określenie czasu na wydanie przez organy administracyjne poszczególnych rozstrzygnięć, a także modyfikacji rozstrzygnięć wydawanych w postępowaniu prowadzonym przez organ wyższej instancji albo sąd administracyjny (doprowadzi to do zakończenia</w:t>
      </w:r>
      <w:r w:rsidR="00F733EB">
        <w:rPr>
          <w:rFonts w:eastAsia="Calibri" w:cs="Times New Roman"/>
          <w:szCs w:val="24"/>
          <w:lang w:eastAsia="en-US"/>
        </w:rPr>
        <w:t xml:space="preserve"> procesu inwestycyjnego nawet o </w:t>
      </w:r>
      <w:r w:rsidRPr="00C52F09">
        <w:rPr>
          <w:rFonts w:eastAsia="Calibri" w:cs="Times New Roman"/>
          <w:szCs w:val="24"/>
          <w:lang w:eastAsia="en-US"/>
        </w:rPr>
        <w:t>kilkanaście miesięcy wcześniej, niż w przypadku przygotowywania i</w:t>
      </w:r>
      <w:r w:rsidR="0003018A">
        <w:rPr>
          <w:rFonts w:eastAsia="Calibri" w:cs="Times New Roman"/>
          <w:szCs w:val="24"/>
          <w:lang w:eastAsia="en-US"/>
        </w:rPr>
        <w:t xml:space="preserve"> </w:t>
      </w:r>
      <w:r w:rsidRPr="00C52F09">
        <w:rPr>
          <w:rFonts w:eastAsia="Calibri" w:cs="Times New Roman"/>
          <w:szCs w:val="24"/>
          <w:lang w:eastAsia="en-US"/>
        </w:rPr>
        <w:t>realizacji inwestycji w oparciu o przepisy ogólne);</w:t>
      </w:r>
    </w:p>
    <w:p w14:paraId="6CD6CC32" w14:textId="77777777"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wprowadzeniu przepisów pozwalających inwestorowi na skuteczne uzyskanie prawa do nieruchomości niezbędnych do realizacji inwestycji (wprowadzenie regulacji umożliwiającej ograniczanie prawa do korzystania z</w:t>
      </w:r>
      <w:r w:rsidR="0003018A">
        <w:rPr>
          <w:rFonts w:eastAsia="Calibri" w:cs="Times New Roman"/>
          <w:szCs w:val="24"/>
          <w:lang w:eastAsia="en-US"/>
        </w:rPr>
        <w:t xml:space="preserve"> </w:t>
      </w:r>
      <w:r w:rsidRPr="00C52F09">
        <w:rPr>
          <w:rFonts w:eastAsia="Calibri" w:cs="Times New Roman"/>
          <w:szCs w:val="24"/>
          <w:lang w:eastAsia="en-US"/>
        </w:rPr>
        <w:t>nieruchomości na rzecz inwestora), przy jednoczesnym zapewnieniu adekwatnego odszkodowania z tytułu ograniczenia praw do nieruchomości oraz poszanowaniu praw podmiotów, którym przysługiwały prawa rzeczowe oraz prawa wynikające ze stosunków obligacyjnych do tych nieruchomości;</w:t>
      </w:r>
    </w:p>
    <w:p w14:paraId="076479A0" w14:textId="77777777"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lastRenderedPageBreak/>
        <w:t>wprowadzeniu przepisu ograniczającego możliwość lokalizowania w otoczeniu inwestycji w zakresie Krajowego Centrum Przetwarzania Danych obejmujących ośrodek obliczeniowy, enumeratywnie wymienionych obiektów, które mogłyby zagrażać bezpieczeństwu tych inwestycji;</w:t>
      </w:r>
    </w:p>
    <w:p w14:paraId="349AB27D" w14:textId="18EFCF7E"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przyznaniu inwestorowi możliwości wejścia na teren nieruchomości, w celu wykonania pomiarów, badań lub innych prac niezbędnych do sporządzenia karty informacyjnej przedsięwzięcia lub raportu o oddziaływaniu przedsięwzięcia na środowisko dla inwestycji w zakresie Krajowego Centrum Przetwarzania Danych, o których mowa w ustawie z dnia 3 października 2008 r. o udostępnianiu informacji o środowisku i jego ochronie, udziale społeczeństwa w ochronie środowiska oraz o ocenach oddziaływania na środowisko</w:t>
      </w:r>
      <w:r w:rsidR="00DE6991">
        <w:rPr>
          <w:rFonts w:eastAsia="Calibri" w:cs="Times New Roman"/>
          <w:szCs w:val="24"/>
          <w:lang w:eastAsia="en-US"/>
        </w:rPr>
        <w:t xml:space="preserve"> (D</w:t>
      </w:r>
      <w:r w:rsidR="008F6F97">
        <w:rPr>
          <w:rFonts w:eastAsia="Calibri" w:cs="Times New Roman"/>
          <w:szCs w:val="24"/>
          <w:lang w:eastAsia="en-US"/>
        </w:rPr>
        <w:t>z. U. z 2022 r. poz. 1</w:t>
      </w:r>
      <w:r w:rsidR="00DE6991">
        <w:rPr>
          <w:rFonts w:eastAsia="Calibri" w:cs="Times New Roman"/>
          <w:szCs w:val="24"/>
          <w:lang w:eastAsia="en-US"/>
        </w:rPr>
        <w:t>029, z późn. zm.)</w:t>
      </w:r>
      <w:r w:rsidRPr="00C52F09">
        <w:rPr>
          <w:rFonts w:eastAsia="Calibri" w:cs="Times New Roman"/>
          <w:szCs w:val="24"/>
          <w:lang w:eastAsia="en-US"/>
        </w:rPr>
        <w:t>, lub do przeprowadzenia prac niezbędnych do sporządzenia wniosku o wydanie decyzji wymaganych w celu realizacji inwestycji;</w:t>
      </w:r>
    </w:p>
    <w:p w14:paraId="2DBE2434" w14:textId="5E0DB2B4"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 xml:space="preserve">wyłączeniu zastosowania przepisów o planowaniu i zagospodarowaniu przestrzennym, przepisów ustawy z dnia 9 października 2015 r. o rewitalizacji </w:t>
      </w:r>
      <w:r w:rsidR="00DE6991" w:rsidRPr="005A1DF6">
        <w:t>(Dz. U. z 2021 r. poz. 485 oraz z 2023 r. poz. 28)</w:t>
      </w:r>
      <w:r w:rsidR="00DE6991">
        <w:t xml:space="preserve"> </w:t>
      </w:r>
      <w:r w:rsidRPr="00C52F09">
        <w:rPr>
          <w:rFonts w:eastAsia="Calibri" w:cs="Times New Roman"/>
          <w:szCs w:val="24"/>
          <w:lang w:eastAsia="en-US"/>
        </w:rPr>
        <w:t xml:space="preserve">oraz przepisów ustawy z dnia 3 lutego 1995 r. o ochronie gruntów rolnych i leśnych </w:t>
      </w:r>
      <w:r w:rsidR="00DE6991" w:rsidRPr="00F47CC3">
        <w:t>(Dz. U. z 2022 r. poz. 2409)</w:t>
      </w:r>
      <w:r w:rsidR="00DE6991">
        <w:t xml:space="preserve"> </w:t>
      </w:r>
      <w:r w:rsidRPr="00C52F09">
        <w:rPr>
          <w:rFonts w:eastAsia="Calibri" w:cs="Times New Roman"/>
          <w:szCs w:val="24"/>
          <w:lang w:eastAsia="en-US"/>
        </w:rPr>
        <w:t>w</w:t>
      </w:r>
      <w:r w:rsidR="0003018A">
        <w:rPr>
          <w:rFonts w:eastAsia="Calibri" w:cs="Times New Roman"/>
          <w:szCs w:val="24"/>
          <w:lang w:eastAsia="en-US"/>
        </w:rPr>
        <w:t xml:space="preserve"> </w:t>
      </w:r>
      <w:r w:rsidRPr="00C52F09">
        <w:rPr>
          <w:rFonts w:eastAsia="Calibri" w:cs="Times New Roman"/>
          <w:szCs w:val="24"/>
          <w:lang w:eastAsia="en-US"/>
        </w:rPr>
        <w:t>przypadku przygotowywania inwestycji w zakresie Krajowego Centrum Przetwarzania Danych (takie działanie pozwoli na skrócenie procesu inwestycyjnego od kilku do nawet kilkunastu miesięcy);</w:t>
      </w:r>
    </w:p>
    <w:p w14:paraId="727F9A9B" w14:textId="77777777"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wprowadzeniu decyzji o pozwoleniu na budowę inwestycji w zakresie Krajowego Centrum Przetwarzania Danych oraz decyzji o pozwoleniu na użytkowanie inwestycji w zakresie Krajowego Centrum Przetwarzania Danych, z określeniem terminów ich wydania przez właściwe organy – co przyczyni się do skrócenia procesu inwestycyjnego;</w:t>
      </w:r>
    </w:p>
    <w:p w14:paraId="245B2399" w14:textId="4D475D64"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t>uproszczeniu trybu wydania warunków przyłączenia inwestycji w zakresie Krajowego Centrum Przetwarzania Danych oraz brak</w:t>
      </w:r>
      <w:r w:rsidR="00554F62">
        <w:rPr>
          <w:rFonts w:eastAsia="Calibri" w:cs="Times New Roman"/>
          <w:szCs w:val="24"/>
          <w:lang w:eastAsia="en-US"/>
        </w:rPr>
        <w:t>u</w:t>
      </w:r>
      <w:r w:rsidRPr="00C52F09">
        <w:rPr>
          <w:rFonts w:eastAsia="Calibri" w:cs="Times New Roman"/>
          <w:szCs w:val="24"/>
          <w:lang w:eastAsia="en-US"/>
        </w:rPr>
        <w:t xml:space="preserve"> możliwości odmowy wydania takich warunków w przypadku braku istnienia ekonomicznych lub technicznych warunków przyłączenia do sieci i dostarczania tych paliw lub energii;</w:t>
      </w:r>
    </w:p>
    <w:p w14:paraId="57715EA6" w14:textId="1899FD18" w:rsidR="00C52F09" w:rsidRPr="00C52F09" w:rsidRDefault="00C52F09" w:rsidP="00C52F09">
      <w:pPr>
        <w:widowControl/>
        <w:numPr>
          <w:ilvl w:val="0"/>
          <w:numId w:val="2"/>
        </w:numPr>
        <w:autoSpaceDE/>
        <w:autoSpaceDN/>
        <w:adjustRightInd/>
        <w:ind w:left="425" w:hanging="425"/>
        <w:contextualSpacing/>
        <w:jc w:val="both"/>
        <w:rPr>
          <w:rFonts w:eastAsia="Calibri" w:cs="Times New Roman"/>
          <w:szCs w:val="24"/>
          <w:lang w:eastAsia="en-US"/>
        </w:rPr>
      </w:pPr>
      <w:r w:rsidRPr="00C52F09">
        <w:rPr>
          <w:rFonts w:eastAsia="Calibri" w:cs="Times New Roman"/>
          <w:szCs w:val="24"/>
          <w:lang w:eastAsia="en-US"/>
        </w:rPr>
        <w:lastRenderedPageBreak/>
        <w:t>wprowadzeniu praw</w:t>
      </w:r>
      <w:r w:rsidR="00771CDC">
        <w:rPr>
          <w:rFonts w:eastAsia="Calibri" w:cs="Times New Roman"/>
          <w:szCs w:val="24"/>
          <w:lang w:eastAsia="en-US"/>
        </w:rPr>
        <w:t>a</w:t>
      </w:r>
      <w:r w:rsidRPr="00C52F09">
        <w:rPr>
          <w:rFonts w:eastAsia="Calibri" w:cs="Times New Roman"/>
          <w:szCs w:val="24"/>
          <w:lang w:eastAsia="en-US"/>
        </w:rPr>
        <w:t xml:space="preserve"> pierwokupu w odniesieniu do n</w:t>
      </w:r>
      <w:r w:rsidR="00F733EB">
        <w:rPr>
          <w:rFonts w:eastAsia="Calibri" w:cs="Times New Roman"/>
          <w:szCs w:val="24"/>
          <w:lang w:eastAsia="en-US"/>
        </w:rPr>
        <w:t>ieruchomości objętych decyzją o </w:t>
      </w:r>
      <w:r w:rsidRPr="00C52F09">
        <w:rPr>
          <w:rFonts w:eastAsia="Calibri" w:cs="Times New Roman"/>
          <w:szCs w:val="24"/>
          <w:lang w:eastAsia="en-US"/>
        </w:rPr>
        <w:t xml:space="preserve">ustaleniu lokalizacji inwestycji w zakresie Krajowego Centrum Przetwarzania Danych oraz udziałów lub akcji w odniesieniu do spółek, które są właścicielem, użytkownikiem wieczystym takich nieruchomości. Prawo pierwokupu </w:t>
      </w:r>
      <w:r w:rsidR="00F733EB">
        <w:rPr>
          <w:rFonts w:eastAsia="Calibri" w:cs="Times New Roman"/>
          <w:szCs w:val="24"/>
          <w:lang w:eastAsia="en-US"/>
        </w:rPr>
        <w:t>nie będzie miało zastosowania w </w:t>
      </w:r>
      <w:r w:rsidRPr="00C52F09">
        <w:rPr>
          <w:rFonts w:eastAsia="Calibri" w:cs="Times New Roman"/>
          <w:szCs w:val="24"/>
          <w:lang w:eastAsia="en-US"/>
        </w:rPr>
        <w:t>razie zbywania nieruchomości, akcji lub udziałów ww. podmiotów na rzecz podmiotów lub osób wymienionych w projekcie ustawy</w:t>
      </w:r>
      <w:r w:rsidR="00A41895">
        <w:rPr>
          <w:rFonts w:eastAsia="Calibri" w:cs="Times New Roman"/>
          <w:szCs w:val="24"/>
          <w:lang w:eastAsia="en-US"/>
        </w:rPr>
        <w:t>,</w:t>
      </w:r>
      <w:r w:rsidRPr="00C52F09">
        <w:rPr>
          <w:rFonts w:eastAsia="Calibri" w:cs="Times New Roman"/>
          <w:szCs w:val="24"/>
          <w:lang w:eastAsia="en-US"/>
        </w:rPr>
        <w:t xml:space="preserve"> w tym osób najbliższych</w:t>
      </w:r>
      <w:r w:rsidR="00A41895">
        <w:rPr>
          <w:rFonts w:eastAsia="Calibri" w:cs="Times New Roman"/>
          <w:szCs w:val="24"/>
          <w:lang w:eastAsia="en-US"/>
        </w:rPr>
        <w:t>,</w:t>
      </w:r>
      <w:r w:rsidRPr="00C52F09">
        <w:rPr>
          <w:rFonts w:eastAsia="Calibri" w:cs="Times New Roman"/>
          <w:szCs w:val="24"/>
          <w:lang w:eastAsia="en-US"/>
        </w:rPr>
        <w:t xml:space="preserve"> zgodnie z definicją zawartą w projekcie ustawy, analogiczną </w:t>
      </w:r>
      <w:r w:rsidR="00A41895">
        <w:rPr>
          <w:rFonts w:eastAsia="Calibri" w:cs="Times New Roman"/>
          <w:szCs w:val="24"/>
          <w:lang w:eastAsia="en-US"/>
        </w:rPr>
        <w:t>do</w:t>
      </w:r>
      <w:r w:rsidRPr="00C52F09">
        <w:rPr>
          <w:rFonts w:eastAsia="Calibri" w:cs="Times New Roman"/>
          <w:szCs w:val="24"/>
          <w:lang w:eastAsia="en-US"/>
        </w:rPr>
        <w:t xml:space="preserve"> przepis</w:t>
      </w:r>
      <w:r w:rsidR="00A41895">
        <w:rPr>
          <w:rFonts w:eastAsia="Calibri" w:cs="Times New Roman"/>
          <w:szCs w:val="24"/>
          <w:lang w:eastAsia="en-US"/>
        </w:rPr>
        <w:t>ów</w:t>
      </w:r>
      <w:r w:rsidRPr="00C52F09">
        <w:rPr>
          <w:rFonts w:eastAsia="Calibri" w:cs="Times New Roman"/>
          <w:szCs w:val="24"/>
          <w:lang w:eastAsia="en-US"/>
        </w:rPr>
        <w:t xml:space="preserve"> o kształtowaniu ustroju rolnego.</w:t>
      </w:r>
    </w:p>
    <w:p w14:paraId="3348FDBE" w14:textId="4D103071"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Zaproponowane rozwiązania mają na celu usprawnienie realiza</w:t>
      </w:r>
      <w:r w:rsidR="00F733EB">
        <w:rPr>
          <w:rFonts w:eastAsia="Times New Roman" w:cs="Times New Roman"/>
          <w:szCs w:val="24"/>
        </w:rPr>
        <w:t>cji i eksploatacji inwestycji</w:t>
      </w:r>
      <w:r w:rsidR="00554F62">
        <w:rPr>
          <w:rFonts w:eastAsia="Times New Roman" w:cs="Times New Roman"/>
          <w:szCs w:val="24"/>
        </w:rPr>
        <w:t>,</w:t>
      </w:r>
      <w:r w:rsidR="00F733EB">
        <w:rPr>
          <w:rFonts w:eastAsia="Times New Roman" w:cs="Times New Roman"/>
          <w:szCs w:val="24"/>
        </w:rPr>
        <w:t xml:space="preserve"> w </w:t>
      </w:r>
      <w:r w:rsidRPr="00C52F09">
        <w:rPr>
          <w:rFonts w:eastAsia="Times New Roman" w:cs="Times New Roman"/>
          <w:szCs w:val="24"/>
        </w:rPr>
        <w:t>efekcie czego zwiększone zostanie bezpieczeństwo cybernetyczne Rzeczypospolitej Polskiej.</w:t>
      </w:r>
    </w:p>
    <w:p w14:paraId="123B2A08" w14:textId="1E1E1AAB"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Projekt ustawy został opracowany z wykorzystaniem doświ</w:t>
      </w:r>
      <w:r w:rsidR="00F733EB">
        <w:rPr>
          <w:rFonts w:eastAsia="Times New Roman" w:cs="Times New Roman"/>
          <w:szCs w:val="24"/>
        </w:rPr>
        <w:t>adczeń i rozwiązań przyjętych w </w:t>
      </w:r>
      <w:r w:rsidRPr="00C52F09">
        <w:rPr>
          <w:rFonts w:eastAsia="Times New Roman" w:cs="Times New Roman"/>
          <w:szCs w:val="24"/>
        </w:rPr>
        <w:t>innych specjalnych ustawach inwestycyjnych, takich jak usta</w:t>
      </w:r>
      <w:r w:rsidR="00F733EB">
        <w:rPr>
          <w:rFonts w:eastAsia="Times New Roman" w:cs="Times New Roman"/>
          <w:szCs w:val="24"/>
        </w:rPr>
        <w:t>wa z dnia 10 kwietnia 2003 r. o </w:t>
      </w:r>
      <w:r w:rsidRPr="00C52F09">
        <w:rPr>
          <w:rFonts w:eastAsia="Times New Roman" w:cs="Times New Roman"/>
          <w:szCs w:val="24"/>
        </w:rPr>
        <w:t>szczególnych zasadach przygotowania i realizacji inwestycji w</w:t>
      </w:r>
      <w:r w:rsidR="0003018A">
        <w:rPr>
          <w:rFonts w:eastAsia="Times New Roman" w:cs="Times New Roman"/>
          <w:szCs w:val="24"/>
        </w:rPr>
        <w:t xml:space="preserve"> </w:t>
      </w:r>
      <w:r w:rsidRPr="00C52F09">
        <w:rPr>
          <w:rFonts w:eastAsia="Times New Roman" w:cs="Times New Roman"/>
          <w:szCs w:val="24"/>
        </w:rPr>
        <w:t>zakresie dróg publicznych</w:t>
      </w:r>
      <w:r w:rsidR="00DE6991">
        <w:rPr>
          <w:rFonts w:eastAsia="Times New Roman" w:cs="Times New Roman"/>
          <w:szCs w:val="24"/>
        </w:rPr>
        <w:t xml:space="preserve"> </w:t>
      </w:r>
      <w:r w:rsidR="00DE6991" w:rsidRPr="005A1DF6">
        <w:t>(Dz. U. z 202</w:t>
      </w:r>
      <w:r w:rsidR="00DE6991">
        <w:t>3</w:t>
      </w:r>
      <w:r w:rsidR="00DE6991" w:rsidRPr="005A1DF6">
        <w:t xml:space="preserve"> r. poz.</w:t>
      </w:r>
      <w:r w:rsidR="00DE6991">
        <w:t xml:space="preserve"> 162</w:t>
      </w:r>
      <w:r w:rsidR="00DE6991" w:rsidRPr="005A1DF6">
        <w:t>)</w:t>
      </w:r>
      <w:r w:rsidRPr="00C52F09">
        <w:rPr>
          <w:rFonts w:eastAsia="Times New Roman" w:cs="Times New Roman"/>
          <w:szCs w:val="24"/>
        </w:rPr>
        <w:t>, ustawa z dnia 28 marca 2003 r. o transporcie kolejowym</w:t>
      </w:r>
      <w:r w:rsidR="008F572E">
        <w:rPr>
          <w:rFonts w:eastAsia="Times New Roman" w:cs="Times New Roman"/>
          <w:szCs w:val="24"/>
        </w:rPr>
        <w:t xml:space="preserve"> (</w:t>
      </w:r>
      <w:r w:rsidR="008F572E" w:rsidRPr="00F47CC3">
        <w:t>Dz. U. z</w:t>
      </w:r>
      <w:r w:rsidR="00F733EB">
        <w:t> </w:t>
      </w:r>
      <w:r w:rsidR="008F572E" w:rsidRPr="00F47CC3">
        <w:t>2021 r. poz. 1984 oraz z 2022 r. poz. 727 i 1846)</w:t>
      </w:r>
      <w:r w:rsidRPr="00C52F09">
        <w:rPr>
          <w:rFonts w:eastAsia="Times New Roman" w:cs="Times New Roman"/>
          <w:szCs w:val="24"/>
        </w:rPr>
        <w:t>, usta</w:t>
      </w:r>
      <w:r w:rsidR="00F733EB">
        <w:rPr>
          <w:rFonts w:eastAsia="Times New Roman" w:cs="Times New Roman"/>
          <w:szCs w:val="24"/>
        </w:rPr>
        <w:t>wa z dnia 24 kwietnia 2009 r. o </w:t>
      </w:r>
      <w:r w:rsidRPr="00C52F09">
        <w:rPr>
          <w:rFonts w:eastAsia="Times New Roman" w:cs="Times New Roman"/>
          <w:szCs w:val="24"/>
        </w:rPr>
        <w:t>inwestycjach w zakresie terminalu regazyfikacyjn</w:t>
      </w:r>
      <w:r w:rsidR="00F733EB">
        <w:rPr>
          <w:rFonts w:eastAsia="Times New Roman" w:cs="Times New Roman"/>
          <w:szCs w:val="24"/>
        </w:rPr>
        <w:t>ego skroplonego gazu ziemnego w </w:t>
      </w:r>
      <w:r w:rsidRPr="00C52F09">
        <w:rPr>
          <w:rFonts w:eastAsia="Times New Roman" w:cs="Times New Roman"/>
          <w:szCs w:val="24"/>
        </w:rPr>
        <w:t>Świnoujściu</w:t>
      </w:r>
      <w:r w:rsidR="008F572E">
        <w:rPr>
          <w:rFonts w:eastAsia="Times New Roman" w:cs="Times New Roman"/>
          <w:szCs w:val="24"/>
        </w:rPr>
        <w:t xml:space="preserve"> </w:t>
      </w:r>
      <w:r w:rsidR="008F572E" w:rsidRPr="005A1DF6">
        <w:t>(Dz. U. z 2021 r. poz. 1836 oraz z 2022 r. poz. 1261)</w:t>
      </w:r>
      <w:r w:rsidRPr="00C52F09">
        <w:rPr>
          <w:rFonts w:eastAsia="Times New Roman" w:cs="Times New Roman"/>
          <w:szCs w:val="24"/>
        </w:rPr>
        <w:t>, ustawa z dnia 24 lipca 2015 r. o przygotowaniu i realizacji strategicznych inwestycji w zakresie sieci przesyłowych</w:t>
      </w:r>
      <w:r w:rsidR="008F572E">
        <w:rPr>
          <w:rFonts w:eastAsia="Times New Roman" w:cs="Times New Roman"/>
          <w:szCs w:val="24"/>
        </w:rPr>
        <w:t xml:space="preserve"> </w:t>
      </w:r>
      <w:r w:rsidR="008F572E" w:rsidRPr="005A1DF6">
        <w:t>(Dz. U. z 2022 r. poz. 273 i 1846)</w:t>
      </w:r>
      <w:r w:rsidRPr="00C52F09">
        <w:rPr>
          <w:rFonts w:eastAsia="Times New Roman" w:cs="Times New Roman"/>
          <w:szCs w:val="24"/>
        </w:rPr>
        <w:t>, ustaw</w:t>
      </w:r>
      <w:r w:rsidR="00554F62">
        <w:rPr>
          <w:rFonts w:eastAsia="Times New Roman" w:cs="Times New Roman"/>
          <w:szCs w:val="24"/>
        </w:rPr>
        <w:t>a</w:t>
      </w:r>
      <w:r w:rsidRPr="00C52F09">
        <w:rPr>
          <w:rFonts w:eastAsia="Times New Roman" w:cs="Times New Roman"/>
          <w:szCs w:val="24"/>
        </w:rPr>
        <w:t xml:space="preserve"> z dnia 11 sierpnia 2021 r. o przygotowaniu i realizacji inwestycji w zakresie odbudowy Pałacu Saskiego, Pałacu Brühla oraz kamienic przy ulicy Królewskiej w Warszawie</w:t>
      </w:r>
      <w:r w:rsidR="008F572E">
        <w:rPr>
          <w:rFonts w:eastAsia="Times New Roman" w:cs="Times New Roman"/>
          <w:szCs w:val="24"/>
        </w:rPr>
        <w:t xml:space="preserve"> </w:t>
      </w:r>
      <w:r w:rsidR="008F572E" w:rsidRPr="005A1DF6">
        <w:t>(Dz. U. poz. 1551)</w:t>
      </w:r>
      <w:r w:rsidRPr="00C52F09">
        <w:rPr>
          <w:rFonts w:eastAsia="Times New Roman" w:cs="Times New Roman"/>
          <w:szCs w:val="24"/>
        </w:rPr>
        <w:t xml:space="preserve"> czy us</w:t>
      </w:r>
      <w:r w:rsidR="00F733EB">
        <w:rPr>
          <w:rFonts w:eastAsia="Times New Roman" w:cs="Times New Roman"/>
          <w:szCs w:val="24"/>
        </w:rPr>
        <w:t>tawa z dnia 22 lutego 2019 r. o </w:t>
      </w:r>
      <w:r w:rsidRPr="00C52F09">
        <w:rPr>
          <w:rFonts w:eastAsia="Times New Roman" w:cs="Times New Roman"/>
          <w:szCs w:val="24"/>
        </w:rPr>
        <w:t>przygotowaniu i realizacji strategicznych inwestycji w sektorze naftowym</w:t>
      </w:r>
      <w:r w:rsidR="008F572E">
        <w:rPr>
          <w:rFonts w:eastAsia="Times New Roman" w:cs="Times New Roman"/>
          <w:szCs w:val="24"/>
        </w:rPr>
        <w:t xml:space="preserve"> </w:t>
      </w:r>
      <w:r w:rsidR="008F572E" w:rsidRPr="005A1DF6">
        <w:t>(Dz. U. z 2022 r. poz. 1275 i 1846)</w:t>
      </w:r>
      <w:r w:rsidRPr="00C52F09">
        <w:rPr>
          <w:rFonts w:eastAsia="Times New Roman" w:cs="Times New Roman"/>
          <w:szCs w:val="24"/>
        </w:rPr>
        <w:t>.</w:t>
      </w:r>
    </w:p>
    <w:p w14:paraId="02C83DBE" w14:textId="543ABFB2" w:rsidR="00C52F09" w:rsidRPr="00C52F09" w:rsidRDefault="00C52F09" w:rsidP="00C52F09">
      <w:pPr>
        <w:pStyle w:val="ARTartustawynprozporzdzenia"/>
        <w:ind w:firstLine="0"/>
        <w:rPr>
          <w:rFonts w:ascii="Times New Roman" w:hAnsi="Times New Roman" w:cs="Times New Roman"/>
          <w:szCs w:val="24"/>
        </w:rPr>
      </w:pPr>
      <w:r w:rsidRPr="00C52F09">
        <w:rPr>
          <w:rFonts w:ascii="Times New Roman" w:eastAsia="Times New Roman" w:hAnsi="Times New Roman" w:cs="Times New Roman"/>
          <w:szCs w:val="24"/>
        </w:rPr>
        <w:t xml:space="preserve">Jednocześnie zaznaczenia wymaga, że projekt ustawy szczegółowo definiuje inwestora, którym może być minister właściwy do spraw informatyzacji lub jednostki mu podległe albo nadzorowane (art. 2 pkt 2 projektu ustawy) oraz zawiera </w:t>
      </w:r>
      <w:r w:rsidR="00F733EB">
        <w:rPr>
          <w:rFonts w:ascii="Times New Roman" w:eastAsia="Times New Roman" w:hAnsi="Times New Roman" w:cs="Times New Roman"/>
          <w:szCs w:val="24"/>
        </w:rPr>
        <w:t>szczególny tryb przygotowania i </w:t>
      </w:r>
      <w:r w:rsidRPr="00C52F09">
        <w:rPr>
          <w:rFonts w:ascii="Times New Roman" w:eastAsia="Times New Roman" w:hAnsi="Times New Roman" w:cs="Times New Roman"/>
          <w:szCs w:val="24"/>
        </w:rPr>
        <w:t>realizacji, który dotyczy jedynie inwestycji zdefiniowanych w projekcie ustawy (art. 2 pkt 3 projektu ustawy). W projekcie ustawy zdefiniowano również pojęcie Krajowego Centrum Przetwarzania Danych</w:t>
      </w:r>
      <w:r w:rsidR="00554F62">
        <w:rPr>
          <w:rFonts w:ascii="Times New Roman" w:eastAsia="Times New Roman" w:hAnsi="Times New Roman" w:cs="Times New Roman"/>
          <w:szCs w:val="24"/>
        </w:rPr>
        <w:t>,</w:t>
      </w:r>
      <w:r w:rsidRPr="00C52F09">
        <w:rPr>
          <w:rFonts w:ascii="Times New Roman" w:eastAsia="Times New Roman" w:hAnsi="Times New Roman" w:cs="Times New Roman"/>
          <w:szCs w:val="24"/>
        </w:rPr>
        <w:t xml:space="preserve"> przez co należy </w:t>
      </w:r>
      <w:r w:rsidRPr="00C52F09">
        <w:rPr>
          <w:rFonts w:ascii="Times New Roman" w:eastAsia="Times New Roman" w:hAnsi="Times New Roman" w:cs="Times New Roman"/>
          <w:szCs w:val="24"/>
        </w:rPr>
        <w:lastRenderedPageBreak/>
        <w:t xml:space="preserve">rozumieć: </w:t>
      </w:r>
      <w:r w:rsidRPr="00C52F09">
        <w:rPr>
          <w:rFonts w:ascii="Times New Roman" w:hAnsi="Times New Roman" w:cs="Times New Roman"/>
          <w:szCs w:val="24"/>
        </w:rPr>
        <w:t>zespół obiektów budowlanych, składających się na sieć ośrodków obliczeniowych połączonych</w:t>
      </w:r>
      <w:r w:rsidR="00F733EB">
        <w:rPr>
          <w:rFonts w:ascii="Times New Roman" w:hAnsi="Times New Roman" w:cs="Times New Roman"/>
          <w:szCs w:val="24"/>
        </w:rPr>
        <w:t xml:space="preserve"> łączami światłowodowymi wraz z </w:t>
      </w:r>
      <w:r w:rsidRPr="00C52F09">
        <w:rPr>
          <w:rFonts w:ascii="Times New Roman" w:hAnsi="Times New Roman" w:cs="Times New Roman"/>
          <w:szCs w:val="24"/>
        </w:rPr>
        <w:t>infrastrukturą techniczną niezbędną do ich funkcjonowania (co jest określeniem szerokim obejmującym również użytkowanie infrastruktury), umożl</w:t>
      </w:r>
      <w:r w:rsidR="00F733EB">
        <w:rPr>
          <w:rFonts w:ascii="Times New Roman" w:hAnsi="Times New Roman" w:cs="Times New Roman"/>
          <w:szCs w:val="24"/>
        </w:rPr>
        <w:t>iwiający przetwarzanie danych w </w:t>
      </w:r>
      <w:r w:rsidRPr="00C52F09">
        <w:rPr>
          <w:rFonts w:ascii="Times New Roman" w:hAnsi="Times New Roman" w:cs="Times New Roman"/>
          <w:szCs w:val="24"/>
        </w:rPr>
        <w:t>systemach teleinformatycznych, w</w:t>
      </w:r>
      <w:r w:rsidR="0003018A">
        <w:rPr>
          <w:rFonts w:ascii="Times New Roman" w:hAnsi="Times New Roman" w:cs="Times New Roman"/>
          <w:szCs w:val="24"/>
        </w:rPr>
        <w:t xml:space="preserve"> </w:t>
      </w:r>
      <w:r w:rsidRPr="00C52F09">
        <w:rPr>
          <w:rFonts w:ascii="Times New Roman" w:hAnsi="Times New Roman" w:cs="Times New Roman"/>
          <w:szCs w:val="24"/>
        </w:rPr>
        <w:t>szczególności ich zbieranie, przeglądanie, utrwalanie, przechowywanie, organizowanie, opracowywanie, zmienianie, przesyłanie, udostępnianie, dopasowywanie lub łączenie, ograniczanie, usuwanie lub niszczenie, w sposób zapewniający ciągłość przepływu danych na potrzeby systemów teleinformatycznych wykorzystywanych w administracji publicznej przez operatorów usług kluczowych lub dostawców usług cyfrowych oraz państwowe osoby prawne (które to określe</w:t>
      </w:r>
      <w:r w:rsidR="00F733EB">
        <w:rPr>
          <w:rFonts w:ascii="Times New Roman" w:hAnsi="Times New Roman" w:cs="Times New Roman"/>
          <w:szCs w:val="24"/>
        </w:rPr>
        <w:t>nia podmiotów są zdefiniowane w </w:t>
      </w:r>
      <w:r w:rsidRPr="00C52F09">
        <w:rPr>
          <w:rFonts w:ascii="Times New Roman" w:hAnsi="Times New Roman" w:cs="Times New Roman"/>
          <w:szCs w:val="24"/>
        </w:rPr>
        <w:t>innych przepisach powszechnie obowiązujących i zgodnie z nimi należy je rozumieć), jak również spółki realizujące misję publiczną.</w:t>
      </w:r>
    </w:p>
    <w:p w14:paraId="56F5446A"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Przepisy ustawy mają także odpowiednie zastosowanie do inwestycji towarzyszących określonych w art. 50 projektu ustawy, realizowanych także przez inne niż inwestor podmioty. Treść ustawy może być zmieniona jedynie ustawą, co wyklucza możliwość nadużywania stosowania szczególnych rozwiązań przewidzianych w projekcie ustawy.</w:t>
      </w:r>
    </w:p>
    <w:p w14:paraId="1A4E7EAA" w14:textId="3FC12CA4"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Zgodnie z przeprowadzonym testem proporcjonalności zaproponowane rozwiązania pozwolą na osiągnięcie zakładanego celu, jakim jest poprawa cyberbezpieczeństwa Rzeczypospolitej Polskiej (jej obywateli), poprzez budowę ustandaryzowanych i połączonych ze sobą ośrodków obliczeniowych, co jest działaniem koniecznym w dobie istniejących zagrożeń w obszarze cyberbezpieczeństwa. Jednocześnie projekt ustawy zapewni</w:t>
      </w:r>
      <w:r w:rsidR="00F733EB">
        <w:rPr>
          <w:rFonts w:eastAsia="Times New Roman" w:cs="Times New Roman"/>
          <w:szCs w:val="24"/>
        </w:rPr>
        <w:t>a poszanowanie praw podmiotów i </w:t>
      </w:r>
      <w:r w:rsidRPr="00C52F09">
        <w:rPr>
          <w:rFonts w:eastAsia="Times New Roman" w:cs="Times New Roman"/>
          <w:szCs w:val="24"/>
        </w:rPr>
        <w:t>osób, na których inwestycje w zakresie Krajowego Centrum Przetwarzania Danych mogą oddziaływać, przewidując adekwatną rekompensatę zaist</w:t>
      </w:r>
      <w:r w:rsidR="00F733EB">
        <w:rPr>
          <w:rFonts w:eastAsia="Times New Roman" w:cs="Times New Roman"/>
          <w:szCs w:val="24"/>
        </w:rPr>
        <w:t>niałych w związku z tym szkód i </w:t>
      </w:r>
      <w:r w:rsidRPr="00C52F09">
        <w:rPr>
          <w:rFonts w:eastAsia="Times New Roman" w:cs="Times New Roman"/>
          <w:szCs w:val="24"/>
        </w:rPr>
        <w:t>ograniczenie ingerencji w prawa właścicielskie w zasadzie do obciążenia ich uprawnieniami inwestora, bez wywłaszczenia, za odpowiednim odszkodowaniem. Nieruchomości przeznaczone pod budowę ośrodków obliczeniowych będą bowiem pozyskane z zasobów Krajowego Zasobu Nieruchomości lub na zasadach ogólnych.</w:t>
      </w:r>
    </w:p>
    <w:p w14:paraId="3EBB5C2D" w14:textId="77777777" w:rsidR="00554F62" w:rsidRDefault="00554F62" w:rsidP="00C52F09">
      <w:pPr>
        <w:spacing w:before="120"/>
        <w:jc w:val="center"/>
        <w:rPr>
          <w:rFonts w:eastAsia="Times New Roman" w:cs="Times New Roman"/>
          <w:b/>
          <w:bCs/>
          <w:szCs w:val="24"/>
        </w:rPr>
      </w:pPr>
    </w:p>
    <w:p w14:paraId="505DF64E" w14:textId="0555917F" w:rsidR="00C52F09" w:rsidRPr="003C46BA" w:rsidRDefault="00C52F09" w:rsidP="00C52F09">
      <w:pPr>
        <w:spacing w:before="120"/>
        <w:jc w:val="center"/>
        <w:rPr>
          <w:rFonts w:eastAsia="Times New Roman" w:cs="Times New Roman"/>
          <w:bCs/>
          <w:szCs w:val="24"/>
        </w:rPr>
      </w:pPr>
      <w:r w:rsidRPr="003C46BA">
        <w:rPr>
          <w:rFonts w:eastAsia="Times New Roman" w:cs="Times New Roman"/>
          <w:bCs/>
          <w:szCs w:val="24"/>
        </w:rPr>
        <w:lastRenderedPageBreak/>
        <w:t>UZASADNIENIE SZCZEGÓŁOWE</w:t>
      </w:r>
    </w:p>
    <w:p w14:paraId="3FBEF12B" w14:textId="77777777" w:rsidR="00C52F09" w:rsidRPr="00C52F09" w:rsidRDefault="00C52F09" w:rsidP="00C52F09">
      <w:pPr>
        <w:spacing w:before="120"/>
        <w:jc w:val="center"/>
        <w:rPr>
          <w:rFonts w:eastAsia="Times New Roman" w:cs="Times New Roman"/>
          <w:szCs w:val="24"/>
        </w:rPr>
      </w:pPr>
      <w:r w:rsidRPr="00C52F09">
        <w:rPr>
          <w:rFonts w:eastAsia="Times New Roman" w:cs="Times New Roman"/>
          <w:b/>
          <w:bCs/>
          <w:szCs w:val="24"/>
        </w:rPr>
        <w:t>Przepisy ogólne</w:t>
      </w:r>
    </w:p>
    <w:p w14:paraId="1B36C881" w14:textId="03F1CB72"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Przedmiotem regulacji ustawy jest określenie szczególnych zasad i</w:t>
      </w:r>
      <w:r w:rsidR="0003018A">
        <w:rPr>
          <w:rFonts w:eastAsia="Times New Roman" w:cs="Times New Roman"/>
          <w:szCs w:val="24"/>
        </w:rPr>
        <w:t xml:space="preserve"> </w:t>
      </w:r>
      <w:r w:rsidRPr="00C52F09">
        <w:rPr>
          <w:rFonts w:eastAsia="Times New Roman" w:cs="Times New Roman"/>
          <w:szCs w:val="24"/>
        </w:rPr>
        <w:t xml:space="preserve">warunków przygotowania, realizacji i finansowania inwestycji w zakresie Krajowego </w:t>
      </w:r>
      <w:r w:rsidR="00F733EB">
        <w:rPr>
          <w:rFonts w:eastAsia="Times New Roman" w:cs="Times New Roman"/>
          <w:szCs w:val="24"/>
        </w:rPr>
        <w:t>Centrum Przetwarzania Danych, w </w:t>
      </w:r>
      <w:r w:rsidRPr="00C52F09">
        <w:rPr>
          <w:rFonts w:eastAsia="Times New Roman" w:cs="Times New Roman"/>
          <w:szCs w:val="24"/>
        </w:rPr>
        <w:t>tym z wykorzystaniem środków pochodzących z</w:t>
      </w:r>
      <w:r w:rsidR="0003018A">
        <w:rPr>
          <w:rFonts w:eastAsia="Times New Roman" w:cs="Times New Roman"/>
          <w:szCs w:val="24"/>
        </w:rPr>
        <w:t xml:space="preserve"> </w:t>
      </w:r>
      <w:r w:rsidRPr="00C52F09">
        <w:rPr>
          <w:rFonts w:eastAsia="Times New Roman" w:cs="Times New Roman"/>
          <w:szCs w:val="24"/>
        </w:rPr>
        <w:t>Krajowego Planu O</w:t>
      </w:r>
      <w:r w:rsidR="00D70E24">
        <w:rPr>
          <w:rFonts w:eastAsia="Times New Roman" w:cs="Times New Roman"/>
          <w:szCs w:val="24"/>
        </w:rPr>
        <w:t>d</w:t>
      </w:r>
      <w:r w:rsidRPr="00C52F09">
        <w:rPr>
          <w:rFonts w:eastAsia="Times New Roman" w:cs="Times New Roman"/>
          <w:szCs w:val="24"/>
        </w:rPr>
        <w:t>budowy i</w:t>
      </w:r>
      <w:r w:rsidR="0003018A">
        <w:rPr>
          <w:rFonts w:eastAsia="Times New Roman" w:cs="Times New Roman"/>
          <w:szCs w:val="24"/>
        </w:rPr>
        <w:t xml:space="preserve"> </w:t>
      </w:r>
      <w:r w:rsidRPr="00C52F09">
        <w:rPr>
          <w:rFonts w:eastAsia="Times New Roman" w:cs="Times New Roman"/>
          <w:szCs w:val="24"/>
        </w:rPr>
        <w:t>Zwiększ</w:t>
      </w:r>
      <w:r w:rsidR="00345830">
        <w:rPr>
          <w:rFonts w:eastAsia="Times New Roman" w:cs="Times New Roman"/>
          <w:szCs w:val="24"/>
        </w:rPr>
        <w:t>a</w:t>
      </w:r>
      <w:r w:rsidRPr="00C52F09">
        <w:rPr>
          <w:rFonts w:eastAsia="Times New Roman" w:cs="Times New Roman"/>
          <w:szCs w:val="24"/>
        </w:rPr>
        <w:t xml:space="preserve">nia Odporności oraz inwestycji towarzyszących (zwanych </w:t>
      </w:r>
      <w:r w:rsidR="00F733EB">
        <w:rPr>
          <w:rFonts w:eastAsia="Times New Roman" w:cs="Times New Roman"/>
          <w:szCs w:val="24"/>
        </w:rPr>
        <w:t>w ustawie także „inwestycjami w </w:t>
      </w:r>
      <w:r w:rsidRPr="00C52F09">
        <w:rPr>
          <w:rFonts w:eastAsia="Times New Roman" w:cs="Times New Roman"/>
          <w:szCs w:val="24"/>
        </w:rPr>
        <w:t>zakresie Krajowego Centrum Przetwarzania Danych”), zgodnie z definicją zawartą w art. 2 pkt 3 projektu ustawy oraz inwestycji towarzyszących, zdefiniowanych w art. 2 pkt 4 (inwestycje, o których mowa w art. 50 projektu ustawy). Realizacja wszystkich tych inwestycji jest konieczna m.in. z uwagi na potrzebę wzmocnienia bezpieczeństwa cybernetycznego zasobów administracji rządowej, które w naturalny sposób powinny podlegać szczególnej ochronie w zakresie bezpieczeństwa, w szczególności w</w:t>
      </w:r>
      <w:r w:rsidR="0003018A">
        <w:rPr>
          <w:rFonts w:eastAsia="Times New Roman" w:cs="Times New Roman"/>
          <w:szCs w:val="24"/>
        </w:rPr>
        <w:t xml:space="preserve"> </w:t>
      </w:r>
      <w:r w:rsidRPr="00C52F09">
        <w:rPr>
          <w:rFonts w:eastAsia="Times New Roman" w:cs="Times New Roman"/>
          <w:szCs w:val="24"/>
        </w:rPr>
        <w:t>dobie istniejących zagrożeń wynikających m.in. z agresji Federacji Rosyjskiej na Ukrainę rozpoczętej w dniu 24 lutego 2022 r., na co wskazano w części ogólnej uzasadnienia.</w:t>
      </w:r>
    </w:p>
    <w:p w14:paraId="1FB6B416" w14:textId="1B382A7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celu pozostawienia inwestorowi wyboru ścieżki prawnej przygotowania przedmiotowych inwestycji projekt ustawy zakłada, że przygotowanie zarówno inwestycji w zakresie Krajowego Centrum Przetwarzania Danych, jak i inwestycji towarzyszą</w:t>
      </w:r>
      <w:r w:rsidR="00F733EB">
        <w:rPr>
          <w:rFonts w:eastAsia="Times New Roman" w:cs="Times New Roman"/>
          <w:szCs w:val="24"/>
        </w:rPr>
        <w:t>cych możliwe będzie w oparciu o </w:t>
      </w:r>
      <w:r w:rsidRPr="00C52F09">
        <w:rPr>
          <w:rFonts w:eastAsia="Times New Roman" w:cs="Times New Roman"/>
          <w:szCs w:val="24"/>
        </w:rPr>
        <w:t>nowoprojektowane przepisy albo na podstawie przepisów ustaw obecnie obowiązujących.</w:t>
      </w:r>
    </w:p>
    <w:p w14:paraId="3F2784D0" w14:textId="7125EA79"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art. 3 projektu ustawy wskazano, że inwestycje w zakresie Krajowego Centrum Przetwarzania Danych oraz inwestycje towarzyszące stanowią cele publiczne w</w:t>
      </w:r>
      <w:r w:rsidR="0003018A">
        <w:rPr>
          <w:rFonts w:eastAsia="Times New Roman" w:cs="Times New Roman"/>
          <w:szCs w:val="24"/>
        </w:rPr>
        <w:t xml:space="preserve"> </w:t>
      </w:r>
      <w:r w:rsidRPr="00C52F09">
        <w:rPr>
          <w:rFonts w:eastAsia="Times New Roman" w:cs="Times New Roman"/>
          <w:szCs w:val="24"/>
        </w:rPr>
        <w:t>rozumieniu przepisów ustawy z dnia 21 sierpnia 1997 r. o gospodarce nieruchomościami</w:t>
      </w:r>
      <w:r w:rsidR="00EB19A1">
        <w:rPr>
          <w:rFonts w:eastAsia="Times New Roman" w:cs="Times New Roman"/>
          <w:szCs w:val="24"/>
        </w:rPr>
        <w:t xml:space="preserve"> </w:t>
      </w:r>
      <w:r w:rsidR="00EB19A1" w:rsidRPr="005A1DF6">
        <w:t xml:space="preserve">(Dz. </w:t>
      </w:r>
      <w:r w:rsidR="00EB19A1">
        <w:t>U. z 2023</w:t>
      </w:r>
      <w:r w:rsidR="00EB19A1" w:rsidRPr="005A1DF6">
        <w:t xml:space="preserve"> r. poz. </w:t>
      </w:r>
      <w:r w:rsidR="00EB19A1">
        <w:t>344</w:t>
      </w:r>
      <w:r w:rsidR="00EB19A1" w:rsidRPr="005A1DF6">
        <w:t>)</w:t>
      </w:r>
      <w:r w:rsidRPr="00C52F09">
        <w:rPr>
          <w:rFonts w:eastAsia="Times New Roman" w:cs="Times New Roman"/>
          <w:szCs w:val="24"/>
        </w:rPr>
        <w:t>. Zgodnie z projektem ustawy organem wyższego stopnia w</w:t>
      </w:r>
      <w:r w:rsidR="0003018A">
        <w:rPr>
          <w:rFonts w:eastAsia="Times New Roman" w:cs="Times New Roman"/>
          <w:szCs w:val="24"/>
        </w:rPr>
        <w:t xml:space="preserve"> </w:t>
      </w:r>
      <w:r w:rsidRPr="00C52F09">
        <w:rPr>
          <w:rFonts w:eastAsia="Times New Roman" w:cs="Times New Roman"/>
          <w:szCs w:val="24"/>
        </w:rPr>
        <w:t xml:space="preserve">stosunku do wojewody w zakresie decyzji o ustaleniu lokalizacji inwestycji w zakresie Krajowego Centrum Przetwarzania Danych jest minister właściwy do </w:t>
      </w:r>
      <w:r w:rsidR="00F733EB">
        <w:rPr>
          <w:rFonts w:eastAsia="Times New Roman" w:cs="Times New Roman"/>
          <w:szCs w:val="24"/>
        </w:rPr>
        <w:t>spraw budownictwa, planowania i </w:t>
      </w:r>
      <w:r w:rsidRPr="00C52F09">
        <w:rPr>
          <w:rFonts w:eastAsia="Times New Roman" w:cs="Times New Roman"/>
          <w:szCs w:val="24"/>
        </w:rPr>
        <w:t>zagospodarowania przestrzennego oraz mieszkalnictwa (art. 12 ust. 4), z zastrzeżeniem że organem wyższego stopnia w stosunku do wojewody w sprawach decyzji o pozwoleniu na budowę inwestycji w zakresie Krajowego Centrum Prz</w:t>
      </w:r>
      <w:r w:rsidR="00F733EB">
        <w:rPr>
          <w:rFonts w:eastAsia="Times New Roman" w:cs="Times New Roman"/>
          <w:szCs w:val="24"/>
        </w:rPr>
        <w:t>etwarzania Danych lub decyzji o </w:t>
      </w:r>
      <w:r w:rsidRPr="00C52F09">
        <w:rPr>
          <w:rFonts w:eastAsia="Times New Roman" w:cs="Times New Roman"/>
          <w:szCs w:val="24"/>
        </w:rPr>
        <w:t xml:space="preserve">pozwoleniu na rozbiórkę tej </w:t>
      </w:r>
      <w:r w:rsidRPr="00C52F09">
        <w:rPr>
          <w:rFonts w:eastAsia="Times New Roman" w:cs="Times New Roman"/>
          <w:szCs w:val="24"/>
        </w:rPr>
        <w:lastRenderedPageBreak/>
        <w:t xml:space="preserve">inwestycji jest Główny Inspektor Nadzoru Budowlanego (art. 29 ust. 5), a w przypadku decyzji regulującej kwestię usunięcia drzew z nieruchomości – minister właściwy do spraw środowiska (art. 33 ust. 3 zdanie drugie). </w:t>
      </w:r>
    </w:p>
    <w:p w14:paraId="6A1EEAB7" w14:textId="77777777" w:rsidR="00C52F09" w:rsidRPr="00C52F09" w:rsidRDefault="00C52F09" w:rsidP="00C52F09">
      <w:pPr>
        <w:spacing w:before="120"/>
        <w:jc w:val="center"/>
        <w:rPr>
          <w:rFonts w:eastAsia="Times New Roman" w:cs="Times New Roman"/>
          <w:b/>
          <w:szCs w:val="24"/>
        </w:rPr>
      </w:pPr>
      <w:r w:rsidRPr="00C52F09">
        <w:rPr>
          <w:rFonts w:eastAsia="Times New Roman" w:cs="Times New Roman"/>
          <w:b/>
          <w:szCs w:val="24"/>
        </w:rPr>
        <w:t>Specjalna procedura udzielania zamówień</w:t>
      </w:r>
    </w:p>
    <w:p w14:paraId="3F1F4F70" w14:textId="2FC55B4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Ustawa z dnia 11 września 2019 r. – Prawo zamówień publicznych (dalej jako: „ustawa Pzp”) </w:t>
      </w:r>
      <w:r w:rsidR="00EB19A1" w:rsidRPr="005A1DF6">
        <w:t>(Dz. U.</w:t>
      </w:r>
      <w:r w:rsidR="00EB19A1">
        <w:t xml:space="preserve"> z</w:t>
      </w:r>
      <w:r w:rsidR="00EB19A1" w:rsidRPr="005A1DF6">
        <w:t xml:space="preserve"> 2022 r. poz. 1710, 1812, 1933 i 2185</w:t>
      </w:r>
      <w:r w:rsidR="00EB19A1">
        <w:t xml:space="preserve"> oraz z 2023 r. poz. 412</w:t>
      </w:r>
      <w:r w:rsidR="00EB19A1" w:rsidRPr="005A1DF6">
        <w:t>)</w:t>
      </w:r>
      <w:r w:rsidR="00EB19A1">
        <w:t xml:space="preserve"> </w:t>
      </w:r>
      <w:r w:rsidRPr="00C52F09">
        <w:rPr>
          <w:rFonts w:eastAsia="Times New Roman" w:cs="Times New Roman"/>
          <w:szCs w:val="24"/>
        </w:rPr>
        <w:t>przewiduje wyłączenia jej stosowania w stosunku do zamówień lub konkursów:</w:t>
      </w:r>
    </w:p>
    <w:p w14:paraId="2F37572D" w14:textId="77777777" w:rsidR="00C52F09" w:rsidRPr="00C52F09" w:rsidRDefault="00C52F09" w:rsidP="00C52F09">
      <w:pPr>
        <w:ind w:left="425" w:hanging="425"/>
        <w:jc w:val="both"/>
        <w:rPr>
          <w:rFonts w:eastAsia="Times New Roman" w:cs="Times New Roman"/>
          <w:szCs w:val="24"/>
        </w:rPr>
      </w:pPr>
      <w:r w:rsidRPr="00C52F09">
        <w:rPr>
          <w:rFonts w:eastAsia="Times New Roman" w:cs="Times New Roman"/>
          <w:szCs w:val="24"/>
        </w:rPr>
        <w:t>a)</w:t>
      </w:r>
      <w:r w:rsidRPr="00C52F09">
        <w:rPr>
          <w:rFonts w:eastAsia="Times New Roman" w:cs="Times New Roman"/>
          <w:szCs w:val="24"/>
        </w:rPr>
        <w:tab/>
        <w:t>którym nadano klauzulę zgodnie z przepisami o ochronie informacji niejawnych lub</w:t>
      </w:r>
    </w:p>
    <w:p w14:paraId="79182ADE" w14:textId="77777777" w:rsidR="00C52F09" w:rsidRPr="00C52F09" w:rsidRDefault="00C52F09" w:rsidP="00C52F09">
      <w:pPr>
        <w:ind w:left="425" w:hanging="425"/>
        <w:jc w:val="both"/>
        <w:rPr>
          <w:rFonts w:eastAsia="Times New Roman" w:cs="Times New Roman"/>
          <w:szCs w:val="24"/>
        </w:rPr>
      </w:pPr>
      <w:r w:rsidRPr="00C52F09">
        <w:rPr>
          <w:rFonts w:eastAsia="Times New Roman" w:cs="Times New Roman"/>
          <w:szCs w:val="24"/>
        </w:rPr>
        <w:t>b)</w:t>
      </w:r>
      <w:r w:rsidRPr="00C52F09">
        <w:rPr>
          <w:rFonts w:eastAsia="Times New Roman" w:cs="Times New Roman"/>
          <w:szCs w:val="24"/>
        </w:rPr>
        <w:tab/>
        <w:t>jeżeli wymaga tego istotny interes bezpieczeństwa państwa, lub</w:t>
      </w:r>
    </w:p>
    <w:p w14:paraId="2F317877" w14:textId="77777777" w:rsidR="00C52F09" w:rsidRPr="00C52F09" w:rsidRDefault="00C52F09" w:rsidP="00C52F09">
      <w:pPr>
        <w:ind w:left="425" w:hanging="425"/>
        <w:jc w:val="both"/>
        <w:rPr>
          <w:rFonts w:eastAsia="Times New Roman" w:cs="Times New Roman"/>
          <w:szCs w:val="24"/>
        </w:rPr>
      </w:pPr>
      <w:r w:rsidRPr="00C52F09">
        <w:rPr>
          <w:rFonts w:eastAsia="Times New Roman" w:cs="Times New Roman"/>
          <w:szCs w:val="24"/>
        </w:rPr>
        <w:t>c)</w:t>
      </w:r>
      <w:r w:rsidRPr="00C52F09">
        <w:rPr>
          <w:rFonts w:eastAsia="Times New Roman" w:cs="Times New Roman"/>
          <w:szCs w:val="24"/>
        </w:rPr>
        <w:tab/>
        <w:t>jeżeli wymaga tego ochrona bezpieczeństwa publicznego, lub</w:t>
      </w:r>
    </w:p>
    <w:p w14:paraId="17E743C7" w14:textId="77777777" w:rsidR="00C52F09" w:rsidRPr="00C52F09" w:rsidRDefault="00C52F09" w:rsidP="00C52F09">
      <w:pPr>
        <w:ind w:left="425" w:hanging="425"/>
        <w:jc w:val="both"/>
        <w:rPr>
          <w:rFonts w:eastAsia="Times New Roman" w:cs="Times New Roman"/>
          <w:szCs w:val="24"/>
        </w:rPr>
      </w:pPr>
      <w:r w:rsidRPr="00C52F09">
        <w:rPr>
          <w:rFonts w:eastAsia="Times New Roman" w:cs="Times New Roman"/>
          <w:szCs w:val="24"/>
        </w:rPr>
        <w:t>d)</w:t>
      </w:r>
      <w:r w:rsidRPr="00C52F09">
        <w:rPr>
          <w:rFonts w:eastAsia="Times New Roman" w:cs="Times New Roman"/>
          <w:szCs w:val="24"/>
        </w:rPr>
        <w:tab/>
        <w:t>którym muszą towarzyszyć, na podstawie odrębnych przepisów, szczególne środki bezpieczeństwa.</w:t>
      </w:r>
    </w:p>
    <w:p w14:paraId="1E1FD4E7" w14:textId="7EF93145"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Należy wskazać, że inwestycja w zakresie tworzenia Krajowego Centrum Przetwarzania Danych spełnia wyżej wymienione przesłanki. Porównując budowę ośrodka obliczenioweg</w:t>
      </w:r>
      <w:r w:rsidR="00F733EB">
        <w:rPr>
          <w:rFonts w:eastAsia="Times New Roman" w:cs="Times New Roman"/>
          <w:szCs w:val="24"/>
        </w:rPr>
        <w:t>o z </w:t>
      </w:r>
      <w:r w:rsidRPr="00C52F09">
        <w:rPr>
          <w:rFonts w:eastAsia="Times New Roman" w:cs="Times New Roman"/>
          <w:szCs w:val="24"/>
        </w:rPr>
        <w:t>inwestycjami o charakterze militarnym</w:t>
      </w:r>
      <w:r w:rsidR="00A41895">
        <w:rPr>
          <w:rFonts w:eastAsia="Times New Roman" w:cs="Times New Roman"/>
          <w:szCs w:val="24"/>
        </w:rPr>
        <w:t>,</w:t>
      </w:r>
      <w:r w:rsidRPr="00C52F09">
        <w:rPr>
          <w:rFonts w:eastAsia="Times New Roman" w:cs="Times New Roman"/>
          <w:szCs w:val="24"/>
        </w:rPr>
        <w:t xml:space="preserve"> np. zapasow</w:t>
      </w:r>
      <w:r w:rsidR="00F219BF">
        <w:rPr>
          <w:rFonts w:eastAsia="Times New Roman" w:cs="Times New Roman"/>
          <w:szCs w:val="24"/>
        </w:rPr>
        <w:t>ymi</w:t>
      </w:r>
      <w:r w:rsidRPr="00C52F09">
        <w:rPr>
          <w:rFonts w:eastAsia="Times New Roman" w:cs="Times New Roman"/>
          <w:szCs w:val="24"/>
        </w:rPr>
        <w:t xml:space="preserve"> stanowisk</w:t>
      </w:r>
      <w:r w:rsidR="00F219BF">
        <w:rPr>
          <w:rFonts w:eastAsia="Times New Roman" w:cs="Times New Roman"/>
          <w:szCs w:val="24"/>
        </w:rPr>
        <w:t>ami</w:t>
      </w:r>
      <w:r w:rsidRPr="00C52F09">
        <w:rPr>
          <w:rFonts w:eastAsia="Times New Roman" w:cs="Times New Roman"/>
          <w:szCs w:val="24"/>
        </w:rPr>
        <w:t xml:space="preserve"> dowodzenia</w:t>
      </w:r>
      <w:r w:rsidR="00A41895">
        <w:rPr>
          <w:rFonts w:eastAsia="Times New Roman" w:cs="Times New Roman"/>
          <w:szCs w:val="24"/>
        </w:rPr>
        <w:t>,</w:t>
      </w:r>
      <w:r w:rsidRPr="00C52F09">
        <w:rPr>
          <w:rFonts w:eastAsia="Times New Roman" w:cs="Times New Roman"/>
          <w:szCs w:val="24"/>
        </w:rPr>
        <w:t xml:space="preserve"> można uznać, że istnieje pewna gradacja w zakresie stosowanych środków służących ochronie bezpieczeństwa publicznego i interesu bezpieczeństwa państwa. Ocena tej konkretnej inwestycji pozwala na udzielanie zamówienia w sposób zapewniający poszanowanie zasad wynikających z art. 16 ustawy Pzp poprzez wprowadzenie mechanizmu prowadzenia negocjacji z wykonawcami, jednocześnie ze względu na sytuacj</w:t>
      </w:r>
      <w:r w:rsidR="00F219BF">
        <w:rPr>
          <w:rFonts w:eastAsia="Times New Roman" w:cs="Times New Roman"/>
          <w:szCs w:val="24"/>
        </w:rPr>
        <w:t>ę</w:t>
      </w:r>
      <w:r w:rsidRPr="00C52F09">
        <w:rPr>
          <w:rFonts w:eastAsia="Times New Roman" w:cs="Times New Roman"/>
          <w:szCs w:val="24"/>
        </w:rPr>
        <w:t xml:space="preserve"> należy zastosować szczególne środki w stosunku do ogólnych zasad udzielania zamówień publicznych. Realizacja tak złożonej inwestycji wiąże się z prowadzeniem wielu postępowań o udzielenie zamówienia publicznego, a ocena tych przesłanek następowałaby każdorazowo. Niemożliwe byłoby zastosowanie jednolitych zasad do wszystkich postępowań. Zaproponowane przepisy systemowo regulują procedurę udzielania zamówień na potrzeby realizacji inwestycji, z jednej strony biorąc pod uwagę wartości</w:t>
      </w:r>
      <w:r w:rsidR="00F219BF">
        <w:rPr>
          <w:rFonts w:eastAsia="Times New Roman" w:cs="Times New Roman"/>
          <w:szCs w:val="24"/>
        </w:rPr>
        <w:t>,</w:t>
      </w:r>
      <w:r w:rsidRPr="00C52F09">
        <w:rPr>
          <w:rFonts w:eastAsia="Times New Roman" w:cs="Times New Roman"/>
          <w:szCs w:val="24"/>
        </w:rPr>
        <w:t xml:space="preserve"> jakie chroni ustawa Pzp</w:t>
      </w:r>
      <w:r w:rsidR="00F219BF">
        <w:rPr>
          <w:rFonts w:eastAsia="Times New Roman" w:cs="Times New Roman"/>
          <w:szCs w:val="24"/>
        </w:rPr>
        <w:t>,</w:t>
      </w:r>
      <w:r w:rsidRPr="00C52F09">
        <w:rPr>
          <w:rFonts w:eastAsia="Times New Roman" w:cs="Times New Roman"/>
          <w:szCs w:val="24"/>
        </w:rPr>
        <w:t xml:space="preserve"> m.in. konkurencyjność, a z drugiej strony zapewniając ochronę interesu bezpieczeństwa państwa.</w:t>
      </w:r>
    </w:p>
    <w:p w14:paraId="463770D1" w14:textId="7043ABC1"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Wprowadzenie szczególnych zasad udzielania zamówień publicznych na potrzeby </w:t>
      </w:r>
      <w:r w:rsidRPr="00C52F09">
        <w:rPr>
          <w:rFonts w:eastAsia="Times New Roman" w:cs="Times New Roman"/>
          <w:szCs w:val="24"/>
        </w:rPr>
        <w:lastRenderedPageBreak/>
        <w:t>inwestycji w zakresie Krajowego Centrum Przetwarzania Danych ma również na celu skrócenie czasu potrzebnego na przygotowanie tych inwestycji i wzmocnienie możliwości sprawowania kontroli bezpieczeństwa i procedur udzielania zamówień ze względu na ich newralgiczny charakter. Stosowanie terminów i procedur z ustawy Pzp uniemożliwiłoby zapewnienie terminowej realizacji wysokospecjalistycznych zamówień finansowanych w ramach Krajowego Planu O</w:t>
      </w:r>
      <w:r w:rsidR="00345830">
        <w:rPr>
          <w:rFonts w:eastAsia="Times New Roman" w:cs="Times New Roman"/>
          <w:szCs w:val="24"/>
        </w:rPr>
        <w:t>d</w:t>
      </w:r>
      <w:r w:rsidRPr="00C52F09">
        <w:rPr>
          <w:rFonts w:eastAsia="Times New Roman" w:cs="Times New Roman"/>
          <w:szCs w:val="24"/>
        </w:rPr>
        <w:t>budowy i Zwiększ</w:t>
      </w:r>
      <w:r w:rsidR="00345830">
        <w:rPr>
          <w:rFonts w:eastAsia="Times New Roman" w:cs="Times New Roman"/>
          <w:szCs w:val="24"/>
        </w:rPr>
        <w:t>a</w:t>
      </w:r>
      <w:r w:rsidRPr="00C52F09">
        <w:rPr>
          <w:rFonts w:eastAsia="Times New Roman" w:cs="Times New Roman"/>
          <w:szCs w:val="24"/>
        </w:rPr>
        <w:t>nia Odporności, a także dochowania kamieni milowych. Transparentność wydatkowania środków publicznych została jednak zapewniona poprzez zachowanie procedur uwzględniających zasady przejrzystego i konkurencyjnego przeprowadzenia postępowań o udzielanie zamówień w zakresie inwestycji dotyczących Krajowego Centrum Przetwarzania Danych (m.in. kierowanie zaproszeń do trzech wykonawców z art. 4 ust. 4 projektu ustawy czy procedura negocjacyjna z art. 4 ust. 3</w:t>
      </w:r>
      <w:r w:rsidR="0003018A">
        <w:rPr>
          <w:rFonts w:eastAsia="Times New Roman" w:cs="Times New Roman"/>
          <w:szCs w:val="24"/>
        </w:rPr>
        <w:t>–</w:t>
      </w:r>
      <w:r w:rsidRPr="00C52F09">
        <w:rPr>
          <w:rFonts w:eastAsia="Times New Roman" w:cs="Times New Roman"/>
          <w:szCs w:val="24"/>
        </w:rPr>
        <w:t xml:space="preserve">5 projektu ustawy). </w:t>
      </w:r>
    </w:p>
    <w:p w14:paraId="57EFE607"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Istotnym też jest, że w aktualnej sytuacji geopolitycznej (konflikt zbrojny w Ukrainie) ryzyko ataków hakerskich na newralgiczną infrastrukturę informatyczną państwa jest w świetle ostatnich wydarzeń niebezpieczeństwem bardzo realnym, mogącym spowodować zagrożenie prawidłowego jej funkcjonowania. Dlatego też, uwzględniając obecną sytuację, zapewnienie ścisłej kontroli nad procesem udzielania zamówień przez zamawiającego i indywidualizacja procedur jest aspektem niezwykle istotnym.</w:t>
      </w:r>
    </w:p>
    <w:p w14:paraId="29588E29" w14:textId="7991D4EE"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Podobne przesłanki bezpieczeństwa funkcjonowania gospodarki, jak ryzyka niedochowania terminów realizacji inwestycji stały za wyłączeniem stosowa</w:t>
      </w:r>
      <w:r w:rsidR="00F733EB">
        <w:rPr>
          <w:rFonts w:eastAsia="Times New Roman" w:cs="Times New Roman"/>
          <w:szCs w:val="24"/>
        </w:rPr>
        <w:t>nia przepisów ustawy Pzp w art. </w:t>
      </w:r>
      <w:r w:rsidRPr="00C52F09">
        <w:rPr>
          <w:rFonts w:eastAsia="Times New Roman" w:cs="Times New Roman"/>
          <w:szCs w:val="24"/>
        </w:rPr>
        <w:t>31 ustawy z dnia 24 kwietnia 2009 r. o inwestycjach w zakresie terminalu regazyfikacyjnego skroplonego gazu ziemnego w Świnoujściu w zakresie inwestycji związanych z przygotowaniem, realizacją i finansowaniem in</w:t>
      </w:r>
      <w:r w:rsidR="00F733EB">
        <w:rPr>
          <w:rFonts w:eastAsia="Times New Roman" w:cs="Times New Roman"/>
          <w:szCs w:val="24"/>
        </w:rPr>
        <w:t>westycji w zakresie terminalu i </w:t>
      </w:r>
      <w:r w:rsidRPr="00C52F09">
        <w:rPr>
          <w:rFonts w:eastAsia="Times New Roman" w:cs="Times New Roman"/>
          <w:szCs w:val="24"/>
        </w:rPr>
        <w:t>wymaganymi ze względu na istotny interes bezpieczeństwa państwa (zamówienia bezpośrednio służące realizacji inwestycji w zakresie terminal</w:t>
      </w:r>
      <w:r w:rsidR="00F733EB">
        <w:rPr>
          <w:rFonts w:eastAsia="Times New Roman" w:cs="Times New Roman"/>
          <w:szCs w:val="24"/>
        </w:rPr>
        <w:t>u LNG). Uchylenie przepisu art. </w:t>
      </w:r>
      <w:r w:rsidRPr="00C52F09">
        <w:rPr>
          <w:rFonts w:eastAsia="Times New Roman" w:cs="Times New Roman"/>
          <w:szCs w:val="24"/>
        </w:rPr>
        <w:t xml:space="preserve">31 ustawy z dnia 24 kwietnia 2009 r. o inwestycjach w zakresie terminalu regazyfikacyjnego skroplonego gazu ziemnego w Świnoujściu wynikało z faktu, iż ustawodawca uznał go za powtórzenie regulacji zawartej w art. 4 pkt 5 ustawy Pzp z 2004 r. (mającej odzwierciedlenie w art. 12 ust. 1 pkt 1 ustawy </w:t>
      </w:r>
      <w:r w:rsidRPr="00C52F09">
        <w:rPr>
          <w:rFonts w:eastAsia="Times New Roman" w:cs="Times New Roman"/>
          <w:szCs w:val="24"/>
        </w:rPr>
        <w:lastRenderedPageBreak/>
        <w:t xml:space="preserve">Pzp z 2019 r.) oraz miało na celu przesądzenie relacji tego przepisu do ustawy Pzp. </w:t>
      </w:r>
    </w:p>
    <w:p w14:paraId="455278C9" w14:textId="3FE9C6C3"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Zgodnie </w:t>
      </w:r>
      <w:bookmarkStart w:id="1" w:name="_Hlk109756222"/>
      <w:r w:rsidRPr="00C52F09">
        <w:rPr>
          <w:rFonts w:eastAsia="Times New Roman" w:cs="Times New Roman"/>
          <w:szCs w:val="24"/>
        </w:rPr>
        <w:t xml:space="preserve">z art. 4 ust. 2 projektu ustawy </w:t>
      </w:r>
      <w:bookmarkEnd w:id="1"/>
      <w:r w:rsidRPr="00C52F09">
        <w:rPr>
          <w:rFonts w:eastAsia="Times New Roman" w:cs="Times New Roman"/>
          <w:szCs w:val="24"/>
        </w:rPr>
        <w:t>proces wyboru odpowiedniego wykonawcy rozpoczyna się od przekazania wybranym wykonawcom zaproszenia do negocjacji, zawierającego zakres minimalnych informacji wskazanych w tym przepisie. Wraz z zaproszeniem może zostać przekazane żądanie złożenia przez wykonawcę stosownego oświadczenia o zachowaniu poufności, którego nieprzedłożenie będzie mogł</w:t>
      </w:r>
      <w:r w:rsidR="00F733EB">
        <w:rPr>
          <w:rFonts w:eastAsia="Times New Roman" w:cs="Times New Roman"/>
          <w:szCs w:val="24"/>
        </w:rPr>
        <w:t>o być podstawą do wykluczenia z </w:t>
      </w:r>
      <w:r w:rsidRPr="00C52F09">
        <w:rPr>
          <w:rFonts w:eastAsia="Times New Roman" w:cs="Times New Roman"/>
          <w:szCs w:val="24"/>
        </w:rPr>
        <w:t>postępowania o udzielenie zamówienia (art. 5 ust. 1 pkt 7).</w:t>
      </w:r>
    </w:p>
    <w:p w14:paraId="07F09236" w14:textId="18825B8C" w:rsidR="00C52F09" w:rsidRPr="00C52F09" w:rsidRDefault="00C52F09" w:rsidP="00C52F09">
      <w:pPr>
        <w:spacing w:before="120"/>
        <w:jc w:val="both"/>
        <w:rPr>
          <w:rFonts w:cs="Times New Roman"/>
          <w:szCs w:val="24"/>
        </w:rPr>
      </w:pPr>
      <w:r w:rsidRPr="00C52F09">
        <w:rPr>
          <w:rFonts w:eastAsia="Times New Roman" w:cs="Times New Roman"/>
          <w:szCs w:val="24"/>
        </w:rPr>
        <w:t>W art. 4 ust. 3 określono</w:t>
      </w:r>
      <w:r w:rsidR="006D3E89">
        <w:rPr>
          <w:rFonts w:eastAsia="Times New Roman" w:cs="Times New Roman"/>
          <w:szCs w:val="24"/>
        </w:rPr>
        <w:t>,</w:t>
      </w:r>
      <w:r w:rsidRPr="00C52F09">
        <w:rPr>
          <w:rFonts w:eastAsia="Times New Roman" w:cs="Times New Roman"/>
          <w:szCs w:val="24"/>
        </w:rPr>
        <w:t xml:space="preserve"> jakie podmioty można zaprosić do negocjacji. W art. 4 </w:t>
      </w:r>
      <w:r w:rsidRPr="00C52F09">
        <w:rPr>
          <w:rFonts w:cs="Times New Roman"/>
          <w:szCs w:val="24"/>
        </w:rPr>
        <w:t>ust. 3 pkt 2 wskazano okoliczności, w których wykonawca zobligowany będzie do przedstawienia dokumentów potwierdzających zdolność do ochrony informacji niejawnych zgodnie z ustawą z dnia 5 sierpnia 2010 r. o ochronie informacji niejawnych (D</w:t>
      </w:r>
      <w:r w:rsidR="00F733EB">
        <w:rPr>
          <w:rFonts w:cs="Times New Roman"/>
          <w:szCs w:val="24"/>
        </w:rPr>
        <w:t>z. U. z 2019 r. poz. 742 oraz z </w:t>
      </w:r>
      <w:r w:rsidRPr="00C52F09">
        <w:rPr>
          <w:rFonts w:cs="Times New Roman"/>
          <w:szCs w:val="24"/>
        </w:rPr>
        <w:t>2022 r. poz. 655 i 1933) stosownie do charakteru informacji</w:t>
      </w:r>
      <w:r w:rsidR="006D3E89">
        <w:rPr>
          <w:rFonts w:cs="Times New Roman"/>
          <w:szCs w:val="24"/>
        </w:rPr>
        <w:t>,</w:t>
      </w:r>
      <w:r w:rsidRPr="00C52F09">
        <w:rPr>
          <w:rFonts w:cs="Times New Roman"/>
          <w:szCs w:val="24"/>
        </w:rPr>
        <w:t xml:space="preserve"> jakie mogą zostać przekazane lub wytworzone przez wykonawcę. Takie rozwiązanie pozwoli również na zwiększenie konkurencyjności prowadzonych postępowań o u</w:t>
      </w:r>
      <w:r w:rsidR="00F733EB">
        <w:rPr>
          <w:rFonts w:cs="Times New Roman"/>
          <w:szCs w:val="24"/>
        </w:rPr>
        <w:t>dzielenie zamówień związanych z </w:t>
      </w:r>
      <w:r w:rsidRPr="00C52F09">
        <w:rPr>
          <w:rFonts w:cs="Times New Roman"/>
          <w:szCs w:val="24"/>
        </w:rPr>
        <w:t xml:space="preserve">przygotowaniem i realizacją inwestycji w zakresie Krajowego Centrum Przetwarzania Danych i jednocześnie umożliwi dobór wykonawców, którzy gwarantują ochronę informacji niejawnych w sposób odpowiedni do okoliczności danego zamówienia. Dodatkowo takie rozwiązanie pozwoli w optymalny sposób osiągnąć maksymalne korzyści z zachowaniem adekwatności czynionych nakładów przy uwzględnieniu odpowiedniego poziomu bezpieczeństwa przekazywanych lub wytworzonych informacji. </w:t>
      </w:r>
    </w:p>
    <w:p w14:paraId="3325D744" w14:textId="6F20F6A2"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Zgodnie z projektem ustawy inwestor zaprosi do negocjacji wykonawców w liczbie zapewniającej konkurencję, nie mniejszej niż 3, chyba że ze względu na specjalistyczny charakter zamówienia liczba wykonawców mogących j</w:t>
      </w:r>
      <w:r w:rsidR="00F733EB">
        <w:rPr>
          <w:rFonts w:eastAsia="Times New Roman" w:cs="Times New Roman"/>
          <w:szCs w:val="24"/>
        </w:rPr>
        <w:t>e wykonać będzie mniejsza lub z </w:t>
      </w:r>
      <w:r w:rsidRPr="00C52F09">
        <w:rPr>
          <w:rFonts w:eastAsia="Times New Roman" w:cs="Times New Roman"/>
          <w:szCs w:val="24"/>
        </w:rPr>
        <w:t>przyczyn obiektywnych może je wykonać tylko jeden wykonawca (</w:t>
      </w:r>
      <w:bookmarkStart w:id="2" w:name="_Hlk109756270"/>
      <w:r w:rsidRPr="00C52F09">
        <w:rPr>
          <w:rFonts w:eastAsia="Times New Roman" w:cs="Times New Roman"/>
          <w:szCs w:val="24"/>
        </w:rPr>
        <w:t>art. 4 ust. 4 projektu ustawy</w:t>
      </w:r>
      <w:bookmarkEnd w:id="2"/>
      <w:r w:rsidRPr="00C52F09">
        <w:rPr>
          <w:rFonts w:eastAsia="Times New Roman" w:cs="Times New Roman"/>
          <w:szCs w:val="24"/>
        </w:rPr>
        <w:t xml:space="preserve">). Treść tego przepisu jest zbliżona do mechanizmu przewidzianego w art. 210 ust. 3 ustawy Pzp, dostosowana jednak do celu prowadzenia negocjacji z wykonawcami na potrzeby realizacji inwestycji w zakresie Krajowego Centrum Przetwarzania Danych. Celem negocjacji jest natomiast, stosownie do art. 4 ust. 5 projektu ustawy, doprecyzowanie opisu przedmiotu zamówienia lub innych </w:t>
      </w:r>
      <w:r w:rsidRPr="00C52F09">
        <w:rPr>
          <w:rFonts w:eastAsia="Times New Roman" w:cs="Times New Roman"/>
          <w:szCs w:val="24"/>
        </w:rPr>
        <w:lastRenderedPageBreak/>
        <w:t>warunków odnoszących się do zamówienia w</w:t>
      </w:r>
      <w:r w:rsidR="0003018A">
        <w:rPr>
          <w:rFonts w:eastAsia="Times New Roman" w:cs="Times New Roman"/>
          <w:szCs w:val="24"/>
        </w:rPr>
        <w:t xml:space="preserve"> </w:t>
      </w:r>
      <w:r w:rsidRPr="00C52F09">
        <w:rPr>
          <w:rFonts w:eastAsia="Times New Roman" w:cs="Times New Roman"/>
          <w:szCs w:val="24"/>
        </w:rPr>
        <w:t xml:space="preserve">taki sposób, aby inwestor uzyskał zamówienie najpełniej odpowiadające jego potrzebom. </w:t>
      </w:r>
    </w:p>
    <w:p w14:paraId="4DC027A4"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Dodatkowo w projekcie ustawy został przewidziany mechanizm postępowania w przypadku, gdy ze względu na przedmiot zamówienia nie będzie wymagane przeprowadzenie negocjacji. Wówczas inwestor otrzymał uprawnienie do przekazania wybranym przez siebie wykonawcom zaproszenia do składania ofert, z pominięciem etapu negocjacyjnego, co pozwoli maksymalnie przyspieszyć prowadzone procesy zakupowe (art. 4 ust. 6 projektu ustawy). </w:t>
      </w:r>
    </w:p>
    <w:p w14:paraId="5FBD938C" w14:textId="1EA8F299"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art. 5 ust. 1 projektu ustawy zostały przewidziane przesłanki, których zaistnienie pozw</w:t>
      </w:r>
      <w:r w:rsidR="008210C1">
        <w:rPr>
          <w:rFonts w:eastAsia="Times New Roman" w:cs="Times New Roman"/>
          <w:szCs w:val="24"/>
        </w:rPr>
        <w:t xml:space="preserve">oli </w:t>
      </w:r>
      <w:r w:rsidRPr="00C52F09">
        <w:rPr>
          <w:rFonts w:eastAsia="Times New Roman" w:cs="Times New Roman"/>
          <w:szCs w:val="24"/>
        </w:rPr>
        <w:t>inwestorowi na każdym etapie prowadzonego postępowania wykluczyć wykonawcę. Katalog jest</w:t>
      </w:r>
      <w:r w:rsidR="006D3E89">
        <w:rPr>
          <w:rFonts w:eastAsia="Times New Roman" w:cs="Times New Roman"/>
          <w:szCs w:val="24"/>
        </w:rPr>
        <w:t>,</w:t>
      </w:r>
      <w:r w:rsidRPr="00C52F09">
        <w:rPr>
          <w:rFonts w:eastAsia="Times New Roman" w:cs="Times New Roman"/>
          <w:szCs w:val="24"/>
        </w:rPr>
        <w:t xml:space="preserve"> co do zasady</w:t>
      </w:r>
      <w:r w:rsidR="006D3E89">
        <w:rPr>
          <w:rFonts w:eastAsia="Times New Roman" w:cs="Times New Roman"/>
          <w:szCs w:val="24"/>
        </w:rPr>
        <w:t>,</w:t>
      </w:r>
      <w:r w:rsidRPr="00C52F09">
        <w:rPr>
          <w:rFonts w:eastAsia="Times New Roman" w:cs="Times New Roman"/>
          <w:szCs w:val="24"/>
        </w:rPr>
        <w:t xml:space="preserve"> zaczerpnięty z przepisów ustawy Pzp. Potwierdzeniem natomiast braku istnienia tych przesłanek w stosunku do danego wykonawcy ma</w:t>
      </w:r>
      <w:r w:rsidR="00F733EB">
        <w:rPr>
          <w:rFonts w:eastAsia="Times New Roman" w:cs="Times New Roman"/>
          <w:szCs w:val="24"/>
        </w:rPr>
        <w:t xml:space="preserve"> być przewidziana w art. 5 ust. </w:t>
      </w:r>
      <w:r w:rsidRPr="00C52F09">
        <w:rPr>
          <w:rFonts w:eastAsia="Times New Roman" w:cs="Times New Roman"/>
          <w:szCs w:val="24"/>
        </w:rPr>
        <w:t xml:space="preserve">3 projektu ustawy konieczność przedłożenia przez wykonawców stosownego oświadczenia na etapie prowadzonych negocjacji lub wcześniej – stosownie do oczekiwań inwestora. Zaproszenie potencjalnych wykonawców do negocjacji jest wstępnym badaniem zdolności tych podmiotów do realizacji zamówienia. Etap ten jest niezobowiązujący dla inwestora, w tym znaczeniu, że każdy podmiot będący w kręgu zainteresowań inwestora może wziąć </w:t>
      </w:r>
      <w:r w:rsidR="00337107" w:rsidRPr="00C52F09">
        <w:rPr>
          <w:rFonts w:eastAsia="Times New Roman" w:cs="Times New Roman"/>
          <w:szCs w:val="24"/>
        </w:rPr>
        <w:t xml:space="preserve">udział </w:t>
      </w:r>
      <w:r w:rsidR="00F733EB">
        <w:rPr>
          <w:rFonts w:eastAsia="Times New Roman" w:cs="Times New Roman"/>
          <w:szCs w:val="24"/>
        </w:rPr>
        <w:t>w </w:t>
      </w:r>
      <w:r w:rsidRPr="00C52F09">
        <w:rPr>
          <w:rFonts w:eastAsia="Times New Roman" w:cs="Times New Roman"/>
          <w:szCs w:val="24"/>
        </w:rPr>
        <w:t xml:space="preserve">negocjacjach. </w:t>
      </w:r>
    </w:p>
    <w:p w14:paraId="06D23AF4" w14:textId="526F8DFB"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Najpóźniej na etapie negocjacji ma zostać przeprowadzona procedura weryfikacji wykonawców, tj. poprzez złożenie przez nich oświadczenia, o którym mowa w art. 5 ust. 3 projektu ustawy. Inwestor ostatecznie ma zdecydować, kto powinien zostać zaproszony do składania ofert, tj. kto daje rękojmię prawidłowej realizacji zamówienia i w razie konieczności daje rękojmię zachowania tajemnicy informacji niejawnych, jeżeli inwestor uzna to za konieczne.</w:t>
      </w:r>
    </w:p>
    <w:p w14:paraId="4A2C54FE" w14:textId="46E2FA23"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Wobec tego uzyskanie od potencjalnych wykonawców oświadczenia, o którym mowa w art. 5 ust. 3 projektu ustawy</w:t>
      </w:r>
      <w:r w:rsidR="00F241CE">
        <w:rPr>
          <w:rFonts w:eastAsia="Times New Roman" w:cs="Times New Roman"/>
          <w:szCs w:val="24"/>
        </w:rPr>
        <w:t>,</w:t>
      </w:r>
      <w:r w:rsidRPr="00C52F09">
        <w:rPr>
          <w:rFonts w:eastAsia="Times New Roman" w:cs="Times New Roman"/>
          <w:szCs w:val="24"/>
        </w:rPr>
        <w:t xml:space="preserve"> najpóźniej na etapie prowadzonych </w:t>
      </w:r>
      <w:r w:rsidR="00F733EB">
        <w:rPr>
          <w:rFonts w:eastAsia="Times New Roman" w:cs="Times New Roman"/>
          <w:szCs w:val="24"/>
        </w:rPr>
        <w:t>negocjacji jest wystarczające i </w:t>
      </w:r>
      <w:r w:rsidRPr="00C52F09">
        <w:rPr>
          <w:rFonts w:eastAsia="Times New Roman" w:cs="Times New Roman"/>
          <w:szCs w:val="24"/>
        </w:rPr>
        <w:t>odpowiednio określone czasowo.</w:t>
      </w:r>
    </w:p>
    <w:p w14:paraId="21C57083" w14:textId="77777777" w:rsidR="00C52F09" w:rsidRPr="00C52F09" w:rsidRDefault="00C52F09" w:rsidP="00C52F09">
      <w:pPr>
        <w:pStyle w:val="ARTartustawynprozporzdzenia"/>
        <w:ind w:firstLine="0"/>
        <w:rPr>
          <w:rFonts w:ascii="Times New Roman" w:hAnsi="Times New Roman" w:cs="Times New Roman"/>
          <w:szCs w:val="24"/>
        </w:rPr>
      </w:pPr>
      <w:r w:rsidRPr="00C52F09">
        <w:rPr>
          <w:rFonts w:ascii="Times New Roman" w:eastAsia="Times New Roman" w:hAnsi="Times New Roman" w:cs="Times New Roman"/>
          <w:szCs w:val="24"/>
        </w:rPr>
        <w:t xml:space="preserve">Zakończeniem etapu negocjacyjnego ma być skierowanie zaproszenia do składania ofert tylko w stosunku do tych wykonawców, którzy dają rękojmię należytego </w:t>
      </w:r>
      <w:r w:rsidRPr="00C52F09">
        <w:rPr>
          <w:rFonts w:ascii="Times New Roman" w:eastAsia="Times New Roman" w:hAnsi="Times New Roman" w:cs="Times New Roman"/>
          <w:szCs w:val="24"/>
        </w:rPr>
        <w:lastRenderedPageBreak/>
        <w:t xml:space="preserve">wykonania zamówienia (art. 6 projektu ustawy). </w:t>
      </w:r>
      <w:r w:rsidRPr="00C52F09">
        <w:rPr>
          <w:rFonts w:ascii="Times New Roman" w:hAnsi="Times New Roman" w:cs="Times New Roman"/>
          <w:szCs w:val="24"/>
        </w:rPr>
        <w:t>Zaproszenie do składania ofert będzie zawierało co najmniej:</w:t>
      </w:r>
    </w:p>
    <w:p w14:paraId="2E7A1C12" w14:textId="77777777" w:rsidR="00C52F09" w:rsidRPr="00C52F09" w:rsidRDefault="00C52F09" w:rsidP="00C52F09">
      <w:pPr>
        <w:pStyle w:val="PKTpunkt"/>
        <w:rPr>
          <w:rFonts w:ascii="Times New Roman" w:hAnsi="Times New Roman" w:cs="Times New Roman"/>
          <w:szCs w:val="24"/>
        </w:rPr>
      </w:pPr>
      <w:r w:rsidRPr="00C52F09">
        <w:rPr>
          <w:rFonts w:ascii="Times New Roman" w:hAnsi="Times New Roman" w:cs="Times New Roman"/>
          <w:szCs w:val="24"/>
        </w:rPr>
        <w:t>1)</w:t>
      </w:r>
      <w:r w:rsidRPr="00C52F09">
        <w:rPr>
          <w:rFonts w:ascii="Times New Roman" w:hAnsi="Times New Roman" w:cs="Times New Roman"/>
          <w:szCs w:val="24"/>
        </w:rPr>
        <w:tab/>
        <w:t>informacje, o których mowa w art. 168 ust. 2 pkt 1 i 4 ustawy z dnia 11 września 2019 r. – Prawo zamówień publicznych;</w:t>
      </w:r>
    </w:p>
    <w:p w14:paraId="1D93A726" w14:textId="77777777" w:rsidR="00C52F09" w:rsidRPr="00C52F09" w:rsidRDefault="00C52F09" w:rsidP="00C52F09">
      <w:pPr>
        <w:pStyle w:val="PKTpunkt"/>
        <w:rPr>
          <w:rFonts w:ascii="Times New Roman" w:hAnsi="Times New Roman" w:cs="Times New Roman"/>
          <w:szCs w:val="24"/>
        </w:rPr>
      </w:pPr>
      <w:r w:rsidRPr="00C52F09">
        <w:rPr>
          <w:rFonts w:ascii="Times New Roman" w:hAnsi="Times New Roman" w:cs="Times New Roman"/>
          <w:szCs w:val="24"/>
        </w:rPr>
        <w:t>2)</w:t>
      </w:r>
      <w:r w:rsidRPr="00C52F09">
        <w:rPr>
          <w:rFonts w:ascii="Times New Roman" w:hAnsi="Times New Roman" w:cs="Times New Roman"/>
          <w:szCs w:val="24"/>
        </w:rPr>
        <w:tab/>
        <w:t>informacje o dokumentach, jakie wykonawca ma przedłożyć w celu wykazania braku podstaw wykluczenia z udziału w postępowaniu o udzielenie zamówienia oraz spełniania warunków udziału w tym postępowaniu.</w:t>
      </w:r>
    </w:p>
    <w:p w14:paraId="448010A8" w14:textId="77777777" w:rsidR="00C52F09" w:rsidRPr="00C52F09" w:rsidRDefault="00C52F09" w:rsidP="00C52F09">
      <w:pPr>
        <w:pStyle w:val="ARTartustawynprozporzdzenia"/>
        <w:ind w:firstLine="0"/>
        <w:rPr>
          <w:rFonts w:ascii="Times New Roman" w:eastAsia="Times New Roman" w:hAnsi="Times New Roman" w:cs="Times New Roman"/>
          <w:szCs w:val="24"/>
        </w:rPr>
      </w:pPr>
      <w:r w:rsidRPr="00C52F09">
        <w:rPr>
          <w:rFonts w:ascii="Times New Roman" w:eastAsia="Times New Roman" w:hAnsi="Times New Roman" w:cs="Times New Roman"/>
          <w:szCs w:val="24"/>
        </w:rPr>
        <w:t>Ponadto wraz z przekazaniem zaproszeń do składania ofert inwestor udostępni wykonawcom ostateczną Specyfikację Warunków Zamówienia (SWZ) (art. 7 ust. 2 projektu ustawy), najważniejszy dokument postępowania o udzielenie zamówienia</w:t>
      </w:r>
      <w:r w:rsidRPr="00F241CE">
        <w:rPr>
          <w:rStyle w:val="Ppogrubienie"/>
          <w:rFonts w:ascii="Times New Roman" w:hAnsi="Times New Roman" w:cs="Times New Roman"/>
          <w:b w:val="0"/>
          <w:szCs w:val="24"/>
        </w:rPr>
        <w:t>,</w:t>
      </w:r>
      <w:r w:rsidRPr="00C52F09">
        <w:rPr>
          <w:rStyle w:val="Ppogrubienie"/>
          <w:rFonts w:ascii="Times New Roman" w:hAnsi="Times New Roman" w:cs="Times New Roman"/>
          <w:szCs w:val="24"/>
        </w:rPr>
        <w:t xml:space="preserve"> do której zgodnie z art. 10 projektu ustawy należy stosować odpowiednio art. 134 ustawy Pzp.</w:t>
      </w:r>
    </w:p>
    <w:p w14:paraId="000BCB30" w14:textId="40FDF063"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Projektowany przepis art. 7 ust. 3 jednoznacznie stwierdza, że </w:t>
      </w:r>
      <w:r w:rsidR="00337107">
        <w:rPr>
          <w:rFonts w:eastAsia="Times New Roman" w:cs="Times New Roman"/>
          <w:szCs w:val="24"/>
        </w:rPr>
        <w:t>i</w:t>
      </w:r>
      <w:r w:rsidRPr="00C52F09">
        <w:rPr>
          <w:rFonts w:eastAsia="Times New Roman" w:cs="Times New Roman"/>
          <w:szCs w:val="24"/>
        </w:rPr>
        <w:t>nwestor może unieważnić postępowanie o udzielenie zamówienia na każdym jego etapie, bez konieczności uzasadnienia takiej decyzji. Ze względu na charakter inwestycji w zakresie Krajowego Centrum Przetwarzania Danych oraz potrzebę ich szybkiej realizacji, inwestor powinien mieć zapewnioną możliwość unieważnienia post</w:t>
      </w:r>
      <w:r w:rsidR="009D3049">
        <w:rPr>
          <w:rFonts w:eastAsia="Times New Roman" w:cs="Times New Roman"/>
          <w:szCs w:val="24"/>
        </w:rPr>
        <w:t>ę</w:t>
      </w:r>
      <w:r w:rsidRPr="00C52F09">
        <w:rPr>
          <w:rFonts w:eastAsia="Times New Roman" w:cs="Times New Roman"/>
          <w:szCs w:val="24"/>
        </w:rPr>
        <w:t>powania na każdym etapie. Jednakże w takim przypadku zapewniona zostanie ustawowa gwarancja praw podmiotowych dla wykonawców, którzy nie podlegają wykluczeniu. Takim wykonawcom zgodnie z projektowanym art. 7 ust. 4 będzie przysługiwało roszczenie o zwrot uzasadnionych kosztów uczestnictwa w tym postępowaniu, w szczególności kosztów przygotowania oferty.</w:t>
      </w:r>
    </w:p>
    <w:p w14:paraId="5F7E8EDB" w14:textId="6993C0FB" w:rsidR="00C52F09" w:rsidRPr="00C52F09" w:rsidRDefault="00C52F09" w:rsidP="00C52F09">
      <w:pPr>
        <w:widowControl/>
        <w:suppressAutoHyphens/>
        <w:spacing w:before="120"/>
        <w:jc w:val="both"/>
        <w:rPr>
          <w:rFonts w:eastAsia="Times New Roman" w:cs="Times New Roman"/>
          <w:szCs w:val="24"/>
        </w:rPr>
      </w:pPr>
      <w:r w:rsidRPr="00C52F09">
        <w:rPr>
          <w:rFonts w:eastAsia="Times New Roman" w:cs="Times New Roman"/>
          <w:szCs w:val="24"/>
        </w:rPr>
        <w:t>Zgodnie z projektem ustawy podczas prowadzonego postępowania o udzielenie zamówienia dotyczącego inwestycji, zarówno na etapie negocjacyjnym, jak i po przekazaniu zaproszeń do składania ofert</w:t>
      </w:r>
      <w:r w:rsidR="00454656">
        <w:rPr>
          <w:rFonts w:eastAsia="Times New Roman" w:cs="Times New Roman"/>
          <w:szCs w:val="24"/>
        </w:rPr>
        <w:t>,</w:t>
      </w:r>
      <w:r w:rsidRPr="00C52F09">
        <w:rPr>
          <w:rFonts w:eastAsia="Times New Roman" w:cs="Times New Roman"/>
          <w:szCs w:val="24"/>
        </w:rPr>
        <w:t xml:space="preserve"> inwestor będzie zobligowany stosować przepisy projektowanej ustawy oraz wskazane w projekcie przepisy ustawy Pzp. Zgodnie z projektowanym art. 10 do zamówień związanych z przygotowaniem, realizacją i użytkowaniem inwestycji w zakresie Krajowego Centrum Przetwarzania Danych,</w:t>
      </w:r>
      <w:r w:rsidR="0003018A">
        <w:rPr>
          <w:rFonts w:eastAsia="Times New Roman" w:cs="Times New Roman"/>
          <w:szCs w:val="24"/>
        </w:rPr>
        <w:t xml:space="preserve"> </w:t>
      </w:r>
      <w:r w:rsidRPr="00C52F09">
        <w:rPr>
          <w:rFonts w:eastAsia="Times New Roman" w:cs="Times New Roman"/>
          <w:szCs w:val="24"/>
        </w:rPr>
        <w:t xml:space="preserve">których wartość jest równa lub przekracza kwotę, o której mowa w art. 2 ust. 1 pkt 1 </w:t>
      </w:r>
      <w:r w:rsidRPr="00C52F09">
        <w:rPr>
          <w:rFonts w:eastAsia="Times New Roman" w:cs="Times New Roman"/>
          <w:bCs/>
          <w:szCs w:val="24"/>
        </w:rPr>
        <w:t>ustawy z dnia 11 września 2019 r. – Prawo zamówień publicznych</w:t>
      </w:r>
      <w:r w:rsidRPr="00C52F09">
        <w:rPr>
          <w:rFonts w:eastAsia="Times New Roman" w:cs="Times New Roman"/>
          <w:szCs w:val="24"/>
        </w:rPr>
        <w:t>,</w:t>
      </w:r>
      <w:r w:rsidR="0003018A">
        <w:rPr>
          <w:rFonts w:eastAsia="Times New Roman" w:cs="Times New Roman"/>
          <w:szCs w:val="24"/>
        </w:rPr>
        <w:t xml:space="preserve"> </w:t>
      </w:r>
      <w:r w:rsidRPr="00C52F09">
        <w:rPr>
          <w:rFonts w:eastAsia="Times New Roman" w:cs="Times New Roman"/>
          <w:szCs w:val="24"/>
        </w:rPr>
        <w:t xml:space="preserve">nie stosuje się przepisów </w:t>
      </w:r>
      <w:r w:rsidRPr="00C52F09">
        <w:rPr>
          <w:rFonts w:eastAsia="Times New Roman" w:cs="Times New Roman"/>
          <w:bCs/>
          <w:szCs w:val="24"/>
        </w:rPr>
        <w:t xml:space="preserve">ustawy z dnia 11 września 2019 r. – Prawo zamówień </w:t>
      </w:r>
      <w:r w:rsidRPr="00C52F09">
        <w:rPr>
          <w:rFonts w:eastAsia="Times New Roman" w:cs="Times New Roman"/>
          <w:bCs/>
          <w:szCs w:val="24"/>
        </w:rPr>
        <w:lastRenderedPageBreak/>
        <w:t>publicznych</w:t>
      </w:r>
      <w:r w:rsidRPr="00C52F09">
        <w:rPr>
          <w:rFonts w:eastAsia="Times New Roman" w:cs="Times New Roman"/>
          <w:szCs w:val="24"/>
        </w:rPr>
        <w:t xml:space="preserve">, </w:t>
      </w:r>
      <w:r w:rsidR="00F733EB">
        <w:rPr>
          <w:rFonts w:cs="Times New Roman"/>
          <w:color w:val="000000"/>
          <w:szCs w:val="24"/>
        </w:rPr>
        <w:t>z </w:t>
      </w:r>
      <w:r w:rsidRPr="00C52F09">
        <w:rPr>
          <w:rFonts w:cs="Times New Roman"/>
          <w:color w:val="000000"/>
          <w:szCs w:val="24"/>
        </w:rPr>
        <w:t>wyjątkiem przepisów wskazanych w ustawie, a także odpowiedniego zastosowania</w:t>
      </w:r>
      <w:r w:rsidR="0003018A">
        <w:rPr>
          <w:rFonts w:eastAsia="Times New Roman" w:cs="Times New Roman"/>
          <w:szCs w:val="24"/>
        </w:rPr>
        <w:t>:</w:t>
      </w:r>
    </w:p>
    <w:p w14:paraId="153B5E06" w14:textId="77777777" w:rsidR="00C52F09" w:rsidRPr="00C52F09" w:rsidRDefault="00C52F09" w:rsidP="00C52F09">
      <w:pPr>
        <w:pStyle w:val="PKTpunkt"/>
        <w:ind w:left="284" w:hanging="284"/>
        <w:rPr>
          <w:rFonts w:ascii="Times New Roman" w:eastAsia="Times New Roman" w:hAnsi="Times New Roman" w:cs="Times New Roman"/>
          <w:szCs w:val="24"/>
        </w:rPr>
      </w:pPr>
      <w:r w:rsidRPr="00C52F09">
        <w:rPr>
          <w:rFonts w:ascii="Times New Roman" w:eastAsia="Times New Roman" w:hAnsi="Times New Roman" w:cs="Times New Roman"/>
          <w:szCs w:val="24"/>
        </w:rPr>
        <w:t>1)</w:t>
      </w:r>
      <w:r w:rsidRPr="00C52F09">
        <w:rPr>
          <w:rFonts w:ascii="Times New Roman" w:eastAsia="Times New Roman" w:hAnsi="Times New Roman" w:cs="Times New Roman"/>
          <w:szCs w:val="24"/>
        </w:rPr>
        <w:tab/>
        <w:t>art. 16, art. 17 ust. 1 i 3, art. 56, art. 99 ust. 1, 2 i 4–7, art. 134 i art. 168 ust. 2 tej ustawy, które dotyczą inwestora;</w:t>
      </w:r>
    </w:p>
    <w:p w14:paraId="2192D3F7" w14:textId="77777777" w:rsidR="00C52F09" w:rsidRPr="00C52F09" w:rsidRDefault="00C52F09" w:rsidP="00C52F09">
      <w:pPr>
        <w:pStyle w:val="PKTpunkt"/>
        <w:ind w:left="284" w:hanging="284"/>
        <w:rPr>
          <w:rFonts w:ascii="Times New Roman" w:eastAsia="Times New Roman" w:hAnsi="Times New Roman" w:cs="Times New Roman"/>
          <w:szCs w:val="24"/>
        </w:rPr>
      </w:pPr>
      <w:r w:rsidRPr="00C52F09">
        <w:rPr>
          <w:rFonts w:ascii="Times New Roman" w:eastAsia="Times New Roman" w:hAnsi="Times New Roman" w:cs="Times New Roman"/>
          <w:szCs w:val="24"/>
        </w:rPr>
        <w:t>2)</w:t>
      </w:r>
      <w:r w:rsidRPr="00C52F09">
        <w:rPr>
          <w:rFonts w:ascii="Times New Roman" w:eastAsia="Times New Roman" w:hAnsi="Times New Roman" w:cs="Times New Roman"/>
          <w:szCs w:val="24"/>
        </w:rPr>
        <w:tab/>
        <w:t>art. 108 i art. 109 tej ustawy, które dotyczą wykonawcy.</w:t>
      </w:r>
    </w:p>
    <w:p w14:paraId="18DA5EA9" w14:textId="77777777" w:rsidR="00C52F09" w:rsidRPr="00C52F09" w:rsidRDefault="00C52F09" w:rsidP="00C52F09">
      <w:pPr>
        <w:widowControl/>
        <w:suppressAutoHyphens/>
        <w:spacing w:before="120"/>
        <w:jc w:val="both"/>
        <w:rPr>
          <w:rFonts w:eastAsia="Times New Roman" w:cs="Times New Roman"/>
          <w:b/>
          <w:color w:val="000000"/>
          <w:szCs w:val="24"/>
        </w:rPr>
      </w:pPr>
      <w:r w:rsidRPr="00C52F09">
        <w:rPr>
          <w:rFonts w:eastAsia="Times New Roman" w:cs="Times New Roman"/>
          <w:b/>
          <w:szCs w:val="24"/>
        </w:rPr>
        <w:t>Zastosowanie</w:t>
      </w:r>
      <w:r w:rsidRPr="00C52F09">
        <w:rPr>
          <w:rFonts w:eastAsia="Times New Roman" w:cs="Times New Roman"/>
          <w:b/>
          <w:color w:val="000000"/>
          <w:szCs w:val="24"/>
        </w:rPr>
        <w:t xml:space="preserve"> art. 16 ustawy Pzp dotyczącego </w:t>
      </w:r>
      <w:r w:rsidRPr="00C52F09">
        <w:rPr>
          <w:rFonts w:eastAsia="Times New Roman" w:cs="Times New Roman"/>
          <w:b/>
          <w:bCs/>
          <w:color w:val="000000"/>
          <w:szCs w:val="24"/>
        </w:rPr>
        <w:t>zasad przygotowania i przeprowadzania postępowania o udzielenie zamówienia</w:t>
      </w:r>
    </w:p>
    <w:p w14:paraId="0C6E2827" w14:textId="77777777" w:rsidR="00C52F09" w:rsidRPr="00C52F09" w:rsidRDefault="00C52F09" w:rsidP="00C52F09">
      <w:pPr>
        <w:shd w:val="clear" w:color="auto" w:fill="FFFFFF"/>
        <w:spacing w:before="120"/>
        <w:jc w:val="both"/>
        <w:rPr>
          <w:rFonts w:eastAsia="Times New Roman" w:cs="Times New Roman"/>
          <w:color w:val="000000"/>
          <w:szCs w:val="24"/>
        </w:rPr>
      </w:pPr>
      <w:r w:rsidRPr="00C52F09">
        <w:rPr>
          <w:rFonts w:eastAsia="Times New Roman" w:cs="Times New Roman"/>
          <w:color w:val="000000"/>
          <w:szCs w:val="24"/>
        </w:rPr>
        <w:t>Zgodnie z brzmieniem art. 16 ustawy Pzp Zamawiający przygotowuje i przeprowadza postępowanie o udzielenie zamówienia w sposób:</w:t>
      </w:r>
    </w:p>
    <w:p w14:paraId="790720D4" w14:textId="77777777" w:rsidR="00C52F09" w:rsidRPr="00C52F09" w:rsidRDefault="00C52F09" w:rsidP="00C52F09">
      <w:pPr>
        <w:widowControl/>
        <w:numPr>
          <w:ilvl w:val="0"/>
          <w:numId w:val="3"/>
        </w:numPr>
        <w:shd w:val="clear" w:color="auto" w:fill="FFFFFF"/>
        <w:autoSpaceDE/>
        <w:autoSpaceDN/>
        <w:adjustRightInd/>
        <w:ind w:left="357" w:hanging="357"/>
        <w:contextualSpacing/>
        <w:jc w:val="both"/>
        <w:rPr>
          <w:rFonts w:eastAsia="Times New Roman" w:cs="Times New Roman"/>
          <w:color w:val="000000"/>
          <w:szCs w:val="24"/>
        </w:rPr>
      </w:pPr>
      <w:r w:rsidRPr="00C52F09">
        <w:rPr>
          <w:rFonts w:eastAsia="Times New Roman" w:cs="Times New Roman"/>
          <w:color w:val="000000"/>
          <w:szCs w:val="24"/>
        </w:rPr>
        <w:t>zapewniający zachowanie uczciwej konkurencji oraz równe traktowanie wykonawców;</w:t>
      </w:r>
    </w:p>
    <w:p w14:paraId="21835BDB" w14:textId="77777777" w:rsidR="00C52F09" w:rsidRPr="00C52F09" w:rsidRDefault="00C52F09" w:rsidP="00C52F09">
      <w:pPr>
        <w:widowControl/>
        <w:numPr>
          <w:ilvl w:val="0"/>
          <w:numId w:val="3"/>
        </w:numPr>
        <w:shd w:val="clear" w:color="auto" w:fill="FFFFFF"/>
        <w:autoSpaceDE/>
        <w:autoSpaceDN/>
        <w:adjustRightInd/>
        <w:ind w:left="357" w:hanging="357"/>
        <w:contextualSpacing/>
        <w:jc w:val="both"/>
        <w:rPr>
          <w:rFonts w:eastAsia="Times New Roman" w:cs="Times New Roman"/>
          <w:color w:val="000000"/>
          <w:szCs w:val="24"/>
        </w:rPr>
      </w:pPr>
      <w:r w:rsidRPr="00C52F09">
        <w:rPr>
          <w:rFonts w:eastAsia="Times New Roman" w:cs="Times New Roman"/>
          <w:color w:val="000000"/>
          <w:szCs w:val="24"/>
        </w:rPr>
        <w:t>przejrzysty;</w:t>
      </w:r>
    </w:p>
    <w:p w14:paraId="47679755" w14:textId="77777777" w:rsidR="00C52F09" w:rsidRPr="00C52F09" w:rsidRDefault="00C52F09" w:rsidP="00C52F09">
      <w:pPr>
        <w:widowControl/>
        <w:numPr>
          <w:ilvl w:val="0"/>
          <w:numId w:val="3"/>
        </w:numPr>
        <w:shd w:val="clear" w:color="auto" w:fill="FFFFFF"/>
        <w:autoSpaceDE/>
        <w:autoSpaceDN/>
        <w:adjustRightInd/>
        <w:ind w:left="357" w:hanging="357"/>
        <w:contextualSpacing/>
        <w:jc w:val="both"/>
        <w:rPr>
          <w:rFonts w:eastAsia="Times New Roman" w:cs="Times New Roman"/>
          <w:color w:val="000000"/>
          <w:szCs w:val="24"/>
        </w:rPr>
      </w:pPr>
      <w:r w:rsidRPr="00C52F09">
        <w:rPr>
          <w:rFonts w:eastAsia="Times New Roman" w:cs="Times New Roman"/>
          <w:color w:val="000000"/>
          <w:szCs w:val="24"/>
        </w:rPr>
        <w:t>proporcjonalny.</w:t>
      </w:r>
    </w:p>
    <w:p w14:paraId="6C256940" w14:textId="68FBE2CC"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Projekt ustawy nakazuje odpowiednio stosować przepis art. 16 ustawy Pzp, który przewiduje konieczność zachowania uczciwej konkurencji i równego traktowania wykonawców. Przepis ten nakazuje inwestorowi taki sposób określenia poszczególnych elementów przygotowywanego postępowania, który </w:t>
      </w:r>
      <w:r w:rsidR="009D3049" w:rsidRPr="00C52F09">
        <w:rPr>
          <w:rFonts w:eastAsia="Times New Roman" w:cs="Times New Roman"/>
          <w:szCs w:val="24"/>
        </w:rPr>
        <w:t xml:space="preserve">będzie </w:t>
      </w:r>
      <w:r w:rsidRPr="00C52F09">
        <w:rPr>
          <w:rFonts w:eastAsia="Times New Roman" w:cs="Times New Roman"/>
          <w:szCs w:val="24"/>
        </w:rPr>
        <w:t>stanowić złoty środek pomiędzy rzeczywistymi potrzebami inwestora a wprowadzanymi ograniczeniami dostępu do zamówienia, ze względu na postawione wymogi odnoszące się zarówno do sposobu wykonania danego zamówienia, jak i niezbędnego poziomu weryfikacji wykonawcy. Inwestor zatem nie będzie mógł tworzyć i wprowadzać nieuzasadnionych barier ograniczających prawo potencjalnych wykonawców do wzięcia udziału w zamówieni</w:t>
      </w:r>
      <w:r w:rsidR="00F733EB">
        <w:rPr>
          <w:rFonts w:eastAsia="Times New Roman" w:cs="Times New Roman"/>
          <w:szCs w:val="24"/>
        </w:rPr>
        <w:t>ach, nie może również działać w </w:t>
      </w:r>
      <w:r w:rsidRPr="00C52F09">
        <w:rPr>
          <w:rFonts w:eastAsia="Times New Roman" w:cs="Times New Roman"/>
          <w:szCs w:val="24"/>
        </w:rPr>
        <w:t xml:space="preserve">sposób, który będzie eliminować z udziału w postępowaniu określonej grupy wykonawców albo też stwarzać określonej grupie uprzywilejowanej pozycji. </w:t>
      </w:r>
    </w:p>
    <w:p w14:paraId="7243A020"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Uwzględnienie w projekcie ustawy katalogu zasad prawa zamówień publicznych i nałożenie na inwestora obowiązku kierowania się tym katalogiem podczas dokonywania wyboru wykonawcy inwestycji jest rozwiązaniem zapewniającym zachowanie zasady proporcjonalności i przeciwdziałającym ewentualnym nadużyciom. </w:t>
      </w:r>
    </w:p>
    <w:p w14:paraId="2762F0C6" w14:textId="77777777" w:rsidR="00C52F09" w:rsidRPr="00C52F09" w:rsidRDefault="00C52F09" w:rsidP="00C52F09">
      <w:pPr>
        <w:widowControl/>
        <w:suppressAutoHyphens/>
        <w:spacing w:before="120"/>
        <w:jc w:val="both"/>
        <w:rPr>
          <w:rFonts w:eastAsia="Times New Roman" w:cs="Times New Roman"/>
          <w:b/>
          <w:szCs w:val="24"/>
        </w:rPr>
      </w:pPr>
      <w:r w:rsidRPr="00C52F09">
        <w:rPr>
          <w:rFonts w:eastAsia="Times New Roman" w:cs="Times New Roman"/>
          <w:b/>
          <w:szCs w:val="24"/>
        </w:rPr>
        <w:lastRenderedPageBreak/>
        <w:t xml:space="preserve">Odpowiednie zastosowanie art. 17 ust. 1 i 3 ustawy Pzp dotyczącego </w:t>
      </w:r>
      <w:r w:rsidRPr="00C52F09">
        <w:rPr>
          <w:rFonts w:eastAsia="Times New Roman" w:cs="Times New Roman"/>
          <w:b/>
          <w:bCs/>
          <w:szCs w:val="24"/>
        </w:rPr>
        <w:t>zasad udzielania zamówienia</w:t>
      </w:r>
    </w:p>
    <w:p w14:paraId="19BBAD3B" w14:textId="2238AE56"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Stosownie do treści art. 17 ust. 1 ustawy Pzp </w:t>
      </w:r>
      <w:r w:rsidR="00912737">
        <w:rPr>
          <w:rFonts w:eastAsia="Times New Roman" w:cs="Times New Roman"/>
          <w:szCs w:val="24"/>
        </w:rPr>
        <w:t>z</w:t>
      </w:r>
      <w:r w:rsidRPr="00C52F09">
        <w:rPr>
          <w:rFonts w:eastAsia="Times New Roman" w:cs="Times New Roman"/>
          <w:szCs w:val="24"/>
        </w:rPr>
        <w:t>amawiający udziela zamówienia w sposób zapewniający:</w:t>
      </w:r>
    </w:p>
    <w:p w14:paraId="4FF166FB" w14:textId="77777777" w:rsidR="00C52F09" w:rsidRPr="00C52F09" w:rsidRDefault="00C52F09" w:rsidP="00C52F09">
      <w:pPr>
        <w:widowControl/>
        <w:numPr>
          <w:ilvl w:val="0"/>
          <w:numId w:val="4"/>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najlepszą jakość dostaw, usług oraz robót budowlanych, uzasadnioną charakterem</w:t>
      </w:r>
      <w:r w:rsidR="0003018A">
        <w:rPr>
          <w:rFonts w:eastAsia="Times New Roman" w:cs="Times New Roman"/>
          <w:szCs w:val="24"/>
        </w:rPr>
        <w:t xml:space="preserve"> </w:t>
      </w:r>
      <w:r w:rsidRPr="00C52F09">
        <w:rPr>
          <w:rFonts w:eastAsia="Times New Roman" w:cs="Times New Roman"/>
          <w:szCs w:val="24"/>
        </w:rPr>
        <w:t>zamówienia, w ramach środków, które zamawiający może przeznaczyć na jego realizację, oraz</w:t>
      </w:r>
    </w:p>
    <w:p w14:paraId="7B088E03" w14:textId="77777777" w:rsidR="00C52F09" w:rsidRPr="00C52F09" w:rsidRDefault="00C52F09" w:rsidP="00C52F09">
      <w:pPr>
        <w:widowControl/>
        <w:numPr>
          <w:ilvl w:val="0"/>
          <w:numId w:val="4"/>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uzyskanie najlepszych efektów zamówienia, w tym efektów społecznych, środowiskowych oraz gospodarczych, o ile którykolwiek z tych efektów jest możliwy do uzyskania w danym zamówieniu, w stosunku do poniesionych nakładów.</w:t>
      </w:r>
    </w:p>
    <w:p w14:paraId="123CF956" w14:textId="77777777"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 xml:space="preserve">Czynności związane z przygotowaniem oraz przeprowadzeniem postępowania o udzielenie zamówienia wykonują osoby zapewniające bezstronność i obiektywizm (art. 17 ust. 3 ustawy Pzp). </w:t>
      </w:r>
    </w:p>
    <w:p w14:paraId="48360F9D" w14:textId="77FDB0AB" w:rsidR="00C52F09" w:rsidRPr="00C52F09" w:rsidRDefault="00C52F09" w:rsidP="00C52F09">
      <w:pPr>
        <w:widowControl/>
        <w:suppressAutoHyphens/>
        <w:spacing w:before="120"/>
        <w:jc w:val="both"/>
        <w:rPr>
          <w:rFonts w:eastAsia="Times New Roman" w:cs="Times New Roman"/>
          <w:szCs w:val="24"/>
        </w:rPr>
      </w:pPr>
      <w:r w:rsidRPr="00C52F09">
        <w:rPr>
          <w:rFonts w:eastAsia="Times New Roman" w:cs="Times New Roman"/>
          <w:szCs w:val="24"/>
        </w:rPr>
        <w:t>Przytoczony powyżej przepis ustawy Pzp jest nową zasadą w systemie zamówień publicznych, mając na celu zapewnienie przez jednostkę zamawiającą, aby prowadzone przez nią postępowania każdorazowo prowadziły do osiągnięcia możliwie najlepszej jakości (a nie najniższej ceny) kontraktowanych zamówień, uzasadnionej ich charakterem, w ramach środków, które zamawiający może przeznaczyć na ich realizację, przy równoczesnym zagwarantowaniu uzyskania najlepszych efektów zamówienia, w tym efektów społecznych, środowiskowych oraz gospodarczych, o ile którykolwiek z tych efektów jest możliwy do uzyskania w danym zamówieniu w stosunku do poniesionych nakładów. Nowa zasada ma charakter generalny i powinna przyświecać zamawiającym przede wszystkim w planowan</w:t>
      </w:r>
      <w:r w:rsidR="00F733EB">
        <w:rPr>
          <w:rFonts w:eastAsia="Times New Roman" w:cs="Times New Roman"/>
          <w:szCs w:val="24"/>
        </w:rPr>
        <w:t>iu i </w:t>
      </w:r>
      <w:r w:rsidRPr="00C52F09">
        <w:rPr>
          <w:rFonts w:eastAsia="Times New Roman" w:cs="Times New Roman"/>
          <w:szCs w:val="24"/>
        </w:rPr>
        <w:t xml:space="preserve">przygotowywaniu wszystkich postępowań o udzielenie zamówienia. Spodziewanym jej efektem powinna być zmiana filozofii prowadzonych postępowań z nabywania produktów najtańszych na te, które przedstawiać będą najlepszą relację jakości, jak również efektów, jakie zamówienie pozwoli uzyskać, do ceny. Wobec czego uwzględnienie tej zasady prawa zamówień publicznych podczas realizowania celów projektu ustawy daje gwarancje </w:t>
      </w:r>
      <w:r w:rsidRPr="00C52F09">
        <w:rPr>
          <w:rFonts w:eastAsia="Times New Roman" w:cs="Times New Roman"/>
          <w:szCs w:val="24"/>
          <w:shd w:val="clear" w:color="auto" w:fill="FFFFFF"/>
        </w:rPr>
        <w:t xml:space="preserve">podjęcia przez inwestora takich działań, aby uzyskana jakość dostaw, usług czy robót budowlanych, zdefiniowana odpowiednio do charakteru zamówienia, była możliwie najlepsza, a nie najtańsza. Należy </w:t>
      </w:r>
      <w:r w:rsidRPr="00C52F09">
        <w:rPr>
          <w:rFonts w:eastAsia="Times New Roman" w:cs="Times New Roman"/>
          <w:szCs w:val="24"/>
          <w:shd w:val="clear" w:color="auto" w:fill="FFFFFF"/>
        </w:rPr>
        <w:lastRenderedPageBreak/>
        <w:t>zauważyć, że nie musi to być jakość najwyższa dostępna na rynku, gdyż ograniczeniem dla wymagań jakościowych jest charakter zamówienia. Jeżeli więc potrzeby inwestora mogą być w równym stopniu zaspokojone przez dobra o niższej i wyższej jakości, to zasada proporcjonalności będzie przemawiała za szerszym otwarciem rynku. Będzie to również pozostawało w zgodzie z drugim warunkiem – uzyskana jakość ma być najlepsza w stosunku do środków, które inwestor może przeznaczyć na sfinansowanie realizacji zamówienia.</w:t>
      </w:r>
    </w:p>
    <w:p w14:paraId="5D01DCCA" w14:textId="35390AF7"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Odnosząc się do uwzględnionego w treści projektu ustawy art. 17 ust. 3 ustawy Pzp</w:t>
      </w:r>
      <w:r w:rsidR="00186A87">
        <w:rPr>
          <w:rFonts w:eastAsia="Times New Roman" w:cs="Times New Roman"/>
          <w:szCs w:val="24"/>
        </w:rPr>
        <w:t>,</w:t>
      </w:r>
      <w:r w:rsidRPr="00C52F09">
        <w:rPr>
          <w:rFonts w:eastAsia="Times New Roman" w:cs="Times New Roman"/>
          <w:szCs w:val="24"/>
        </w:rPr>
        <w:t xml:space="preserve"> należy wskazać, że czynności inwestora podejmowane czy to na etapie przygotowania, czy też przeprowadzenia postępowania powinny być zawsze podejmowane wyłącznie przez osoby, które są w stanie zagwarantować bezstronność i obiektywizm. </w:t>
      </w:r>
    </w:p>
    <w:p w14:paraId="2B801AA9" w14:textId="5526E05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Obowiązek nałożony na zamawiającego prawem zamówień publicznych znajduje swe źródło również w prawodawstwie unijnym. Zgodnie z</w:t>
      </w:r>
      <w:r w:rsidR="0003018A">
        <w:rPr>
          <w:rFonts w:eastAsia="Times New Roman" w:cs="Times New Roman"/>
          <w:szCs w:val="24"/>
        </w:rPr>
        <w:t xml:space="preserve"> </w:t>
      </w:r>
      <w:r w:rsidR="0003018A" w:rsidRPr="00C52F09">
        <w:rPr>
          <w:rFonts w:eastAsia="Times New Roman" w:cs="Times New Roman"/>
          <w:szCs w:val="24"/>
        </w:rPr>
        <w:t>art. 24</w:t>
      </w:r>
      <w:r w:rsidR="0003018A">
        <w:rPr>
          <w:rFonts w:eastAsia="Times New Roman" w:cs="Times New Roman"/>
          <w:szCs w:val="24"/>
        </w:rPr>
        <w:t xml:space="preserve"> </w:t>
      </w:r>
      <w:r w:rsidRPr="00C52F09">
        <w:rPr>
          <w:rFonts w:eastAsia="Times New Roman" w:cs="Times New Roman"/>
          <w:szCs w:val="24"/>
        </w:rPr>
        <w:t>dyrektywy 2014/24/UE państwa członkowskie zapewniają podjęcie przez instytucje zamawiające odpowiednich środków, by skutecznie zapobiegać konfliktom interesów, a także rozpoznawać i likwidować je, gdy powstają w związku z prowadzeniem postępowań o udzielenie zamówień, by nie dopuścić do ewentualnego zakłócenia konkurencji i zapewnić równe traktowanie wszystkich wykonawców. Wymaga zauważenia, że czynności podejmowane przez osoby bezstronne w stosunku do wykonawców, biorących udział w postępowaniu, pozwalają na osiągnięcie możliwie największego obiektywizmu, czego skutkiem jest podejmowanie decyzji, w toku prowadzonego postępowania, w oparciu o treść dokumentów zamówienia, z wyłączeniem osobistego stosunku do danego wykonawcy. Instytucją urzeczywistniającą realizację tej zasady jest konieczność wyłączenia poszczególnych osób z postępowania po stronie zamawiającego w przypadku zaistnienia okoliczności wskazanych wprost przez Prawo zamówień publicznych</w:t>
      </w:r>
      <w:r w:rsidRPr="00C52F09">
        <w:rPr>
          <w:rFonts w:eastAsia="Times New Roman" w:cs="Times New Roman"/>
          <w:szCs w:val="24"/>
          <w:vertAlign w:val="superscript"/>
        </w:rPr>
        <w:footnoteReference w:id="1"/>
      </w:r>
      <w:r w:rsidR="00B65111">
        <w:rPr>
          <w:rFonts w:eastAsia="Times New Roman" w:cs="Times New Roman"/>
          <w:szCs w:val="24"/>
          <w:vertAlign w:val="superscript"/>
        </w:rPr>
        <w:t>)</w:t>
      </w:r>
      <w:r w:rsidRPr="00C52F09">
        <w:rPr>
          <w:rFonts w:eastAsia="Times New Roman" w:cs="Times New Roman"/>
          <w:szCs w:val="24"/>
        </w:rPr>
        <w:t>.</w:t>
      </w:r>
    </w:p>
    <w:p w14:paraId="6C8B80BC" w14:textId="77777777" w:rsidR="00C52F09" w:rsidRPr="00C52F09" w:rsidRDefault="00C52F09" w:rsidP="00C52F09">
      <w:pPr>
        <w:widowControl/>
        <w:suppressAutoHyphens/>
        <w:spacing w:before="120"/>
        <w:jc w:val="both"/>
        <w:rPr>
          <w:rFonts w:eastAsia="Times New Roman" w:cs="Times New Roman"/>
          <w:b/>
          <w:szCs w:val="24"/>
        </w:rPr>
      </w:pPr>
      <w:r w:rsidRPr="00C52F09">
        <w:rPr>
          <w:rFonts w:eastAsia="Times New Roman" w:cs="Times New Roman"/>
          <w:b/>
          <w:szCs w:val="24"/>
        </w:rPr>
        <w:t xml:space="preserve">Zastosowanie art. 99 ust. 1, 2, 4, 5, 6 i 7 ustawy Pzp dotyczącego </w:t>
      </w:r>
      <w:r w:rsidRPr="00C52F09">
        <w:rPr>
          <w:rFonts w:eastAsia="Times New Roman" w:cs="Times New Roman"/>
          <w:b/>
          <w:bCs/>
          <w:szCs w:val="24"/>
        </w:rPr>
        <w:t>zasad opisywania przedmiotu zamówienia</w:t>
      </w:r>
    </w:p>
    <w:p w14:paraId="3ED6A71B" w14:textId="77777777" w:rsidR="00C52F09" w:rsidRPr="00C52F09" w:rsidRDefault="00C52F09" w:rsidP="00C52F09">
      <w:pPr>
        <w:shd w:val="clear" w:color="auto" w:fill="FFFFFF"/>
        <w:spacing w:before="120"/>
        <w:jc w:val="both"/>
        <w:rPr>
          <w:rFonts w:eastAsia="Times New Roman" w:cs="Times New Roman"/>
          <w:b/>
          <w:bCs/>
          <w:szCs w:val="24"/>
        </w:rPr>
      </w:pPr>
      <w:r w:rsidRPr="00C52F09">
        <w:rPr>
          <w:rFonts w:eastAsia="Times New Roman" w:cs="Times New Roman"/>
          <w:bCs/>
          <w:szCs w:val="24"/>
        </w:rPr>
        <w:lastRenderedPageBreak/>
        <w:t>Stosownie do treści art.</w:t>
      </w:r>
      <w:r w:rsidR="0003018A">
        <w:rPr>
          <w:rFonts w:eastAsia="Times New Roman" w:cs="Times New Roman"/>
          <w:bCs/>
          <w:szCs w:val="24"/>
        </w:rPr>
        <w:t xml:space="preserve"> </w:t>
      </w:r>
      <w:r w:rsidRPr="00C52F09">
        <w:rPr>
          <w:rFonts w:eastAsia="Times New Roman" w:cs="Times New Roman"/>
          <w:bCs/>
          <w:szCs w:val="24"/>
        </w:rPr>
        <w:t>99</w:t>
      </w:r>
      <w:r w:rsidR="0003018A">
        <w:rPr>
          <w:rFonts w:eastAsia="Times New Roman" w:cs="Times New Roman"/>
          <w:bCs/>
          <w:szCs w:val="24"/>
        </w:rPr>
        <w:t xml:space="preserve"> </w:t>
      </w:r>
      <w:r w:rsidRPr="00C52F09">
        <w:rPr>
          <w:rFonts w:eastAsia="Times New Roman" w:cs="Times New Roman"/>
          <w:bCs/>
          <w:szCs w:val="24"/>
        </w:rPr>
        <w:t xml:space="preserve">ust. 1 ustawy Pzp </w:t>
      </w:r>
      <w:r w:rsidRPr="00C52F09">
        <w:rPr>
          <w:rFonts w:eastAsia="Times New Roman" w:cs="Times New Roman"/>
          <w:szCs w:val="24"/>
        </w:rPr>
        <w:t>przedmiot zamówienia opisuje się w sposób jednoznaczny i wyczerpujący, za pomocą dostatecznie dokładnych i zrozumiałych określeń, uwzględniając wymagania i okoliczności mogące mieć wpływ na sporządzenie oferty.</w:t>
      </w:r>
    </w:p>
    <w:p w14:paraId="4BD5858F" w14:textId="77777777"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Zamawiający określa w opisie przedmiotu zamówienia wymagane cechy dostaw, usług lub robót budowlanych. Cechy te mogą odnosić się w szczególności do określonego procesu, metody produkcji, realizacji wymaganych dostaw, usług lub robót budowlanych, lub do konkretnego procesu innego etapu ich cyklu życia, nawet jeżeli te czynniki nie są ich istotnym elementem, pod warunkiem, że są one związane z przedmiotem zamówienia oraz proporcjonalne do jego wartości i celów (art. 99 ust. 2 ustawy Pzp).</w:t>
      </w:r>
    </w:p>
    <w:p w14:paraId="5971951E" w14:textId="77777777"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Przedmiotu zamówienia nie można opisywać w sposób, który mógłby utrudniać uczciwą konkurencję, w szczególności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(art. 99 ust. 4 ustawy Pzp). Przedmiot zamówienia można opisać przez wskazanie znaków towarowych, patentów lub pochodzenia, źródła lub szczególnego procesu, który charakteryzuje produkty lub usługi dostarczane przez konkretnego wykonawcę, jeżeli zamawiający nie może opisać przedmiotu zamówienia w wystarczająco precyzyjny i zrozumiały sposób, a wskazaniu takiemu towarzyszą wyrazy „lub równoważny” (art. 99 ust. 5 ustawy Pzp). Jeżeli przedmiot zamówienia został opisany w sposób, o którym mowa w ust. 5, zamawiający wskazuje w opisie przedmiotu zamówienia kryteria stosowane w celu oceny równoważności (art. 99 ust. 6 ustawy Pzp). Zamawiający może określić w opisie przedmiotu zamówienia konieczność przeniesienia praw własności intelektualnej lub udzielenia licencji (art. 99 ust. 7 ustawy Pzp).</w:t>
      </w:r>
    </w:p>
    <w:p w14:paraId="75727564" w14:textId="6360F13C"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 xml:space="preserve">Przygotowując opis przedmiotu zamówienia </w:t>
      </w:r>
      <w:r w:rsidR="007E6FB0">
        <w:rPr>
          <w:rFonts w:eastAsia="Times New Roman" w:cs="Times New Roman"/>
          <w:szCs w:val="24"/>
        </w:rPr>
        <w:t xml:space="preserve">i </w:t>
      </w:r>
      <w:r w:rsidRPr="00C52F09">
        <w:rPr>
          <w:rFonts w:eastAsia="Times New Roman" w:cs="Times New Roman"/>
          <w:szCs w:val="24"/>
        </w:rPr>
        <w:t>uwzględniając zasady opisane w art. 99 ustawy Pzp powyżej</w:t>
      </w:r>
      <w:r w:rsidR="007E6FB0">
        <w:rPr>
          <w:rFonts w:eastAsia="Times New Roman" w:cs="Times New Roman"/>
          <w:szCs w:val="24"/>
        </w:rPr>
        <w:t>,</w:t>
      </w:r>
      <w:r w:rsidRPr="00C52F09">
        <w:rPr>
          <w:rFonts w:eastAsia="Times New Roman" w:cs="Times New Roman"/>
          <w:szCs w:val="24"/>
        </w:rPr>
        <w:t xml:space="preserve"> inwestor zobligowany zostanie do posługiwania się pojęciami jednoznacznymi, zrozumiałymi dla wykonawców, które nie będą wprowadzały </w:t>
      </w:r>
      <w:r w:rsidRPr="00C52F09">
        <w:rPr>
          <w:rFonts w:eastAsia="Times New Roman" w:cs="Times New Roman"/>
          <w:szCs w:val="24"/>
        </w:rPr>
        <w:lastRenderedPageBreak/>
        <w:t>w błąd co do rzeczywistych oczekiwań odnośnie do realizacji przedmiotu zamówienia. Sporządzony opis nie powinien pozostawiać żadnych wątpliwości bądź też możliwości dowolnej jego interpretacji. Opis winien obejmować wszelkie aspekty i czynności, jakich wykonania oczekuje inwestor od przyszłego wykonawcy, w taki sposób, aby umożliwić mu rzetelne oszacowanie kosztów wykonania tego zamówienia, a co za tym idzie złożenie prawidłowej, obejmującej wykonanie całego wymaganego zakresu oferty. Jak wskazuje się bowiem w doktrynie</w:t>
      </w:r>
      <w:r w:rsidR="007E6FB0">
        <w:rPr>
          <w:rFonts w:eastAsia="Times New Roman" w:cs="Times New Roman"/>
          <w:szCs w:val="24"/>
        </w:rPr>
        <w:t>,</w:t>
      </w:r>
      <w:r w:rsidRPr="00C52F09">
        <w:rPr>
          <w:rFonts w:eastAsia="Times New Roman" w:cs="Times New Roman"/>
          <w:szCs w:val="24"/>
        </w:rPr>
        <w:t xml:space="preserve"> precyzyjność opisu przedmiotu zamówienia ma kluczowe znaczenie dla prawidłowości postępowania o udzielenie zamówienia publicznego, ponieważ gwarantuje zaró</w:t>
      </w:r>
      <w:r w:rsidR="00F733EB">
        <w:rPr>
          <w:rFonts w:eastAsia="Times New Roman" w:cs="Times New Roman"/>
          <w:szCs w:val="24"/>
        </w:rPr>
        <w:t>wno porównywalność ofert, jak i </w:t>
      </w:r>
      <w:r w:rsidRPr="00C52F09">
        <w:rPr>
          <w:rFonts w:eastAsia="Times New Roman" w:cs="Times New Roman"/>
          <w:szCs w:val="24"/>
        </w:rPr>
        <w:t>możliwość stosunkowo łatwej weryfikacji zgodności złożonych ofert ze specyfikacją. Wieloznaczność opisu czy braki w nim mogą powodować wadliwość ukształtowania cen ofert wykonawców przez ich nieuzasadnione zawyżenie lub zaniżenie.</w:t>
      </w:r>
    </w:p>
    <w:p w14:paraId="430E60D5" w14:textId="191373ED"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Inwestor musi również uwzględnić podczas procesu tworzenia opisu przedmiotu zamówienia zakaz opisywania przedmiotu zamówienia w sposób, który mógłby utrudniać uczciwą konkurencję. W ustawie Pzp został przygotowany przykładowy katalog naruszeń, jakie mogłyby wpływać na uprzywilejowanie bądź wyeliminowanie niektórych wykonawców lub produktów, tj. opisywanie przedmiotu zamówienia za pomocą znaków towarowych, patentów czy nawet pochodzenia, źródła lub szczególnego procesu, który charakteryzuje produkty lub usługi dostarczane przez konkretnego wykonawcę. W związku z powyższym specyfikacje techniczne powinny być opracowywane w taki sposób, aby uniknąć sztucznego zawężania konkurencji poprzez wymogi, które faworyzują konkretnego wykonawcę, odzwierciedlając kluczowe cechy dostaw, usług lub robót budowlanych oferowanych zwykle przez tego wykonawcę. Jak podnosi się w orzecznictwie oraz stanowiskach kontroli, naruszenie uczciwej konkurencji może nastąpić w dwojaki sposób: bezpośredni i – zdecydowanie częściej występujący na rynku – sposób pośredni, w szczególności poprzez zbyt ścisłe, rygorystyczne sporządzenie opisu. Oczywiście należy mieć na uwadze, że zasada nienaruszenia uczciwej konkurencji nie może być traktowana jako zasada o charakterze absolutnym, która uniemożliwi inwestorowi sporządzenia opisu stosownie do rzeczywistych potrzeb. To inwestor bowiem, będąc gospodarzem postępowania</w:t>
      </w:r>
      <w:r w:rsidR="007E6FB0">
        <w:rPr>
          <w:rFonts w:eastAsia="Times New Roman" w:cs="Times New Roman"/>
          <w:szCs w:val="24"/>
        </w:rPr>
        <w:t>,</w:t>
      </w:r>
      <w:r w:rsidRPr="00C52F09">
        <w:rPr>
          <w:rFonts w:eastAsia="Times New Roman" w:cs="Times New Roman"/>
          <w:szCs w:val="24"/>
        </w:rPr>
        <w:t xml:space="preserve"> określa zakres zarówno przedmiotowy, jak i podmiotowy, charakteryzujący cel, jaki </w:t>
      </w:r>
      <w:r w:rsidRPr="00C52F09">
        <w:rPr>
          <w:rFonts w:eastAsia="Times New Roman" w:cs="Times New Roman"/>
          <w:szCs w:val="24"/>
        </w:rPr>
        <w:lastRenderedPageBreak/>
        <w:t xml:space="preserve">ma osiągnąć, na pewno nie musi zatem tak organizować warunków danego zamówienia, by wszystkim podmiotom działającym na rynku w danej branży zapewnić możliwość wzięcia udziału w takim postępowaniu. Podkreślić bowiem trzeba, że nie uchybi przepisom ustawy Pzp takie opisanie warunków zamówienia, które w pierwszej kolejności pozwoli tak je ukształtować, aby spełniały uzasadnione potrzeby inwestora oraz cel, który musi wykazywać się szczególną dbałością o racjonalne wydatkowanie środków publicznych. </w:t>
      </w:r>
    </w:p>
    <w:p w14:paraId="19A5AD9D" w14:textId="46881244" w:rsidR="00C52F09" w:rsidRPr="00C52F09" w:rsidRDefault="00C52F09" w:rsidP="00C52F09">
      <w:pPr>
        <w:widowControl/>
        <w:shd w:val="clear" w:color="auto" w:fill="FFFFFF"/>
        <w:suppressAutoHyphens/>
        <w:spacing w:before="120"/>
        <w:jc w:val="both"/>
        <w:rPr>
          <w:rFonts w:eastAsia="Times New Roman" w:cs="Times New Roman"/>
          <w:b/>
          <w:szCs w:val="24"/>
        </w:rPr>
      </w:pPr>
      <w:r w:rsidRPr="00C52F09">
        <w:rPr>
          <w:rFonts w:eastAsia="Times New Roman" w:cs="Times New Roman"/>
          <w:b/>
          <w:szCs w:val="24"/>
        </w:rPr>
        <w:t>Zastosowanie art. 108 ustawy Pzp (</w:t>
      </w:r>
      <w:r w:rsidRPr="00C52F09">
        <w:rPr>
          <w:rFonts w:eastAsia="Times New Roman" w:cs="Times New Roman"/>
          <w:b/>
          <w:bCs/>
          <w:szCs w:val="24"/>
        </w:rPr>
        <w:t>przesłanki obligatoryjnego wykluczenia wykonawców z postępowania) oraz art. 109 (przesłanki fakultatywnego wyklucze</w:t>
      </w:r>
      <w:r w:rsidR="00F733EB">
        <w:rPr>
          <w:rFonts w:eastAsia="Times New Roman" w:cs="Times New Roman"/>
          <w:b/>
          <w:bCs/>
          <w:szCs w:val="24"/>
        </w:rPr>
        <w:t>nia wykonawców z </w:t>
      </w:r>
      <w:r w:rsidRPr="00C52F09">
        <w:rPr>
          <w:rFonts w:eastAsia="Times New Roman" w:cs="Times New Roman"/>
          <w:b/>
          <w:bCs/>
          <w:szCs w:val="24"/>
        </w:rPr>
        <w:t>postępowania)</w:t>
      </w:r>
      <w:r w:rsidRPr="00C52F09">
        <w:rPr>
          <w:rFonts w:eastAsia="Times New Roman" w:cs="Times New Roman"/>
          <w:b/>
          <w:szCs w:val="24"/>
        </w:rPr>
        <w:t xml:space="preserve"> </w:t>
      </w:r>
    </w:p>
    <w:p w14:paraId="04021889" w14:textId="77777777" w:rsidR="00C52F09" w:rsidRPr="00C52F09" w:rsidRDefault="00C52F09" w:rsidP="00C52F09">
      <w:pPr>
        <w:widowControl/>
        <w:shd w:val="clear" w:color="auto" w:fill="FFFFFF"/>
        <w:suppressAutoHyphens/>
        <w:spacing w:before="120"/>
        <w:jc w:val="both"/>
        <w:rPr>
          <w:rFonts w:eastAsia="Times New Roman" w:cs="Times New Roman"/>
          <w:szCs w:val="24"/>
        </w:rPr>
      </w:pPr>
      <w:r w:rsidRPr="00C52F09">
        <w:rPr>
          <w:rFonts w:eastAsia="Times New Roman" w:cs="Times New Roman"/>
          <w:szCs w:val="24"/>
        </w:rPr>
        <w:t>Zgodnie z art. 108 ust. 1 ustawy Pzp z postępowania o udzielenie zamówienia wyklucza się wykonawcę:</w:t>
      </w:r>
    </w:p>
    <w:p w14:paraId="5F73F198" w14:textId="77777777" w:rsidR="00C52F09" w:rsidRPr="00C52F09" w:rsidRDefault="00C52F09" w:rsidP="00C52F09">
      <w:pPr>
        <w:widowControl/>
        <w:numPr>
          <w:ilvl w:val="0"/>
          <w:numId w:val="5"/>
        </w:numPr>
        <w:shd w:val="clear" w:color="auto" w:fill="FFFFFF"/>
        <w:autoSpaceDE/>
        <w:autoSpaceDN/>
        <w:adjustRightInd/>
        <w:spacing w:before="120"/>
        <w:ind w:left="284" w:hanging="284"/>
        <w:contextualSpacing/>
        <w:jc w:val="both"/>
        <w:rPr>
          <w:rFonts w:eastAsia="Times New Roman" w:cs="Times New Roman"/>
          <w:szCs w:val="24"/>
        </w:rPr>
      </w:pPr>
      <w:r w:rsidRPr="00C52F09">
        <w:rPr>
          <w:rFonts w:eastAsia="Times New Roman" w:cs="Times New Roman"/>
          <w:szCs w:val="24"/>
        </w:rPr>
        <w:t>będącego osobą fizyczną, którego prawomocnie skazano za przestępstwo:</w:t>
      </w:r>
    </w:p>
    <w:p w14:paraId="7E084C66" w14:textId="77777777"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rPr>
      </w:pPr>
      <w:r w:rsidRPr="00C52F09">
        <w:rPr>
          <w:rFonts w:eastAsia="Times New Roman" w:cs="Times New Roman"/>
          <w:szCs w:val="24"/>
        </w:rPr>
        <w:t>udziału w zorganizowanej grupie przestępczej albo związku mającym na celu popełnienie przestępstwa lub przestępstwa skarbowego, o którym mowa w art. 258 Kodeksu karnego,</w:t>
      </w:r>
    </w:p>
    <w:p w14:paraId="1F67F2BF" w14:textId="77777777"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rPr>
      </w:pPr>
      <w:r w:rsidRPr="00C52F09">
        <w:rPr>
          <w:rFonts w:eastAsia="Times New Roman" w:cs="Times New Roman"/>
          <w:szCs w:val="24"/>
        </w:rPr>
        <w:t>handlu ludźmi, o którym mowa w art. 189a Kodeksu karnego,</w:t>
      </w:r>
    </w:p>
    <w:p w14:paraId="71D84F71" w14:textId="7C14498C"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rPr>
      </w:pPr>
      <w:r w:rsidRPr="00C52F09">
        <w:rPr>
          <w:rFonts w:eastAsia="Times New Roman" w:cs="Times New Roman"/>
          <w:szCs w:val="24"/>
        </w:rPr>
        <w:t>o którym mowa w art. 228</w:t>
      </w:r>
      <w:r w:rsidR="0003018A">
        <w:rPr>
          <w:rFonts w:eastAsia="Times New Roman" w:cs="Times New Roman"/>
          <w:szCs w:val="24"/>
        </w:rPr>
        <w:t>–</w:t>
      </w:r>
      <w:r w:rsidRPr="00C52F09">
        <w:rPr>
          <w:rFonts w:eastAsia="Times New Roman" w:cs="Times New Roman"/>
          <w:szCs w:val="24"/>
        </w:rPr>
        <w:t>230a, art. 250a Kodeksu karnego, w art. 46</w:t>
      </w:r>
      <w:r w:rsidR="0003018A">
        <w:rPr>
          <w:rFonts w:eastAsia="Times New Roman" w:cs="Times New Roman"/>
          <w:szCs w:val="24"/>
        </w:rPr>
        <w:t>–</w:t>
      </w:r>
      <w:r w:rsidRPr="00C52F09">
        <w:rPr>
          <w:rFonts w:eastAsia="Times New Roman" w:cs="Times New Roman"/>
          <w:szCs w:val="24"/>
        </w:rPr>
        <w:t>48 ustawy z dnia 25 czerwca 2010 r. o sporcie (Dz. U. z 2020 r. poz. 1133 oraz z 2021 r. poz. 2054</w:t>
      </w:r>
      <w:r w:rsidR="00594016">
        <w:rPr>
          <w:rFonts w:eastAsia="Times New Roman" w:cs="Times New Roman"/>
          <w:szCs w:val="24"/>
        </w:rPr>
        <w:t xml:space="preserve"> i 2142</w:t>
      </w:r>
      <w:r w:rsidRPr="00C52F09">
        <w:rPr>
          <w:rFonts w:eastAsia="Times New Roman" w:cs="Times New Roman"/>
          <w:szCs w:val="24"/>
        </w:rPr>
        <w:t>) lub w art. 54 ust. 1</w:t>
      </w:r>
      <w:r w:rsidR="0003018A">
        <w:rPr>
          <w:rFonts w:eastAsia="Times New Roman" w:cs="Times New Roman"/>
          <w:szCs w:val="24"/>
        </w:rPr>
        <w:t>–</w:t>
      </w:r>
      <w:r w:rsidRPr="00C52F09">
        <w:rPr>
          <w:rFonts w:eastAsia="Times New Roman" w:cs="Times New Roman"/>
          <w:szCs w:val="24"/>
        </w:rPr>
        <w:t>4 ustawy z dnia 12 maja 2011 r. o refundacji leków, środków spożywczych specjalnego przeznaczenia żywieniowego oraz wyrobów medycznych (Dz. U. z 202</w:t>
      </w:r>
      <w:r w:rsidR="0055033F">
        <w:rPr>
          <w:rFonts w:eastAsia="Times New Roman" w:cs="Times New Roman"/>
          <w:szCs w:val="24"/>
        </w:rPr>
        <w:t>2</w:t>
      </w:r>
      <w:r w:rsidRPr="00C52F09">
        <w:rPr>
          <w:rFonts w:eastAsia="Times New Roman" w:cs="Times New Roman"/>
          <w:szCs w:val="24"/>
        </w:rPr>
        <w:t xml:space="preserve"> r. poz. </w:t>
      </w:r>
      <w:r w:rsidR="0055033F">
        <w:rPr>
          <w:rFonts w:eastAsia="Times New Roman" w:cs="Times New Roman"/>
          <w:szCs w:val="24"/>
        </w:rPr>
        <w:t>463, 583 i 974</w:t>
      </w:r>
      <w:r w:rsidRPr="00C52F09">
        <w:rPr>
          <w:rFonts w:eastAsia="Times New Roman" w:cs="Times New Roman"/>
          <w:szCs w:val="24"/>
        </w:rPr>
        <w:t>),</w:t>
      </w:r>
    </w:p>
    <w:p w14:paraId="126C9BE3" w14:textId="52C735AF"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rPr>
      </w:pPr>
      <w:r w:rsidRPr="00C52F09">
        <w:rPr>
          <w:rFonts w:eastAsia="Times New Roman" w:cs="Times New Roman"/>
          <w:szCs w:val="24"/>
        </w:rPr>
        <w:t>finansowania przestępstwa o charakterze terrorystycznym, o którym mowa w art. 165a Kodeksu karnego, lub przestępstwo udaremniania lub utrudniania stwierdzenia przestępnego pochodzenia pieniędzy lub ukrywania ich pochod</w:t>
      </w:r>
      <w:r w:rsidR="00F733EB">
        <w:rPr>
          <w:rFonts w:eastAsia="Times New Roman" w:cs="Times New Roman"/>
          <w:szCs w:val="24"/>
        </w:rPr>
        <w:t>zenia, o którym mowa w </w:t>
      </w:r>
      <w:r w:rsidRPr="00C52F09">
        <w:rPr>
          <w:rFonts w:eastAsia="Times New Roman" w:cs="Times New Roman"/>
          <w:szCs w:val="24"/>
        </w:rPr>
        <w:t>art. 299 Kodeksu karnego,</w:t>
      </w:r>
    </w:p>
    <w:p w14:paraId="6BA5146D" w14:textId="77777777"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rPr>
      </w:pPr>
      <w:r w:rsidRPr="00C52F09">
        <w:rPr>
          <w:rFonts w:eastAsia="Times New Roman" w:cs="Times New Roman"/>
          <w:szCs w:val="24"/>
        </w:rPr>
        <w:t>o charakterze terrorystycznym, o którym mowa w art. 115 § 20 Kodeksu karnego, lub mające na celu popełnienie tego przestępstwa,</w:t>
      </w:r>
    </w:p>
    <w:p w14:paraId="370D85F2" w14:textId="31567426"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rPr>
      </w:pPr>
      <w:r w:rsidRPr="00C52F09">
        <w:rPr>
          <w:rFonts w:eastAsia="Times New Roman" w:cs="Times New Roman"/>
          <w:szCs w:val="24"/>
        </w:rPr>
        <w:t xml:space="preserve">powierzenia wykonywania pracy małoletniemu cudzoziemcowi, o którym mowa w art. 9 ust. 2 ustawy z dnia 15 czerwca 2012 r. o skutkach powierzania </w:t>
      </w:r>
      <w:r w:rsidRPr="00C52F09">
        <w:rPr>
          <w:rFonts w:eastAsia="Times New Roman" w:cs="Times New Roman"/>
          <w:szCs w:val="24"/>
        </w:rPr>
        <w:lastRenderedPageBreak/>
        <w:t xml:space="preserve">wykonywania pracy cudzoziemcom przebywającym wbrew przepisom na terytorium Rzeczypospolitej Polskiej (Dz. U. </w:t>
      </w:r>
      <w:r w:rsidR="0055033F">
        <w:rPr>
          <w:rFonts w:eastAsia="Times New Roman" w:cs="Times New Roman"/>
          <w:szCs w:val="24"/>
        </w:rPr>
        <w:t>z 2021 r.  poz. 1745</w:t>
      </w:r>
      <w:r w:rsidRPr="00C52F09">
        <w:rPr>
          <w:rFonts w:eastAsia="Times New Roman" w:cs="Times New Roman"/>
          <w:szCs w:val="24"/>
        </w:rPr>
        <w:t>),</w:t>
      </w:r>
    </w:p>
    <w:p w14:paraId="1CD86191" w14:textId="77777777"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rPr>
      </w:pPr>
      <w:r w:rsidRPr="00C52F09">
        <w:rPr>
          <w:rFonts w:eastAsia="Times New Roman" w:cs="Times New Roman"/>
          <w:szCs w:val="24"/>
        </w:rPr>
        <w:t>przeciwko obrotowi gospodarczemu, o których mowa w art. 296</w:t>
      </w:r>
      <w:r w:rsidR="0003018A">
        <w:rPr>
          <w:rFonts w:eastAsia="Times New Roman" w:cs="Times New Roman"/>
          <w:szCs w:val="24"/>
        </w:rPr>
        <w:t>–</w:t>
      </w:r>
      <w:r w:rsidRPr="00C52F09">
        <w:rPr>
          <w:rFonts w:eastAsia="Times New Roman" w:cs="Times New Roman"/>
          <w:szCs w:val="24"/>
        </w:rPr>
        <w:t>307 Kodeksu karnego, przestępstwo oszustwa, o którym mowa w art. 286 Kodeksu karnego, przestępstwo przeciwko wiarygodności dokumentów, o których mowa w art. 270</w:t>
      </w:r>
      <w:r w:rsidR="0003018A">
        <w:rPr>
          <w:rFonts w:eastAsia="Times New Roman" w:cs="Times New Roman"/>
          <w:szCs w:val="24"/>
        </w:rPr>
        <w:t>–</w:t>
      </w:r>
      <w:r w:rsidRPr="00C52F09">
        <w:rPr>
          <w:rFonts w:eastAsia="Times New Roman" w:cs="Times New Roman"/>
          <w:szCs w:val="24"/>
        </w:rPr>
        <w:t>277d Kodeksu karnego, lub przestępstwo skarbowe,</w:t>
      </w:r>
    </w:p>
    <w:p w14:paraId="3423CA8C" w14:textId="77777777" w:rsidR="00C52F09" w:rsidRPr="00C52F09" w:rsidRDefault="00C52F09" w:rsidP="008F56AF">
      <w:pPr>
        <w:widowControl/>
        <w:numPr>
          <w:ilvl w:val="0"/>
          <w:numId w:val="6"/>
        </w:numPr>
        <w:shd w:val="clear" w:color="auto" w:fill="FFFFFF"/>
        <w:autoSpaceDE/>
        <w:autoSpaceDN/>
        <w:adjustRightInd/>
        <w:ind w:left="568" w:hanging="284"/>
        <w:jc w:val="both"/>
        <w:rPr>
          <w:rFonts w:eastAsia="Times New Roman" w:cs="Times New Roman"/>
          <w:szCs w:val="24"/>
          <w:lang w:eastAsia="en-US"/>
        </w:rPr>
      </w:pPr>
      <w:r w:rsidRPr="00C52F09">
        <w:rPr>
          <w:rFonts w:eastAsia="Times New Roman" w:cs="Times New Roman"/>
          <w:szCs w:val="24"/>
        </w:rPr>
        <w:t>o którym mowa w art. 9 ust. 1 i 3 lub art. 10 ustawy z dnia 15 czerwca 2012 r. o skutkach powierzania wykonywania pracy cudzoziemcom przebywającym wbrew</w:t>
      </w:r>
      <w:r w:rsidRPr="00C52F09">
        <w:rPr>
          <w:rFonts w:eastAsia="Times New Roman" w:cs="Times New Roman"/>
          <w:szCs w:val="24"/>
          <w:lang w:eastAsia="en-US"/>
        </w:rPr>
        <w:t xml:space="preserve"> przepisom na terytorium Rzeczypospolitej Polskiej </w:t>
      </w:r>
    </w:p>
    <w:p w14:paraId="5C1E32A7" w14:textId="5CB2AC0C" w:rsidR="00C52F09" w:rsidRPr="00C52F09" w:rsidRDefault="008F56AF" w:rsidP="008F56AF">
      <w:pPr>
        <w:shd w:val="clear" w:color="auto" w:fill="FFFFFF"/>
        <w:ind w:left="568" w:hanging="284"/>
        <w:jc w:val="both"/>
        <w:rPr>
          <w:rFonts w:eastAsia="Times New Roman" w:cs="Times New Roman"/>
          <w:szCs w:val="24"/>
        </w:rPr>
      </w:pPr>
      <w:r>
        <w:rPr>
          <w:rFonts w:eastAsia="Times New Roman" w:cs="Times New Roman"/>
          <w:szCs w:val="24"/>
        </w:rPr>
        <w:t>–</w:t>
      </w:r>
      <w:r w:rsidR="00C52F09" w:rsidRPr="00C52F09">
        <w:rPr>
          <w:rFonts w:eastAsia="Times New Roman" w:cs="Times New Roman"/>
          <w:szCs w:val="24"/>
        </w:rPr>
        <w:t xml:space="preserve"> lub za odpowiedni czyn zabroniony określony w przepisach prawa obcego;</w:t>
      </w:r>
    </w:p>
    <w:p w14:paraId="0D8A09B0" w14:textId="77777777" w:rsidR="00C52F09" w:rsidRPr="00C52F09" w:rsidRDefault="00C52F09" w:rsidP="008F56AF">
      <w:pPr>
        <w:widowControl/>
        <w:numPr>
          <w:ilvl w:val="0"/>
          <w:numId w:val="5"/>
        </w:numPr>
        <w:shd w:val="clear" w:color="auto" w:fill="FFFFFF"/>
        <w:autoSpaceDE/>
        <w:autoSpaceDN/>
        <w:adjustRightInd/>
        <w:spacing w:before="120"/>
        <w:ind w:left="308" w:hanging="294"/>
        <w:contextualSpacing/>
        <w:jc w:val="both"/>
        <w:rPr>
          <w:rFonts w:eastAsia="Times New Roman" w:cs="Times New Roman"/>
          <w:szCs w:val="24"/>
        </w:rPr>
      </w:pPr>
      <w:r w:rsidRPr="00C52F09">
        <w:rPr>
          <w:rFonts w:eastAsia="Times New Roman" w:cs="Times New Roman"/>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3A25053" w14:textId="4AE92C2C" w:rsidR="00C52F09" w:rsidRPr="00C52F09" w:rsidRDefault="00C52F09" w:rsidP="008F56AF">
      <w:pPr>
        <w:widowControl/>
        <w:numPr>
          <w:ilvl w:val="0"/>
          <w:numId w:val="5"/>
        </w:numPr>
        <w:shd w:val="clear" w:color="auto" w:fill="FFFFFF"/>
        <w:autoSpaceDE/>
        <w:autoSpaceDN/>
        <w:adjustRightInd/>
        <w:spacing w:before="120"/>
        <w:ind w:left="308" w:hanging="294"/>
        <w:contextualSpacing/>
        <w:jc w:val="both"/>
        <w:rPr>
          <w:rFonts w:eastAsia="Times New Roman" w:cs="Times New Roman"/>
          <w:szCs w:val="24"/>
        </w:rPr>
      </w:pPr>
      <w:r w:rsidRPr="00C52F09">
        <w:rPr>
          <w:rFonts w:eastAsia="Times New Roman" w:cs="Times New Roman"/>
          <w:szCs w:val="24"/>
        </w:rPr>
        <w:t>wobec którego wydano prawomocny wyrok sądu lub ostat</w:t>
      </w:r>
      <w:r w:rsidR="00F733EB">
        <w:rPr>
          <w:rFonts w:eastAsia="Times New Roman" w:cs="Times New Roman"/>
          <w:szCs w:val="24"/>
        </w:rPr>
        <w:t>eczną decyzję administracyjną o </w:t>
      </w:r>
      <w:r w:rsidRPr="00C52F09">
        <w:rPr>
          <w:rFonts w:eastAsia="Times New Roman" w:cs="Times New Roman"/>
          <w:szCs w:val="24"/>
        </w:rPr>
        <w:t>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04F03A27" w14:textId="77777777" w:rsidR="00C52F09" w:rsidRPr="00C52F09" w:rsidRDefault="00C52F09" w:rsidP="008F56AF">
      <w:pPr>
        <w:widowControl/>
        <w:numPr>
          <w:ilvl w:val="0"/>
          <w:numId w:val="5"/>
        </w:numPr>
        <w:shd w:val="clear" w:color="auto" w:fill="FFFFFF"/>
        <w:autoSpaceDE/>
        <w:autoSpaceDN/>
        <w:adjustRightInd/>
        <w:spacing w:before="120"/>
        <w:ind w:left="308" w:hanging="294"/>
        <w:contextualSpacing/>
        <w:jc w:val="both"/>
        <w:rPr>
          <w:rFonts w:eastAsia="Times New Roman" w:cs="Times New Roman"/>
          <w:szCs w:val="24"/>
        </w:rPr>
      </w:pPr>
      <w:r w:rsidRPr="00C52F09">
        <w:rPr>
          <w:rFonts w:eastAsia="Times New Roman" w:cs="Times New Roman"/>
          <w:szCs w:val="24"/>
        </w:rPr>
        <w:t>wobec którego prawomocnie orzeczono zakaz ubiegania się o zamówienia publiczne;</w:t>
      </w:r>
    </w:p>
    <w:p w14:paraId="0EF38DE9" w14:textId="5A57C3BE" w:rsidR="00C52F09" w:rsidRPr="00C52F09" w:rsidRDefault="00C52F09" w:rsidP="008F56AF">
      <w:pPr>
        <w:widowControl/>
        <w:numPr>
          <w:ilvl w:val="0"/>
          <w:numId w:val="5"/>
        </w:numPr>
        <w:shd w:val="clear" w:color="auto" w:fill="FFFFFF"/>
        <w:autoSpaceDE/>
        <w:autoSpaceDN/>
        <w:adjustRightInd/>
        <w:spacing w:before="120"/>
        <w:ind w:left="308" w:hanging="294"/>
        <w:contextualSpacing/>
        <w:jc w:val="both"/>
        <w:rPr>
          <w:rFonts w:eastAsia="Times New Roman" w:cs="Times New Roman"/>
          <w:szCs w:val="24"/>
        </w:rPr>
      </w:pPr>
      <w:r w:rsidRPr="00C52F09">
        <w:rPr>
          <w:rFonts w:eastAsia="Times New Roman" w:cs="Times New Roman"/>
          <w:szCs w:val="24"/>
        </w:rPr>
        <w:t>jeżeli zamawiający może stwierdzić, na podstawie wiarygodnych przesłanek, że wykonawca zawarł z innymi wykonawcami porozumienie mające na celu zakłócenie ko</w:t>
      </w:r>
      <w:r w:rsidR="00F733EB">
        <w:rPr>
          <w:rFonts w:eastAsia="Times New Roman" w:cs="Times New Roman"/>
          <w:szCs w:val="24"/>
        </w:rPr>
        <w:t>nkurencji, w </w:t>
      </w:r>
      <w:r w:rsidRPr="00C52F09">
        <w:rPr>
          <w:rFonts w:eastAsia="Times New Roman" w:cs="Times New Roman"/>
          <w:szCs w:val="24"/>
        </w:rPr>
        <w:t>szczególności, jeżeli</w:t>
      </w:r>
      <w:r w:rsidR="007E6FB0">
        <w:rPr>
          <w:rFonts w:eastAsia="Times New Roman" w:cs="Times New Roman"/>
          <w:szCs w:val="24"/>
        </w:rPr>
        <w:t>,</w:t>
      </w:r>
      <w:r w:rsidRPr="00C52F09">
        <w:rPr>
          <w:rFonts w:eastAsia="Times New Roman" w:cs="Times New Roman"/>
          <w:szCs w:val="24"/>
        </w:rPr>
        <w:t xml:space="preserve"> należąc do tej samej grupy kapitałowej w</w:t>
      </w:r>
      <w:r w:rsidR="0003018A">
        <w:rPr>
          <w:rFonts w:eastAsia="Times New Roman" w:cs="Times New Roman"/>
          <w:szCs w:val="24"/>
        </w:rPr>
        <w:t xml:space="preserve"> </w:t>
      </w:r>
      <w:r w:rsidRPr="00C52F09">
        <w:rPr>
          <w:rFonts w:eastAsia="Times New Roman" w:cs="Times New Roman"/>
          <w:szCs w:val="24"/>
        </w:rPr>
        <w:t>rozumieniu ustawy z dnia 16 lutego 2007 r. o ochronie konkurencji i konsumentów, złożyli odrębne oferty, oferty częściowe lub wnioski o dopuszczenie do udziału w</w:t>
      </w:r>
      <w:r w:rsidR="0003018A">
        <w:rPr>
          <w:rFonts w:eastAsia="Times New Roman" w:cs="Times New Roman"/>
          <w:szCs w:val="24"/>
        </w:rPr>
        <w:t xml:space="preserve"> </w:t>
      </w:r>
      <w:r w:rsidRPr="00C52F09">
        <w:rPr>
          <w:rFonts w:eastAsia="Times New Roman" w:cs="Times New Roman"/>
          <w:szCs w:val="24"/>
        </w:rPr>
        <w:t>postępowaniu, chyba że wykażą, że przygotowali te oferty lub wnioski niezależnie od siebie;</w:t>
      </w:r>
    </w:p>
    <w:p w14:paraId="3097EFC6" w14:textId="6BA9823F" w:rsidR="00C52F09" w:rsidRPr="00C52F09" w:rsidRDefault="00C52F09" w:rsidP="008F56AF">
      <w:pPr>
        <w:widowControl/>
        <w:numPr>
          <w:ilvl w:val="0"/>
          <w:numId w:val="5"/>
        </w:numPr>
        <w:shd w:val="clear" w:color="auto" w:fill="FFFFFF"/>
        <w:autoSpaceDE/>
        <w:autoSpaceDN/>
        <w:adjustRightInd/>
        <w:spacing w:before="120"/>
        <w:ind w:left="308" w:hanging="294"/>
        <w:contextualSpacing/>
        <w:jc w:val="both"/>
        <w:rPr>
          <w:rFonts w:eastAsia="Times New Roman" w:cs="Times New Roman"/>
          <w:szCs w:val="24"/>
        </w:rPr>
      </w:pPr>
      <w:r w:rsidRPr="00C52F09">
        <w:rPr>
          <w:rFonts w:eastAsia="Times New Roman" w:cs="Times New Roman"/>
          <w:szCs w:val="24"/>
        </w:rPr>
        <w:lastRenderedPageBreak/>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w:t>
      </w:r>
      <w:r w:rsidR="00F733EB">
        <w:rPr>
          <w:rFonts w:eastAsia="Times New Roman" w:cs="Times New Roman"/>
          <w:szCs w:val="24"/>
        </w:rPr>
        <w:t>ż przez wykluczenie wykonawcy z </w:t>
      </w:r>
      <w:r w:rsidRPr="00C52F09">
        <w:rPr>
          <w:rFonts w:eastAsia="Times New Roman" w:cs="Times New Roman"/>
          <w:szCs w:val="24"/>
        </w:rPr>
        <w:t>udziału w postępowaniu o udzielenie zamówienia.</w:t>
      </w:r>
    </w:p>
    <w:p w14:paraId="4FD64762" w14:textId="4E35D72E" w:rsidR="00C52F09" w:rsidRPr="00C52F09" w:rsidRDefault="00C52F09" w:rsidP="00C52F09">
      <w:pPr>
        <w:widowControl/>
        <w:shd w:val="clear" w:color="auto" w:fill="FFFFFF"/>
        <w:suppressAutoHyphens/>
        <w:spacing w:before="120"/>
        <w:ind w:firstLine="510"/>
        <w:jc w:val="both"/>
        <w:rPr>
          <w:rFonts w:eastAsia="Times New Roman" w:cs="Times New Roman"/>
          <w:szCs w:val="24"/>
        </w:rPr>
      </w:pPr>
      <w:r w:rsidRPr="00C52F09">
        <w:rPr>
          <w:rFonts w:eastAsia="Times New Roman" w:cs="Times New Roman"/>
          <w:szCs w:val="24"/>
        </w:rPr>
        <w:t xml:space="preserve">2. Z postępowania o udzielenie zamówienia, w przypadku zamówienia o wartości równej lub przekraczającej wyrażoną w złotych równowartość kwoty dla robót budowlanych </w:t>
      </w:r>
      <w:r w:rsidR="0003018A">
        <w:rPr>
          <w:rFonts w:eastAsia="Times New Roman" w:cs="Times New Roman"/>
          <w:szCs w:val="24"/>
        </w:rPr>
        <w:t>–</w:t>
      </w:r>
      <w:r w:rsidRPr="00C52F09">
        <w:rPr>
          <w:rFonts w:eastAsia="Times New Roman" w:cs="Times New Roman"/>
          <w:szCs w:val="24"/>
        </w:rPr>
        <w:t xml:space="preserve"> 20 000 000 euro, a dla dostaw lub usług </w:t>
      </w:r>
      <w:r w:rsidR="0003018A">
        <w:rPr>
          <w:rFonts w:eastAsia="Times New Roman" w:cs="Times New Roman"/>
          <w:szCs w:val="24"/>
        </w:rPr>
        <w:t>–</w:t>
      </w:r>
      <w:r w:rsidRPr="00C52F09">
        <w:rPr>
          <w:rFonts w:eastAsia="Times New Roman" w:cs="Times New Roman"/>
          <w:szCs w:val="24"/>
        </w:rPr>
        <w:t xml:space="preserve"> 10 000 000 euro, wyklucza się wykonawcę, który udaremnia lub utrudnia stwierdzenie przestępnego pochodzenia pieniędzy lub ukrywa ich pochodzenie, w związku z brakiem możliwości ustalenia beneficjenta rzeczywistego, w rozumieniu art. 2 ust. 2 pkt 1 ustawy z dnia 1 marca 2018 r. o przeciwdziałaniu praniu pieniędzy oraz finansowaniu terroryzmu (Dz. U. z 2022</w:t>
      </w:r>
      <w:r w:rsidR="00D63EDA">
        <w:rPr>
          <w:rFonts w:eastAsia="Times New Roman" w:cs="Times New Roman"/>
          <w:szCs w:val="24"/>
        </w:rPr>
        <w:t xml:space="preserve"> r.</w:t>
      </w:r>
      <w:r w:rsidRPr="00C52F09">
        <w:rPr>
          <w:rFonts w:eastAsia="Times New Roman" w:cs="Times New Roman"/>
          <w:szCs w:val="24"/>
        </w:rPr>
        <w:t xml:space="preserve"> poz. 593, 655 i 835).</w:t>
      </w:r>
    </w:p>
    <w:p w14:paraId="6A7D6D3D" w14:textId="1671361C" w:rsidR="00C52F09" w:rsidRPr="00C52F09" w:rsidRDefault="00C52F09" w:rsidP="00C52F09">
      <w:pPr>
        <w:widowControl/>
        <w:shd w:val="clear" w:color="auto" w:fill="FFFFFF"/>
        <w:suppressAutoHyphens/>
        <w:spacing w:before="120"/>
        <w:jc w:val="both"/>
        <w:rPr>
          <w:rFonts w:eastAsia="Times New Roman" w:cs="Times New Roman"/>
          <w:szCs w:val="24"/>
        </w:rPr>
      </w:pPr>
      <w:r w:rsidRPr="00C52F09">
        <w:rPr>
          <w:rFonts w:eastAsia="Times New Roman" w:cs="Times New Roman"/>
          <w:szCs w:val="24"/>
        </w:rPr>
        <w:t>W art. 109 ustawy Pzp ujęte zostały dodatkowo fakultatywne przesłanki wykluczenia z udziału w postępowaniu. Jak stanowi powołany przepis:</w:t>
      </w:r>
    </w:p>
    <w:p w14:paraId="68D4B9EA" w14:textId="77777777" w:rsidR="00C52F09" w:rsidRPr="00C52F09" w:rsidRDefault="00C52F09" w:rsidP="00BB0A5C">
      <w:pPr>
        <w:widowControl/>
        <w:shd w:val="clear" w:color="auto" w:fill="FFFFFF"/>
        <w:suppressAutoHyphens/>
        <w:jc w:val="both"/>
        <w:rPr>
          <w:rFonts w:eastAsia="Times New Roman" w:cs="Times New Roman"/>
          <w:szCs w:val="24"/>
        </w:rPr>
      </w:pPr>
      <w:r w:rsidRPr="00C52F09">
        <w:rPr>
          <w:rFonts w:eastAsia="Times New Roman" w:cs="Times New Roman"/>
          <w:szCs w:val="24"/>
        </w:rPr>
        <w:t>1. Z postępowania o udzielenie zamówienia zamawiający może wykluczyć wykonawcę:</w:t>
      </w:r>
    </w:p>
    <w:p w14:paraId="43ED3068" w14:textId="0BBE36F3" w:rsidR="00C52F09" w:rsidRPr="00C52F09" w:rsidRDefault="00C52F09" w:rsidP="00BB0A5C">
      <w:pPr>
        <w:widowControl/>
        <w:numPr>
          <w:ilvl w:val="0"/>
          <w:numId w:val="7"/>
        </w:numPr>
        <w:shd w:val="clear" w:color="auto" w:fill="FFFFFF"/>
        <w:suppressAutoHyphens/>
        <w:ind w:left="588" w:hanging="378"/>
        <w:jc w:val="both"/>
        <w:rPr>
          <w:rFonts w:eastAsia="Times New Roman" w:cs="Times New Roman"/>
          <w:szCs w:val="24"/>
        </w:rPr>
      </w:pPr>
      <w:r w:rsidRPr="00C52F09">
        <w:rPr>
          <w:rFonts w:eastAsia="Times New Roman" w:cs="Times New Roman"/>
          <w:szCs w:val="24"/>
        </w:rPr>
        <w:t xml:space="preserve">który naruszył obowiązki dotyczące płatności podatków, opłat lub składek na ubezpieczenia społeczne lub zdrowotne, z wyjątkiem </w:t>
      </w:r>
      <w:r w:rsidR="00F733EB">
        <w:rPr>
          <w:rFonts w:eastAsia="Times New Roman" w:cs="Times New Roman"/>
          <w:szCs w:val="24"/>
        </w:rPr>
        <w:t>przypadku, o którym mowa w art. </w:t>
      </w:r>
      <w:r w:rsidRPr="00C52F09">
        <w:rPr>
          <w:rFonts w:eastAsia="Times New Roman" w:cs="Times New Roman"/>
          <w:szCs w:val="24"/>
        </w:rPr>
        <w:t>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7D66DCEB" w14:textId="77777777" w:rsidR="00C52F09" w:rsidRPr="00C52F09" w:rsidRDefault="00C52F09" w:rsidP="00BB0A5C">
      <w:pPr>
        <w:widowControl/>
        <w:numPr>
          <w:ilvl w:val="0"/>
          <w:numId w:val="7"/>
        </w:numPr>
        <w:shd w:val="clear" w:color="auto" w:fill="FFFFFF"/>
        <w:suppressAutoHyphens/>
        <w:ind w:left="588" w:hanging="378"/>
        <w:jc w:val="both"/>
        <w:rPr>
          <w:rFonts w:eastAsia="Times New Roman" w:cs="Times New Roman"/>
          <w:szCs w:val="24"/>
        </w:rPr>
      </w:pPr>
      <w:r w:rsidRPr="00C52F09">
        <w:rPr>
          <w:rFonts w:eastAsia="Times New Roman" w:cs="Times New Roman"/>
          <w:szCs w:val="24"/>
        </w:rPr>
        <w:t>który naruszył obowiązki w dziedzinie ochrony środowiska, prawa socjalnego lub prawa pracy:</w:t>
      </w:r>
    </w:p>
    <w:p w14:paraId="6E362D16" w14:textId="45ADB4C1" w:rsidR="00C52F09" w:rsidRPr="00C52F09" w:rsidRDefault="00C52F09" w:rsidP="00BB0A5C">
      <w:pPr>
        <w:widowControl/>
        <w:numPr>
          <w:ilvl w:val="0"/>
          <w:numId w:val="8"/>
        </w:numPr>
        <w:shd w:val="clear" w:color="auto" w:fill="FFFFFF"/>
        <w:suppressAutoHyphens/>
        <w:ind w:left="910" w:hanging="322"/>
        <w:jc w:val="both"/>
        <w:rPr>
          <w:rFonts w:eastAsia="Times New Roman" w:cs="Times New Roman"/>
          <w:szCs w:val="24"/>
        </w:rPr>
      </w:pPr>
      <w:r w:rsidRPr="00C52F09">
        <w:rPr>
          <w:rFonts w:eastAsia="Times New Roman" w:cs="Times New Roman"/>
          <w:szCs w:val="24"/>
        </w:rPr>
        <w:t xml:space="preserve">będącego osobą fizyczną skazanego prawomocnie za przestępstwo przeciwko środowisku, o którym mowa w rozdziale XXII Kodeksu </w:t>
      </w:r>
      <w:r w:rsidRPr="00C52F09">
        <w:rPr>
          <w:rFonts w:eastAsia="Times New Roman" w:cs="Times New Roman"/>
          <w:szCs w:val="24"/>
        </w:rPr>
        <w:lastRenderedPageBreak/>
        <w:t>karnego</w:t>
      </w:r>
      <w:r w:rsidR="00BB0A5C">
        <w:rPr>
          <w:rFonts w:eastAsia="Times New Roman" w:cs="Times New Roman"/>
          <w:szCs w:val="24"/>
        </w:rPr>
        <w:t>,</w:t>
      </w:r>
      <w:r w:rsidRPr="00C52F09">
        <w:rPr>
          <w:rFonts w:eastAsia="Times New Roman" w:cs="Times New Roman"/>
          <w:szCs w:val="24"/>
        </w:rPr>
        <w:t xml:space="preserve"> lub za przestępstwo przeciwko prawom osób wykonujących p</w:t>
      </w:r>
      <w:r w:rsidR="00F733EB">
        <w:rPr>
          <w:rFonts w:eastAsia="Times New Roman" w:cs="Times New Roman"/>
          <w:szCs w:val="24"/>
        </w:rPr>
        <w:t>racę zarobkową, o którym mowa w </w:t>
      </w:r>
      <w:r w:rsidRPr="00C52F09">
        <w:rPr>
          <w:rFonts w:eastAsia="Times New Roman" w:cs="Times New Roman"/>
          <w:szCs w:val="24"/>
        </w:rPr>
        <w:t>rozdziale XXVIII Kodeksu karnego, lub za odpowiedni czyn zabroniony określony w przepisach prawa obcego,</w:t>
      </w:r>
    </w:p>
    <w:p w14:paraId="2F6C9FCD" w14:textId="05C345BC" w:rsidR="00C52F09" w:rsidRPr="00C52F09" w:rsidRDefault="00C52F09" w:rsidP="00BB0A5C">
      <w:pPr>
        <w:widowControl/>
        <w:numPr>
          <w:ilvl w:val="0"/>
          <w:numId w:val="8"/>
        </w:numPr>
        <w:shd w:val="clear" w:color="auto" w:fill="FFFFFF"/>
        <w:suppressAutoHyphens/>
        <w:ind w:left="910" w:hanging="322"/>
        <w:jc w:val="both"/>
        <w:rPr>
          <w:rFonts w:eastAsia="Times New Roman" w:cs="Times New Roman"/>
          <w:szCs w:val="24"/>
        </w:rPr>
      </w:pPr>
      <w:r w:rsidRPr="00C52F09">
        <w:rPr>
          <w:rFonts w:eastAsia="Times New Roman" w:cs="Times New Roman"/>
          <w:szCs w:val="24"/>
        </w:rPr>
        <w:t>będącego osobą fizyczną</w:t>
      </w:r>
      <w:r w:rsidR="00BB0A5C">
        <w:rPr>
          <w:rFonts w:eastAsia="Times New Roman" w:cs="Times New Roman"/>
          <w:szCs w:val="24"/>
        </w:rPr>
        <w:t>,</w:t>
      </w:r>
      <w:r w:rsidRPr="00C52F09">
        <w:rPr>
          <w:rFonts w:eastAsia="Times New Roman" w:cs="Times New Roman"/>
          <w:szCs w:val="24"/>
        </w:rPr>
        <w:t xml:space="preserve"> prawomocnie ukaranego za wykroczenie przeciwko prawom pracownika lub wykroczenie przeciwko środowisku, jeżeli za jego popełnienie wymierzono karę aresztu, ograniczenia wolności lub karę grzywny,</w:t>
      </w:r>
    </w:p>
    <w:p w14:paraId="753B4A38" w14:textId="6D901B52" w:rsidR="00C52F09" w:rsidRPr="00C52F09" w:rsidRDefault="00C52F09" w:rsidP="00BB0A5C">
      <w:pPr>
        <w:widowControl/>
        <w:numPr>
          <w:ilvl w:val="0"/>
          <w:numId w:val="8"/>
        </w:numPr>
        <w:shd w:val="clear" w:color="auto" w:fill="FFFFFF"/>
        <w:suppressAutoHyphens/>
        <w:ind w:left="910" w:hanging="322"/>
        <w:jc w:val="both"/>
        <w:rPr>
          <w:rFonts w:eastAsia="Times New Roman" w:cs="Times New Roman"/>
          <w:szCs w:val="24"/>
        </w:rPr>
      </w:pPr>
      <w:r w:rsidRPr="00C52F09">
        <w:rPr>
          <w:rFonts w:eastAsia="Times New Roman" w:cs="Times New Roman"/>
          <w:szCs w:val="24"/>
        </w:rPr>
        <w:t>wobec którego wydano ostateczną decyzję administracyjną o naruszeniu obowiązków wynikających z prawa ochrony środowis</w:t>
      </w:r>
      <w:r w:rsidR="00F733EB">
        <w:rPr>
          <w:rFonts w:eastAsia="Times New Roman" w:cs="Times New Roman"/>
          <w:szCs w:val="24"/>
        </w:rPr>
        <w:t>ka, prawa pracy lub przepisów o </w:t>
      </w:r>
      <w:r w:rsidRPr="00C52F09">
        <w:rPr>
          <w:rFonts w:eastAsia="Times New Roman" w:cs="Times New Roman"/>
          <w:szCs w:val="24"/>
        </w:rPr>
        <w:t>zabezpieczeniu społecznym, jeżeli wymierzono tą decyzją karę pieniężną;</w:t>
      </w:r>
    </w:p>
    <w:p w14:paraId="7E9B42DF" w14:textId="77777777"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jeżeli urzędującego członka jego organu zarządzającego lub nadzorczego, wspólnika spółki w spółce jawnej lub partnerskiej albo komplementariusza w spółce komandytowej lub komandytowo-akcyjnej lub prokurenta prawomocnie skazano za przestępstwo lub ukarano za wykroczenie, o którym mowa w pkt 2 lit. a lub b;</w:t>
      </w:r>
    </w:p>
    <w:p w14:paraId="25616105" w14:textId="4D7F24D2"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 xml:space="preserve">w stosunku do którego otwarto likwidację, ogłoszono upadłość, którego aktywami zarządza likwidator lub sąd, </w:t>
      </w:r>
      <w:r w:rsidR="00BB0A5C">
        <w:rPr>
          <w:rFonts w:eastAsia="Times New Roman" w:cs="Times New Roman"/>
          <w:szCs w:val="24"/>
        </w:rPr>
        <w:t xml:space="preserve">który </w:t>
      </w:r>
      <w:r w:rsidRPr="00C52F09">
        <w:rPr>
          <w:rFonts w:eastAsia="Times New Roman" w:cs="Times New Roman"/>
          <w:szCs w:val="24"/>
        </w:rPr>
        <w:t>zawarł układ z wierzycielami, którego działalność gospodarcza jest zawieszona albo znajduje się on w innej tego rodzaju sytuacji wynikającej z podobnej procedury przewidzianej w przepisach miejsca wszczęcia tej procedury;</w:t>
      </w:r>
    </w:p>
    <w:p w14:paraId="23D3C7F9" w14:textId="77777777"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EAB560E" w14:textId="77777777"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jeżeli występuje konflikt interesów w rozumieniu art. 56 ust. 2, którego nie można skutecznie wyeliminować w inny sposób niż przez wykluczenie wykonawcy;</w:t>
      </w:r>
    </w:p>
    <w:p w14:paraId="5E110C35" w14:textId="77777777"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 xml:space="preserve">który, z przyczyn leżących po jego stronie, w znacznym stopniu lub zakresie nie wykonał lub nienależycie wykonał albo długotrwale nienależycie </w:t>
      </w:r>
      <w:r w:rsidRPr="00C52F09">
        <w:rPr>
          <w:rFonts w:eastAsia="Times New Roman" w:cs="Times New Roman"/>
          <w:szCs w:val="24"/>
        </w:rPr>
        <w:lastRenderedPageBreak/>
        <w:t>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4F0E4523" w14:textId="77777777"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717F4187" w14:textId="27D25C72"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który bezprawnie wpływał lub próbował wpływać na czynności zamawiającego lub próbował pozyskać lub pozyskał informacje p</w:t>
      </w:r>
      <w:r w:rsidR="00F733EB">
        <w:rPr>
          <w:rFonts w:eastAsia="Times New Roman" w:cs="Times New Roman"/>
          <w:szCs w:val="24"/>
        </w:rPr>
        <w:t>oufne, mogące dać mu przewagę w </w:t>
      </w:r>
      <w:r w:rsidRPr="00C52F09">
        <w:rPr>
          <w:rFonts w:eastAsia="Times New Roman" w:cs="Times New Roman"/>
          <w:szCs w:val="24"/>
        </w:rPr>
        <w:t>postępowaniu o udzielenie zamówienia;</w:t>
      </w:r>
    </w:p>
    <w:p w14:paraId="3A01D4E0" w14:textId="2C950518" w:rsidR="00C52F09" w:rsidRPr="00C52F09" w:rsidRDefault="00C52F09" w:rsidP="00BB0A5C">
      <w:pPr>
        <w:widowControl/>
        <w:numPr>
          <w:ilvl w:val="0"/>
          <w:numId w:val="7"/>
        </w:numPr>
        <w:shd w:val="clear" w:color="auto" w:fill="FFFFFF"/>
        <w:suppressAutoHyphens/>
        <w:ind w:left="616" w:hanging="420"/>
        <w:jc w:val="both"/>
        <w:rPr>
          <w:rFonts w:eastAsia="Times New Roman" w:cs="Times New Roman"/>
          <w:szCs w:val="24"/>
        </w:rPr>
      </w:pPr>
      <w:r w:rsidRPr="00C52F09">
        <w:rPr>
          <w:rFonts w:eastAsia="Times New Roman" w:cs="Times New Roman"/>
          <w:szCs w:val="24"/>
        </w:rPr>
        <w:t xml:space="preserve"> który w wyniku lekkomyślności lub niedbalstwa przedstawił informacje wprowadzające w błąd, co mogło mieć istotny wpływ na decyzje po</w:t>
      </w:r>
      <w:r w:rsidR="00F733EB">
        <w:rPr>
          <w:rFonts w:eastAsia="Times New Roman" w:cs="Times New Roman"/>
          <w:szCs w:val="24"/>
        </w:rPr>
        <w:t>dejmowane przez zamawiającego w </w:t>
      </w:r>
      <w:r w:rsidRPr="00C52F09">
        <w:rPr>
          <w:rFonts w:eastAsia="Times New Roman" w:cs="Times New Roman"/>
          <w:szCs w:val="24"/>
        </w:rPr>
        <w:t>postępowaniu o udzielenie zamówienia.</w:t>
      </w:r>
    </w:p>
    <w:p w14:paraId="73506086" w14:textId="77777777" w:rsidR="00C52F09" w:rsidRPr="00C52F09" w:rsidRDefault="00C52F09" w:rsidP="00BB0A5C">
      <w:pPr>
        <w:widowControl/>
        <w:shd w:val="clear" w:color="auto" w:fill="FFFFFF"/>
        <w:suppressAutoHyphens/>
        <w:jc w:val="both"/>
        <w:rPr>
          <w:rFonts w:eastAsia="Times New Roman" w:cs="Times New Roman"/>
          <w:szCs w:val="24"/>
        </w:rPr>
      </w:pPr>
      <w:r w:rsidRPr="00C52F09">
        <w:rPr>
          <w:rFonts w:eastAsia="Times New Roman" w:cs="Times New Roman"/>
          <w:szCs w:val="24"/>
        </w:rPr>
        <w:t>2. Jeżeli zamawiający przewiduje wykluczenie wykonawcy na podstawie ust. 1, wskazuje podstawy wykluczenia w ogłoszeniu o zamówieniu lub dokumentach zamówienia.</w:t>
      </w:r>
    </w:p>
    <w:p w14:paraId="6D93FBFF" w14:textId="2DCA09CD" w:rsidR="00C52F09" w:rsidRPr="00C52F09" w:rsidRDefault="00C52F09" w:rsidP="00BB0A5C">
      <w:pPr>
        <w:widowControl/>
        <w:shd w:val="clear" w:color="auto" w:fill="FFFFFF"/>
        <w:suppressAutoHyphens/>
        <w:jc w:val="both"/>
        <w:rPr>
          <w:rFonts w:eastAsia="Times New Roman" w:cs="Times New Roman"/>
          <w:szCs w:val="24"/>
        </w:rPr>
      </w:pPr>
      <w:r w:rsidRPr="00C52F09">
        <w:rPr>
          <w:rFonts w:eastAsia="Times New Roman" w:cs="Times New Roman"/>
          <w:szCs w:val="24"/>
        </w:rPr>
        <w:t>3. W przypadkach, o których mowa w ust. 1 pkt 1</w:t>
      </w:r>
      <w:r w:rsidR="0003018A">
        <w:rPr>
          <w:rFonts w:eastAsia="Times New Roman" w:cs="Times New Roman"/>
          <w:szCs w:val="24"/>
        </w:rPr>
        <w:t>–</w:t>
      </w:r>
      <w:r w:rsidRPr="00C52F09">
        <w:rPr>
          <w:rFonts w:eastAsia="Times New Roman" w:cs="Times New Roman"/>
          <w:szCs w:val="24"/>
        </w:rPr>
        <w:t xml:space="preserve">5 lub 7, zamawiający może nie wykluczać wykonawcy, jeżeli wykluczenie byłoby w sposób oczywisty </w:t>
      </w:r>
      <w:r w:rsidR="00F733EB">
        <w:rPr>
          <w:rFonts w:eastAsia="Times New Roman" w:cs="Times New Roman"/>
          <w:szCs w:val="24"/>
        </w:rPr>
        <w:t>nieproporcjonalne, w </w:t>
      </w:r>
      <w:r w:rsidRPr="00C52F09">
        <w:rPr>
          <w:rFonts w:eastAsia="Times New Roman" w:cs="Times New Roman"/>
          <w:szCs w:val="24"/>
        </w:rPr>
        <w:t>szczególności, gdy kwota zaległych podatków lub składek na ubezpieczenie społeczne jest niewielka albo sytuacja ekonomiczna lub finansowa wykona</w:t>
      </w:r>
      <w:r w:rsidR="00F733EB">
        <w:rPr>
          <w:rFonts w:eastAsia="Times New Roman" w:cs="Times New Roman"/>
          <w:szCs w:val="24"/>
        </w:rPr>
        <w:t>wcy, o którym mowa w ust. 1 pkt </w:t>
      </w:r>
      <w:r w:rsidRPr="00C52F09">
        <w:rPr>
          <w:rFonts w:eastAsia="Times New Roman" w:cs="Times New Roman"/>
          <w:szCs w:val="24"/>
        </w:rPr>
        <w:t>4, jest wystarczająca do wykonania zamówienia.</w:t>
      </w:r>
    </w:p>
    <w:p w14:paraId="613767A3" w14:textId="26969AC9" w:rsidR="00C52F09" w:rsidRPr="00C52F09" w:rsidRDefault="00C52F09" w:rsidP="00C52F09">
      <w:pPr>
        <w:widowControl/>
        <w:shd w:val="clear" w:color="auto" w:fill="FFFFFF"/>
        <w:suppressAutoHyphens/>
        <w:spacing w:before="120"/>
        <w:jc w:val="both"/>
        <w:rPr>
          <w:rFonts w:eastAsia="Times New Roman" w:cs="Times New Roman"/>
          <w:szCs w:val="24"/>
        </w:rPr>
      </w:pPr>
      <w:r w:rsidRPr="00C52F09">
        <w:rPr>
          <w:rFonts w:eastAsia="Times New Roman" w:cs="Times New Roman"/>
          <w:szCs w:val="24"/>
        </w:rPr>
        <w:t>Wykluczenie wykonawcy z udziału w postępowaniu jest jedną z podstawowych instytucji ustawy służących eliminacji takich wykonawców, którzy nie spełniają ustawowo określonych warunków dotyczących cech podmiotowych, tj. związanych z właściwością samego wykonawcy. Jeżeli zatem inwestor stwierdzi, że w stosunk</w:t>
      </w:r>
      <w:r w:rsidR="00F733EB">
        <w:rPr>
          <w:rFonts w:eastAsia="Times New Roman" w:cs="Times New Roman"/>
          <w:szCs w:val="24"/>
        </w:rPr>
        <w:t>u do wykonawcy zachodzi jedna z </w:t>
      </w:r>
      <w:r w:rsidRPr="00C52F09">
        <w:rPr>
          <w:rFonts w:eastAsia="Times New Roman" w:cs="Times New Roman"/>
          <w:szCs w:val="24"/>
        </w:rPr>
        <w:t>okoliczności wymienionych w</w:t>
      </w:r>
      <w:r w:rsidR="0003018A">
        <w:rPr>
          <w:rFonts w:eastAsia="Times New Roman" w:cs="Times New Roman"/>
          <w:szCs w:val="24"/>
        </w:rPr>
        <w:t xml:space="preserve"> </w:t>
      </w:r>
      <w:r w:rsidRPr="00C52F09">
        <w:rPr>
          <w:rFonts w:eastAsia="Times New Roman" w:cs="Times New Roman"/>
          <w:szCs w:val="24"/>
        </w:rPr>
        <w:t>art. 108</w:t>
      </w:r>
      <w:r w:rsidR="0003018A">
        <w:rPr>
          <w:rFonts w:eastAsia="Times New Roman" w:cs="Times New Roman"/>
          <w:szCs w:val="24"/>
        </w:rPr>
        <w:t xml:space="preserve"> </w:t>
      </w:r>
      <w:r w:rsidRPr="00C52F09">
        <w:rPr>
          <w:rFonts w:eastAsia="Times New Roman" w:cs="Times New Roman"/>
          <w:szCs w:val="24"/>
        </w:rPr>
        <w:t>lub</w:t>
      </w:r>
      <w:r w:rsidR="0003018A">
        <w:rPr>
          <w:rFonts w:eastAsia="Times New Roman" w:cs="Times New Roman"/>
          <w:szCs w:val="24"/>
        </w:rPr>
        <w:t xml:space="preserve"> </w:t>
      </w:r>
      <w:r w:rsidR="007A4EA1">
        <w:rPr>
          <w:rFonts w:eastAsia="Times New Roman" w:cs="Times New Roman"/>
          <w:szCs w:val="24"/>
        </w:rPr>
        <w:t xml:space="preserve">art. </w:t>
      </w:r>
      <w:r w:rsidRPr="00C52F09">
        <w:rPr>
          <w:rFonts w:eastAsia="Times New Roman" w:cs="Times New Roman"/>
          <w:szCs w:val="24"/>
        </w:rPr>
        <w:t>109</w:t>
      </w:r>
      <w:r w:rsidR="0003018A">
        <w:rPr>
          <w:rFonts w:eastAsia="Times New Roman" w:cs="Times New Roman"/>
          <w:szCs w:val="24"/>
        </w:rPr>
        <w:t xml:space="preserve"> </w:t>
      </w:r>
      <w:r w:rsidRPr="00C52F09">
        <w:rPr>
          <w:rFonts w:eastAsia="Times New Roman" w:cs="Times New Roman"/>
          <w:szCs w:val="24"/>
        </w:rPr>
        <w:lastRenderedPageBreak/>
        <w:t>ustawy Pzp i wskazanych przez inwestora jako mających zastosowanie w postępowaniu – ma obowi</w:t>
      </w:r>
      <w:r w:rsidR="00725FB5">
        <w:rPr>
          <w:rFonts w:eastAsia="Times New Roman" w:cs="Times New Roman"/>
          <w:szCs w:val="24"/>
        </w:rPr>
        <w:t>ązek wykluczyć tego wykonawcę z </w:t>
      </w:r>
      <w:r w:rsidRPr="00C52F09">
        <w:rPr>
          <w:rFonts w:eastAsia="Times New Roman" w:cs="Times New Roman"/>
          <w:szCs w:val="24"/>
        </w:rPr>
        <w:t>postępowania. Należy jednak pamiętać, że na gruncie ustawy Pzp katalog przesłanek wykluczenia zawarty w</w:t>
      </w:r>
      <w:r w:rsidR="0003018A">
        <w:rPr>
          <w:rFonts w:eastAsia="Times New Roman" w:cs="Times New Roman"/>
          <w:szCs w:val="24"/>
        </w:rPr>
        <w:t xml:space="preserve"> </w:t>
      </w:r>
      <w:r w:rsidRPr="00C52F09">
        <w:rPr>
          <w:rFonts w:eastAsia="Times New Roman" w:cs="Times New Roman"/>
          <w:szCs w:val="24"/>
        </w:rPr>
        <w:t>art. 108</w:t>
      </w:r>
      <w:r w:rsidR="0003018A">
        <w:rPr>
          <w:rFonts w:eastAsia="Times New Roman" w:cs="Times New Roman"/>
          <w:szCs w:val="24"/>
        </w:rPr>
        <w:t xml:space="preserve"> </w:t>
      </w:r>
      <w:r w:rsidRPr="00C52F09">
        <w:rPr>
          <w:rFonts w:eastAsia="Times New Roman" w:cs="Times New Roman"/>
          <w:szCs w:val="24"/>
        </w:rPr>
        <w:t>i</w:t>
      </w:r>
      <w:r w:rsidR="0003018A">
        <w:rPr>
          <w:rFonts w:eastAsia="Times New Roman" w:cs="Times New Roman"/>
          <w:szCs w:val="24"/>
        </w:rPr>
        <w:t xml:space="preserve"> </w:t>
      </w:r>
      <w:r w:rsidR="007A4EA1">
        <w:rPr>
          <w:rFonts w:eastAsia="Times New Roman" w:cs="Times New Roman"/>
          <w:szCs w:val="24"/>
        </w:rPr>
        <w:t xml:space="preserve">art. </w:t>
      </w:r>
      <w:r w:rsidRPr="00C52F09">
        <w:rPr>
          <w:rFonts w:eastAsia="Times New Roman" w:cs="Times New Roman"/>
          <w:szCs w:val="24"/>
        </w:rPr>
        <w:t>109</w:t>
      </w:r>
      <w:r w:rsidR="0003018A">
        <w:rPr>
          <w:rFonts w:eastAsia="Times New Roman" w:cs="Times New Roman"/>
          <w:szCs w:val="24"/>
        </w:rPr>
        <w:t xml:space="preserve"> </w:t>
      </w:r>
      <w:r w:rsidRPr="00C52F09">
        <w:rPr>
          <w:rFonts w:eastAsia="Times New Roman" w:cs="Times New Roman"/>
          <w:szCs w:val="24"/>
        </w:rPr>
        <w:t>ustawy Pzp jest zamknięty i przez czynność inwestora (np. umieszczenie postanowienia w specyfikacji warunków zamówienia) nie można go poszerzyć. Przesłanki wykluczenia można podzielić ze względu na kryterium obowiązku ich zastosowania. W</w:t>
      </w:r>
      <w:r w:rsidR="0003018A">
        <w:rPr>
          <w:rFonts w:eastAsia="Times New Roman" w:cs="Times New Roman"/>
          <w:szCs w:val="24"/>
        </w:rPr>
        <w:t xml:space="preserve"> </w:t>
      </w:r>
      <w:r w:rsidRPr="00C52F09">
        <w:rPr>
          <w:rFonts w:eastAsia="Times New Roman" w:cs="Times New Roman"/>
          <w:szCs w:val="24"/>
        </w:rPr>
        <w:t>art. 108</w:t>
      </w:r>
      <w:r w:rsidR="0003018A">
        <w:rPr>
          <w:rFonts w:eastAsia="Times New Roman" w:cs="Times New Roman"/>
          <w:szCs w:val="24"/>
        </w:rPr>
        <w:t xml:space="preserve"> </w:t>
      </w:r>
      <w:r w:rsidRPr="00C52F09">
        <w:rPr>
          <w:rFonts w:eastAsia="Times New Roman" w:cs="Times New Roman"/>
          <w:szCs w:val="24"/>
        </w:rPr>
        <w:t>ustawy Pzp zostały zebrane przesłanki obligatoryjne do zastosowania, a więc niezależne od decyzji inwestora, zaś w</w:t>
      </w:r>
      <w:r w:rsidR="0003018A">
        <w:rPr>
          <w:rFonts w:eastAsia="Times New Roman" w:cs="Times New Roman"/>
          <w:szCs w:val="24"/>
        </w:rPr>
        <w:t xml:space="preserve"> </w:t>
      </w:r>
      <w:r w:rsidRPr="00C52F09">
        <w:rPr>
          <w:rFonts w:eastAsia="Times New Roman" w:cs="Times New Roman"/>
          <w:szCs w:val="24"/>
        </w:rPr>
        <w:t>art. 109</w:t>
      </w:r>
      <w:r w:rsidR="0003018A">
        <w:rPr>
          <w:rFonts w:eastAsia="Times New Roman" w:cs="Times New Roman"/>
          <w:szCs w:val="24"/>
        </w:rPr>
        <w:t xml:space="preserve"> </w:t>
      </w:r>
      <w:r w:rsidRPr="00C52F09">
        <w:rPr>
          <w:rFonts w:eastAsia="Times New Roman" w:cs="Times New Roman"/>
          <w:szCs w:val="24"/>
        </w:rPr>
        <w:t>ustawy Pzp przesłanki fakultatywne, które inwestor będzie mógł uwzględnić w dokumentacji postępowania, ale nie ma takiego obowiązku. W przypadku podjęcia decyzji o zastosowaniu jednej lub kilku przesłanek fakultatywnych niezbędne jest zastrzeżenie w ogłoszeniu o zamówieniu lub dokumentach zamówienia, że inwestor będzie przesłanki te stosował.</w:t>
      </w:r>
    </w:p>
    <w:p w14:paraId="258FB7C0" w14:textId="21B46BAD" w:rsidR="00C52F09" w:rsidRPr="00C52F09" w:rsidRDefault="00C52F09" w:rsidP="00C52F09">
      <w:pPr>
        <w:widowControl/>
        <w:shd w:val="clear" w:color="auto" w:fill="FFFFFF"/>
        <w:suppressAutoHyphens/>
        <w:spacing w:before="120"/>
        <w:jc w:val="both"/>
        <w:rPr>
          <w:rFonts w:eastAsia="Times New Roman" w:cs="Times New Roman"/>
          <w:szCs w:val="24"/>
        </w:rPr>
      </w:pPr>
      <w:r w:rsidRPr="00C52F09">
        <w:rPr>
          <w:rFonts w:eastAsia="Times New Roman" w:cs="Times New Roman"/>
          <w:szCs w:val="24"/>
        </w:rPr>
        <w:t>Katalog przesłanek wykluczenia potencjalnego wykonawcy</w:t>
      </w:r>
      <w:r w:rsidR="00725FB5">
        <w:rPr>
          <w:rFonts w:eastAsia="Times New Roman" w:cs="Times New Roman"/>
          <w:szCs w:val="24"/>
        </w:rPr>
        <w:t xml:space="preserve"> z postępowania, przewidziany w </w:t>
      </w:r>
      <w:r w:rsidRPr="00C52F09">
        <w:rPr>
          <w:rFonts w:eastAsia="Times New Roman" w:cs="Times New Roman"/>
          <w:szCs w:val="24"/>
        </w:rPr>
        <w:t>ustawie Pzp</w:t>
      </w:r>
      <w:r w:rsidR="00BB0A5C">
        <w:rPr>
          <w:rFonts w:eastAsia="Times New Roman" w:cs="Times New Roman"/>
          <w:szCs w:val="24"/>
        </w:rPr>
        <w:t>,</w:t>
      </w:r>
      <w:r w:rsidRPr="00C52F09">
        <w:rPr>
          <w:rFonts w:eastAsia="Times New Roman" w:cs="Times New Roman"/>
          <w:szCs w:val="24"/>
        </w:rPr>
        <w:t xml:space="preserve"> jest szeroki. Posiłkowanie się zatem tym katalogiem podczas procesu udzielania zamówień w ramach inwestycji jest zasadne i właściwe, pozwoli bowiem na wyeliminowanie z postępowania wykonawcy, co do którego inwestor stwierdzi brak pewnych cech podmiotowych.</w:t>
      </w:r>
      <w:r w:rsidR="0003018A">
        <w:rPr>
          <w:rFonts w:eastAsia="Times New Roman" w:cs="Times New Roman"/>
          <w:szCs w:val="24"/>
        </w:rPr>
        <w:t xml:space="preserve"> </w:t>
      </w:r>
      <w:r w:rsidRPr="00C52F09">
        <w:rPr>
          <w:rFonts w:eastAsia="Times New Roman" w:cs="Times New Roman"/>
          <w:szCs w:val="24"/>
        </w:rPr>
        <w:t>Ponadto w projektowanej ustawie dodano katalog wykluczeń zawarty w art. 5 ust. 1 projektu. Powyższe pozwoli na zawierani</w:t>
      </w:r>
      <w:r w:rsidR="007A4EA1">
        <w:rPr>
          <w:rFonts w:eastAsia="Times New Roman" w:cs="Times New Roman"/>
          <w:szCs w:val="24"/>
        </w:rPr>
        <w:t>e</w:t>
      </w:r>
      <w:r w:rsidRPr="00C52F09">
        <w:rPr>
          <w:rFonts w:eastAsia="Times New Roman" w:cs="Times New Roman"/>
          <w:szCs w:val="24"/>
        </w:rPr>
        <w:t xml:space="preserve"> umów z wykonawcami, którzy dają gwarancję należytego wykonania zamówienia, są podmiotami rzetelnym</w:t>
      </w:r>
      <w:r w:rsidR="00725FB5">
        <w:rPr>
          <w:rFonts w:eastAsia="Times New Roman" w:cs="Times New Roman"/>
          <w:szCs w:val="24"/>
        </w:rPr>
        <w:t>i i niewchodzącymi w konflikt z </w:t>
      </w:r>
      <w:r w:rsidRPr="00C52F09">
        <w:rPr>
          <w:rFonts w:eastAsia="Times New Roman" w:cs="Times New Roman"/>
          <w:szCs w:val="24"/>
        </w:rPr>
        <w:t>prawem.</w:t>
      </w:r>
    </w:p>
    <w:p w14:paraId="15890AEF" w14:textId="39E0651E" w:rsidR="00C52F09" w:rsidRPr="00C52F09" w:rsidRDefault="00C52F09" w:rsidP="00C52F09">
      <w:pPr>
        <w:widowControl/>
        <w:shd w:val="clear" w:color="auto" w:fill="FFFFFF"/>
        <w:suppressAutoHyphens/>
        <w:spacing w:before="120"/>
        <w:jc w:val="both"/>
        <w:rPr>
          <w:rFonts w:eastAsia="Times New Roman" w:cs="Times New Roman"/>
          <w:b/>
          <w:szCs w:val="24"/>
        </w:rPr>
      </w:pPr>
      <w:r w:rsidRPr="00C52F09">
        <w:rPr>
          <w:rFonts w:eastAsia="Times New Roman" w:cs="Times New Roman"/>
          <w:b/>
          <w:szCs w:val="24"/>
        </w:rPr>
        <w:t>Zastosowanie art. 134 ustawy Pzp (</w:t>
      </w:r>
      <w:r w:rsidRPr="00C52F09">
        <w:rPr>
          <w:rFonts w:eastAsia="Times New Roman" w:cs="Times New Roman"/>
          <w:b/>
          <w:bCs/>
          <w:szCs w:val="24"/>
        </w:rPr>
        <w:t>treść specyfika</w:t>
      </w:r>
      <w:r w:rsidR="00725FB5">
        <w:rPr>
          <w:rFonts w:eastAsia="Times New Roman" w:cs="Times New Roman"/>
          <w:b/>
          <w:bCs/>
          <w:szCs w:val="24"/>
        </w:rPr>
        <w:t>cji warunków zamówienia [SWZ] w </w:t>
      </w:r>
      <w:r w:rsidRPr="00C52F09">
        <w:rPr>
          <w:rFonts w:eastAsia="Times New Roman" w:cs="Times New Roman"/>
          <w:b/>
          <w:bCs/>
          <w:szCs w:val="24"/>
        </w:rPr>
        <w:t>przetargu nieograniczonym)</w:t>
      </w:r>
      <w:r w:rsidRPr="00C52F09">
        <w:rPr>
          <w:rFonts w:eastAsia="Times New Roman" w:cs="Times New Roman"/>
          <w:b/>
          <w:szCs w:val="24"/>
        </w:rPr>
        <w:t xml:space="preserve"> oraz art. 168 ust. 2 ustawy Pzp (</w:t>
      </w:r>
      <w:r w:rsidRPr="00C52F09">
        <w:rPr>
          <w:rFonts w:eastAsia="Times New Roman" w:cs="Times New Roman"/>
          <w:b/>
          <w:bCs/>
          <w:szCs w:val="24"/>
        </w:rPr>
        <w:t>zaproszenie do składania ofert ostatecznych)</w:t>
      </w:r>
    </w:p>
    <w:p w14:paraId="45751F8E" w14:textId="77777777"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Zgodnie z art.</w:t>
      </w:r>
      <w:r w:rsidR="0003018A">
        <w:rPr>
          <w:rFonts w:eastAsia="Times New Roman" w:cs="Times New Roman"/>
          <w:szCs w:val="24"/>
        </w:rPr>
        <w:t xml:space="preserve"> </w:t>
      </w:r>
      <w:r w:rsidRPr="00C52F09">
        <w:rPr>
          <w:rFonts w:eastAsia="Times New Roman" w:cs="Times New Roman"/>
          <w:szCs w:val="24"/>
        </w:rPr>
        <w:t>134 ust. 1 ustawy Pzp SWZ zawiera co najmniej:</w:t>
      </w:r>
    </w:p>
    <w:p w14:paraId="39487549"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nazwę oraz adres zamawiającego, numer telefonu, adres poczty elektronicznej oraz strony internetowej prowadzonego postępowania;</w:t>
      </w:r>
    </w:p>
    <w:p w14:paraId="2BC83E2C" w14:textId="74F9091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adres strony internetowej, na której udostępniane będą zmiany i wyjaśnienia treści SWZ oraz inne dokumenty zamówienia bezpośrednio związane z postępowaniem o udzielenie zamówienia;</w:t>
      </w:r>
    </w:p>
    <w:p w14:paraId="3C05F0DB"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lastRenderedPageBreak/>
        <w:t>tryb udzielenia zamówienia;</w:t>
      </w:r>
    </w:p>
    <w:p w14:paraId="4AF5D75A"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opis przedmiotu zamówienia;</w:t>
      </w:r>
    </w:p>
    <w:p w14:paraId="545370B6"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informację o przedmiotowych środkach dowodowych;</w:t>
      </w:r>
    </w:p>
    <w:p w14:paraId="2017C7DE"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termin wykonania zamówienia;</w:t>
      </w:r>
    </w:p>
    <w:p w14:paraId="4B5B49A4"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podstawy wykluczenia, o których mowa w art. 108;</w:t>
      </w:r>
    </w:p>
    <w:p w14:paraId="0825090D"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informację o warunkach udziału w postępowaniu o udzielenie zamówienia;</w:t>
      </w:r>
    </w:p>
    <w:p w14:paraId="0FD8DD7D"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wykaz podmiotowych środków dowodowych;</w:t>
      </w:r>
    </w:p>
    <w:p w14:paraId="0DB5CCDF" w14:textId="2D2BBFF0"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informacje o środkach komunikacji elektronicznej, przy użyciu których zamawiający będzie komunikował się z wykonawcami, oraz informac</w:t>
      </w:r>
      <w:r w:rsidR="00725FB5">
        <w:rPr>
          <w:rFonts w:eastAsia="Times New Roman" w:cs="Times New Roman"/>
          <w:szCs w:val="24"/>
        </w:rPr>
        <w:t>je o wymaganiach technicznych i </w:t>
      </w:r>
      <w:r w:rsidRPr="00C52F09">
        <w:rPr>
          <w:rFonts w:eastAsia="Times New Roman" w:cs="Times New Roman"/>
          <w:szCs w:val="24"/>
        </w:rPr>
        <w:t>organizacyjnych sporządzania, wysyłania i odbierania korespondencji elektronicznej;</w:t>
      </w:r>
    </w:p>
    <w:p w14:paraId="12812CEE"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informacje o sposobie komunikowania się zamawiającego z wykonawcami w inny sposób niż przy użyciu środków komunikacji elektronicznej, w tym w przypadku zaistnienia jednej z sytuacji określonych w art. 65 ust. 1, art. 66 i art. 69;</w:t>
      </w:r>
    </w:p>
    <w:p w14:paraId="00A5567F"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wskazanie osób uprawnionych do komunikowania się z wykonawcami;</w:t>
      </w:r>
    </w:p>
    <w:p w14:paraId="61F3E3CE"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termin związania ofertą;</w:t>
      </w:r>
    </w:p>
    <w:p w14:paraId="64775357"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opis sposobu przygotowywania oferty;</w:t>
      </w:r>
    </w:p>
    <w:p w14:paraId="50C51F6C"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sposób oraz termin składania ofert;</w:t>
      </w:r>
    </w:p>
    <w:p w14:paraId="355364E0"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termin otwarcia ofert;</w:t>
      </w:r>
    </w:p>
    <w:p w14:paraId="5B51BBC4"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sposób obliczenia ceny;</w:t>
      </w:r>
    </w:p>
    <w:p w14:paraId="699D3899"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opis kryteriów oceny ofert wraz z podaniem wag tych kryteriów i sposobu oceny ofert;</w:t>
      </w:r>
    </w:p>
    <w:p w14:paraId="4F914316"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informacje o formalnościach, jakie muszą zostać dopełnione po wyborze oferty w celu zawarcia umowy w sprawie zamówienia publicznego;</w:t>
      </w:r>
    </w:p>
    <w:p w14:paraId="12C7865A"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projektowane postanowienia umowy w sprawie zamówienia publicznego, które zostaną wprowadzone do umowy w sprawie zamówienia publicznego;</w:t>
      </w:r>
    </w:p>
    <w:p w14:paraId="0B79D8A1" w14:textId="77777777" w:rsidR="00C52F09" w:rsidRPr="00C52F09" w:rsidRDefault="00C52F09" w:rsidP="008F56AF">
      <w:pPr>
        <w:widowControl/>
        <w:numPr>
          <w:ilvl w:val="0"/>
          <w:numId w:val="9"/>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pouczenie o środkach ochrony prawnej przysługujących wykonawcy.</w:t>
      </w:r>
    </w:p>
    <w:p w14:paraId="5C78593A" w14:textId="77777777"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Stosownie do treści art. 168 ust. 2</w:t>
      </w:r>
      <w:r w:rsidR="0003018A">
        <w:rPr>
          <w:rFonts w:eastAsia="Times New Roman" w:cs="Times New Roman"/>
          <w:szCs w:val="24"/>
        </w:rPr>
        <w:t xml:space="preserve"> </w:t>
      </w:r>
      <w:r w:rsidRPr="00C52F09">
        <w:rPr>
          <w:rFonts w:eastAsia="Times New Roman" w:cs="Times New Roman"/>
          <w:szCs w:val="24"/>
        </w:rPr>
        <w:t>Pzp zaproszenie do składania ofert ostatecznych zawiera co najmniej:</w:t>
      </w:r>
    </w:p>
    <w:p w14:paraId="1003DD84" w14:textId="77777777" w:rsidR="00C52F09" w:rsidRPr="00C52F09" w:rsidRDefault="00C52F09" w:rsidP="008F56AF">
      <w:pPr>
        <w:widowControl/>
        <w:numPr>
          <w:ilvl w:val="0"/>
          <w:numId w:val="10"/>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nazwę oraz adres zamawiającego, numer telefonu, adres poczty elektronicznej oraz strony internetowej prowadzonego postępowania;</w:t>
      </w:r>
    </w:p>
    <w:p w14:paraId="7F55C374" w14:textId="5FAA701E" w:rsidR="00C52F09" w:rsidRPr="00C52F09" w:rsidRDefault="00C52F09" w:rsidP="008F56AF">
      <w:pPr>
        <w:widowControl/>
        <w:numPr>
          <w:ilvl w:val="0"/>
          <w:numId w:val="10"/>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lastRenderedPageBreak/>
        <w:t>adres strony internetowej, na której jest dostępna S</w:t>
      </w:r>
      <w:r w:rsidR="00725FB5">
        <w:rPr>
          <w:rFonts w:eastAsia="Times New Roman" w:cs="Times New Roman"/>
          <w:szCs w:val="24"/>
        </w:rPr>
        <w:t>WZ oraz jej ewentualne zmiany i </w:t>
      </w:r>
      <w:r w:rsidRPr="00C52F09">
        <w:rPr>
          <w:rFonts w:eastAsia="Times New Roman" w:cs="Times New Roman"/>
          <w:szCs w:val="24"/>
        </w:rPr>
        <w:t>wyjaśnienia treści SWZ, a także inne dokumenty zam</w:t>
      </w:r>
      <w:r w:rsidR="00725FB5">
        <w:rPr>
          <w:rFonts w:eastAsia="Times New Roman" w:cs="Times New Roman"/>
          <w:szCs w:val="24"/>
        </w:rPr>
        <w:t>ówienia bezpośrednio związane z </w:t>
      </w:r>
      <w:r w:rsidRPr="00C52F09">
        <w:rPr>
          <w:rFonts w:eastAsia="Times New Roman" w:cs="Times New Roman"/>
          <w:szCs w:val="24"/>
        </w:rPr>
        <w:t>postępowaniem o udzielenie zamówienia;</w:t>
      </w:r>
    </w:p>
    <w:p w14:paraId="18382351" w14:textId="77777777" w:rsidR="00C52F09" w:rsidRPr="00C52F09" w:rsidRDefault="00C52F09" w:rsidP="008F56AF">
      <w:pPr>
        <w:widowControl/>
        <w:numPr>
          <w:ilvl w:val="0"/>
          <w:numId w:val="10"/>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informację o podmiotowych środkach dowodowych, które należy załączyć do oferty, jeżeli zamawiający przewiduje wymóg składania wybranych lub wszystkich środków dowodowych na etapie składania ofert ostatecznych;</w:t>
      </w:r>
    </w:p>
    <w:p w14:paraId="3CAF9CBD" w14:textId="77777777" w:rsidR="00C52F09" w:rsidRPr="00C52F09" w:rsidRDefault="00C52F09" w:rsidP="008F56AF">
      <w:pPr>
        <w:widowControl/>
        <w:numPr>
          <w:ilvl w:val="0"/>
          <w:numId w:val="10"/>
        </w:numPr>
        <w:shd w:val="clear" w:color="auto" w:fill="FFFFFF"/>
        <w:autoSpaceDE/>
        <w:autoSpaceDN/>
        <w:adjustRightInd/>
        <w:ind w:left="357" w:hanging="357"/>
        <w:contextualSpacing/>
        <w:jc w:val="both"/>
        <w:rPr>
          <w:rFonts w:eastAsia="Times New Roman" w:cs="Times New Roman"/>
          <w:szCs w:val="24"/>
        </w:rPr>
      </w:pPr>
      <w:r w:rsidRPr="00C52F09">
        <w:rPr>
          <w:rFonts w:eastAsia="Times New Roman" w:cs="Times New Roman"/>
          <w:szCs w:val="24"/>
        </w:rPr>
        <w:t>sposób i termin składania ofert ostatecznych oraz język lub języki, w jakich muszą one być sporządzone, oraz termin otwarcia ofert ostatecznych.</w:t>
      </w:r>
    </w:p>
    <w:p w14:paraId="381CCEFC" w14:textId="79CDC89E"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Specyfikacja warunków zamówienia stanowi najważniejszy dokument spośród tzw. dokumentów zamówienia. Poszczególne części SWZ odnoszą się do identyfikacji zamawiającego i prowadzonego postępowania, opisania p</w:t>
      </w:r>
      <w:r w:rsidR="00725FB5">
        <w:rPr>
          <w:rFonts w:eastAsia="Times New Roman" w:cs="Times New Roman"/>
          <w:szCs w:val="24"/>
        </w:rPr>
        <w:t>rzedmiotu zamówienia, wymagań w </w:t>
      </w:r>
      <w:r w:rsidRPr="00C52F09">
        <w:rPr>
          <w:rFonts w:eastAsia="Times New Roman" w:cs="Times New Roman"/>
          <w:szCs w:val="24"/>
        </w:rPr>
        <w:t>stosunku do wykonawców, którzy chcieliby ubiegać się o przedmiotowe zamówienie, sposobu komunikacji z wykonawcami, sposobu przygotowania oferty i terminu związania złożoną ofertą, kryteriów oceny ofert i zasad wyboru najkorzystniejszej oferty, terminu złożenia i otwarcia ofert, środków ochrony prawnej przysługujących wykonawcom.</w:t>
      </w:r>
    </w:p>
    <w:p w14:paraId="443D6899" w14:textId="002C61FD" w:rsidR="00C52F09" w:rsidRPr="00C52F09" w:rsidRDefault="00C52F09" w:rsidP="00C52F09">
      <w:pPr>
        <w:shd w:val="clear" w:color="auto" w:fill="FFFFFF"/>
        <w:spacing w:before="120"/>
        <w:jc w:val="both"/>
        <w:rPr>
          <w:rFonts w:eastAsia="Times New Roman" w:cs="Times New Roman"/>
          <w:szCs w:val="24"/>
        </w:rPr>
      </w:pPr>
      <w:r w:rsidRPr="00C52F09">
        <w:rPr>
          <w:rFonts w:eastAsia="Times New Roman" w:cs="Times New Roman"/>
          <w:szCs w:val="24"/>
        </w:rPr>
        <w:t>Zgodnie z projektem ustawy do udzielania zamówień związanych z inwestycją w zakresie Krajowego Centrum Przetwarzania Danych odpowiednie zastosowanie ma mieć art. 134 ust. 1 ustawy Pzp. Należy jednak wskazać, że przepis ten wskazuje na wiele obligatoryjnych elementów, które muszą znaleźć się w treści tego głó</w:t>
      </w:r>
      <w:r w:rsidR="00725FB5">
        <w:rPr>
          <w:rFonts w:eastAsia="Times New Roman" w:cs="Times New Roman"/>
          <w:szCs w:val="24"/>
        </w:rPr>
        <w:t>wnego dokumentu postępowania. W </w:t>
      </w:r>
      <w:r w:rsidRPr="00C52F09">
        <w:rPr>
          <w:rFonts w:eastAsia="Times New Roman" w:cs="Times New Roman"/>
          <w:szCs w:val="24"/>
        </w:rPr>
        <w:t xml:space="preserve">trakcie prowadzonych postępowań inwestor będzie dostosowywał treść SWZ w zależności od złożoności przedmiotu zamówienia, jak również od </w:t>
      </w:r>
      <w:r w:rsidR="00725FB5">
        <w:rPr>
          <w:rFonts w:eastAsia="Times New Roman" w:cs="Times New Roman"/>
          <w:szCs w:val="24"/>
        </w:rPr>
        <w:t>stawianych wymagań wykonawcom i </w:t>
      </w:r>
      <w:r w:rsidRPr="00C52F09">
        <w:rPr>
          <w:rFonts w:eastAsia="Times New Roman" w:cs="Times New Roman"/>
          <w:szCs w:val="24"/>
        </w:rPr>
        <w:t xml:space="preserve">specyfiki zamówień. Nie wszystkie zatem elementy wskazane w przywołanych przepisach będą musiały znaleźć się w SWZ. </w:t>
      </w:r>
    </w:p>
    <w:p w14:paraId="02E28143" w14:textId="7291A5B5" w:rsidR="00C52F09" w:rsidRPr="00C52F09" w:rsidRDefault="00C52F09" w:rsidP="00C52F09">
      <w:pPr>
        <w:shd w:val="clear" w:color="auto" w:fill="FFFFFF"/>
        <w:spacing w:before="120"/>
        <w:jc w:val="both"/>
        <w:rPr>
          <w:rFonts w:eastAsia="Times New Roman" w:cs="Times New Roman"/>
          <w:szCs w:val="24"/>
        </w:rPr>
      </w:pPr>
      <w:bookmarkStart w:id="3" w:name="_Hlk123725457"/>
      <w:r w:rsidRPr="00C52F09">
        <w:rPr>
          <w:rFonts w:eastAsia="Times New Roman" w:cs="Times New Roman"/>
          <w:szCs w:val="24"/>
        </w:rPr>
        <w:t xml:space="preserve">Zgodnie z projektowanym art. 11, ze względu na fakt wyłączenia w projektowanej ustawie przepisów ustawy z dnia 11 września 2019 </w:t>
      </w:r>
      <w:r w:rsidR="0003018A">
        <w:rPr>
          <w:rFonts w:eastAsia="Times New Roman" w:cs="Times New Roman"/>
          <w:szCs w:val="24"/>
        </w:rPr>
        <w:t xml:space="preserve">r. </w:t>
      </w:r>
      <w:r w:rsidRPr="00C52F09">
        <w:rPr>
          <w:rFonts w:eastAsia="Times New Roman" w:cs="Times New Roman"/>
          <w:szCs w:val="24"/>
        </w:rPr>
        <w:t>– Prawo zamówień publicznych w odniesieniu do zamówień dotyczących inwestycji w zakresie Krajowego Centrum Przetwarzania Danych (określone w projektowanej ustaw</w:t>
      </w:r>
      <w:r w:rsidR="005A09FB">
        <w:rPr>
          <w:rFonts w:eastAsia="Times New Roman" w:cs="Times New Roman"/>
          <w:szCs w:val="24"/>
        </w:rPr>
        <w:t>ie</w:t>
      </w:r>
      <w:r w:rsidRPr="00C52F09">
        <w:rPr>
          <w:rFonts w:eastAsia="Times New Roman" w:cs="Times New Roman"/>
          <w:szCs w:val="24"/>
        </w:rPr>
        <w:t xml:space="preserve"> przepisy prawa zamówień publicznych będą miały odpowiednie zastosowanie jedynie w ściśle określonych przypadkach) wyłączono tym samym w naturalnej konsekwencji kompetencje </w:t>
      </w:r>
      <w:r w:rsidRPr="00C52F09">
        <w:rPr>
          <w:rFonts w:eastAsia="Times New Roman" w:cs="Times New Roman"/>
          <w:szCs w:val="24"/>
        </w:rPr>
        <w:lastRenderedPageBreak/>
        <w:t>kontrolne Prezesa Urzędu Zam</w:t>
      </w:r>
      <w:r w:rsidR="00725FB5">
        <w:rPr>
          <w:rFonts w:eastAsia="Times New Roman" w:cs="Times New Roman"/>
          <w:szCs w:val="24"/>
        </w:rPr>
        <w:t>ówień Publicznych, o </w:t>
      </w:r>
      <w:r w:rsidRPr="00C52F09">
        <w:rPr>
          <w:rFonts w:eastAsia="Times New Roman" w:cs="Times New Roman"/>
          <w:szCs w:val="24"/>
        </w:rPr>
        <w:t>których mowa w ustawie Pzp, dotyczące tego rodzaju zamówień – z uwagi na to, że projektowana ustawa wprowadza szczególny tryb postępowania i odsyła tylko w pewny</w:t>
      </w:r>
      <w:r w:rsidR="005A09FB">
        <w:rPr>
          <w:rFonts w:eastAsia="Times New Roman" w:cs="Times New Roman"/>
          <w:szCs w:val="24"/>
        </w:rPr>
        <w:t>m</w:t>
      </w:r>
      <w:r w:rsidRPr="00C52F09">
        <w:rPr>
          <w:rFonts w:eastAsia="Times New Roman" w:cs="Times New Roman"/>
          <w:szCs w:val="24"/>
        </w:rPr>
        <w:t xml:space="preserve"> zakresie do odpowiedniego zastosowania przepisów ustawy Pzp. Z uwagi na to, że wyłączone jest w przypadku zamówienia na inwestycje objęte projektem ustawy, to nie jest zasadne, aby Prezes UZP posiadał uprawnienia do kontrolowania tego zamówienia. Projektodawca uznał jako zasadne i wystarczające dla zapewnienia prawidłowości przeprowadzenia zamówienia na inwestycje przyznanie Centralnemu Biur</w:t>
      </w:r>
      <w:r w:rsidR="00B97A0D">
        <w:rPr>
          <w:rFonts w:eastAsia="Times New Roman" w:cs="Times New Roman"/>
          <w:szCs w:val="24"/>
        </w:rPr>
        <w:t>u</w:t>
      </w:r>
      <w:r w:rsidRPr="00C52F09">
        <w:rPr>
          <w:rFonts w:eastAsia="Times New Roman" w:cs="Times New Roman"/>
          <w:szCs w:val="24"/>
        </w:rPr>
        <w:t xml:space="preserve"> Antykorupcyjnemu uprawnień do weryfikacji prawidłowości udzielania zamówień w odniesieniu do inwestycji w zakresie Krajowego Centrum Przetwarzania Danych. Takie rozwiązanie ma </w:t>
      </w:r>
      <w:r w:rsidR="00F32624">
        <w:rPr>
          <w:rFonts w:eastAsia="Times New Roman" w:cs="Times New Roman"/>
          <w:szCs w:val="24"/>
        </w:rPr>
        <w:t>na</w:t>
      </w:r>
      <w:r w:rsidRPr="00C52F09">
        <w:rPr>
          <w:rFonts w:eastAsia="Times New Roman" w:cs="Times New Roman"/>
          <w:szCs w:val="24"/>
        </w:rPr>
        <w:t xml:space="preserve"> celu zagwarantowanie bezpieczeństwa oraz zgodności z przepisami prawa projektowanej ustawy. </w:t>
      </w:r>
      <w:r w:rsidRPr="00C52F09">
        <w:rPr>
          <w:rFonts w:cs="Times New Roman"/>
          <w:szCs w:val="24"/>
        </w:rPr>
        <w:t>W art. 11 w ust. 1 doprecyzowano, aby nie budziło wątpliwości, że Centralne Biuro Antykorupcyjne, w zakresie swoich ustawowych zadań, sprawuje osłonę antyk</w:t>
      </w:r>
      <w:r w:rsidR="00725FB5">
        <w:rPr>
          <w:rFonts w:cs="Times New Roman"/>
          <w:szCs w:val="24"/>
        </w:rPr>
        <w:t>orupcyjną zamówień związanych z </w:t>
      </w:r>
      <w:r w:rsidRPr="00C52F09">
        <w:rPr>
          <w:rFonts w:cs="Times New Roman"/>
          <w:szCs w:val="24"/>
        </w:rPr>
        <w:t>inwestycją w zakresie Krajowego Centrum Przetwarzania Danych. Ponadto możliwość przeprowadzania kontroli przez Centralne Biuro Antykorupcyjne, również w zakresie inwestycji określonych w projektowanej ustawie, wynika już z przepisów ustawy z dnia 9 czerwca 2006 r. o Centralnym Biurze Antykorupcyjnym (Dz. U. z 2022 r. poz. 1900</w:t>
      </w:r>
      <w:r w:rsidR="00725FB5">
        <w:rPr>
          <w:rFonts w:cs="Times New Roman"/>
          <w:szCs w:val="24"/>
        </w:rPr>
        <w:t xml:space="preserve"> oraz z 2023 r. poz. </w:t>
      </w:r>
      <w:r w:rsidR="00977B95">
        <w:rPr>
          <w:rFonts w:cs="Times New Roman"/>
          <w:szCs w:val="24"/>
        </w:rPr>
        <w:t>240 i 347</w:t>
      </w:r>
      <w:r w:rsidRPr="00C52F09">
        <w:rPr>
          <w:rFonts w:cs="Times New Roman"/>
          <w:szCs w:val="24"/>
        </w:rPr>
        <w:t>) i kontrole mogą zostać przeprowadzone przez Centralne Biuro Antykorupcyjne z na podstawie tych przepisów.</w:t>
      </w:r>
    </w:p>
    <w:bookmarkEnd w:id="3"/>
    <w:p w14:paraId="4685AC59" w14:textId="77777777" w:rsidR="00C52F09" w:rsidRPr="00C52F09" w:rsidRDefault="00C52F09" w:rsidP="00C52F09">
      <w:pPr>
        <w:spacing w:before="120"/>
        <w:jc w:val="both"/>
        <w:rPr>
          <w:rFonts w:eastAsia="Times New Roman" w:cs="Times New Roman"/>
          <w:b/>
          <w:bCs/>
          <w:szCs w:val="24"/>
        </w:rPr>
      </w:pPr>
      <w:r w:rsidRPr="00C52F09">
        <w:rPr>
          <w:rFonts w:eastAsia="Times New Roman" w:cs="Times New Roman"/>
          <w:b/>
          <w:bCs/>
          <w:szCs w:val="24"/>
        </w:rPr>
        <w:t>Przygotowanie inwestycji w zakresie Krajowego Centrum Przetwarzania Danych</w:t>
      </w:r>
    </w:p>
    <w:p w14:paraId="1131B757"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rozdziale 2 projektu ustawy określono zasady i tryb wydawania kluczowych decyzji z perspektywy przygotowania inwestycji w zakresie Krajowego Centrum Przetwarzania Danych, tj. decyzji o ustaleniu lokalizacji inwestycji w zakresie Krajowego Centrum Przetwarzania Danych oraz pozwoleń na budowę lub zgłoszeń dla tych przedsięwzięć. Określono także szczególne rozwiązania prawne, jakie wpłyną na postępowanie w sprawie wydania decyzji o</w:t>
      </w:r>
      <w:r w:rsidR="0003018A">
        <w:rPr>
          <w:rFonts w:eastAsia="Times New Roman" w:cs="Times New Roman"/>
          <w:szCs w:val="24"/>
        </w:rPr>
        <w:t xml:space="preserve"> </w:t>
      </w:r>
      <w:r w:rsidRPr="00C52F09">
        <w:rPr>
          <w:rFonts w:eastAsia="Times New Roman" w:cs="Times New Roman"/>
          <w:szCs w:val="24"/>
        </w:rPr>
        <w:t>środowiskowych uwarunkowaniach dla inwestycji w zakresie Krajowego Centrum Przetwarzania Danych.</w:t>
      </w:r>
    </w:p>
    <w:p w14:paraId="3B534964" w14:textId="505CB40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Przede wszystkim należy mieć na uwadze, że inwestycje w zakresie Krajowego Centrum Przetwarzania Danych składają się z inwestycji w poszczególne obiekty </w:t>
      </w:r>
      <w:r w:rsidRPr="00C52F09">
        <w:rPr>
          <w:rFonts w:eastAsia="Times New Roman" w:cs="Times New Roman"/>
          <w:szCs w:val="24"/>
        </w:rPr>
        <w:lastRenderedPageBreak/>
        <w:t xml:space="preserve">(ośrodki obliczeniowe, czyli centra przetwarzania danych) oraz łączące je odpowiednio sieci światłowodowe, które nie będą publicznie dostępnymi obiektami, i sieciami telekomunikacyjnymi w rozumieniu przepisów ustawy z dnia 16 lipca 2004 r. – Prawo telekomunikacyjne </w:t>
      </w:r>
      <w:r w:rsidR="00725FB5">
        <w:t>(Dz. U. z 2022 r. poz. </w:t>
      </w:r>
      <w:r w:rsidR="00977B95" w:rsidRPr="005A1DF6">
        <w:t>1648, 1933 i 2581)</w:t>
      </w:r>
      <w:r w:rsidR="00977B95">
        <w:t xml:space="preserve"> </w:t>
      </w:r>
      <w:r w:rsidRPr="00C52F09">
        <w:rPr>
          <w:rFonts w:eastAsia="Times New Roman" w:cs="Times New Roman"/>
          <w:szCs w:val="24"/>
        </w:rPr>
        <w:t>oraz odpowiednio przepisów wspólnotowych (Dyrektywy Parlamentu Europejskiego i Rady (UE) 2018/1972 z dnia 11 grudnia 2018 r. ustanawiająca Europejski kodeks łączności elektronicznej). Przyjęte założenie zabezpieczenia zasobów telekomunikacyjnych i cyfrowych dla administracji państwa implikuje brak dostępności infrastruktury dla powszechnego użytku, co pozostaje w zgodzie z przepisami powołanej dyrektywy (motyw 6 i 117 preambuły oraz art. 1 ust. 3 lit</w:t>
      </w:r>
      <w:r w:rsidR="0003018A">
        <w:rPr>
          <w:rFonts w:eastAsia="Times New Roman" w:cs="Times New Roman"/>
          <w:szCs w:val="24"/>
        </w:rPr>
        <w:t>.</w:t>
      </w:r>
      <w:r w:rsidRPr="00C52F09">
        <w:rPr>
          <w:rFonts w:eastAsia="Times New Roman" w:cs="Times New Roman"/>
          <w:szCs w:val="24"/>
        </w:rPr>
        <w:t xml:space="preserve"> c)</w:t>
      </w:r>
      <w:r w:rsidR="00725FB5">
        <w:rPr>
          <w:rFonts w:eastAsia="Times New Roman" w:cs="Times New Roman"/>
          <w:szCs w:val="24"/>
        </w:rPr>
        <w:t>. Zgodnie z przepisami ustawy z </w:t>
      </w:r>
      <w:r w:rsidRPr="00C52F09">
        <w:rPr>
          <w:rFonts w:eastAsia="Times New Roman" w:cs="Times New Roman"/>
          <w:szCs w:val="24"/>
        </w:rPr>
        <w:t>dnia 7 maja 2010 r. o wspieraniu rozwoju usług i sieci telekomunikacyjnych (w szczególności art. 19 ust. 4, art. 25a ust. 5 pkt 2, art. 25c ust. 1, art. 29d ust</w:t>
      </w:r>
      <w:r w:rsidR="0003018A">
        <w:rPr>
          <w:rFonts w:eastAsia="Times New Roman" w:cs="Times New Roman"/>
          <w:szCs w:val="24"/>
        </w:rPr>
        <w:t>.</w:t>
      </w:r>
      <w:r w:rsidRPr="00C52F09">
        <w:rPr>
          <w:rFonts w:eastAsia="Times New Roman" w:cs="Times New Roman"/>
          <w:szCs w:val="24"/>
        </w:rPr>
        <w:t xml:space="preserve"> 9, art. 36e ust. 5 pkt 2, art. 36g ust. 1 pkt 1)</w:t>
      </w:r>
      <w:r w:rsidR="00977B95">
        <w:rPr>
          <w:rFonts w:eastAsia="Times New Roman" w:cs="Times New Roman"/>
          <w:szCs w:val="24"/>
        </w:rPr>
        <w:t xml:space="preserve"> (Dz. U. z 2022 r. poz. 884 i 2164)</w:t>
      </w:r>
      <w:r w:rsidRPr="00C52F09">
        <w:rPr>
          <w:rFonts w:eastAsia="Times New Roman" w:cs="Times New Roman"/>
          <w:szCs w:val="24"/>
        </w:rPr>
        <w:t xml:space="preserve"> można odmówić d</w:t>
      </w:r>
      <w:r w:rsidR="00F32624">
        <w:rPr>
          <w:rFonts w:eastAsia="Times New Roman" w:cs="Times New Roman"/>
          <w:szCs w:val="24"/>
        </w:rPr>
        <w:t>o</w:t>
      </w:r>
      <w:r w:rsidR="00725FB5">
        <w:rPr>
          <w:rFonts w:eastAsia="Times New Roman" w:cs="Times New Roman"/>
          <w:szCs w:val="24"/>
        </w:rPr>
        <w:t>stępu do infrastruktury z </w:t>
      </w:r>
      <w:r w:rsidRPr="00C52F09">
        <w:rPr>
          <w:rFonts w:eastAsia="Times New Roman" w:cs="Times New Roman"/>
          <w:szCs w:val="24"/>
        </w:rPr>
        <w:t>uwagi na zdrowie publiczne, obronnoś</w:t>
      </w:r>
      <w:r w:rsidR="00BB7550">
        <w:rPr>
          <w:rFonts w:eastAsia="Times New Roman" w:cs="Times New Roman"/>
          <w:szCs w:val="24"/>
        </w:rPr>
        <w:t>ć</w:t>
      </w:r>
      <w:r w:rsidRPr="00C52F09">
        <w:rPr>
          <w:rFonts w:eastAsia="Times New Roman" w:cs="Times New Roman"/>
          <w:szCs w:val="24"/>
        </w:rPr>
        <w:t xml:space="preserve"> i bezpieczeństwo państwa, bezpieczeństwo i porządek publiczny oraz bezpieczeństwo oraz integralność infrastruktury technicznej. Dodatkowo wyłączono stosowanie art. 139 ustawy z dnia 16 lipca 2004 r. – Prawo telekomunikacyjne.</w:t>
      </w:r>
    </w:p>
    <w:p w14:paraId="0533516E" w14:textId="54DCA491"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Zgodnie z projektem ustawy postępowanie w sprawie wydania decyzji o ustaleniu lokalizacji inwestycji w zakresie Krajowego Centrum Przetwarzania Danych będzie uregulowane projektowaną ustawą. W zakresie lokalizacji tej inwestycji nie będą miały zastosowania przepisy o planowaniu i zagospodarowaniu przestrzennym. Decyzja o ustaleniu lokalizacji inwestycji w zakresie Krajowego Centrum Przetwarzania Danych będzie przesądzała o możliwości lokalizacji inwestycji na określonym terenie. Decyzja ta konstrukcyjnie zbliżona będzie do decyzji o ustaleniu lokalizacji inwestycji celu publicznego, uregulowanej w ustawie </w:t>
      </w:r>
      <w:r w:rsidR="004F205F">
        <w:rPr>
          <w:rFonts w:eastAsia="Times New Roman" w:cs="Times New Roman"/>
          <w:szCs w:val="24"/>
        </w:rPr>
        <w:t xml:space="preserve">z dnia 27 marca 2003 r. </w:t>
      </w:r>
      <w:r w:rsidRPr="00C52F09">
        <w:rPr>
          <w:rFonts w:eastAsia="Times New Roman" w:cs="Times New Roman"/>
          <w:szCs w:val="24"/>
        </w:rPr>
        <w:t>o planowaniu i zagospodarowaniu przestrzennym. Niemniej pomiędzy tymi decyzjami występować będą istotne różnice wynikające ze specyfiki inwestycji w zakresie Krajowego Centrum Przetwarzania Danych, jak również z dalej idących skutków prawnych tej ostatniej decyzji (m.in. zakaz wydawania innych decyzji dla teg</w:t>
      </w:r>
      <w:r w:rsidR="00725FB5">
        <w:rPr>
          <w:rFonts w:eastAsia="Times New Roman" w:cs="Times New Roman"/>
          <w:szCs w:val="24"/>
        </w:rPr>
        <w:t>o samego obszaru – art. 14 ust. </w:t>
      </w:r>
      <w:r w:rsidRPr="00C52F09">
        <w:rPr>
          <w:rFonts w:eastAsia="Times New Roman" w:cs="Times New Roman"/>
          <w:szCs w:val="24"/>
        </w:rPr>
        <w:t>5 pkt 2 i 3 projektu ustawy – zmiany w prawach i stosunkach cywilnoprawnych – art. 24 ust. 2).</w:t>
      </w:r>
    </w:p>
    <w:p w14:paraId="1CC7A31C"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lastRenderedPageBreak/>
        <w:t>W projekcie ustawy przyjęto, że wydawanie kluczowych dla przygotowania inwestycji decyzji (decyzja lokalizacyjna, pozwolenie na budowę) będzie w kompetencji jednego organu – właściwego wojewody, działającego jako organ I instancji. Ponadto, ze względu na potrzebę zapewnienia możliwości realizacji inwestycji etapami, przyjęto, że wniosek o wydanie decyzji o ustaleniu lokalizacji inwestycji w zakresie Krajowego Centrum Przetwarzania Danych może odnosić się do całości lub części przedsięwzięcia (art. 12 ust. 2 projektu ustawy).</w:t>
      </w:r>
    </w:p>
    <w:p w14:paraId="31C91ADA" w14:textId="2FA22AE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Ponadto w art. 12 ust. 7 wskazano, że </w:t>
      </w:r>
      <w:r w:rsidRPr="00C52F09">
        <w:rPr>
          <w:rFonts w:cs="Times New Roman"/>
          <w:szCs w:val="24"/>
        </w:rPr>
        <w:t>nieuregulowany stan prawny nieruchomości objętej wnioskiem o wydanie decyzji o</w:t>
      </w:r>
      <w:r w:rsidR="0003018A">
        <w:rPr>
          <w:rFonts w:cs="Times New Roman"/>
          <w:szCs w:val="24"/>
        </w:rPr>
        <w:t xml:space="preserve"> </w:t>
      </w:r>
      <w:r w:rsidRPr="00C52F09">
        <w:rPr>
          <w:rFonts w:cs="Times New Roman"/>
          <w:szCs w:val="24"/>
        </w:rPr>
        <w:t>ustaleniu lokalizacji inwestycji w zakresie Krajowego Centrum Przetwarzania Danych lub brak danych w ewidencji gruntów i budynków pozwalających na ustalenie danych osobowych, w</w:t>
      </w:r>
      <w:r w:rsidR="0003018A">
        <w:rPr>
          <w:rFonts w:cs="Times New Roman"/>
          <w:szCs w:val="24"/>
        </w:rPr>
        <w:t xml:space="preserve"> </w:t>
      </w:r>
      <w:r w:rsidRPr="00C52F09">
        <w:rPr>
          <w:rFonts w:cs="Times New Roman"/>
          <w:szCs w:val="24"/>
        </w:rPr>
        <w:t>szczególności adresu właściciela lub użytkownika wieczystego nieruchomości</w:t>
      </w:r>
      <w:r w:rsidR="00BB7550">
        <w:rPr>
          <w:rFonts w:cs="Times New Roman"/>
          <w:szCs w:val="24"/>
        </w:rPr>
        <w:t>,</w:t>
      </w:r>
      <w:r w:rsidRPr="00C52F09">
        <w:rPr>
          <w:rFonts w:cs="Times New Roman"/>
          <w:szCs w:val="24"/>
        </w:rPr>
        <w:t xml:space="preserve"> nie stanowi przeszkody do wszczęcia i prowadzenia postępowania o wydanie decyzji o ustaleniu lokalizacji inwestycji w zakresie Krajowego Centrum Przetwarzania Danych, jej wydania i doręczenia oraz zawiadomienia o jej wy</w:t>
      </w:r>
      <w:r w:rsidR="00725FB5">
        <w:rPr>
          <w:rFonts w:cs="Times New Roman"/>
          <w:szCs w:val="24"/>
        </w:rPr>
        <w:t>daniu. Natomiast w art. 12 ust. </w:t>
      </w:r>
      <w:r w:rsidRPr="00C52F09">
        <w:rPr>
          <w:rFonts w:cs="Times New Roman"/>
          <w:szCs w:val="24"/>
        </w:rPr>
        <w:t>8 określono, że przepis ust. 7 stosuje się również, jeżeli dotychczasowy właściciel lub użytkownik wieczysty nieruchomości nie żyje i nie zostało przeprowadzone postępowanie spadkowe lub postępowanie to nie zostało zakończone. Rozwiąz</w:t>
      </w:r>
      <w:r w:rsidR="00725FB5">
        <w:rPr>
          <w:rFonts w:cs="Times New Roman"/>
          <w:szCs w:val="24"/>
        </w:rPr>
        <w:t>ania zawarte w art. 12 ust. 7 i </w:t>
      </w:r>
      <w:r w:rsidRPr="00C52F09">
        <w:rPr>
          <w:rFonts w:cs="Times New Roman"/>
          <w:szCs w:val="24"/>
        </w:rPr>
        <w:t xml:space="preserve">8 są wzorowane </w:t>
      </w:r>
      <w:r w:rsidR="00A43358">
        <w:rPr>
          <w:rFonts w:cs="Times New Roman"/>
          <w:szCs w:val="24"/>
        </w:rPr>
        <w:t xml:space="preserve">na </w:t>
      </w:r>
      <w:r w:rsidRPr="00C52F09">
        <w:rPr>
          <w:rFonts w:cs="Times New Roman"/>
          <w:szCs w:val="24"/>
        </w:rPr>
        <w:t xml:space="preserve">rozwiązaniach obowiązujących w prawie, w szczególności </w:t>
      </w:r>
      <w:r w:rsidR="00725FB5">
        <w:rPr>
          <w:rFonts w:cs="Times New Roman"/>
          <w:szCs w:val="24"/>
        </w:rPr>
        <w:t>na art. 113 ust. </w:t>
      </w:r>
      <w:r w:rsidRPr="00C52F09">
        <w:rPr>
          <w:rFonts w:cs="Times New Roman"/>
          <w:szCs w:val="24"/>
        </w:rPr>
        <w:t>5 i 7 ustawy z dnia 21 sierpnia 1997 r. o gospodarce nieruchomościami</w:t>
      </w:r>
      <w:r w:rsidR="00BB7550">
        <w:rPr>
          <w:rFonts w:cs="Times New Roman"/>
          <w:szCs w:val="24"/>
        </w:rPr>
        <w:t>,</w:t>
      </w:r>
      <w:r w:rsidRPr="00C52F09">
        <w:rPr>
          <w:rFonts w:cs="Times New Roman"/>
          <w:szCs w:val="24"/>
        </w:rPr>
        <w:t xml:space="preserve"> i tym samym nie powinno budzić wątpliwości stosowanie tych przepisów. </w:t>
      </w:r>
    </w:p>
    <w:p w14:paraId="0B17E115"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art. 13 projektu ustawy określono szczegółowo, jakie dokumenty i informacje zawiera kompletny wniosek o wydanie decyzji o ustaleniu lokalizacji inwestycji w zakresie Krajowego Centrum Przetwarzania Danych. Katalog tych dokumentów i informacji wynika z szerokich skutków prawnych, jakie decyzja lokalizacyjna wywołuje, w szczególności w zakresie podziału nieruchomości (art. 16 ust. 1 pkt 6 i art. 17 ust. 1 i 2 projektu ustawy) oraz nabycia tytułu prawnego do nieruchomości (art. 17 ust. 5 oraz art. 32 ust. 1 i 2 projektu ustawy).</w:t>
      </w:r>
    </w:p>
    <w:p w14:paraId="2E22ABD6" w14:textId="77777777" w:rsidR="00C52F09" w:rsidRPr="00C52F09" w:rsidRDefault="00C52F09" w:rsidP="00C52F09">
      <w:pPr>
        <w:spacing w:before="120"/>
        <w:jc w:val="both"/>
        <w:rPr>
          <w:rFonts w:cs="Times New Roman"/>
          <w:szCs w:val="24"/>
        </w:rPr>
      </w:pPr>
      <w:r w:rsidRPr="00C52F09">
        <w:rPr>
          <w:rFonts w:eastAsia="Times New Roman" w:cs="Times New Roman"/>
          <w:szCs w:val="24"/>
        </w:rPr>
        <w:t xml:space="preserve">Wzorem innych ustaw specjalnych wskazano w art. 17 ust. 3 projektu ustawy, że </w:t>
      </w:r>
      <w:r w:rsidRPr="00C52F09">
        <w:rPr>
          <w:rFonts w:cs="Times New Roman"/>
          <w:szCs w:val="24"/>
        </w:rPr>
        <w:t>podziały nieruchomości, o których mowa w art. 17 ust. 1 i 2, nie mogą dotyczyć</w:t>
      </w:r>
      <w:r w:rsidRPr="00C52F09">
        <w:rPr>
          <w:rFonts w:eastAsia="Times New Roman" w:cs="Times New Roman"/>
          <w:szCs w:val="24"/>
        </w:rPr>
        <w:t xml:space="preserve"> </w:t>
      </w:r>
      <w:r w:rsidRPr="00C52F09">
        <w:rPr>
          <w:rFonts w:eastAsia="Times New Roman" w:cs="Times New Roman"/>
          <w:szCs w:val="24"/>
        </w:rPr>
        <w:lastRenderedPageBreak/>
        <w:t xml:space="preserve">danych nieruchomości, w tym również uwzględniono </w:t>
      </w:r>
      <w:r w:rsidRPr="00C52F09">
        <w:rPr>
          <w:rFonts w:cs="Times New Roman"/>
          <w:szCs w:val="24"/>
        </w:rPr>
        <w:t>grunty stanowiące pas drogowy</w:t>
      </w:r>
      <w:r w:rsidRPr="00C52F09">
        <w:rPr>
          <w:rFonts w:cs="Times New Roman"/>
          <w:b/>
          <w:szCs w:val="24"/>
        </w:rPr>
        <w:t xml:space="preserve"> </w:t>
      </w:r>
      <w:r w:rsidRPr="00C52F09">
        <w:rPr>
          <w:rFonts w:cs="Times New Roman"/>
          <w:szCs w:val="24"/>
        </w:rPr>
        <w:t>drogi publicznej.</w:t>
      </w:r>
    </w:p>
    <w:p w14:paraId="0326F5FB" w14:textId="5D9A323F" w:rsidR="00C52F09" w:rsidRPr="00C52F09" w:rsidRDefault="00C52F09" w:rsidP="00C52F09">
      <w:pPr>
        <w:pStyle w:val="USTustnpkodeksu"/>
        <w:spacing w:before="120"/>
        <w:ind w:firstLine="0"/>
        <w:rPr>
          <w:rFonts w:ascii="Times New Roman" w:hAnsi="Times New Roman" w:cs="Times New Roman"/>
          <w:szCs w:val="24"/>
        </w:rPr>
      </w:pPr>
      <w:r w:rsidRPr="00C52F09">
        <w:rPr>
          <w:rFonts w:ascii="Times New Roman" w:hAnsi="Times New Roman" w:cs="Times New Roman"/>
          <w:szCs w:val="24"/>
        </w:rPr>
        <w:t>Ponadto w art. 17 ust. 5 wskazano, że nieruchomość znajdująca się w liniach rozgraniczających teren inwestycji w zakresie oznaczonym w decyzji o ustaleniu lokalizacji inwestycji w zakresie Krajowego Centrum Przetwarzania Danych zgodnie z art. 16 ust. 1 pkt 7, będąca własnością państwowej osoby prawnej, staje się z mocy prawa własno</w:t>
      </w:r>
      <w:r w:rsidR="00725FB5">
        <w:rPr>
          <w:rFonts w:ascii="Times New Roman" w:hAnsi="Times New Roman" w:cs="Times New Roman"/>
          <w:szCs w:val="24"/>
        </w:rPr>
        <w:t>ścią Skarbu Państwa, z dniem, w </w:t>
      </w:r>
      <w:r w:rsidRPr="00C52F09">
        <w:rPr>
          <w:rFonts w:ascii="Times New Roman" w:hAnsi="Times New Roman" w:cs="Times New Roman"/>
          <w:szCs w:val="24"/>
        </w:rPr>
        <w:t>którym decyzja o ustaleniu lokalizacji inwestycji w zakresie Centrum Przetwarzania Danych stała się ostateczna, za odszkodowaniem – decyzja ta zatem będzie podstawą wpisu do ksiąg wieczystych.</w:t>
      </w:r>
    </w:p>
    <w:p w14:paraId="08B74B5E" w14:textId="72552CB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Dodatkowo, wzorem innych ustaw specjalnych (jak np. u</w:t>
      </w:r>
      <w:r w:rsidR="00725FB5">
        <w:rPr>
          <w:rFonts w:eastAsia="Times New Roman" w:cs="Times New Roman"/>
          <w:szCs w:val="24"/>
        </w:rPr>
        <w:t>stawy z dnia 24 lipca 2015 r. o </w:t>
      </w:r>
      <w:r w:rsidRPr="00C52F09">
        <w:rPr>
          <w:rFonts w:eastAsia="Times New Roman" w:cs="Times New Roman"/>
          <w:szCs w:val="24"/>
        </w:rPr>
        <w:t>przygotowaniu i realizacji strategicznych inwestycji w zakres</w:t>
      </w:r>
      <w:r w:rsidR="00725FB5">
        <w:rPr>
          <w:rFonts w:eastAsia="Times New Roman" w:cs="Times New Roman"/>
          <w:szCs w:val="24"/>
        </w:rPr>
        <w:t>ie sieci przesyłowych, ustawy z</w:t>
      </w:r>
      <w:r w:rsidRPr="00C52F09">
        <w:rPr>
          <w:rFonts w:eastAsia="Times New Roman" w:cs="Times New Roman"/>
          <w:szCs w:val="24"/>
        </w:rPr>
        <w:t>dnia 24 kwietnia 2009 r. o inwestycjach w zakresie terminalu regazyfikacyjnego skroplonego gazu ziemnego w Świnoujściu)</w:t>
      </w:r>
      <w:r w:rsidR="00BB7550">
        <w:rPr>
          <w:rFonts w:eastAsia="Times New Roman" w:cs="Times New Roman"/>
          <w:szCs w:val="24"/>
        </w:rPr>
        <w:t>,</w:t>
      </w:r>
      <w:r w:rsidRPr="00C52F09">
        <w:rPr>
          <w:rFonts w:eastAsia="Times New Roman" w:cs="Times New Roman"/>
          <w:szCs w:val="24"/>
        </w:rPr>
        <w:t xml:space="preserve"> przyjęto, że uzyskanie opinii właściwych organów następować będzie przed wszczęciem postępowania w sprawie decyzji lokalizacyjnej, a uzyskanie tych opinii leżeć będzie w gestii inwestora. W celu przyspieszenia procedury uzyskiwania decyzji lokalizacyjnej przewidziano w projekcie krótki (14-dniowy) termin na wydanie opinii, zaś 30</w:t>
      </w:r>
      <w:r w:rsidR="00725FB5">
        <w:rPr>
          <w:rFonts w:eastAsia="Times New Roman" w:cs="Times New Roman"/>
          <w:szCs w:val="24"/>
        </w:rPr>
        <w:noBreakHyphen/>
      </w:r>
      <w:r w:rsidRPr="00C52F09">
        <w:rPr>
          <w:rFonts w:eastAsia="Times New Roman" w:cs="Times New Roman"/>
          <w:szCs w:val="24"/>
        </w:rPr>
        <w:t xml:space="preserve">dniowy dla dokonania uzgodnienia z właściwym zarządcą drogi krajowej. Bezskuteczny upływ tego terminu skutkuje przyjęciem, że brak jest zastrzeżeń do wniosku o wydanie decyzji lokalizacyjnej. Opinia nie będzie wiążąca dla organu rozstrzygającego sprawę. Analogicznie </w:t>
      </w:r>
      <w:r w:rsidR="00BB7550">
        <w:rPr>
          <w:rFonts w:eastAsia="Times New Roman" w:cs="Times New Roman"/>
          <w:szCs w:val="24"/>
        </w:rPr>
        <w:t>do</w:t>
      </w:r>
      <w:r w:rsidRPr="00C52F09">
        <w:rPr>
          <w:rFonts w:eastAsia="Times New Roman" w:cs="Times New Roman"/>
          <w:szCs w:val="24"/>
        </w:rPr>
        <w:t xml:space="preserve"> innych szczególnych ustaw inwestycyjnych, opinie oraz uzgodnienie z zarządcą drogi krajowej zastępować będą uzgodnienia, pozwolenia, zezwolenia, zwolnienia, opinie, zgody bądź stanowiska właściwych organów, wymagane odrębnymi przepisami dla lokalizacji inwestycji.</w:t>
      </w:r>
    </w:p>
    <w:p w14:paraId="7AD31CEE" w14:textId="48A24A24"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Ponadto, na podstawie art. 13 ust. 3 projektu ustawy, inwestor zobligowany jest do uzgodnienia z właściwym zarządcą drogi krajowej parametrów technicznych zjazdów oraz sposobu, miejsca i warunków umieszczenia w pasie drogowym urządzeń obcych, a jeżeli wniosek o wydanie decyzji o ustaleniu lokalizacji inwestycji w zakresie Krajowego Centrum Przetwarzania Danych dotyczy budowy zjazdów</w:t>
      </w:r>
      <w:r w:rsidR="00BB7550">
        <w:rPr>
          <w:rFonts w:eastAsia="Times New Roman" w:cs="Times New Roman"/>
          <w:szCs w:val="24"/>
        </w:rPr>
        <w:t>,</w:t>
      </w:r>
      <w:r w:rsidRPr="00C52F09">
        <w:rPr>
          <w:rFonts w:eastAsia="Times New Roman" w:cs="Times New Roman"/>
          <w:szCs w:val="24"/>
        </w:rPr>
        <w:t xml:space="preserve"> również ich lokalizacji, zgodnie z przepisami ustawy z dnia 21 marca 1985 r. o drogach publicznych</w:t>
      </w:r>
      <w:r w:rsidR="00170435">
        <w:rPr>
          <w:rFonts w:eastAsia="Times New Roman" w:cs="Times New Roman"/>
          <w:szCs w:val="24"/>
        </w:rPr>
        <w:t xml:space="preserve"> </w:t>
      </w:r>
      <w:r w:rsidR="00170435" w:rsidRPr="00F47CC3">
        <w:t>(Dz. U. z 2022 r. poz. 1693, 1768, 1783 i 2185)</w:t>
      </w:r>
      <w:r w:rsidRPr="00C52F09">
        <w:rPr>
          <w:rFonts w:eastAsia="Times New Roman" w:cs="Times New Roman"/>
          <w:szCs w:val="24"/>
        </w:rPr>
        <w:t xml:space="preserve">. Opinie oraz uzgodnienia </w:t>
      </w:r>
      <w:r w:rsidRPr="00C52F09">
        <w:rPr>
          <w:rFonts w:eastAsia="Times New Roman" w:cs="Times New Roman"/>
          <w:szCs w:val="24"/>
        </w:rPr>
        <w:lastRenderedPageBreak/>
        <w:t>stanowią załączniki do wniosku o wydanie decyzji lokalizacyjnej i są uwzględniane przez wojewodę wydającego tę decyzję. Należy więc przyjąć, że decyzja lokalizacyjna w sposób wyczerpujący reguluje kwestie związane z przygotowaniem i realizacją inwestycji lub jej części. W związku z tym, że na podstawie art. 13 ust. 2 projektu ustawy lokalizacja inwestycji w zakresie Krajowego Centrum Przetwarzania Danych jest opiniowana, a na podstawie art. 13 ust. 3 projektu ustawy uzgadniana, przez organy wydające decyzje lokalizacyjne w stosunku do części inwestycji (m.in. opinia lub uzgodnienie w zakresie lokalizacji lub przebudowy zjazdu, lokalizacji w pasie dro</w:t>
      </w:r>
      <w:r w:rsidR="00725FB5">
        <w:rPr>
          <w:rFonts w:eastAsia="Times New Roman" w:cs="Times New Roman"/>
          <w:szCs w:val="24"/>
        </w:rPr>
        <w:t>gowym urządzeń obcych, opinia w </w:t>
      </w:r>
      <w:r w:rsidRPr="00C52F09">
        <w:rPr>
          <w:rFonts w:eastAsia="Times New Roman" w:cs="Times New Roman"/>
          <w:szCs w:val="24"/>
        </w:rPr>
        <w:t>zakresie wznoszenia i wykorzystywania</w:t>
      </w:r>
      <w:r w:rsidR="00195AF7">
        <w:rPr>
          <w:rFonts w:eastAsia="Times New Roman" w:cs="Times New Roman"/>
          <w:szCs w:val="24"/>
        </w:rPr>
        <w:t>)</w:t>
      </w:r>
      <w:r w:rsidRPr="00C52F09">
        <w:rPr>
          <w:rFonts w:eastAsia="Times New Roman" w:cs="Times New Roman"/>
          <w:szCs w:val="24"/>
        </w:rPr>
        <w:t>, właściwe organy mają możliwość wypowiedzenia się co do przygotowania i realizacji inwestycji w zakresie swojej właściwości i nie jest konieczne wydawanie przez nie osobnych decyzji lub innych rozstrzygnięć. Odmienne stanowisko oznaczałoby konieczność podejmowania przez ten sam organ, w stosunku do tej samej inwestycji, dwukrotnych działań, których skutkiem byłoby wydanie opinii albo uzgodnienia, a także decyzji. Powyższe byłoby sprzeczne z zasadą ekonomicznego prowadzenia postępowań, a także mogłoby prowadzić do wydawania i fu</w:t>
      </w:r>
      <w:r w:rsidR="00725FB5">
        <w:rPr>
          <w:rFonts w:eastAsia="Times New Roman" w:cs="Times New Roman"/>
          <w:szCs w:val="24"/>
        </w:rPr>
        <w:t>nkcjonowania w </w:t>
      </w:r>
      <w:r w:rsidRPr="00C52F09">
        <w:rPr>
          <w:rFonts w:eastAsia="Times New Roman" w:cs="Times New Roman"/>
          <w:szCs w:val="24"/>
        </w:rPr>
        <w:t xml:space="preserve">obrocie prawnym dwóch sprzecznych ze sobą stanowisk tego samego organu w odniesieniu do tej samej inwestycji w zakresie Krajowego Centrum Przetwarzania Danych. </w:t>
      </w:r>
    </w:p>
    <w:p w14:paraId="1009C7BF"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Przez rozstrzygnięcia, o których mowa w art. 27 projektu ustawy, należy rozumieć uzgodnienia, pozwolenia, opinie, zgody bądź stanowiska wymagane odrębnymi przepisami dla lokalizacji inwestycji w zakresie Krajowego Centrum Przetwarzania Danych lub jej części.</w:t>
      </w:r>
    </w:p>
    <w:p w14:paraId="6240A74D"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związku z praktyką organów uczestniczących w procesie inwestycyjnym, polegającą na żądaniu od inwestora, który dysponuje decyzją lokalizacyjną, uzyskania licznych rozstrzygnięć, konieczne jest jednoznaczne przesądzenie, że decyzja lokalizacyjna ma charakter zupełny pod kątem uzyskania właściwych zgód i w tym zakresie w całości reguluje kwestię przygotowania i realizacji inwestycji lub jej części.</w:t>
      </w:r>
    </w:p>
    <w:p w14:paraId="655F28A9" w14:textId="15032E1C"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celu maksymalnego przyspieszenia wydawania decyzji o ust</w:t>
      </w:r>
      <w:r w:rsidR="00725FB5">
        <w:rPr>
          <w:rFonts w:eastAsia="Times New Roman" w:cs="Times New Roman"/>
          <w:szCs w:val="24"/>
        </w:rPr>
        <w:t>aleniu lokalizacji inwestycji w </w:t>
      </w:r>
      <w:r w:rsidRPr="00C52F09">
        <w:rPr>
          <w:rFonts w:eastAsia="Times New Roman" w:cs="Times New Roman"/>
          <w:szCs w:val="24"/>
        </w:rPr>
        <w:t>zakresie Krajowego Centrum Przetwarzania Danych przyjęto, że wydanie tej decyzji przez właściwego wojewodę powinno nastąpić w terminie 30 dni od dnia złożenia wniosku.</w:t>
      </w:r>
    </w:p>
    <w:p w14:paraId="0EA7C69F" w14:textId="724C5D94"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lastRenderedPageBreak/>
        <w:t>Przyjęto, że o wszczęciu postępowania o ustalenie lokalizacji inwestycji w zakresie Krajowego Centrum Przetwarzania Danych będzie zawiadamia</w:t>
      </w:r>
      <w:r w:rsidR="00725FB5">
        <w:rPr>
          <w:rFonts w:eastAsia="Times New Roman" w:cs="Times New Roman"/>
          <w:szCs w:val="24"/>
        </w:rPr>
        <w:t>ny wnioskodawca. Właścicielom i </w:t>
      </w:r>
      <w:r w:rsidRPr="00C52F09">
        <w:rPr>
          <w:rFonts w:eastAsia="Times New Roman" w:cs="Times New Roman"/>
          <w:szCs w:val="24"/>
        </w:rPr>
        <w:t>użytkownikom wieczystym nieruchomości, na których będą lokalizowane inwestycje, zawiadomienia o wszczęciu post</w:t>
      </w:r>
      <w:r w:rsidR="00AF6D22">
        <w:rPr>
          <w:rFonts w:eastAsia="Times New Roman" w:cs="Times New Roman"/>
          <w:szCs w:val="24"/>
        </w:rPr>
        <w:t>ępowania</w:t>
      </w:r>
      <w:r w:rsidRPr="00C52F09">
        <w:rPr>
          <w:rFonts w:eastAsia="Times New Roman" w:cs="Times New Roman"/>
          <w:szCs w:val="24"/>
        </w:rPr>
        <w:t xml:space="preserve">będą wysyłane na adres określony w </w:t>
      </w:r>
      <w:r w:rsidRPr="00C52F09">
        <w:rPr>
          <w:rFonts w:eastAsia="Times New Roman" w:cs="Times New Roman"/>
          <w:bCs/>
          <w:szCs w:val="24"/>
        </w:rPr>
        <w:t>ewidencji gruntów i budynków</w:t>
      </w:r>
      <w:r w:rsidRPr="00C52F09">
        <w:rPr>
          <w:rFonts w:eastAsia="Times New Roman" w:cs="Times New Roman"/>
          <w:szCs w:val="24"/>
        </w:rPr>
        <w:t>. Rozwiązanie to ma na celu uniknięcie długotrwałych procedur związanych z ustalaniem adresów stron postępowania. Niezależnie od tych zawiadomień, wszczęcie postępowania będzie przedmiotem obwieszczenia (art. 14 ust. 1 i art. 16 ust. 3 projektu ustawy).</w:t>
      </w:r>
    </w:p>
    <w:p w14:paraId="557B7277" w14:textId="76AEF564"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Ponadto projekt ustawy przewiduje (art.</w:t>
      </w:r>
      <w:r w:rsidR="008659EB">
        <w:rPr>
          <w:rFonts w:eastAsia="Times New Roman" w:cs="Times New Roman"/>
          <w:szCs w:val="24"/>
        </w:rPr>
        <w:t xml:space="preserve"> </w:t>
      </w:r>
      <w:r w:rsidRPr="00C52F09">
        <w:rPr>
          <w:rFonts w:eastAsia="Times New Roman" w:cs="Times New Roman"/>
          <w:szCs w:val="24"/>
        </w:rPr>
        <w:t>14 ust. 5) instytucję tzw. „rezerwacji terenu”, na wzór ustaw dotyczących realizacji szczególnych inwestycji przez m.in. odmowę wydawania pozwoleń budowlanych lub warunków zabudowy, chyba że zgodę wyrazi inwestor. Nieruchomości stanowiące własność Skarbu Państwa i jednostki samorządu terytorialnego, objęte wnioskiem o wydanie decyzji o ustaleniu lokalizacji inwestycji w zakresie Krajowego Centrum Przetwarzania Danych, nie będą mogły być przedmiotem obrotu w rozumieniu przepisów o gospodarce nieruchomościami.</w:t>
      </w:r>
    </w:p>
    <w:p w14:paraId="7BE31B9D" w14:textId="17387EA6"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przypadku zbycia własności nieruchomości lub prawa użytkowania wieczystego gruntów objętych wnioskiem o wydanie decyzji o ustaleniu lokalizacji inwestycji w zakresie Krajowego Centrum Przetwarzania Danych, nabywca jak i zbywca będą zobowiązani do zgłoszenia do właściwego wojewody nowego właściciela lub użytkownika wieczystego, który przystąpi do toczącego się postępowania jako strona w miejsce zbywcy nieruchomości. Zmiana właściciela lub użytkownika wieczystego nieruchomości objętych</w:t>
      </w:r>
      <w:r w:rsidR="00725FB5">
        <w:rPr>
          <w:rFonts w:eastAsia="Times New Roman" w:cs="Times New Roman"/>
          <w:szCs w:val="24"/>
        </w:rPr>
        <w:t xml:space="preserve"> wnioskiem o wydanie decyzji o </w:t>
      </w:r>
      <w:r w:rsidRPr="00C52F09">
        <w:rPr>
          <w:rFonts w:eastAsia="Times New Roman" w:cs="Times New Roman"/>
          <w:szCs w:val="24"/>
        </w:rPr>
        <w:t>ustaleniu lokalizacji inwestycji w zakresie Krajowego Centrum Przetwarzania Danych nie ma wpływu na toczące się postępowanie. Brak dokonania powyższego zgłoszenia i prowadzenie postępowania bez udziału nowego właściciela lub użytkownika wieczystego nie będzie stanowić podstawy do wznowienia postępowania.</w:t>
      </w:r>
    </w:p>
    <w:p w14:paraId="52A754D0" w14:textId="4EDA91E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Art. 16 projektu ustawy określa szczegółowo treść decyzji o ust</w:t>
      </w:r>
      <w:r w:rsidR="00725FB5">
        <w:rPr>
          <w:rFonts w:eastAsia="Times New Roman" w:cs="Times New Roman"/>
          <w:szCs w:val="24"/>
        </w:rPr>
        <w:t>aleniu lokalizacji inwestycji w </w:t>
      </w:r>
      <w:r w:rsidRPr="00C52F09">
        <w:rPr>
          <w:rFonts w:eastAsia="Times New Roman" w:cs="Times New Roman"/>
          <w:szCs w:val="24"/>
        </w:rPr>
        <w:t>zakresie Krajowego Centrum Przetwarzania Danych (decyzja lokalizacyjna). Projekt zakłada włączenie postępowania w zakresie podziału nieruchomości do postępowania lokalizacyjnego. W ten sposób decyzja o ustaleniu lokalizacji inwe</w:t>
      </w:r>
      <w:r w:rsidRPr="00C52F09">
        <w:rPr>
          <w:rFonts w:eastAsia="Times New Roman" w:cs="Times New Roman"/>
          <w:szCs w:val="24"/>
        </w:rPr>
        <w:lastRenderedPageBreak/>
        <w:t xml:space="preserve">stycji w zakresie Krajowego Centrum Przetwarzania Danych stanie się zarazem decyzją o zatwierdzeniu załączonego do wniosku lokalizacyjnego projektu podziału nieruchomości (art. 16 ust. 1 pkt 6 oraz </w:t>
      </w:r>
      <w:r w:rsidR="008659EB">
        <w:rPr>
          <w:rFonts w:eastAsia="Times New Roman" w:cs="Times New Roman"/>
          <w:szCs w:val="24"/>
        </w:rPr>
        <w:t xml:space="preserve">art. </w:t>
      </w:r>
      <w:r w:rsidRPr="00C52F09">
        <w:rPr>
          <w:rFonts w:eastAsia="Times New Roman" w:cs="Times New Roman"/>
          <w:szCs w:val="24"/>
        </w:rPr>
        <w:t>17 ust. 1</w:t>
      </w:r>
      <w:r w:rsidR="0003018A">
        <w:rPr>
          <w:rFonts w:eastAsia="Times New Roman" w:cs="Times New Roman"/>
          <w:szCs w:val="24"/>
        </w:rPr>
        <w:t>–</w:t>
      </w:r>
      <w:r w:rsidRPr="00C52F09">
        <w:rPr>
          <w:rFonts w:eastAsia="Times New Roman" w:cs="Times New Roman"/>
          <w:szCs w:val="24"/>
        </w:rPr>
        <w:t xml:space="preserve">9 projektu ustawy). </w:t>
      </w:r>
    </w:p>
    <w:p w14:paraId="786D9649" w14:textId="40D09DB5" w:rsidR="00C52F09" w:rsidRPr="00C52F09" w:rsidRDefault="008659EB" w:rsidP="00C52F09">
      <w:pPr>
        <w:spacing w:before="120"/>
        <w:jc w:val="both"/>
        <w:rPr>
          <w:rFonts w:eastAsia="Times New Roman" w:cs="Times New Roman"/>
          <w:szCs w:val="24"/>
        </w:rPr>
      </w:pPr>
      <w:r>
        <w:rPr>
          <w:rFonts w:eastAsia="Times New Roman" w:cs="Times New Roman"/>
          <w:szCs w:val="24"/>
        </w:rPr>
        <w:t>Pon</w:t>
      </w:r>
      <w:r w:rsidR="00C52F09" w:rsidRPr="00C52F09">
        <w:rPr>
          <w:rFonts w:eastAsia="Times New Roman" w:cs="Times New Roman"/>
          <w:szCs w:val="24"/>
        </w:rPr>
        <w:t>adto w decyzji lokalizacyjnej, w celu zapewnienia prawa do wejścia na teren nieruchomości dla prowadzenia na nich budowy inwestycji w zakresie Krajowego Centrum Przetwarzania Danych, a także prac związanych z budową, przebudową, utrzymaniem, eksploatacją, konserwacją, remontami oraz usuwaniem awarii, wojewoda będzie mógł ograniczyć sposób korzystania z nieruchomości przez udzielenie zezwolenia na zakładanie i przeprowadzenie na nieruchomości ciągów drenażowych, przewodów i urządzeń służących do przesyłania płynów, pary, gazów i energii elektrycznej oraz urządzeń łączności publicznej i sygnalizacji, a także innych podziemnych, naziemnych lub nadziemnych obiektów i urządzeń na</w:t>
      </w:r>
      <w:r w:rsidR="00725FB5">
        <w:rPr>
          <w:rFonts w:eastAsia="Times New Roman" w:cs="Times New Roman"/>
          <w:szCs w:val="24"/>
        </w:rPr>
        <w:t xml:space="preserve"> wzór regulacji z </w:t>
      </w:r>
      <w:r w:rsidR="00C52F09" w:rsidRPr="00C52F09">
        <w:rPr>
          <w:rFonts w:eastAsia="Times New Roman" w:cs="Times New Roman"/>
          <w:szCs w:val="24"/>
        </w:rPr>
        <w:t>art. 124 ust. 1 ustawy z dnia 21 sierpnia 1997 r. o gospodarce</w:t>
      </w:r>
      <w:r w:rsidR="00725FB5">
        <w:rPr>
          <w:rFonts w:eastAsia="Times New Roman" w:cs="Times New Roman"/>
          <w:szCs w:val="24"/>
        </w:rPr>
        <w:t xml:space="preserve"> nieruchomościami (art. 32 ust. </w:t>
      </w:r>
      <w:r w:rsidR="00C52F09" w:rsidRPr="00C52F09">
        <w:rPr>
          <w:rFonts w:eastAsia="Times New Roman" w:cs="Times New Roman"/>
          <w:szCs w:val="24"/>
        </w:rPr>
        <w:t>1). Co więcej wojewoda będzie mógł nałożyć zakazy lub nakazy lokalizowania określonych obiektów lub wykonywania nasadzeń czy utrzymania drzew, krzewów lub innej roślinności (art. 32 ust. 2), o ile inwestor określi we wniosku o wydanie tej decyzji konieczność takiego działania.</w:t>
      </w:r>
    </w:p>
    <w:p w14:paraId="1F2B6FD9" w14:textId="3F2AC6AE" w:rsidR="00C52F09" w:rsidRPr="00C52F09" w:rsidRDefault="00C52F09" w:rsidP="00C52F09">
      <w:pPr>
        <w:spacing w:before="120"/>
        <w:jc w:val="both"/>
        <w:rPr>
          <w:rFonts w:cs="Times New Roman"/>
          <w:color w:val="000000"/>
          <w:szCs w:val="24"/>
        </w:rPr>
      </w:pPr>
      <w:r w:rsidRPr="00C52F09">
        <w:rPr>
          <w:rFonts w:eastAsia="Times New Roman" w:cs="Times New Roman"/>
          <w:szCs w:val="24"/>
        </w:rPr>
        <w:t>W celu wyeliminowania opóźnień w postępowaniu w przypadku, gdy inwestycja ma przebiegać przez teren nieruchomości o nieuregulowanym stanie prawnym</w:t>
      </w:r>
      <w:r w:rsidR="00A60F99">
        <w:rPr>
          <w:rFonts w:eastAsia="Times New Roman" w:cs="Times New Roman"/>
          <w:szCs w:val="24"/>
        </w:rPr>
        <w:t>,</w:t>
      </w:r>
      <w:r w:rsidRPr="00C52F09">
        <w:rPr>
          <w:rFonts w:eastAsia="Times New Roman" w:cs="Times New Roman"/>
          <w:szCs w:val="24"/>
        </w:rPr>
        <w:t xml:space="preserve"> w art. 12 ust. 7 projektu ustawy przyjęto, że</w:t>
      </w:r>
      <w:r w:rsidRPr="00C52F09">
        <w:rPr>
          <w:rFonts w:cs="Times New Roman"/>
          <w:color w:val="000000"/>
          <w:szCs w:val="24"/>
        </w:rPr>
        <w:t xml:space="preserve"> nieuregulowany stan prawny nieruchomości, objętych wnioskiem o wydanie decyzji o ustaleniu lokalizacji inwestycji w zakresie Krajowego Centrum Przetwarzania Danych lub brak danych w ewidencji gruntów i budynków pozwalających na ustalenie danych osobowych, w szczególności adresu zamieszkania, właściciela lub użytkownika wieczystego nieruchomości, nie stanowi przeszkody do wszczęcia i prowadzenia postępowania o wydanie decyzji o ustaleniu lokalizacji inwestycji w zakresie Krajowego Centrum Przetwarzania Danych, jej wydania i doręczenia oraz zawiadomienia o jej wydaniu. </w:t>
      </w:r>
    </w:p>
    <w:p w14:paraId="606E9F16" w14:textId="39C3C41C" w:rsidR="00C52F09" w:rsidRPr="00C52F09" w:rsidRDefault="00C52F09" w:rsidP="00C52F09">
      <w:pPr>
        <w:spacing w:before="120"/>
        <w:jc w:val="both"/>
        <w:rPr>
          <w:rFonts w:cs="Times New Roman"/>
          <w:color w:val="000000"/>
          <w:szCs w:val="24"/>
        </w:rPr>
      </w:pPr>
      <w:r w:rsidRPr="00C52F09">
        <w:rPr>
          <w:rFonts w:cs="Times New Roman"/>
          <w:color w:val="000000"/>
          <w:szCs w:val="24"/>
        </w:rPr>
        <w:t>W art. 12 ust. 8 projektu ustawy wskazano ponadto, że przep</w:t>
      </w:r>
      <w:r w:rsidR="00725FB5">
        <w:rPr>
          <w:rFonts w:cs="Times New Roman"/>
          <w:color w:val="000000"/>
          <w:szCs w:val="24"/>
        </w:rPr>
        <w:t>is ust. 7 stosuje się również w </w:t>
      </w:r>
      <w:r w:rsidRPr="00C52F09">
        <w:rPr>
          <w:rFonts w:cs="Times New Roman"/>
          <w:color w:val="000000"/>
          <w:szCs w:val="24"/>
        </w:rPr>
        <w:t>przypadku, jeżeli dotychczasowy właściciel lub użytkownik wieczysty nieruchomości nie żyje i nie przeprowadzono lub nie zostało zakończone postępowanie spadkowe.</w:t>
      </w:r>
    </w:p>
    <w:p w14:paraId="0EDA053B" w14:textId="77777777" w:rsidR="00C52F09" w:rsidRPr="00C52F09" w:rsidRDefault="00C52F09" w:rsidP="00C52F09">
      <w:pPr>
        <w:spacing w:before="120"/>
        <w:jc w:val="both"/>
        <w:rPr>
          <w:rFonts w:cs="Times New Roman"/>
          <w:color w:val="000000"/>
          <w:szCs w:val="24"/>
        </w:rPr>
      </w:pPr>
      <w:r w:rsidRPr="00C52F09">
        <w:rPr>
          <w:rFonts w:cs="Times New Roman"/>
          <w:color w:val="000000"/>
          <w:szCs w:val="24"/>
        </w:rPr>
        <w:lastRenderedPageBreak/>
        <w:t xml:space="preserve">Zauważyć należy, że specyfika inwestycji w zakresie Krajowego Centrum Przetwarzania Danych, które mogą mieć również charakter liniowy, może wymagać przeprowadzenia prac na terenach o nieuporządkowanym (nieuregulowanym) stanie prawnym – a powyższe rozwiązania mają umożliwić wszczęcie i prowadzenie postępowania. </w:t>
      </w:r>
    </w:p>
    <w:p w14:paraId="5D077409" w14:textId="1E3EEDD7" w:rsidR="00C52F09" w:rsidRPr="00C52F09" w:rsidRDefault="00C52F09" w:rsidP="00C52F09">
      <w:pPr>
        <w:spacing w:before="120"/>
        <w:jc w:val="both"/>
        <w:rPr>
          <w:rFonts w:cs="Times New Roman"/>
          <w:color w:val="000000"/>
          <w:szCs w:val="24"/>
        </w:rPr>
      </w:pPr>
      <w:r w:rsidRPr="00C52F09">
        <w:rPr>
          <w:rFonts w:cs="Times New Roman"/>
          <w:color w:val="000000"/>
          <w:szCs w:val="24"/>
        </w:rPr>
        <w:t>Wskazać także należy, że</w:t>
      </w:r>
      <w:r w:rsidR="00A60F99">
        <w:rPr>
          <w:rFonts w:cs="Times New Roman"/>
          <w:color w:val="000000"/>
          <w:szCs w:val="24"/>
        </w:rPr>
        <w:t>,</w:t>
      </w:r>
      <w:r w:rsidRPr="00C52F09">
        <w:rPr>
          <w:rFonts w:cs="Times New Roman"/>
          <w:color w:val="000000"/>
          <w:szCs w:val="24"/>
        </w:rPr>
        <w:t xml:space="preserve"> zgodnie z art. 27 zdanie drugie ustawy o gospodarce nieruchomościami, oddanie nieruchomości gruntowej w użytkowanie wieczyste i przeniesienie tego prawa w drodze umowy wymaga wpisu w księdze wieczystej. Na tle zagadnienia związanego z konstytutywnym wpisem prawa wieczystego użytkowania do księgi wieczystej jako elementu czynności prawnej przeniesienia prawa wieczystego użytkowania, w drodze umowy, Sąd Najwyższy podjął w dniu 11 kwietnia 2019 r. uchwa</w:t>
      </w:r>
      <w:r w:rsidR="004E7CA9">
        <w:rPr>
          <w:rFonts w:cs="Times New Roman"/>
          <w:color w:val="000000"/>
          <w:szCs w:val="24"/>
        </w:rPr>
        <w:t>ł</w:t>
      </w:r>
      <w:r w:rsidRPr="00C52F09">
        <w:rPr>
          <w:rFonts w:cs="Times New Roman"/>
          <w:color w:val="000000"/>
          <w:szCs w:val="24"/>
        </w:rPr>
        <w:t>ę w sprawie o sygn. akt III CZP 100/18, zgodnie z którą:</w:t>
      </w:r>
    </w:p>
    <w:p w14:paraId="01FB61AD" w14:textId="77777777" w:rsidR="00C52F09" w:rsidRPr="00C52F09" w:rsidRDefault="00C52F09" w:rsidP="008F56AF">
      <w:pPr>
        <w:spacing w:before="120"/>
        <w:jc w:val="both"/>
        <w:rPr>
          <w:rFonts w:cs="Times New Roman"/>
          <w:color w:val="000000"/>
          <w:szCs w:val="24"/>
        </w:rPr>
      </w:pPr>
      <w:r w:rsidRPr="00C52F09">
        <w:rPr>
          <w:rFonts w:cs="Times New Roman"/>
          <w:color w:val="000000"/>
          <w:szCs w:val="24"/>
        </w:rPr>
        <w:t>„1. Konstytutywny wpis prawa użytkowania wieczystego do księgi wieczystej nie stanowi elementu czynności prawnej, którą jest umowa ustanowienia albo przeniesienia tego prawa rzeczowego.</w:t>
      </w:r>
    </w:p>
    <w:p w14:paraId="23DEEC9C" w14:textId="09D6CD81" w:rsidR="00C52F09" w:rsidRPr="00C52F09" w:rsidRDefault="00C52F09" w:rsidP="008F56AF">
      <w:pPr>
        <w:spacing w:before="120"/>
        <w:jc w:val="both"/>
        <w:rPr>
          <w:rFonts w:cs="Times New Roman"/>
          <w:color w:val="000000"/>
          <w:szCs w:val="24"/>
        </w:rPr>
      </w:pPr>
      <w:r w:rsidRPr="00C52F09">
        <w:rPr>
          <w:rFonts w:cs="Times New Roman"/>
          <w:color w:val="000000"/>
          <w:szCs w:val="24"/>
        </w:rPr>
        <w:t>2. Dla oceny dobrej lub złej wiary osoby, na rzecz której nastąpiło ustanowienie albo przeniesienie prawa użytkowania wieczystego, rozstrzygająca</w:t>
      </w:r>
      <w:r w:rsidR="00725FB5">
        <w:rPr>
          <w:rFonts w:cs="Times New Roman"/>
          <w:color w:val="000000"/>
          <w:szCs w:val="24"/>
        </w:rPr>
        <w:t xml:space="preserve"> jest chwila złożenia wniosku o </w:t>
      </w:r>
      <w:r w:rsidRPr="00C52F09">
        <w:rPr>
          <w:rFonts w:cs="Times New Roman"/>
          <w:color w:val="000000"/>
          <w:szCs w:val="24"/>
        </w:rPr>
        <w:t>wpis tego prawa do księgi wieczystej.</w:t>
      </w:r>
    </w:p>
    <w:p w14:paraId="3A27F072" w14:textId="77777777" w:rsidR="00C52F09" w:rsidRPr="00C52F09" w:rsidRDefault="00C52F09" w:rsidP="00C52F09">
      <w:pPr>
        <w:spacing w:before="120"/>
        <w:jc w:val="both"/>
        <w:rPr>
          <w:rFonts w:cs="Times New Roman"/>
          <w:i/>
          <w:iCs/>
          <w:color w:val="000000"/>
          <w:szCs w:val="24"/>
        </w:rPr>
      </w:pPr>
      <w:r w:rsidRPr="00C52F09">
        <w:rPr>
          <w:rFonts w:cs="Times New Roman"/>
          <w:color w:val="000000"/>
          <w:szCs w:val="24"/>
        </w:rPr>
        <w:t>W doktrynie w odniesieniu do możliwości dziedziczenia prawa użytkowania wieczystego podnosi się, że zgodnie z art. 922 § 1 KC prawa i obowiązki majątkowe zmarłego przechodzą z chwilą jego śmierci na jedną lub kilka osób. „</w:t>
      </w:r>
      <w:r w:rsidRPr="00C52F09">
        <w:rPr>
          <w:rFonts w:cs="Times New Roman"/>
          <w:i/>
          <w:iCs/>
          <w:color w:val="000000"/>
          <w:szCs w:val="24"/>
        </w:rPr>
        <w:t>Prawo użytkowania wieczystego, jako prawo rzeczowe jest niewątpliwie prawem majątkowym, z czego wynika jego przenoszalność nie tylko w drodze czynności prawnych, ale również w drodze zdarzeń, jakim jest dziedziczenie.</w:t>
      </w:r>
    </w:p>
    <w:p w14:paraId="294012BE" w14:textId="77777777" w:rsidR="00C52F09" w:rsidRPr="00C52F09" w:rsidRDefault="00C52F09" w:rsidP="00C52F09">
      <w:pPr>
        <w:spacing w:before="120"/>
        <w:jc w:val="both"/>
        <w:rPr>
          <w:rFonts w:cs="Times New Roman"/>
          <w:color w:val="000000"/>
          <w:szCs w:val="24"/>
        </w:rPr>
      </w:pPr>
      <w:r w:rsidRPr="00C52F09">
        <w:rPr>
          <w:rFonts w:cs="Times New Roman"/>
          <w:color w:val="000000"/>
          <w:szCs w:val="24"/>
        </w:rPr>
        <w:t>(…)</w:t>
      </w:r>
    </w:p>
    <w:p w14:paraId="1A1BC7E3" w14:textId="6F3716B6" w:rsidR="00C52F09" w:rsidRPr="00C52F09" w:rsidRDefault="00C52F09" w:rsidP="00C52F09">
      <w:pPr>
        <w:spacing w:before="120"/>
        <w:jc w:val="both"/>
        <w:rPr>
          <w:rFonts w:cs="Times New Roman"/>
          <w:color w:val="000000"/>
          <w:szCs w:val="24"/>
        </w:rPr>
      </w:pPr>
      <w:r w:rsidRPr="00C52F09">
        <w:rPr>
          <w:rFonts w:cs="Times New Roman"/>
          <w:i/>
          <w:iCs/>
          <w:color w:val="000000"/>
          <w:szCs w:val="24"/>
        </w:rPr>
        <w:t>Do spadkobierców nie ma w tym przypadku zastosowania art. 27 GospNierU, według którego oddanie nieruchomości gruntowej w użytkowanie wieczys</w:t>
      </w:r>
      <w:r w:rsidR="00725FB5">
        <w:rPr>
          <w:rFonts w:cs="Times New Roman"/>
          <w:i/>
          <w:iCs/>
          <w:color w:val="000000"/>
          <w:szCs w:val="24"/>
        </w:rPr>
        <w:t>te i przeniesienie tego prawa w </w:t>
      </w:r>
      <w:r w:rsidRPr="00C52F09">
        <w:rPr>
          <w:rFonts w:cs="Times New Roman"/>
          <w:i/>
          <w:iCs/>
          <w:color w:val="000000"/>
          <w:szCs w:val="24"/>
        </w:rPr>
        <w:t>drodze umowy wymaga wpisu w księdze wieczystej. Po</w:t>
      </w:r>
      <w:r w:rsidR="00725FB5">
        <w:rPr>
          <w:rFonts w:cs="Times New Roman"/>
          <w:i/>
          <w:iCs/>
          <w:color w:val="000000"/>
          <w:szCs w:val="24"/>
        </w:rPr>
        <w:t>wołany przepis stanowi bowiem o </w:t>
      </w:r>
      <w:r w:rsidRPr="00C52F09">
        <w:rPr>
          <w:rFonts w:cs="Times New Roman"/>
          <w:i/>
          <w:iCs/>
          <w:color w:val="000000"/>
          <w:szCs w:val="24"/>
        </w:rPr>
        <w:t xml:space="preserve">konstytutywnym (prawotwórczym) charakterze wpisu prawa użytkowania wieczystego do księgi wieczystej, ale tylko w przypadku, gdy prawo to jest </w:t>
      </w:r>
      <w:r w:rsidRPr="00C52F09">
        <w:rPr>
          <w:rFonts w:cs="Times New Roman"/>
          <w:i/>
          <w:iCs/>
          <w:color w:val="000000"/>
          <w:szCs w:val="24"/>
        </w:rPr>
        <w:lastRenderedPageBreak/>
        <w:t>ustanawiane (na tzw. rynku pierwotnym) lub przenoszone (na tzw. rynku wtórnym) w drodze umowy. Tymczasem przeniesienie prawa użytkowania wieczystego z mocy prawa w drodze spadkobrania na rzecz spadkobierców (zarówno testamentowych, jak i ustawowych) nie jest dokonywane w drodze umowy, a więc nie zależy od woli dotychczasowego i nowego użytkownika wieczystego, ale jest skutkiem prawnym śmierci dotychczasowego użytkownika wieczystego, jako zdarzenia niezależnego od jego woli</w:t>
      </w:r>
      <w:r w:rsidRPr="00C52F09">
        <w:rPr>
          <w:rFonts w:cs="Times New Roman"/>
          <w:color w:val="000000"/>
          <w:szCs w:val="24"/>
        </w:rPr>
        <w:t>.” (Przekształcenie prawa użytkowania wieczystego w prawo własności po 9.10.2011 r., cz. II – osoby fizyczne uprawnione do uzyskania prawa własności nieruchomości w drodze przekształcenia, Marian Wolanin, Rok: 2012 legalis).</w:t>
      </w:r>
    </w:p>
    <w:p w14:paraId="36D0002B" w14:textId="267978B3" w:rsidR="00C52F09" w:rsidRPr="00C52F09" w:rsidRDefault="00C52F09" w:rsidP="00C52F09">
      <w:pPr>
        <w:spacing w:before="120"/>
        <w:jc w:val="both"/>
        <w:rPr>
          <w:rFonts w:cs="Times New Roman"/>
          <w:color w:val="000000"/>
          <w:szCs w:val="24"/>
        </w:rPr>
      </w:pPr>
      <w:r w:rsidRPr="00C52F09">
        <w:rPr>
          <w:rFonts w:cs="Times New Roman"/>
          <w:color w:val="000000"/>
          <w:szCs w:val="24"/>
        </w:rPr>
        <w:t>Inwestor może nie mieć możliwości podjęcia działań mających na celu wszczęcie postępowania, które skutkowałoby uregulowaniem stanu prawnego nieruchomości lub doprowadzeniu treści księgi wieczystej do stanu zgodnego z rzeczywistym stanem prawnym. Jednocześnie, nawet gdyby inwestor mógł zainicjować stosowne postępowanie, prowadziłoby to do znacznego przedłużenia postępowania w sprawie o wydanie decyzji o ustaleniu lokalizacji inwestycji w zakresie Krajowego Centrum Przetwarzania Danych. Konieczność sprawnego przygotowania inwestycji w zakresie Krajowego Centrum Przetwarzania Danych wymaga więc odpowiedniej regulacji. Podkreślić należy, że rozwiązanie</w:t>
      </w:r>
      <w:r w:rsidR="00725FB5">
        <w:rPr>
          <w:rFonts w:cs="Times New Roman"/>
          <w:color w:val="000000"/>
          <w:szCs w:val="24"/>
        </w:rPr>
        <w:t xml:space="preserve"> jest proporcjonalne do celu, a </w:t>
      </w:r>
      <w:r w:rsidRPr="00C52F09">
        <w:rPr>
          <w:rFonts w:cs="Times New Roman"/>
          <w:color w:val="000000"/>
          <w:szCs w:val="24"/>
        </w:rPr>
        <w:t>interesy podmiotów uprawnionych do nieruchomości są odpowiednio zabezpieczone</w:t>
      </w:r>
      <w:r w:rsidR="0080485D">
        <w:rPr>
          <w:rFonts w:cs="Times New Roman"/>
          <w:color w:val="000000"/>
          <w:szCs w:val="24"/>
        </w:rPr>
        <w:t>,</w:t>
      </w:r>
      <w:r w:rsidRPr="00C52F09">
        <w:rPr>
          <w:rFonts w:cs="Times New Roman"/>
          <w:color w:val="000000"/>
          <w:szCs w:val="24"/>
        </w:rPr>
        <w:t xml:space="preserve"> np. poprzez nałożenie na wojewodę obowiązku dokonania obwieszczenia o wszczęciu postępowania czy złożenie kwoty odszkodowania do depozytu sądowego.</w:t>
      </w:r>
    </w:p>
    <w:p w14:paraId="64A34E01" w14:textId="291189F6"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Art. 16 ust. 3–9 projektu ustawy określa zasady doręczania decyzji o ustaleniu lokalizacji inwestycji w zakresie Krajowego Centrum Przetwarzania Danych. Przyjęto w tym zakresie analogiczne rozwiązania jak w przypadku zawiadami</w:t>
      </w:r>
      <w:r w:rsidR="00725FB5">
        <w:rPr>
          <w:rFonts w:eastAsia="Times New Roman" w:cs="Times New Roman"/>
          <w:szCs w:val="24"/>
        </w:rPr>
        <w:t>ania o wszczęciu postępowania w </w:t>
      </w:r>
      <w:r w:rsidRPr="00C52F09">
        <w:rPr>
          <w:rFonts w:eastAsia="Times New Roman" w:cs="Times New Roman"/>
          <w:szCs w:val="24"/>
        </w:rPr>
        <w:t>przypadkach określonych w art. 16 ust. 9 projektu ustawy.</w:t>
      </w:r>
    </w:p>
    <w:p w14:paraId="67F47B24" w14:textId="2F6F3A81"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Wzorem wielu ustaw specjalnych opracowanych dla przygotowania inwestycji, w tym m.in. takich jak ustawa z dnia 10 kwietnia 2003 r. o szczeg</w:t>
      </w:r>
      <w:r w:rsidR="00725FB5">
        <w:rPr>
          <w:rFonts w:eastAsia="Times New Roman" w:cs="Times New Roman"/>
          <w:szCs w:val="24"/>
        </w:rPr>
        <w:t>ólnych zasadach przygotowania i </w:t>
      </w:r>
      <w:r w:rsidRPr="00C52F09">
        <w:rPr>
          <w:rFonts w:eastAsia="Times New Roman" w:cs="Times New Roman"/>
          <w:szCs w:val="24"/>
        </w:rPr>
        <w:t>realizacji inwestycji w</w:t>
      </w:r>
      <w:r w:rsidR="0003018A">
        <w:rPr>
          <w:rFonts w:eastAsia="Times New Roman" w:cs="Times New Roman"/>
          <w:szCs w:val="24"/>
        </w:rPr>
        <w:t xml:space="preserve"> </w:t>
      </w:r>
      <w:r w:rsidRPr="00C52F09">
        <w:rPr>
          <w:rFonts w:eastAsia="Times New Roman" w:cs="Times New Roman"/>
          <w:szCs w:val="24"/>
        </w:rPr>
        <w:t>zakresie dróg publicznych, usta</w:t>
      </w:r>
      <w:r w:rsidR="00725FB5">
        <w:rPr>
          <w:rFonts w:eastAsia="Times New Roman" w:cs="Times New Roman"/>
          <w:szCs w:val="24"/>
        </w:rPr>
        <w:t>wa z dnia 24 kwietnia 2009 r. o </w:t>
      </w:r>
      <w:r w:rsidRPr="00C52F09">
        <w:rPr>
          <w:rFonts w:eastAsia="Times New Roman" w:cs="Times New Roman"/>
          <w:szCs w:val="24"/>
        </w:rPr>
        <w:t>inwestycjach w zakresie terminalu regazyfikacyjn</w:t>
      </w:r>
      <w:r w:rsidR="00725FB5">
        <w:rPr>
          <w:rFonts w:eastAsia="Times New Roman" w:cs="Times New Roman"/>
          <w:szCs w:val="24"/>
        </w:rPr>
        <w:t>ego skroplonego gazu ziemnego w </w:t>
      </w:r>
      <w:r w:rsidRPr="00C52F09">
        <w:rPr>
          <w:rFonts w:eastAsia="Times New Roman" w:cs="Times New Roman"/>
          <w:szCs w:val="24"/>
        </w:rPr>
        <w:t xml:space="preserve">Świnoujściu, ustawa z dnia 24 lipca 2015 r. o przygotowaniu i realizacji strategicznych inwestycji w zakresie sieci przesyłowych, ustawy z dnia 11 </w:t>
      </w:r>
      <w:r w:rsidRPr="00C52F09">
        <w:rPr>
          <w:rFonts w:eastAsia="Times New Roman" w:cs="Times New Roman"/>
          <w:szCs w:val="24"/>
        </w:rPr>
        <w:lastRenderedPageBreak/>
        <w:t>sie</w:t>
      </w:r>
      <w:r w:rsidR="00725FB5">
        <w:rPr>
          <w:rFonts w:eastAsia="Times New Roman" w:cs="Times New Roman"/>
          <w:szCs w:val="24"/>
        </w:rPr>
        <w:t>rpnia 2021 r. o przygotowaniu i </w:t>
      </w:r>
      <w:r w:rsidRPr="00C52F09">
        <w:rPr>
          <w:rFonts w:eastAsia="Times New Roman" w:cs="Times New Roman"/>
          <w:szCs w:val="24"/>
        </w:rPr>
        <w:t>realizacji inwestycji w zakresie odbudowy Pałacu Saskiego, Pałacu Brühla oraz kamienic przy ulicy Królewskiej w Warszawie czy ustawa z dnia 22 lutego 2019 r. o przygotowaniu i</w:t>
      </w:r>
      <w:r w:rsidR="00725FB5">
        <w:rPr>
          <w:rFonts w:eastAsia="Times New Roman" w:cs="Times New Roman"/>
          <w:szCs w:val="24"/>
        </w:rPr>
        <w:t> </w:t>
      </w:r>
      <w:r w:rsidRPr="00C52F09">
        <w:rPr>
          <w:rFonts w:eastAsia="Times New Roman" w:cs="Times New Roman"/>
          <w:szCs w:val="24"/>
        </w:rPr>
        <w:t xml:space="preserve">realizacji strategicznych inwestycji w sektorze naftowym, projekt ustawy przewiduje wyłączenie stosowania przepisów o planowaniu i zagospodarowaniu przestrzennym, a decyzja o ustaleniu lokalizacji strategicznej inwestycji w zakresie Krajowego Centrum Przetwarzania Danych wydawana ma być pomimo istniejących miejscowych planów zagospodarowania przestrzennego (art. 26 ust. 1 projektu ustawy). </w:t>
      </w:r>
    </w:p>
    <w:p w14:paraId="2924FACE" w14:textId="59EC3DDF"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Ze względu na wyłączenie procedur wprowadzania tych inwestycji do istniejących planów lub oczekiwania na uchwalenie nowych, zaproponowana kon</w:t>
      </w:r>
      <w:r w:rsidR="00725FB5">
        <w:rPr>
          <w:rFonts w:eastAsia="Times New Roman" w:cs="Times New Roman"/>
          <w:szCs w:val="24"/>
        </w:rPr>
        <w:t>cepcja lokalizacji inwestycji w </w:t>
      </w:r>
      <w:r w:rsidRPr="00C52F09">
        <w:rPr>
          <w:rFonts w:eastAsia="Times New Roman" w:cs="Times New Roman"/>
          <w:szCs w:val="24"/>
        </w:rPr>
        <w:t>zakresie Krajowego Centrum Przetwarzania Danych zapewnia znaczne przyspieszenie procesu inwestycyjnego. Zaproponowane rozwiązanie zakładające wydawanie decyzji lokalizacyjnych przez wojewodę – niezależnie od istnienia lub treści miejscowych planów zagospodarowania przestrzennego – pozwoli na szybsze przygotowanie realizacji inwestycji. Potrzeba szybkiej realizacji inwestycji wynikająca z konieczności zwiększenia bezpieczeństwa cybernetycznego państwa, uzasadnia pominięcie etapu planowania przestrzennego w gminie. Projekt ustawy nie pozbawia gmin całkowicie władztwa planistycznego, ponieważ udział jednostek samorządu terytorialnego w procesie lokalizacji inwestycji w zakresie Krajowego Centrum Przetwarzania Danych będzie zapewniony poprzez wprowadzenie obowiązku uzyskania opinii właściwego miejscowo wójta, burmistrza albo prezydenta miasta na etapie przygotowania wniosku o wydanie decyzji.</w:t>
      </w:r>
    </w:p>
    <w:p w14:paraId="0AB68BCD" w14:textId="59244067" w:rsidR="00C52F09" w:rsidRPr="00C52F09" w:rsidRDefault="00C52F09" w:rsidP="00C52F09">
      <w:pPr>
        <w:pStyle w:val="ARTartustawynprozporzdzenia"/>
        <w:ind w:firstLine="0"/>
        <w:rPr>
          <w:rFonts w:ascii="Times New Roman" w:eastAsia="Times New Roman" w:hAnsi="Times New Roman" w:cs="Times New Roman"/>
          <w:szCs w:val="24"/>
        </w:rPr>
      </w:pPr>
      <w:r w:rsidRPr="00C52F09">
        <w:rPr>
          <w:rFonts w:ascii="Times New Roman" w:eastAsia="Times New Roman" w:hAnsi="Times New Roman" w:cs="Times New Roman"/>
          <w:szCs w:val="24"/>
        </w:rPr>
        <w:t>Z uwagi na przyjętą zasadę zachowania właściwości jedne</w:t>
      </w:r>
      <w:r w:rsidR="00725FB5">
        <w:rPr>
          <w:rFonts w:ascii="Times New Roman" w:eastAsia="Times New Roman" w:hAnsi="Times New Roman" w:cs="Times New Roman"/>
          <w:szCs w:val="24"/>
        </w:rPr>
        <w:t>go organu, wyspecjalizowanego w </w:t>
      </w:r>
      <w:r w:rsidRPr="00C52F09">
        <w:rPr>
          <w:rFonts w:ascii="Times New Roman" w:eastAsia="Times New Roman" w:hAnsi="Times New Roman" w:cs="Times New Roman"/>
          <w:szCs w:val="24"/>
        </w:rPr>
        <w:t xml:space="preserve">wydawaniu decyzji istotnych w procesie inwestycyjnym, projekt zakłada, że także pozwolenie na budowę dla inwestycji w zakresie Krajowego Centrum Przetwarzania Danych wydawać będzie właściwy wojewoda. Projekt zakłada </w:t>
      </w:r>
      <w:r w:rsidR="00F92F93">
        <w:rPr>
          <w:rFonts w:ascii="Times New Roman" w:eastAsia="Times New Roman" w:hAnsi="Times New Roman" w:cs="Times New Roman"/>
          <w:szCs w:val="24"/>
        </w:rPr>
        <w:t>po</w:t>
      </w:r>
      <w:r w:rsidRPr="00C52F09">
        <w:rPr>
          <w:rFonts w:ascii="Times New Roman" w:eastAsia="Times New Roman" w:hAnsi="Times New Roman" w:cs="Times New Roman"/>
          <w:szCs w:val="24"/>
        </w:rPr>
        <w:t>nadto (art. 29 ust. 4 projektu ustawy), że postępowanie w sprawie wydania decyzji o pozwoleniu na budowę dla inwestycji w zakresie Krajowego Centrum Przetwarzania Danych powinno korzystać z tych samych instrumentów usprawniających i przyspieszających procedurę, któr</w:t>
      </w:r>
      <w:r w:rsidR="0080485D">
        <w:rPr>
          <w:rFonts w:ascii="Times New Roman" w:eastAsia="Times New Roman" w:hAnsi="Times New Roman" w:cs="Times New Roman"/>
          <w:szCs w:val="24"/>
        </w:rPr>
        <w:t>e</w:t>
      </w:r>
      <w:r w:rsidRPr="00C52F09">
        <w:rPr>
          <w:rFonts w:ascii="Times New Roman" w:eastAsia="Times New Roman" w:hAnsi="Times New Roman" w:cs="Times New Roman"/>
          <w:szCs w:val="24"/>
        </w:rPr>
        <w:t xml:space="preserve"> zasto</w:t>
      </w:r>
      <w:r w:rsidR="00725FB5">
        <w:rPr>
          <w:rFonts w:ascii="Times New Roman" w:eastAsia="Times New Roman" w:hAnsi="Times New Roman" w:cs="Times New Roman"/>
          <w:szCs w:val="24"/>
        </w:rPr>
        <w:t>sowane zostały w postępowaniu w </w:t>
      </w:r>
      <w:r w:rsidRPr="00C52F09">
        <w:rPr>
          <w:rFonts w:ascii="Times New Roman" w:eastAsia="Times New Roman" w:hAnsi="Times New Roman" w:cs="Times New Roman"/>
          <w:szCs w:val="24"/>
        </w:rPr>
        <w:t xml:space="preserve">sprawie wydania decyzji o ustaleniu lokalizacji inwestycji w </w:t>
      </w:r>
      <w:r w:rsidRPr="00C52F09">
        <w:rPr>
          <w:rFonts w:ascii="Times New Roman" w:eastAsia="Times New Roman" w:hAnsi="Times New Roman" w:cs="Times New Roman"/>
          <w:szCs w:val="24"/>
        </w:rPr>
        <w:lastRenderedPageBreak/>
        <w:t xml:space="preserve">zakresie Krajowego Centrum Przetwarzania Danych. Zgodnie z </w:t>
      </w:r>
      <w:r w:rsidRPr="00545621">
        <w:rPr>
          <w:rFonts w:ascii="Times New Roman" w:eastAsia="Times New Roman" w:hAnsi="Times New Roman" w:cs="Times New Roman"/>
          <w:szCs w:val="24"/>
        </w:rPr>
        <w:t xml:space="preserve">projektowanym </w:t>
      </w:r>
      <w:r w:rsidRPr="00AF6D22">
        <w:rPr>
          <w:rStyle w:val="Ppogrubienie"/>
          <w:rFonts w:ascii="Times New Roman" w:hAnsi="Times New Roman" w:cs="Times New Roman"/>
          <w:b w:val="0"/>
          <w:bCs/>
          <w:szCs w:val="24"/>
        </w:rPr>
        <w:t>art.</w:t>
      </w:r>
      <w:r w:rsidRPr="00C52F09">
        <w:rPr>
          <w:rStyle w:val="Ppogrubienie"/>
          <w:rFonts w:ascii="Times New Roman" w:hAnsi="Times New Roman" w:cs="Times New Roman"/>
          <w:bCs/>
          <w:szCs w:val="24"/>
        </w:rPr>
        <w:t xml:space="preserve"> </w:t>
      </w:r>
      <w:r w:rsidRPr="00C52F09">
        <w:rPr>
          <w:rFonts w:ascii="Times New Roman" w:eastAsia="Times New Roman" w:hAnsi="Times New Roman" w:cs="Times New Roman"/>
          <w:szCs w:val="24"/>
        </w:rPr>
        <w:t>31 projektowanej ustawy</w:t>
      </w:r>
      <w:r w:rsidR="0080485D">
        <w:rPr>
          <w:rFonts w:ascii="Times New Roman" w:eastAsia="Times New Roman" w:hAnsi="Times New Roman" w:cs="Times New Roman"/>
          <w:szCs w:val="24"/>
        </w:rPr>
        <w:t>,</w:t>
      </w:r>
      <w:r w:rsidRPr="00C52F09">
        <w:rPr>
          <w:rFonts w:ascii="Times New Roman" w:eastAsia="Times New Roman" w:hAnsi="Times New Roman" w:cs="Times New Roman"/>
          <w:szCs w:val="24"/>
        </w:rPr>
        <w:t xml:space="preserve"> jeżeli z decyzji o pozwoleniu na budowę inwestycji w zakresie Krajowego Centrum Przetwarzania Danych lub pozwoleniu na rozbiórkę wynika obowiązek dokonania przebudowy istniejących urządzeń infrastruktury technicznej</w:t>
      </w:r>
      <w:r w:rsidR="0080485D">
        <w:rPr>
          <w:rFonts w:ascii="Times New Roman" w:eastAsia="Times New Roman" w:hAnsi="Times New Roman" w:cs="Times New Roman"/>
          <w:szCs w:val="24"/>
        </w:rPr>
        <w:t>,</w:t>
      </w:r>
      <w:r w:rsidRPr="00C52F09">
        <w:rPr>
          <w:rFonts w:ascii="Times New Roman" w:eastAsia="Times New Roman" w:hAnsi="Times New Roman" w:cs="Times New Roman"/>
          <w:szCs w:val="24"/>
        </w:rPr>
        <w:t xml:space="preserve"> właściwy wojewoda, na wniosek inwestora, może ograniczyć, w drodze decyzji, sposób korzystania z nieruchomości przez udzielenie zezwolenia na zakładanie i przeprowadzanie na nieruchomości ciągów drenażowych, przewodów i urządzeń służących do przesyłania płynów, pary, gazów i energii elektrycznej oraz urządzeń łączności publicznej i sygnalizacji, a także innych podziemnych, naziemnych lub nadziemnych obiektów i urządzeń niezbędnych do korzystania z tych przewodów i urządzeń, jeżeli właściciel lub użytkownik wieczysty nieruchomości nie wyraża na to zgody. W takim przypadku przepisy ustawy z dnia 21 sierpnia 1997 r. o gospodarce nieruchomościami, a w szczególności art. 124 ust. 2</w:t>
      </w:r>
      <w:r w:rsidRPr="00C52F09">
        <w:rPr>
          <w:rFonts w:ascii="Times New Roman" w:eastAsia="Times New Roman" w:hAnsi="Times New Roman" w:cs="Times New Roman"/>
          <w:szCs w:val="24"/>
        </w:rPr>
        <w:sym w:font="Symbol" w:char="F02D"/>
      </w:r>
      <w:r w:rsidRPr="00C52F09">
        <w:rPr>
          <w:rFonts w:ascii="Times New Roman" w:eastAsia="Times New Roman" w:hAnsi="Times New Roman" w:cs="Times New Roman"/>
          <w:szCs w:val="24"/>
        </w:rPr>
        <w:t>7 oraz art. 124a należy stosować odpowiednio.</w:t>
      </w:r>
    </w:p>
    <w:p w14:paraId="181DFE95" w14:textId="284296A4"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Projekt wprowadza również pewne modyfikacje do postępowania w sprawie wydania decyzji o środowiskowych uwarunkowaniach dla inwestycji w zakresie Krajowego Centrum Przetwarzania Danych (art. 37 projektu ustawy). Projekt ustawy zakłada skrócenie terminu do wydania decyzji o środowiskowych uwarunkowaniach. Ponadto do postępowania w sprawie wydania decyzji o środowiskowych uwarunkowaniach dla inwestycji w zakresie Krajowego Centrum Przetwarzania Danych zastosowani</w:t>
      </w:r>
      <w:r w:rsidR="0080485D">
        <w:rPr>
          <w:rFonts w:eastAsia="Times New Roman" w:cs="Times New Roman"/>
          <w:szCs w:val="24"/>
        </w:rPr>
        <w:t>e</w:t>
      </w:r>
      <w:r w:rsidRPr="00C52F09">
        <w:rPr>
          <w:rFonts w:eastAsia="Times New Roman" w:cs="Times New Roman"/>
          <w:szCs w:val="24"/>
        </w:rPr>
        <w:t xml:space="preserve"> znajdą regulacje zawarte w rozdziale 3 projektu ustawy.</w:t>
      </w:r>
    </w:p>
    <w:p w14:paraId="51BC5C11" w14:textId="32F2302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celu umożliwienia inwestorowi uzyskania dostępu do cudzych nieruchomości w przypadku konieczności wykonania prac niezbędnych do sporządzenia raportu o oddziaływaniu przedsięwzięcia na środowisko dla inwestycji w zakresie Krajowego Centrum Przetwarzania Danych wprowadzono regulacje zawarte w art. 38 projek</w:t>
      </w:r>
      <w:r w:rsidR="00725FB5">
        <w:rPr>
          <w:rFonts w:eastAsia="Times New Roman" w:cs="Times New Roman"/>
          <w:szCs w:val="24"/>
        </w:rPr>
        <w:t>tu ustawy. Proponuje się, aby w </w:t>
      </w:r>
      <w:r w:rsidRPr="00C52F09">
        <w:rPr>
          <w:rFonts w:eastAsia="Times New Roman" w:cs="Times New Roman"/>
          <w:szCs w:val="24"/>
        </w:rPr>
        <w:t xml:space="preserve">przypadku, gdy właściciel (użytkownik wieczysty) nie wyrazi zgody na wejście na teren nieruchomości oraz nie uda się uzgodnić z nim sposobu, </w:t>
      </w:r>
      <w:r w:rsidR="00725FB5">
        <w:rPr>
          <w:rFonts w:eastAsia="Times New Roman" w:cs="Times New Roman"/>
          <w:szCs w:val="24"/>
        </w:rPr>
        <w:t>zakresu i terminu korzystania z </w:t>
      </w:r>
      <w:r w:rsidRPr="00C52F09">
        <w:rPr>
          <w:rFonts w:eastAsia="Times New Roman" w:cs="Times New Roman"/>
          <w:szCs w:val="24"/>
        </w:rPr>
        <w:t>nieruchomości, inwestor miał prawo do zwrócen</w:t>
      </w:r>
      <w:r w:rsidR="00725FB5">
        <w:rPr>
          <w:rFonts w:eastAsia="Times New Roman" w:cs="Times New Roman"/>
          <w:szCs w:val="24"/>
        </w:rPr>
        <w:t>ia się do właściwego wojewody o </w:t>
      </w:r>
      <w:r w:rsidRPr="00C52F09">
        <w:rPr>
          <w:rFonts w:eastAsia="Times New Roman" w:cs="Times New Roman"/>
          <w:szCs w:val="24"/>
        </w:rPr>
        <w:t xml:space="preserve">wydanie decyzji zezwalającej na wejście na teren nieruchomości. Decyzję o zezwoleniu na wejście na teren nieruchomości </w:t>
      </w:r>
      <w:r w:rsidRPr="00C52F09">
        <w:rPr>
          <w:rFonts w:eastAsia="Times New Roman" w:cs="Times New Roman"/>
          <w:szCs w:val="24"/>
        </w:rPr>
        <w:lastRenderedPageBreak/>
        <w:t>wydaje się na czas określony – nie dłuższy niż 3 lata. Do ustalenia wysokości i wypłacenia odszkodowania z tego tytułu należy stosować odpowiednio przepisy ustawy z dnia 21 sierpnia 1997 r. o gospodarce nieruchomościami, a w szczególności art. 130, art. 134 i art. 135 tej ustawy. Jednak w przypadku wydania decyzji o ustaleniu lokalizacji inwestycji w zakresie Krajowego Centrum Przetwarzania Danych w odniesieniu do nieruchomości, w stosunku do których decyzja ta ma wywołać skutki ograniczające sposób korzystania z nieruchomości (wskazane w art. 38 projektu ustawy), w odniesieniu do tych nieruchomości decyzja o zezwoleniu na wejście na teren nieruchomości wygaśnie. Po zakończeniu pomiarów, badań lub innych prac inwestor ma obowiązek przywrócić nieruchomość do stanu poprzedniego. Jeżeli jednak przywrócenie nieruchomości do stanu poprzedniego nie jest możliwe albo powoduje nadmierne trudności lub koszty, właścicielom lub użytkownikom wieczystym nieruchomości przysługuje od inwestora odszkodowanie. Odszkodowanie powinno odpowiadać wartości poniesionych szkód. Jeżeli wskutek tych zdarzeń zmniejszy się wartość nieruchomości, odszkodowanie powiększa się o kwotę odpowiadającą temu zmniejszeniu. W zakresie ustalenia wysokości i wypłaty odszkodowania stosować należy odpowiednio przepis art. 130, art. 134 i art. 135</w:t>
      </w:r>
      <w:r w:rsidR="00725FB5">
        <w:rPr>
          <w:rFonts w:eastAsia="Times New Roman" w:cs="Times New Roman"/>
          <w:szCs w:val="24"/>
        </w:rPr>
        <w:t xml:space="preserve"> ustawy z dnia 21 sierpnia 1997 </w:t>
      </w:r>
      <w:r w:rsidRPr="00C52F09">
        <w:rPr>
          <w:rFonts w:eastAsia="Times New Roman" w:cs="Times New Roman"/>
          <w:szCs w:val="24"/>
        </w:rPr>
        <w:t xml:space="preserve">r. o gospodarce nieruchomościami. </w:t>
      </w:r>
    </w:p>
    <w:p w14:paraId="4224CC05" w14:textId="5BA2547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W art. 28 projektu ustawy przewidziano wyłączenie zastosowania ustawy o ochronie gruntów rolnych i leśnych do gruntów rolnych i leśnych objętych decyzją o ustaleniu lokalizacji inwestycji w zakresie Krajowego Centrum Przetwarzania Danych oraz w zakresie wyłączenia </w:t>
      </w:r>
      <w:r w:rsidRPr="00C52F09">
        <w:rPr>
          <w:rFonts w:cs="Times New Roman"/>
          <w:szCs w:val="24"/>
        </w:rPr>
        <w:t>art. 2a ust. 1 i 2 oraz art. 2b ust. 1 i 2 ustawy z dnia 11 kwietnia 2003 r. o kształtowaniu ustroju rolnego</w:t>
      </w:r>
      <w:r w:rsidR="004F3B74">
        <w:rPr>
          <w:rFonts w:cs="Times New Roman"/>
          <w:szCs w:val="24"/>
        </w:rPr>
        <w:t xml:space="preserve"> </w:t>
      </w:r>
      <w:r w:rsidR="004F3B74" w:rsidRPr="005A1DF6">
        <w:t>(Dz. U. z 2022 r. poz. 2569</w:t>
      </w:r>
      <w:r w:rsidR="004F3B74">
        <w:t xml:space="preserve"> oraz z 2023 r. poz. 326 i 412</w:t>
      </w:r>
      <w:r w:rsidR="004F3B74" w:rsidRPr="005A1DF6">
        <w:t>)</w:t>
      </w:r>
      <w:r w:rsidRPr="00C52F09">
        <w:rPr>
          <w:rFonts w:eastAsia="Times New Roman" w:cs="Times New Roman"/>
          <w:szCs w:val="24"/>
        </w:rPr>
        <w:t xml:space="preserve">. Potrzeba takiej regulacji wynika z faktu, że przedmiotowe inwestycje w istotnym zakresie mogą przebiegać przez tereny rolnicze i leśne oraz mogą obejmować nieruchomości rolne objęte regulacjami wspomnianych ustaw. Zastosowanie przepisów ww. ustaw do inwestycji w zakresie Krajowego Centrum Przetwarzania Danych znacząco odsunęłoby w czasie ukończenie tych inwestycji, czemu ma zapobiec proponowana ustawa. </w:t>
      </w:r>
      <w:r w:rsidRPr="00C52F09">
        <w:rPr>
          <w:rFonts w:cs="Times New Roman"/>
          <w:szCs w:val="24"/>
        </w:rPr>
        <w:t>W art. 28 projektu ustawy wskazano, że do decyzji o ustaleniu lokalizacji w zakresie Krajowego Centrum Przetwarzania Danych n</w:t>
      </w:r>
      <w:r w:rsidR="00725FB5">
        <w:rPr>
          <w:rFonts w:cs="Times New Roman"/>
          <w:szCs w:val="24"/>
        </w:rPr>
        <w:t xml:space="preserve">ie stosuje </w:t>
      </w:r>
      <w:r w:rsidR="00725FB5">
        <w:rPr>
          <w:rFonts w:cs="Times New Roman"/>
          <w:szCs w:val="24"/>
        </w:rPr>
        <w:lastRenderedPageBreak/>
        <w:t>się art. 2a ust. 1 i </w:t>
      </w:r>
      <w:r w:rsidRPr="00C52F09">
        <w:rPr>
          <w:rFonts w:cs="Times New Roman"/>
          <w:szCs w:val="24"/>
        </w:rPr>
        <w:t xml:space="preserve">2 oraz art. 2b ust. 1 i 2 ustawy z dnia 11 kwietnia 2003 r. o kształtowaniu ustroju rolnego. Zmiana ma na celu wyeliminowanie ewentualnych wątpliwości interpretacyjnych, co do możliwości nabycia nieruchomości rolnych objętych decyzją o ustaleniu lokalizacji w zakresie Krajowego Centrum Przetwarzania Danych oraz co do obowiązku prowadzenia na tych nieruchomościach gospodarstwa rolnego, jak również co do </w:t>
      </w:r>
      <w:r w:rsidR="00725FB5">
        <w:rPr>
          <w:rFonts w:cs="Times New Roman"/>
          <w:szCs w:val="24"/>
        </w:rPr>
        <w:t>zakazu ich zbycia lub oddania w </w:t>
      </w:r>
      <w:r w:rsidRPr="00C52F09">
        <w:rPr>
          <w:rFonts w:cs="Times New Roman"/>
          <w:szCs w:val="24"/>
        </w:rPr>
        <w:t xml:space="preserve">posiadanie innym podmiotom, który to obowiązek i zakazy </w:t>
      </w:r>
      <w:r w:rsidR="00725FB5">
        <w:rPr>
          <w:rFonts w:cs="Times New Roman"/>
          <w:szCs w:val="24"/>
        </w:rPr>
        <w:t>są określone odpowiednio w art. </w:t>
      </w:r>
      <w:r w:rsidRPr="00C52F09">
        <w:rPr>
          <w:rFonts w:cs="Times New Roman"/>
          <w:szCs w:val="24"/>
        </w:rPr>
        <w:t>2a ust. 1 i 2 oraz art. 2b ust. 1 i 2 ustawy z dnia 11 kwietnia 2003 r. o kształtowaniu ustroju rolnego.</w:t>
      </w:r>
    </w:p>
    <w:p w14:paraId="18B3BF79" w14:textId="7D8FBE6F"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Ponadto w art. 33 projektu ustawy zaproponowano rozwiązania mające na celu przyspieszenie i usprawnienie inwestycji poprzez usuwanie drzew i krzewów z</w:t>
      </w:r>
      <w:r w:rsidR="0003018A">
        <w:rPr>
          <w:rFonts w:eastAsia="Times New Roman" w:cs="Times New Roman"/>
          <w:szCs w:val="24"/>
        </w:rPr>
        <w:t xml:space="preserve"> </w:t>
      </w:r>
      <w:r w:rsidRPr="00C52F09">
        <w:rPr>
          <w:rFonts w:eastAsia="Times New Roman" w:cs="Times New Roman"/>
          <w:szCs w:val="24"/>
        </w:rPr>
        <w:t>terenu nieruchomości objętych decyzją o ustaleniu lokalizacji inwestycji w zakresie Krajowego Centrum Przetwarzania Danych.</w:t>
      </w:r>
    </w:p>
    <w:p w14:paraId="42C54EC3" w14:textId="77777777" w:rsidR="00C52F09" w:rsidRPr="00C52F09" w:rsidRDefault="00C52F09" w:rsidP="00C52F09">
      <w:pPr>
        <w:spacing w:before="120"/>
        <w:jc w:val="both"/>
        <w:rPr>
          <w:rFonts w:eastAsia="Times New Roman" w:cs="Times New Roman"/>
          <w:b/>
          <w:bCs/>
          <w:szCs w:val="24"/>
        </w:rPr>
      </w:pPr>
      <w:r w:rsidRPr="00C52F09">
        <w:rPr>
          <w:rFonts w:eastAsia="Times New Roman" w:cs="Times New Roman"/>
          <w:b/>
          <w:bCs/>
          <w:szCs w:val="24"/>
        </w:rPr>
        <w:t>Nabywanie tytułu prawnego do nieruchomości dla inwestycji w zakresie Krajowego Centrum Przetwarzania Danych</w:t>
      </w:r>
    </w:p>
    <w:p w14:paraId="266B6575" w14:textId="4FFF4CC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projekcie ustawy założono proporcjonalne do rodzaju inwestycji ułatwienia w nabywaniu prawa do nieruchomości pod inwestycje w zakresie Krajowego Centrum Przetwarzania Danych w odniesieniu do nieruchomości należących do państwowych osób prawnych, a także liniowych obiektów</w:t>
      </w:r>
      <w:r w:rsidR="00365055">
        <w:rPr>
          <w:rFonts w:eastAsia="Times New Roman" w:cs="Times New Roman"/>
          <w:szCs w:val="24"/>
        </w:rPr>
        <w:t>,</w:t>
      </w:r>
      <w:r w:rsidRPr="00C52F09">
        <w:rPr>
          <w:rFonts w:eastAsia="Times New Roman" w:cs="Times New Roman"/>
          <w:szCs w:val="24"/>
        </w:rPr>
        <w:t xml:space="preserve"> jak np. światłowody. W tym zakresie rozwiązania prawne zaczerpnięte zostały z regulacji ustaw szczególnych, w tym m.in. usta</w:t>
      </w:r>
      <w:r w:rsidR="00725FB5">
        <w:rPr>
          <w:rFonts w:eastAsia="Times New Roman" w:cs="Times New Roman"/>
          <w:szCs w:val="24"/>
        </w:rPr>
        <w:t>wy z dnia 10 kwietnia 2003 r. o </w:t>
      </w:r>
      <w:r w:rsidRPr="00C52F09">
        <w:rPr>
          <w:rFonts w:eastAsia="Times New Roman" w:cs="Times New Roman"/>
          <w:szCs w:val="24"/>
        </w:rPr>
        <w:t>szczególnych zasadach przygotowania i realizacji inwestycji w</w:t>
      </w:r>
      <w:r w:rsidR="0003018A">
        <w:rPr>
          <w:rFonts w:eastAsia="Times New Roman" w:cs="Times New Roman"/>
          <w:szCs w:val="24"/>
        </w:rPr>
        <w:t xml:space="preserve"> </w:t>
      </w:r>
      <w:r w:rsidRPr="00C52F09">
        <w:rPr>
          <w:rFonts w:eastAsia="Times New Roman" w:cs="Times New Roman"/>
          <w:szCs w:val="24"/>
        </w:rPr>
        <w:t>zakresie dróg publicznych, ustawy z dnia 28 marca 2003 r. o transporcie kolejowym, ustaw</w:t>
      </w:r>
      <w:r w:rsidR="00137DD5">
        <w:rPr>
          <w:rFonts w:eastAsia="Times New Roman" w:cs="Times New Roman"/>
          <w:szCs w:val="24"/>
        </w:rPr>
        <w:t>y</w:t>
      </w:r>
      <w:r w:rsidR="00725FB5">
        <w:rPr>
          <w:rFonts w:eastAsia="Times New Roman" w:cs="Times New Roman"/>
          <w:szCs w:val="24"/>
        </w:rPr>
        <w:t xml:space="preserve"> z dnia 24 kwietnia 2009 r. o </w:t>
      </w:r>
      <w:r w:rsidRPr="00C52F09">
        <w:rPr>
          <w:rFonts w:eastAsia="Times New Roman" w:cs="Times New Roman"/>
          <w:szCs w:val="24"/>
        </w:rPr>
        <w:t>inwestycjach w zakresie terminalu regazyfikacyjn</w:t>
      </w:r>
      <w:r w:rsidR="00725FB5">
        <w:rPr>
          <w:rFonts w:eastAsia="Times New Roman" w:cs="Times New Roman"/>
          <w:szCs w:val="24"/>
        </w:rPr>
        <w:t>ego skroplonego gazu ziemnego w </w:t>
      </w:r>
      <w:r w:rsidRPr="00C52F09">
        <w:rPr>
          <w:rFonts w:eastAsia="Times New Roman" w:cs="Times New Roman"/>
          <w:szCs w:val="24"/>
        </w:rPr>
        <w:t>Świnoujściu, ustawy z dnia 24 lipca 2015 r. o przygotowaniu i realizacji strategicznych inwestycji w zakresie sieci przesyłowych, ustawy z dnia 11 sie</w:t>
      </w:r>
      <w:r w:rsidR="00725FB5">
        <w:rPr>
          <w:rFonts w:eastAsia="Times New Roman" w:cs="Times New Roman"/>
          <w:szCs w:val="24"/>
        </w:rPr>
        <w:t>rpnia 2021 r. o przygotowaniu i </w:t>
      </w:r>
      <w:r w:rsidRPr="00C52F09">
        <w:rPr>
          <w:rFonts w:eastAsia="Times New Roman" w:cs="Times New Roman"/>
          <w:szCs w:val="24"/>
        </w:rPr>
        <w:t>realizacji inwestycji w zakresie odbudowy Pałacu Saskiego, Pałacu Brühla oraz kamienic przy ulicy Królewskiej w Warszawie czy ustawy z dnia 22 lutego 2019 r. o przygotowaniu i realizacji strategicznych inwestycji w sektorze naftowym.</w:t>
      </w:r>
    </w:p>
    <w:p w14:paraId="01201273"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W art. 17 ust. 5–9 projektu ustawy przyjęto rozwiązanie, które powinno znacznie przyspieszyć procedury administracyjne związane z uzyskaniem tytułu prawnego do </w:t>
      </w:r>
      <w:r w:rsidRPr="00C52F09">
        <w:rPr>
          <w:rFonts w:eastAsia="Times New Roman" w:cs="Times New Roman"/>
          <w:szCs w:val="24"/>
        </w:rPr>
        <w:lastRenderedPageBreak/>
        <w:t xml:space="preserve">nieruchomości pod inwestycje. Ostateczna decyzja o ustaleniu lokalizacji inwestycji w zakresie Krajowego Centrum Przetwarzania Danych będzie wywierać skutek ograniczenia praw do nieruchomości lub wygaszenia (za odszkodowaniem) części lub całości ograniczonych praw rzeczowych ustanowionych na nieruchomości (w tym ustanowionych służebności w zakresie drogi koniecznej, o której mowa w art. 145 k.c.), a także wygaśnięcia trwałego zarządu na nieruchomościach, które są objęte decyzją o ustaleniu lokalizacji inwestycji w zakresie Krajowego Centrum Przetwarzania Danych (art. 24 ust. 1 projektu ustawy). </w:t>
      </w:r>
    </w:p>
    <w:p w14:paraId="46706A31" w14:textId="67EEDBEE"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Skutek polegający na przejściu własności nieruchomości na </w:t>
      </w:r>
      <w:r w:rsidR="00725FB5">
        <w:rPr>
          <w:rFonts w:eastAsia="Times New Roman" w:cs="Times New Roman"/>
          <w:szCs w:val="24"/>
        </w:rPr>
        <w:t>rzecz Skarbu Państwa, którego w </w:t>
      </w:r>
      <w:r w:rsidRPr="00C52F09">
        <w:rPr>
          <w:rFonts w:eastAsia="Times New Roman" w:cs="Times New Roman"/>
          <w:szCs w:val="24"/>
        </w:rPr>
        <w:t>sprawach gospodarowania nieruchomościami, które zostały objęte decyzją o ustaleniu lokalizacji inwestycji w zakresie Krajowego Centrum Przetwarzania Danych reprezentuje Minister właściwy do spraw informatyzacji, ma na celu zapew</w:t>
      </w:r>
      <w:r w:rsidR="00725FB5">
        <w:rPr>
          <w:rFonts w:eastAsia="Times New Roman" w:cs="Times New Roman"/>
          <w:szCs w:val="24"/>
        </w:rPr>
        <w:t>nienie możliwości korzystania z </w:t>
      </w:r>
      <w:r w:rsidRPr="00C52F09">
        <w:rPr>
          <w:rFonts w:eastAsia="Times New Roman" w:cs="Times New Roman"/>
          <w:szCs w:val="24"/>
        </w:rPr>
        <w:t xml:space="preserve">nieruchomości z wyłączeniem innych osób. Ewentualne utrzymanie ograniczonych praw rzeczowych, którymi, zgodnie z art. 244 § 1 ustawy z dnia 23 kwietnia 1964 r. </w:t>
      </w:r>
      <w:r w:rsidR="0003018A">
        <w:rPr>
          <w:rFonts w:eastAsia="Times New Roman" w:cs="Times New Roman"/>
          <w:szCs w:val="24"/>
        </w:rPr>
        <w:t>–</w:t>
      </w:r>
      <w:r w:rsidRPr="00C52F09">
        <w:rPr>
          <w:rFonts w:eastAsia="Times New Roman" w:cs="Times New Roman"/>
          <w:szCs w:val="24"/>
        </w:rPr>
        <w:t xml:space="preserve"> Kodeks cywilny</w:t>
      </w:r>
      <w:r w:rsidR="004F3B74">
        <w:rPr>
          <w:rFonts w:eastAsia="Times New Roman" w:cs="Times New Roman"/>
          <w:szCs w:val="24"/>
        </w:rPr>
        <w:t xml:space="preserve"> </w:t>
      </w:r>
      <w:r w:rsidR="004F3B74" w:rsidRPr="005A1DF6">
        <w:t>(Dz. U. z 2022 r. poz. 1360, 2337 i 2339</w:t>
      </w:r>
      <w:r w:rsidR="004F3B74">
        <w:t xml:space="preserve"> oraz z 2023 r. poz. 326</w:t>
      </w:r>
      <w:r w:rsidR="004F3B74" w:rsidRPr="005A1DF6">
        <w:t>)</w:t>
      </w:r>
      <w:r w:rsidRPr="00C52F09">
        <w:rPr>
          <w:rFonts w:eastAsia="Times New Roman" w:cs="Times New Roman"/>
          <w:szCs w:val="24"/>
        </w:rPr>
        <w:t>, są m.in.: użytkowanie, służebność oraz hipoteka, na wywłaszczonej nieruchomości mogłoby w znaczący sposób utrudnić, a czasem uniemożliwić inwestorowi korzystanie z niej w celu realizacji inwestycji w zakresie Krajowego Centrum Prze</w:t>
      </w:r>
      <w:r w:rsidR="002804B2">
        <w:rPr>
          <w:rFonts w:eastAsia="Times New Roman" w:cs="Times New Roman"/>
          <w:szCs w:val="24"/>
        </w:rPr>
        <w:t>t</w:t>
      </w:r>
      <w:r w:rsidRPr="00C52F09">
        <w:rPr>
          <w:rFonts w:eastAsia="Times New Roman" w:cs="Times New Roman"/>
          <w:szCs w:val="24"/>
        </w:rPr>
        <w:t>warzania Dany</w:t>
      </w:r>
      <w:r w:rsidR="00725FB5">
        <w:rPr>
          <w:rFonts w:eastAsia="Times New Roman" w:cs="Times New Roman"/>
          <w:szCs w:val="24"/>
        </w:rPr>
        <w:t>ch i późniejszego korzystania z </w:t>
      </w:r>
      <w:r w:rsidRPr="00C52F09">
        <w:rPr>
          <w:rFonts w:eastAsia="Times New Roman" w:cs="Times New Roman"/>
          <w:szCs w:val="24"/>
        </w:rPr>
        <w:t>wybudowanej infrastruktury. Należy także wskazać, że wygaśnięcie ograniczonych praw rzeczowych ustanowionych na wywłaszczanych nieruchomościach następuje za odszkodowaniem, zaś zgodnie z projektowanym art. 25 ust. 7 odszkodowanie z tytułu wygaśnięcia ograniczonych praw rzeczowych wypłaca się osobom, którym te prawa przysługiwały.</w:t>
      </w:r>
    </w:p>
    <w:p w14:paraId="61A6BE47" w14:textId="1031C3D8"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Jeżeli jednak wskutek wygaszenia ograniczonych praw rzeczowych (w tym służebności drogi koniecznej) zachodziłoby ryzyko, że nieruchomości sąsiednie zostaną pozbawione dostępu do drogi publicznej i nie ma możliwości uzyskania tego dostępu w inny sposób, wojewoda</w:t>
      </w:r>
      <w:r w:rsidR="008771FD">
        <w:rPr>
          <w:rFonts w:eastAsia="Times New Roman" w:cs="Times New Roman"/>
          <w:szCs w:val="24"/>
        </w:rPr>
        <w:t>,</w:t>
      </w:r>
      <w:r w:rsidRPr="00C52F09">
        <w:rPr>
          <w:rFonts w:eastAsia="Times New Roman" w:cs="Times New Roman"/>
          <w:szCs w:val="24"/>
        </w:rPr>
        <w:t xml:space="preserve"> uwzględniając interesy inwestora oraz właściciela lub użytkownika wieczystego sąsiedniej nieruchomości, a w szczególności mając na uwadze, aby w sposób najmniej uciążliwy dla możliwości realizacji i użytkowania inwestycji </w:t>
      </w:r>
      <w:r w:rsidRPr="00C52F09">
        <w:rPr>
          <w:rFonts w:eastAsia="Times New Roman" w:cs="Times New Roman"/>
          <w:szCs w:val="24"/>
        </w:rPr>
        <w:lastRenderedPageBreak/>
        <w:t>w zakresie Krajowego Centrum Przetwarzania Danych oraz uwzględniając konieczność zapewnienia odpowiedniego poziomu bezpieczeństwa tych inwestycji, ustanowi niezbędne służebności zapewniające dostęp do drogi publicznej dla nieruchomości sąsiednich.</w:t>
      </w:r>
    </w:p>
    <w:p w14:paraId="54DEA559"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Odszkodowanie za wygaśnięcie ograniczonych praw rzeczowych, w zakresie służebności drogi koniecznej, zmniejsza się o wartość praw ustanowionych zgodnie z powyższym.</w:t>
      </w:r>
    </w:p>
    <w:p w14:paraId="7C7A3553"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związku z tym za konieczne i proporcjonalne uznać należy wprowadzenie instytucji wygaśnięcia ograniczonych praw rzeczowych obciążających wyżej wymienione nieruchomości i prawo użytkowania wieczystego z dniem, w którym decyzja o ustaleniu lokalizacji inwestycji w zakresie Krajowego Centrum Przetwarzania Danych staje się ostateczna, za odszkodowaniem.</w:t>
      </w:r>
    </w:p>
    <w:p w14:paraId="775CA3DD" w14:textId="6032DC81"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Zważywszy jednocześnie na różny zakres przedmiotowy omawianych inwestycji, decyzja odnośnie tego skutku będzie uzależniona od wniosku inwestora. Przedmiotem wywłaszczenia będą wyłącznie te nieruchomości, które zostały wskazane przez wnioskodawcę należące do państwowych osób prawnych</w:t>
      </w:r>
      <w:r w:rsidR="004308C6">
        <w:rPr>
          <w:rFonts w:eastAsia="Times New Roman" w:cs="Times New Roman"/>
          <w:szCs w:val="24"/>
        </w:rPr>
        <w:t>,</w:t>
      </w:r>
      <w:r w:rsidRPr="00C52F09">
        <w:rPr>
          <w:rFonts w:eastAsia="Times New Roman" w:cs="Times New Roman"/>
          <w:szCs w:val="24"/>
        </w:rPr>
        <w:t xml:space="preserve"> ewentualnie te, które będą wykorzystywane dla potrzeb związanych z elementami liniowymi w niezbędnym zakresie (co do zasady dla części liniowych wykorzystywane będzie ograniczenie praw z art. 32 ust. 1, zaś tylko w niezbędnym zakresie będzie pozyskiwany tytuł z art. 17 ust. 5 i 6), które zostaną wskazane we wniosku o ustalenie lokalizacji inwestycji w zakresie Krajowego Centrum Przetwarzania Danych.</w:t>
      </w:r>
    </w:p>
    <w:p w14:paraId="38075916" w14:textId="78AD730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zakresie przyznanego ministrowi właściwemu do spraw informatyzacji prawa pierwokupu nieruchomości objętych decyzją o ustaleniu lokalizacji inwestycji w zakresie Krajowego Centrum Przetwarzania Danych lub akcji lub udziałów spółek, które są właścicielem takich nieruchomości (art. 18</w:t>
      </w:r>
      <w:r w:rsidR="0003018A">
        <w:rPr>
          <w:rFonts w:eastAsia="Times New Roman" w:cs="Times New Roman"/>
          <w:szCs w:val="24"/>
        </w:rPr>
        <w:t>–</w:t>
      </w:r>
      <w:r w:rsidRPr="00C52F09">
        <w:rPr>
          <w:rFonts w:eastAsia="Times New Roman" w:cs="Times New Roman"/>
          <w:szCs w:val="24"/>
        </w:rPr>
        <w:t>21)</w:t>
      </w:r>
      <w:r w:rsidR="008771FD">
        <w:rPr>
          <w:rFonts w:eastAsia="Times New Roman" w:cs="Times New Roman"/>
          <w:szCs w:val="24"/>
        </w:rPr>
        <w:t>,</w:t>
      </w:r>
      <w:r w:rsidRPr="00C52F09">
        <w:rPr>
          <w:rFonts w:eastAsia="Times New Roman" w:cs="Times New Roman"/>
          <w:szCs w:val="24"/>
        </w:rPr>
        <w:t xml:space="preserve"> projektowane rozwiązanie jest spójne z obowiązującym system</w:t>
      </w:r>
      <w:r w:rsidR="004308C6">
        <w:rPr>
          <w:rFonts w:eastAsia="Times New Roman" w:cs="Times New Roman"/>
          <w:szCs w:val="24"/>
        </w:rPr>
        <w:t>em</w:t>
      </w:r>
      <w:r w:rsidRPr="00C52F09">
        <w:rPr>
          <w:rFonts w:eastAsia="Times New Roman" w:cs="Times New Roman"/>
          <w:szCs w:val="24"/>
        </w:rPr>
        <w:t xml:space="preserve"> prawa. Projektowane rozwiązanie funkcjonuje (z odpowiedn</w:t>
      </w:r>
      <w:r w:rsidR="00725FB5">
        <w:rPr>
          <w:rFonts w:eastAsia="Times New Roman" w:cs="Times New Roman"/>
          <w:szCs w:val="24"/>
        </w:rPr>
        <w:t>imi dla charakteru inwestycji w </w:t>
      </w:r>
      <w:r w:rsidRPr="00C52F09">
        <w:rPr>
          <w:rFonts w:eastAsia="Times New Roman" w:cs="Times New Roman"/>
          <w:szCs w:val="24"/>
        </w:rPr>
        <w:t>zakresie Krajowego Centrum Przetwarzania Danych zmian</w:t>
      </w:r>
      <w:r w:rsidR="004308C6">
        <w:rPr>
          <w:rFonts w:eastAsia="Times New Roman" w:cs="Times New Roman"/>
          <w:szCs w:val="24"/>
        </w:rPr>
        <w:t>ami</w:t>
      </w:r>
      <w:r w:rsidR="00725FB5">
        <w:rPr>
          <w:rFonts w:eastAsia="Times New Roman" w:cs="Times New Roman"/>
          <w:szCs w:val="24"/>
        </w:rPr>
        <w:t>) m.in. w ustawie z dnia 11 </w:t>
      </w:r>
      <w:r w:rsidRPr="00C52F09">
        <w:rPr>
          <w:rFonts w:eastAsia="Times New Roman" w:cs="Times New Roman"/>
          <w:szCs w:val="24"/>
        </w:rPr>
        <w:t xml:space="preserve">kwietnia 2003 r. o kształtowaniu ustroju rolnego. </w:t>
      </w:r>
    </w:p>
    <w:p w14:paraId="0CF167F4" w14:textId="3122D6AB"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Przed podjęciem decyzji o wykonaniu prawa pierwokupu przez ministra właściwego </w:t>
      </w:r>
      <w:r w:rsidRPr="00C52F09">
        <w:rPr>
          <w:rFonts w:eastAsia="Times New Roman" w:cs="Times New Roman"/>
          <w:szCs w:val="24"/>
        </w:rPr>
        <w:lastRenderedPageBreak/>
        <w:t>do spraw informatyzacji konieczne jest zapewnienie temu organowi możliwości przeprowadzenia badania stanu spółki</w:t>
      </w:r>
      <w:r w:rsidR="004308C6">
        <w:rPr>
          <w:rFonts w:eastAsia="Times New Roman" w:cs="Times New Roman"/>
          <w:szCs w:val="24"/>
        </w:rPr>
        <w:t>,</w:t>
      </w:r>
      <w:r w:rsidRPr="00C52F09">
        <w:rPr>
          <w:rFonts w:eastAsia="Times New Roman" w:cs="Times New Roman"/>
          <w:szCs w:val="24"/>
        </w:rPr>
        <w:t xml:space="preserve"> </w:t>
      </w:r>
      <w:r w:rsidR="004308C6">
        <w:rPr>
          <w:rFonts w:eastAsia="Times New Roman" w:cs="Times New Roman"/>
          <w:szCs w:val="24"/>
        </w:rPr>
        <w:t xml:space="preserve">w </w:t>
      </w:r>
      <w:r w:rsidRPr="00C52F09">
        <w:rPr>
          <w:rFonts w:eastAsia="Times New Roman" w:cs="Times New Roman"/>
          <w:szCs w:val="24"/>
        </w:rPr>
        <w:t>tym zapoznania się ze wszystkimi nieruchomościami, których właścicielem lub użytkownikiem wieczystym jest spółka, której akcje lub udziały mają zostać wykupione.</w:t>
      </w:r>
    </w:p>
    <w:p w14:paraId="242DAFA5" w14:textId="58E2A205"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Projektowane rozwiązanie w zakresie możliwości skorzystania z prawa pierwokupu jest niezbędne dla zapewnienia bezpieczeństwa Krajowego Centrum Przetwarzania Danych, które ze względu na ich charakter powinno zapewniać ministrowi właściwemu do spraw informatyzacji możliwość wykonania prawa pierwokupu zarówno nieruchomości objętych decyzją o ustaleniu lokalizacji w zakresie Krajowego Centrum Przetwarzani</w:t>
      </w:r>
      <w:r w:rsidR="00D07DC5">
        <w:rPr>
          <w:rFonts w:eastAsia="Times New Roman" w:cs="Times New Roman"/>
          <w:szCs w:val="24"/>
        </w:rPr>
        <w:t>a</w:t>
      </w:r>
      <w:r w:rsidRPr="00C52F09">
        <w:rPr>
          <w:rFonts w:eastAsia="Times New Roman" w:cs="Times New Roman"/>
          <w:szCs w:val="24"/>
        </w:rPr>
        <w:t xml:space="preserve"> </w:t>
      </w:r>
      <w:r w:rsidR="00D07DC5">
        <w:rPr>
          <w:rFonts w:eastAsia="Times New Roman" w:cs="Times New Roman"/>
          <w:szCs w:val="24"/>
        </w:rPr>
        <w:t>D</w:t>
      </w:r>
      <w:r w:rsidRPr="00C52F09">
        <w:rPr>
          <w:rFonts w:eastAsia="Times New Roman" w:cs="Times New Roman"/>
          <w:szCs w:val="24"/>
        </w:rPr>
        <w:t>anych</w:t>
      </w:r>
      <w:r w:rsidR="00D07DC5">
        <w:rPr>
          <w:rFonts w:eastAsia="Times New Roman" w:cs="Times New Roman"/>
          <w:szCs w:val="24"/>
        </w:rPr>
        <w:t>,</w:t>
      </w:r>
      <w:r w:rsidR="00725FB5">
        <w:rPr>
          <w:rFonts w:eastAsia="Times New Roman" w:cs="Times New Roman"/>
          <w:szCs w:val="24"/>
        </w:rPr>
        <w:t xml:space="preserve"> jak i w </w:t>
      </w:r>
      <w:r w:rsidRPr="00C52F09">
        <w:rPr>
          <w:rFonts w:eastAsia="Times New Roman" w:cs="Times New Roman"/>
          <w:szCs w:val="24"/>
        </w:rPr>
        <w:t>odniesieniu do udziałów lub akcji spółek, które są właścicielem lub użytkownikiem wieczystym tych nieruchomości. W art. 19 ust</w:t>
      </w:r>
      <w:r w:rsidR="00D07DC5">
        <w:rPr>
          <w:rFonts w:eastAsia="Times New Roman" w:cs="Times New Roman"/>
          <w:szCs w:val="24"/>
        </w:rPr>
        <w:t>.</w:t>
      </w:r>
      <w:r w:rsidRPr="00C52F09">
        <w:rPr>
          <w:rFonts w:eastAsia="Times New Roman" w:cs="Times New Roman"/>
          <w:szCs w:val="24"/>
        </w:rPr>
        <w:t xml:space="preserve"> 1 projektu ustawy wskazano również, że aby skorzystać z prawa pierwokupu udziałów lub akcji w spółce kapitałowej, która jest właścicielem lub użytkownikiem wieczystym nieruchomości objętej decyzją o ustaleniu lokalizacji inwestycji w zakresie Krajowego Centrum Przetwarzania Danych, prawo pierwokupu przysługuje z mocy ustawy ministrowi właściwemu do spraw informatyzacji na rzecz Skarbu Państwa, o ile wykonanie prawa pierwokupu udziałów i akcji jest niezbędne do realizacji, budowy, przebudowy, remontu, utrzymania, użytkowania, zmiany sposobu użytkowania, eksploatacji, rozbiórki lub zapewnienia bezpieczeństwa inwestycji w zakresie Krajowego Centrum Przetwarzania Danych – takie brzmienie przepisu ogranicza zatem możliwość skorzystania z prawa pierwokupu wyłącznie do ww. wyjątkowych okoliczności.</w:t>
      </w:r>
    </w:p>
    <w:p w14:paraId="07B802AB" w14:textId="1C7AF984" w:rsidR="00C52F09" w:rsidRPr="00C52F09" w:rsidRDefault="00C52F09" w:rsidP="00C52F09">
      <w:pPr>
        <w:widowControl/>
        <w:suppressAutoHyphens/>
        <w:spacing w:before="120"/>
        <w:jc w:val="both"/>
        <w:rPr>
          <w:rFonts w:eastAsia="Times New Roman" w:cs="Times New Roman"/>
          <w:bCs/>
          <w:szCs w:val="24"/>
        </w:rPr>
      </w:pPr>
      <w:r w:rsidRPr="00C52F09">
        <w:rPr>
          <w:rFonts w:eastAsia="Times New Roman" w:cs="Times New Roman"/>
          <w:szCs w:val="24"/>
        </w:rPr>
        <w:t xml:space="preserve">W art. 25 projektu ustawy zawarte są przepisy szczegółowo regulujące sprawy odszkodowań </w:t>
      </w:r>
      <w:r w:rsidRPr="00C52F09">
        <w:rPr>
          <w:rFonts w:cs="Times New Roman"/>
          <w:szCs w:val="24"/>
        </w:rPr>
        <w:t>za nieruchomości, użytkowanie wieczyste oraz ograniczone prawa rzeczowe do nieruchomości, o których mowa w art. 17 ust. 5–7 oraz w art. 24 ust. 3 projektu ustawy</w:t>
      </w:r>
      <w:r w:rsidRPr="00C52F09">
        <w:rPr>
          <w:rFonts w:eastAsia="Times New Roman" w:cs="Times New Roman"/>
          <w:szCs w:val="24"/>
        </w:rPr>
        <w:t xml:space="preserve">. W przypadku braku dokonania uzgodnień pomiędzy właściwym wojewodą a dotychczasowym właścicielem, użytkownikiem wieczystym lub osobą, której przysługuje ograniczone prawo rzeczowe do nieruchomości, w terminie określonym w projekcie ustawy, wysokość odszkodowania ustala wojewoda w drodze decyzji. Odszkodowanie ustala się na podstawie operatu szacunkowego sporządzonego przez rzeczoznawcę majątkowego według stanu nieruchomości w </w:t>
      </w:r>
      <w:r w:rsidRPr="00C52F09">
        <w:rPr>
          <w:rFonts w:eastAsia="Times New Roman" w:cs="Times New Roman"/>
          <w:szCs w:val="24"/>
        </w:rPr>
        <w:lastRenderedPageBreak/>
        <w:t>dniu wydania decyzji o ustaleniu lokalizacji inwestycji w zakresie Krajowego Centrum Przetwarzania Danych. Rozwiązanie to oparte o już stosowane mechanizmy uwzględnia orzecznictwo Sądu Najwyższego oraz sądów administracyjnych i jest zgodne z nor</w:t>
      </w:r>
      <w:r w:rsidR="00725FB5">
        <w:rPr>
          <w:rFonts w:eastAsia="Times New Roman" w:cs="Times New Roman"/>
          <w:szCs w:val="24"/>
        </w:rPr>
        <w:t>mą konstytucyjną zawartą w art. </w:t>
      </w:r>
      <w:r w:rsidRPr="00C52F09">
        <w:rPr>
          <w:rFonts w:eastAsia="Times New Roman" w:cs="Times New Roman"/>
          <w:szCs w:val="24"/>
        </w:rPr>
        <w:t>21 ust. 2 Konstytucji R</w:t>
      </w:r>
      <w:r w:rsidR="00424E40">
        <w:rPr>
          <w:rFonts w:eastAsia="Times New Roman" w:cs="Times New Roman"/>
          <w:szCs w:val="24"/>
        </w:rPr>
        <w:t>ze</w:t>
      </w:r>
      <w:r w:rsidR="00D07DC5">
        <w:rPr>
          <w:rFonts w:eastAsia="Times New Roman" w:cs="Times New Roman"/>
          <w:szCs w:val="24"/>
        </w:rPr>
        <w:t xml:space="preserve">czypospolitej </w:t>
      </w:r>
      <w:r w:rsidRPr="00C52F09">
        <w:rPr>
          <w:rFonts w:eastAsia="Times New Roman" w:cs="Times New Roman"/>
          <w:szCs w:val="24"/>
        </w:rPr>
        <w:t>P</w:t>
      </w:r>
      <w:r w:rsidR="00D07DC5">
        <w:rPr>
          <w:rFonts w:eastAsia="Times New Roman" w:cs="Times New Roman"/>
          <w:szCs w:val="24"/>
        </w:rPr>
        <w:t>olskiej</w:t>
      </w:r>
      <w:r w:rsidRPr="00C52F09">
        <w:rPr>
          <w:rFonts w:eastAsia="Times New Roman" w:cs="Times New Roman"/>
          <w:szCs w:val="24"/>
        </w:rPr>
        <w:t xml:space="preserve">. Przyjęte w przepisie art. 25 projektu ustawy rozwiązania są wzorowane na tych, które zostały zastosowane m.in. </w:t>
      </w:r>
      <w:r w:rsidR="00D07DC5">
        <w:rPr>
          <w:rFonts w:eastAsia="Times New Roman" w:cs="Times New Roman"/>
          <w:szCs w:val="24"/>
        </w:rPr>
        <w:t xml:space="preserve">w </w:t>
      </w:r>
      <w:r w:rsidRPr="00C52F09">
        <w:rPr>
          <w:rFonts w:eastAsia="Times New Roman" w:cs="Times New Roman"/>
          <w:szCs w:val="24"/>
        </w:rPr>
        <w:t>ustaw</w:t>
      </w:r>
      <w:r w:rsidR="00D07DC5">
        <w:rPr>
          <w:rFonts w:eastAsia="Times New Roman" w:cs="Times New Roman"/>
          <w:szCs w:val="24"/>
        </w:rPr>
        <w:t>ie</w:t>
      </w:r>
      <w:r w:rsidRPr="00C52F09">
        <w:rPr>
          <w:rFonts w:eastAsia="Times New Roman" w:cs="Times New Roman"/>
          <w:szCs w:val="24"/>
        </w:rPr>
        <w:t xml:space="preserve"> z dnia 10 kwietnia 2003 r. o szczególnych zasadach przygotowania i realizacji inwestycji w</w:t>
      </w:r>
      <w:r w:rsidR="0003018A">
        <w:rPr>
          <w:rFonts w:eastAsia="Times New Roman" w:cs="Times New Roman"/>
          <w:szCs w:val="24"/>
        </w:rPr>
        <w:t xml:space="preserve"> </w:t>
      </w:r>
      <w:r w:rsidRPr="00C52F09">
        <w:rPr>
          <w:rFonts w:eastAsia="Times New Roman" w:cs="Times New Roman"/>
          <w:szCs w:val="24"/>
        </w:rPr>
        <w:t>zakresie dróg publicznych, ustaw</w:t>
      </w:r>
      <w:r w:rsidR="00D07DC5">
        <w:rPr>
          <w:rFonts w:eastAsia="Times New Roman" w:cs="Times New Roman"/>
          <w:szCs w:val="24"/>
        </w:rPr>
        <w:t>ie</w:t>
      </w:r>
      <w:r w:rsidRPr="00C52F09">
        <w:rPr>
          <w:rFonts w:eastAsia="Times New Roman" w:cs="Times New Roman"/>
          <w:szCs w:val="24"/>
        </w:rPr>
        <w:t xml:space="preserve"> z dnia 24 kwietnia 2009 r. o inwestycjach w zakresie terminalu regazyfikacyjnego skroplonego gazu ziemnego w Świnoujściu, ustaw</w:t>
      </w:r>
      <w:r w:rsidR="00D07DC5">
        <w:rPr>
          <w:rFonts w:eastAsia="Times New Roman" w:cs="Times New Roman"/>
          <w:szCs w:val="24"/>
        </w:rPr>
        <w:t>ie</w:t>
      </w:r>
      <w:r w:rsidRPr="00C52F09">
        <w:rPr>
          <w:rFonts w:eastAsia="Times New Roman" w:cs="Times New Roman"/>
          <w:szCs w:val="24"/>
        </w:rPr>
        <w:t xml:space="preserve"> z dnia 24 lipca 2015 r. o przygotowaniu i realizacji strategicznych inwestycji w zakresie sieci przesyłowych, ustaw</w:t>
      </w:r>
      <w:r w:rsidR="00D07DC5">
        <w:rPr>
          <w:rFonts w:eastAsia="Times New Roman" w:cs="Times New Roman"/>
          <w:szCs w:val="24"/>
        </w:rPr>
        <w:t>ie</w:t>
      </w:r>
      <w:r w:rsidRPr="00C52F09">
        <w:rPr>
          <w:rFonts w:eastAsia="Times New Roman" w:cs="Times New Roman"/>
          <w:szCs w:val="24"/>
        </w:rPr>
        <w:t xml:space="preserve"> z dnia 11 sierpnia 2021 r. o przygotowaniu i realizacji inwestycji w zakresie odbudowy Pałacu Saskiego, Pałacu Brühla oraz kamienic przy ulicy Królewskiej w Warszawie czy ustaw</w:t>
      </w:r>
      <w:r w:rsidR="00D07DC5">
        <w:rPr>
          <w:rFonts w:eastAsia="Times New Roman" w:cs="Times New Roman"/>
          <w:szCs w:val="24"/>
        </w:rPr>
        <w:t>ie</w:t>
      </w:r>
      <w:r w:rsidR="00725FB5">
        <w:rPr>
          <w:rFonts w:eastAsia="Times New Roman" w:cs="Times New Roman"/>
          <w:szCs w:val="24"/>
        </w:rPr>
        <w:t xml:space="preserve"> z </w:t>
      </w:r>
      <w:r w:rsidRPr="00C52F09">
        <w:rPr>
          <w:rFonts w:eastAsia="Times New Roman" w:cs="Times New Roman"/>
          <w:szCs w:val="24"/>
        </w:rPr>
        <w:t>dnia 22 lutego 2019 r. o przygotowaniu i</w:t>
      </w:r>
      <w:r w:rsidR="0003018A">
        <w:rPr>
          <w:rFonts w:eastAsia="Times New Roman" w:cs="Times New Roman"/>
          <w:szCs w:val="24"/>
        </w:rPr>
        <w:t xml:space="preserve"> </w:t>
      </w:r>
      <w:r w:rsidRPr="00C52F09">
        <w:rPr>
          <w:rFonts w:eastAsia="Times New Roman" w:cs="Times New Roman"/>
          <w:szCs w:val="24"/>
        </w:rPr>
        <w:t xml:space="preserve">realizacji strategicznych inwestycji w sektorze naftowym. </w:t>
      </w:r>
      <w:r w:rsidRPr="00C52F09">
        <w:rPr>
          <w:rFonts w:eastAsia="Times New Roman" w:cs="Times New Roman"/>
          <w:bCs/>
          <w:szCs w:val="24"/>
        </w:rPr>
        <w:t>Do ustalenia wysokości i wypłacenia odszkodowania w przypadkach nieuregulowanych w projektowanej ustawie stosuje się odpowi</w:t>
      </w:r>
      <w:r w:rsidR="00725FB5">
        <w:rPr>
          <w:rFonts w:eastAsia="Times New Roman" w:cs="Times New Roman"/>
          <w:bCs/>
          <w:szCs w:val="24"/>
        </w:rPr>
        <w:t>ednio przepisy ustawy z dnia 21 </w:t>
      </w:r>
      <w:r w:rsidRPr="00C52F09">
        <w:rPr>
          <w:rFonts w:eastAsia="Times New Roman" w:cs="Times New Roman"/>
          <w:bCs/>
          <w:szCs w:val="24"/>
        </w:rPr>
        <w:t>sierpnia 1997 r. o gospodarce nieruchomościami.</w:t>
      </w:r>
    </w:p>
    <w:p w14:paraId="394B16AA" w14:textId="15BBB74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Odszkodowanie podlega waloryzacji na dzień wypłat</w:t>
      </w:r>
      <w:r w:rsidR="00725FB5">
        <w:rPr>
          <w:rFonts w:eastAsia="Times New Roman" w:cs="Times New Roman"/>
          <w:szCs w:val="24"/>
        </w:rPr>
        <w:t>y według zasad obowiązujących w </w:t>
      </w:r>
      <w:r w:rsidRPr="00C52F09">
        <w:rPr>
          <w:rFonts w:eastAsia="Times New Roman" w:cs="Times New Roman"/>
          <w:szCs w:val="24"/>
        </w:rPr>
        <w:t>przypadku zwrotu wywłaszczonych nieruchomości</w:t>
      </w:r>
      <w:r w:rsidR="00D07DC5">
        <w:rPr>
          <w:rFonts w:eastAsia="Times New Roman" w:cs="Times New Roman"/>
          <w:szCs w:val="24"/>
        </w:rPr>
        <w:t>.</w:t>
      </w:r>
      <w:r w:rsidRPr="00C52F09">
        <w:rPr>
          <w:rFonts w:eastAsia="Times New Roman" w:cs="Times New Roman"/>
          <w:szCs w:val="24"/>
        </w:rPr>
        <w:t xml:space="preserve"> </w:t>
      </w:r>
    </w:p>
    <w:p w14:paraId="10B1489C" w14:textId="34C302D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Proponowane regulacje wzorowane były na obowiązujących obecnie przepisach ustaw szczególnych, w tym m.in. ustawie z dnia 10 kwietnia 2003 r. o szczególnych zasadach przygotowania i realizacji inwestycji w</w:t>
      </w:r>
      <w:r w:rsidR="0003018A">
        <w:rPr>
          <w:rFonts w:eastAsia="Times New Roman" w:cs="Times New Roman"/>
          <w:szCs w:val="24"/>
        </w:rPr>
        <w:t xml:space="preserve"> </w:t>
      </w:r>
      <w:r w:rsidRPr="00C52F09">
        <w:rPr>
          <w:rFonts w:eastAsia="Times New Roman" w:cs="Times New Roman"/>
          <w:szCs w:val="24"/>
        </w:rPr>
        <w:t>zakresie dróg publicznych, ustawie z dnia 24 kwietnia 2009 r. o inwestycjach w zakresie terminalu regazyfikacyjn</w:t>
      </w:r>
      <w:r w:rsidR="00725FB5">
        <w:rPr>
          <w:rFonts w:eastAsia="Times New Roman" w:cs="Times New Roman"/>
          <w:szCs w:val="24"/>
        </w:rPr>
        <w:t>ego skroplonego gazu ziemnego w </w:t>
      </w:r>
      <w:r w:rsidRPr="00C52F09">
        <w:rPr>
          <w:rFonts w:eastAsia="Times New Roman" w:cs="Times New Roman"/>
          <w:szCs w:val="24"/>
        </w:rPr>
        <w:t>Świnoujściu, ustawie z dnia 24 lipca 2015 r. o przygotowaniu i realizacji strategicznych inwestycji w zakresie sieci przesyłowych, ustawie z dnia 11 sierpnia 2021 r. o przygotowaniu i realizacji inwestycji w zakresie odbudowy Pałacu Saskiego, Pałacu Brühla oraz kamienic przy ulicy Królewskiej w Warszawie czy ustawie z dnia 22 lutego 2019 r. o przygotowaniu i realizacji strategicznych inwestycji w sektorze naftowym.</w:t>
      </w:r>
    </w:p>
    <w:p w14:paraId="7C3B3BC5" w14:textId="6336686B"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Ponadto w projekcie ustawy zaproponowano, aby kwota odszkodowania wypłacana </w:t>
      </w:r>
      <w:r w:rsidRPr="00C52F09">
        <w:rPr>
          <w:rFonts w:eastAsia="Times New Roman" w:cs="Times New Roman"/>
          <w:szCs w:val="24"/>
        </w:rPr>
        <w:lastRenderedPageBreak/>
        <w:t>była na rzecz osób, którym przysługują ograniczone prawa rzeczowe jako odszkodowanie z tytułu wygaśnięcia tych praw. Dodatkowo wskazano, że wysokość odszkodowania przysługującego dotychczasowemu właścicielowi lub użytkownikowi wiec</w:t>
      </w:r>
      <w:r w:rsidR="00725FB5">
        <w:rPr>
          <w:rFonts w:eastAsia="Times New Roman" w:cs="Times New Roman"/>
          <w:szCs w:val="24"/>
        </w:rPr>
        <w:t>zystemu wraz z odszkodowaniem z </w:t>
      </w:r>
      <w:r w:rsidRPr="00C52F09">
        <w:rPr>
          <w:rFonts w:eastAsia="Times New Roman" w:cs="Times New Roman"/>
          <w:szCs w:val="24"/>
        </w:rPr>
        <w:t>tytułu wygaśnięcia ograniczonych praw rzeczowych, ustanowionych na tej nieruchomości lub na prawie użytkowania wieczystego</w:t>
      </w:r>
      <w:r w:rsidR="008E43E8">
        <w:rPr>
          <w:rFonts w:eastAsia="Times New Roman" w:cs="Times New Roman"/>
          <w:szCs w:val="24"/>
        </w:rPr>
        <w:t>,</w:t>
      </w:r>
      <w:r w:rsidRPr="00C52F09">
        <w:rPr>
          <w:rFonts w:eastAsia="Times New Roman" w:cs="Times New Roman"/>
          <w:szCs w:val="24"/>
        </w:rPr>
        <w:t xml:space="preserve"> nie będzie mogła przekroczyć wartości nieruchomości lub wartości prawa użytkowania wieczystego. </w:t>
      </w:r>
    </w:p>
    <w:p w14:paraId="0770F020" w14:textId="559D9C6C"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Dodatkowo projekt ustawy przewiduje, że jeżeli na nieruchomościach, które zostały przejęte na rzecz Skarbu Państwa lub doznały ograniczeń w sposobie korzystania</w:t>
      </w:r>
      <w:r w:rsidR="008E43E8">
        <w:rPr>
          <w:rFonts w:eastAsia="Times New Roman" w:cs="Times New Roman"/>
          <w:szCs w:val="24"/>
        </w:rPr>
        <w:t>,</w:t>
      </w:r>
      <w:r w:rsidRPr="00C52F09">
        <w:rPr>
          <w:rFonts w:eastAsia="Times New Roman" w:cs="Times New Roman"/>
          <w:szCs w:val="24"/>
        </w:rPr>
        <w:t xml:space="preserve"> zostały poczynione nakłady przy wykorzystaniu środków pochodzących z budżetu Unii Europejskiej lub innych źródeł zagranicznych, odszkodowanie za ustanowienie tych ograniczeń powiększa się o kwotę podlegających zwrotowi środków pochodzących z dofinansowania wraz z odsetkami należnymi zgodnie z przepisami regulującymi zasady zwrotu dofinansowania. Zasada ta będzie miała zastosowanie wyłącznie, jeżeli w wyniku przejęcia tych nieruchomości przez Skarb Państwa lub ustanowienia ograniczeń na ww. nieruchom</w:t>
      </w:r>
      <w:r w:rsidR="00725FB5">
        <w:rPr>
          <w:rFonts w:eastAsia="Times New Roman" w:cs="Times New Roman"/>
          <w:szCs w:val="24"/>
        </w:rPr>
        <w:t>ościach lub rozwiązania umów, o </w:t>
      </w:r>
      <w:r w:rsidRPr="00C52F09">
        <w:rPr>
          <w:rFonts w:eastAsia="Times New Roman" w:cs="Times New Roman"/>
          <w:szCs w:val="24"/>
        </w:rPr>
        <w:t>których mowa w art. 24 ust. 2, nałożono odpowiednio na właściciela, użytkownika wieczystego, osobę</w:t>
      </w:r>
      <w:r w:rsidR="00AB34EE">
        <w:rPr>
          <w:rFonts w:eastAsia="Times New Roman" w:cs="Times New Roman"/>
          <w:szCs w:val="24"/>
        </w:rPr>
        <w:t>,</w:t>
      </w:r>
      <w:r w:rsidRPr="00C52F09">
        <w:rPr>
          <w:rFonts w:eastAsia="Times New Roman" w:cs="Times New Roman"/>
          <w:szCs w:val="24"/>
        </w:rPr>
        <w:t xml:space="preserve"> której przysługiwały ograniczone prawa rzeczowe do nieruchomości, lub stronę umowy, o której mowa w art. 24 ust. 2, obowiąze</w:t>
      </w:r>
      <w:r w:rsidR="00725FB5">
        <w:rPr>
          <w:rFonts w:eastAsia="Times New Roman" w:cs="Times New Roman"/>
          <w:szCs w:val="24"/>
        </w:rPr>
        <w:t>k zwrotu środków pochodzących z </w:t>
      </w:r>
      <w:r w:rsidRPr="00C52F09">
        <w:rPr>
          <w:rFonts w:eastAsia="Times New Roman" w:cs="Times New Roman"/>
          <w:szCs w:val="24"/>
        </w:rPr>
        <w:t>takiego dofinansowania. Odszkodowanie w części przenoszącej odszkodowanie należne na zasadach wynikających z ustawy z dnia 21 sierpnia 1997 r. o gospodarce nieruchomościami przyznaje się pod warunkiem rozwiązującym dokonania przez odpowiednio właściciela, użytkownika wieczystego, osobę, której przysługiwały ograniczone prawa rzeczowe do nieruchomości, lub stronę umowy, o której mowa w art. 24 ust. 2, w trybie i terminie wynikającym z właściwych przepisów, zwrotu dofinansowania wraz z należnymi odsetkami.</w:t>
      </w:r>
    </w:p>
    <w:p w14:paraId="12B8C356" w14:textId="38519DD2"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Jak już wskazano do ustalenia wysokości i wypłacenia</w:t>
      </w:r>
      <w:r w:rsidR="00725FB5">
        <w:rPr>
          <w:rFonts w:eastAsia="Times New Roman" w:cs="Times New Roman"/>
          <w:szCs w:val="24"/>
        </w:rPr>
        <w:t xml:space="preserve"> odszkodowania w przypadkach, o </w:t>
      </w:r>
      <w:r w:rsidRPr="00C52F09">
        <w:rPr>
          <w:rFonts w:eastAsia="Times New Roman" w:cs="Times New Roman"/>
          <w:szCs w:val="24"/>
        </w:rPr>
        <w:t>których mowa w art. 17 ust. 5–7 i art. 24 ust. 3</w:t>
      </w:r>
      <w:r w:rsidR="00677273">
        <w:rPr>
          <w:rFonts w:eastAsia="Times New Roman" w:cs="Times New Roman"/>
          <w:szCs w:val="24"/>
        </w:rPr>
        <w:t>,</w:t>
      </w:r>
      <w:r w:rsidRPr="00C52F09">
        <w:rPr>
          <w:rFonts w:eastAsia="Times New Roman" w:cs="Times New Roman"/>
          <w:szCs w:val="24"/>
        </w:rPr>
        <w:t xml:space="preserve"> stosuje się odpowiednio przepisy o gospodarce nieruchomościami, z tym że z uwzględnieniem reg</w:t>
      </w:r>
      <w:r w:rsidR="00725FB5">
        <w:rPr>
          <w:rFonts w:eastAsia="Times New Roman" w:cs="Times New Roman"/>
          <w:szCs w:val="24"/>
        </w:rPr>
        <w:t>ulacji szczególnych zawartych w </w:t>
      </w:r>
      <w:r w:rsidRPr="00C52F09">
        <w:rPr>
          <w:rFonts w:eastAsia="Times New Roman" w:cs="Times New Roman"/>
          <w:szCs w:val="24"/>
        </w:rPr>
        <w:t>projektowanej ustawie (art. 25 i art. 32 projektowanej ustawy).</w:t>
      </w:r>
    </w:p>
    <w:p w14:paraId="552A6733" w14:textId="0EE3033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Art. 32 projektu zawiera alternatywną, w stosunku do pełnego wywłaszczenia, drogę </w:t>
      </w:r>
      <w:r w:rsidRPr="00C52F09">
        <w:rPr>
          <w:rFonts w:eastAsia="Times New Roman" w:cs="Times New Roman"/>
          <w:szCs w:val="24"/>
        </w:rPr>
        <w:lastRenderedPageBreak/>
        <w:t xml:space="preserve">nabycia tytułu prawnego do nieruchomości pod inwestycje w zakresie Krajowego Centrum Przetwarzania Danych. Także w tym wypadku skutki wynikające z art. 32 będą odnosiły się wyłącznie do tych nieruchomości, które zostały wskazane </w:t>
      </w:r>
      <w:r w:rsidR="00725FB5">
        <w:rPr>
          <w:rFonts w:eastAsia="Times New Roman" w:cs="Times New Roman"/>
          <w:szCs w:val="24"/>
        </w:rPr>
        <w:t>przez wnioskodawcę we wniosku o </w:t>
      </w:r>
      <w:r w:rsidRPr="00C52F09">
        <w:rPr>
          <w:rFonts w:eastAsia="Times New Roman" w:cs="Times New Roman"/>
          <w:szCs w:val="24"/>
        </w:rPr>
        <w:t>ustalenie lokalizacji inwestycji w zakresie Krajowego Centrum Przetwarzania Danych. Jako proponowane rozwiązanie wskazano wydanie przez właściwy organ administracji decyzji ograniczającej prawa właściciela albo użytkownika wieczystego i dającej możliwość inwestorowi prowadzenia na tym gruncie inwestycji.</w:t>
      </w:r>
    </w:p>
    <w:p w14:paraId="56C5E8C4" w14:textId="45CFBA27" w:rsidR="00C52F09" w:rsidRPr="00C52F09" w:rsidRDefault="00C52F09" w:rsidP="00C52F09">
      <w:pPr>
        <w:pStyle w:val="ARTartustawynprozporzdzenia"/>
        <w:ind w:firstLine="0"/>
        <w:rPr>
          <w:rFonts w:ascii="Times New Roman" w:eastAsia="Times New Roman" w:hAnsi="Times New Roman" w:cs="Times New Roman"/>
          <w:szCs w:val="24"/>
        </w:rPr>
      </w:pPr>
      <w:r w:rsidRPr="00C52F09">
        <w:rPr>
          <w:rFonts w:ascii="Times New Roman" w:eastAsia="Times New Roman" w:hAnsi="Times New Roman" w:cs="Times New Roman"/>
          <w:szCs w:val="24"/>
        </w:rPr>
        <w:t xml:space="preserve">Ograniczenie sposobu korzystania będzie następować wyłącznie w celu zapewnienia inwestorowi prawa do wejścia na teren nieruchomości dla </w:t>
      </w:r>
      <w:r w:rsidR="00725FB5">
        <w:rPr>
          <w:rFonts w:ascii="Times New Roman" w:eastAsia="Times New Roman" w:hAnsi="Times New Roman" w:cs="Times New Roman"/>
          <w:szCs w:val="24"/>
        </w:rPr>
        <w:t>prowadzenia budowy inwestycji w </w:t>
      </w:r>
      <w:r w:rsidRPr="00C52F09">
        <w:rPr>
          <w:rFonts w:ascii="Times New Roman" w:eastAsia="Times New Roman" w:hAnsi="Times New Roman" w:cs="Times New Roman"/>
          <w:szCs w:val="24"/>
        </w:rPr>
        <w:t>zakresie Krajowego Centrum Przetwarzania Danych, a</w:t>
      </w:r>
      <w:r w:rsidR="0003018A">
        <w:rPr>
          <w:rFonts w:ascii="Times New Roman" w:eastAsia="Times New Roman" w:hAnsi="Times New Roman" w:cs="Times New Roman"/>
          <w:szCs w:val="24"/>
        </w:rPr>
        <w:t xml:space="preserve"> </w:t>
      </w:r>
      <w:r w:rsidRPr="00C52F09">
        <w:rPr>
          <w:rFonts w:ascii="Times New Roman" w:eastAsia="Times New Roman" w:hAnsi="Times New Roman" w:cs="Times New Roman"/>
          <w:szCs w:val="24"/>
        </w:rPr>
        <w:t>także prac związanych z rozbiórką, przebudową, zmianą sposobu użytkowania, utrzymaniem, eksploatacją, użytkowaniem, remontami oraz usuwaniem awarii, poprzez ograniczenie, za odszkodowaniem, sposobu korzystania z nieruchomości przez udzielenie zezwolenia, w szczególnoś</w:t>
      </w:r>
      <w:r w:rsidR="00725FB5">
        <w:rPr>
          <w:rFonts w:ascii="Times New Roman" w:eastAsia="Times New Roman" w:hAnsi="Times New Roman" w:cs="Times New Roman"/>
          <w:szCs w:val="24"/>
        </w:rPr>
        <w:t>ci na zakładanie i </w:t>
      </w:r>
      <w:r w:rsidRPr="00C52F09">
        <w:rPr>
          <w:rFonts w:ascii="Times New Roman" w:eastAsia="Times New Roman" w:hAnsi="Times New Roman" w:cs="Times New Roman"/>
          <w:szCs w:val="24"/>
        </w:rPr>
        <w:t xml:space="preserve">przeprowadzenie na nieruchomości ciągów drenażowych, przewodów i urządzeń służących do przesyłania płynów, pary, gazów i energii elektrycznej oraz </w:t>
      </w:r>
      <w:r w:rsidR="00725FB5">
        <w:rPr>
          <w:rFonts w:ascii="Times New Roman" w:eastAsia="Times New Roman" w:hAnsi="Times New Roman" w:cs="Times New Roman"/>
          <w:szCs w:val="24"/>
        </w:rPr>
        <w:t>urządzeń łączności publicznej i </w:t>
      </w:r>
      <w:r w:rsidRPr="00C52F09">
        <w:rPr>
          <w:rFonts w:ascii="Times New Roman" w:eastAsia="Times New Roman" w:hAnsi="Times New Roman" w:cs="Times New Roman"/>
          <w:szCs w:val="24"/>
        </w:rPr>
        <w:t>sygnalizacji, a także innych podziemnych, naziemnych lub nadziemnych obiektów i urządzeń niezbędnych do założenia, przeprowadzenia oraz korzystania</w:t>
      </w:r>
      <w:r w:rsidR="00725FB5">
        <w:rPr>
          <w:rFonts w:ascii="Times New Roman" w:eastAsia="Times New Roman" w:hAnsi="Times New Roman" w:cs="Times New Roman"/>
          <w:szCs w:val="24"/>
        </w:rPr>
        <w:t xml:space="preserve"> z tych przewodów i urządzeń. W </w:t>
      </w:r>
      <w:r w:rsidRPr="00C52F09">
        <w:rPr>
          <w:rFonts w:ascii="Times New Roman" w:eastAsia="Times New Roman" w:hAnsi="Times New Roman" w:cs="Times New Roman"/>
          <w:szCs w:val="24"/>
        </w:rPr>
        <w:t>tym zakresie przepisy art. 124 ust. 4</w:t>
      </w:r>
      <w:r w:rsidR="0003018A">
        <w:rPr>
          <w:rFonts w:ascii="Times New Roman" w:eastAsia="Times New Roman" w:hAnsi="Times New Roman" w:cs="Times New Roman"/>
          <w:szCs w:val="24"/>
        </w:rPr>
        <w:t>–</w:t>
      </w:r>
      <w:r w:rsidRPr="00C52F09">
        <w:rPr>
          <w:rFonts w:ascii="Times New Roman" w:eastAsia="Times New Roman" w:hAnsi="Times New Roman" w:cs="Times New Roman"/>
          <w:szCs w:val="24"/>
        </w:rPr>
        <w:t xml:space="preserve">7 oraz art. 128 ust. 4 ustawy z dnia 21 sierpnia 1997 r. o gospodarce nieruchomościami należy stosować odpowiednio, z uwzględnieniem przepisów projektowanej ustawy. </w:t>
      </w:r>
    </w:p>
    <w:p w14:paraId="017F8DDC"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Ponadto, zgodnie z treścią art. 32 ust. 2 w proponowanym brzmieniu, na wniosek inwestora, ograniczając sposób korzystania z nieruchomości zgodnie z art. 32 ust. 1, wojewoda wskazuje również zakres tego ograniczenia przez określenie, że obejmuje on:</w:t>
      </w:r>
    </w:p>
    <w:p w14:paraId="1571DE8E" w14:textId="77777777" w:rsidR="00C52F09" w:rsidRPr="00C52F09" w:rsidRDefault="00C52F09" w:rsidP="0003018A">
      <w:pPr>
        <w:pStyle w:val="PKTpunkt"/>
        <w:rPr>
          <w:rFonts w:ascii="Times New Roman" w:eastAsia="Times New Roman" w:hAnsi="Times New Roman" w:cs="Times New Roman"/>
          <w:szCs w:val="24"/>
        </w:rPr>
      </w:pPr>
      <w:r w:rsidRPr="00C52F09">
        <w:rPr>
          <w:rFonts w:ascii="Times New Roman" w:eastAsia="Times New Roman" w:hAnsi="Times New Roman" w:cs="Times New Roman"/>
          <w:szCs w:val="24"/>
        </w:rPr>
        <w:t>1)</w:t>
      </w:r>
      <w:r w:rsidRPr="00C52F09">
        <w:rPr>
          <w:rFonts w:ascii="Times New Roman" w:eastAsia="Times New Roman" w:hAnsi="Times New Roman" w:cs="Times New Roman"/>
          <w:szCs w:val="24"/>
        </w:rPr>
        <w:tab/>
        <w:t>zakaz wznoszenia i utrzymywania obiektów budowlanych przeznaczonych na pobyt ludzi;</w:t>
      </w:r>
    </w:p>
    <w:p w14:paraId="4C73B8D1" w14:textId="77777777" w:rsidR="00C52F09" w:rsidRPr="00C52F09" w:rsidRDefault="00C52F09" w:rsidP="0003018A">
      <w:pPr>
        <w:pStyle w:val="PKTpunkt"/>
        <w:rPr>
          <w:rFonts w:ascii="Times New Roman" w:eastAsia="Times New Roman" w:hAnsi="Times New Roman" w:cs="Times New Roman"/>
          <w:szCs w:val="24"/>
        </w:rPr>
      </w:pPr>
      <w:r w:rsidRPr="00C52F09">
        <w:rPr>
          <w:rFonts w:ascii="Times New Roman" w:eastAsia="Times New Roman" w:hAnsi="Times New Roman" w:cs="Times New Roman"/>
          <w:szCs w:val="24"/>
        </w:rPr>
        <w:t>2)</w:t>
      </w:r>
      <w:r w:rsidRPr="00C52F09">
        <w:rPr>
          <w:rFonts w:ascii="Times New Roman" w:eastAsia="Times New Roman" w:hAnsi="Times New Roman" w:cs="Times New Roman"/>
          <w:szCs w:val="24"/>
        </w:rPr>
        <w:tab/>
        <w:t>nakaz uzgadniania z ministrem właściwym do spraw informatyzacji lokalizacji obiektów budowlanych;</w:t>
      </w:r>
    </w:p>
    <w:p w14:paraId="0E85F6FE" w14:textId="77777777" w:rsidR="00C52F09" w:rsidRPr="00C52F09" w:rsidRDefault="00C52F09" w:rsidP="0003018A">
      <w:pPr>
        <w:pStyle w:val="PKTpunkt"/>
        <w:rPr>
          <w:rFonts w:ascii="Times New Roman" w:eastAsia="Times New Roman" w:hAnsi="Times New Roman" w:cs="Times New Roman"/>
          <w:szCs w:val="24"/>
        </w:rPr>
      </w:pPr>
      <w:r w:rsidRPr="00C52F09">
        <w:rPr>
          <w:rFonts w:ascii="Times New Roman" w:eastAsia="Times New Roman" w:hAnsi="Times New Roman" w:cs="Times New Roman"/>
          <w:szCs w:val="24"/>
        </w:rPr>
        <w:lastRenderedPageBreak/>
        <w:t>3)</w:t>
      </w:r>
      <w:r w:rsidRPr="00C52F09">
        <w:rPr>
          <w:rFonts w:ascii="Times New Roman" w:eastAsia="Times New Roman" w:hAnsi="Times New Roman" w:cs="Times New Roman"/>
          <w:szCs w:val="24"/>
        </w:rPr>
        <w:tab/>
        <w:t>zakaz wykonywania nasadzeń lub utrzymania drzew, krzewów lub innej roślinności przekraczających określoną wysokość.</w:t>
      </w:r>
    </w:p>
    <w:p w14:paraId="44612DF6" w14:textId="2E204A58" w:rsidR="00C52F09" w:rsidRPr="00C52F09" w:rsidRDefault="00C52F09" w:rsidP="00C52F09">
      <w:pPr>
        <w:pStyle w:val="USTustnpkodeksu"/>
        <w:spacing w:before="120"/>
        <w:ind w:firstLine="0"/>
        <w:rPr>
          <w:rFonts w:ascii="Times New Roman" w:eastAsia="Times New Roman" w:hAnsi="Times New Roman" w:cs="Times New Roman"/>
          <w:szCs w:val="24"/>
        </w:rPr>
      </w:pPr>
      <w:r w:rsidRPr="00C52F09">
        <w:rPr>
          <w:rFonts w:ascii="Times New Roman" w:eastAsia="Times New Roman" w:hAnsi="Times New Roman" w:cs="Times New Roman"/>
          <w:szCs w:val="24"/>
        </w:rPr>
        <w:t>Podnieść należy, że wprowadzenie projektowanego przepisu ma na celu zagwarantowanie inwestorowi uzyskania prawa do nieruchomości, pozwalającego mu na prowadzenie inwestycji w zakresie Krajowego Centrum Przetwarzania Danych, a także gwarantującego jej prawidłowe funkcjonowanie, z jednoczesnym poszanowaniem prawa własności oraz praw przysługujących użytkownikowi wieczystemu. Rozwiązanie, o którym mowa w projektowanym art. 32 ust. 1, przyśpieszy prowadzenie inwestycji oraz zagwarantuje bezpi</w:t>
      </w:r>
      <w:r w:rsidR="00725FB5">
        <w:rPr>
          <w:rFonts w:ascii="Times New Roman" w:eastAsia="Times New Roman" w:hAnsi="Times New Roman" w:cs="Times New Roman"/>
          <w:szCs w:val="24"/>
        </w:rPr>
        <w:t>eczeństwo osób korzystających z </w:t>
      </w:r>
      <w:r w:rsidRPr="00C52F09">
        <w:rPr>
          <w:rFonts w:ascii="Times New Roman" w:eastAsia="Times New Roman" w:hAnsi="Times New Roman" w:cs="Times New Roman"/>
          <w:szCs w:val="24"/>
        </w:rPr>
        <w:t>tych nieruchomości, a także znajdujących się na niej obiektów budowl</w:t>
      </w:r>
      <w:r w:rsidR="00A456D7">
        <w:rPr>
          <w:rFonts w:ascii="Times New Roman" w:eastAsia="Times New Roman" w:hAnsi="Times New Roman" w:cs="Times New Roman"/>
          <w:szCs w:val="24"/>
        </w:rPr>
        <w:t>a</w:t>
      </w:r>
      <w:r w:rsidRPr="00C52F09">
        <w:rPr>
          <w:rFonts w:ascii="Times New Roman" w:eastAsia="Times New Roman" w:hAnsi="Times New Roman" w:cs="Times New Roman"/>
          <w:szCs w:val="24"/>
        </w:rPr>
        <w:t>nych, bez sięgania po najdalej idącą formę nabycia prawa do nieruchomości, jaką jest wywłaszczanie, a więc zachowana jest zasada proporcjonalności zastosowanego środka do zamierzonego celu. Ponadto prawo inwestora do korzystania z nieruchomości będzie ograniczone do wykonywania czynności, na które zezwoli wojewoda w decyzji o ustaleniu lokalizacji inwestycji w zakresie Krajowego Centrum Przetwarzania Danych. Ograniczenie dotyczyć będzie określonej części nieruchomości, niezbędnej do wykonania działań, o których mowa w art. 32 ust. 1 projektowanej ustawy.</w:t>
      </w:r>
    </w:p>
    <w:p w14:paraId="5F2D1F57" w14:textId="27D0EFA2" w:rsidR="00C52F09" w:rsidRPr="00C52F09" w:rsidRDefault="00C52F09" w:rsidP="00C52F09">
      <w:pPr>
        <w:pStyle w:val="USTustnpkodeksu"/>
        <w:spacing w:before="120"/>
        <w:ind w:firstLine="0"/>
        <w:rPr>
          <w:rFonts w:ascii="Times New Roman" w:eastAsia="Times New Roman" w:hAnsi="Times New Roman" w:cs="Times New Roman"/>
          <w:szCs w:val="24"/>
        </w:rPr>
      </w:pPr>
      <w:r w:rsidRPr="00C52F09">
        <w:rPr>
          <w:rFonts w:ascii="Times New Roman" w:eastAsia="Times New Roman" w:hAnsi="Times New Roman" w:cs="Times New Roman"/>
          <w:szCs w:val="24"/>
        </w:rPr>
        <w:t>Zgodnie z art. 32 ust. 4, na wniosek inwestora, ograniczenie, o którym mowa w projektowanym art. 32 ust. 1 i 2</w:t>
      </w:r>
      <w:r w:rsidR="00677273">
        <w:rPr>
          <w:rFonts w:ascii="Times New Roman" w:eastAsia="Times New Roman" w:hAnsi="Times New Roman" w:cs="Times New Roman"/>
          <w:szCs w:val="24"/>
        </w:rPr>
        <w:t>,</w:t>
      </w:r>
      <w:r w:rsidRPr="00C52F09">
        <w:rPr>
          <w:rFonts w:ascii="Times New Roman" w:eastAsia="Times New Roman" w:hAnsi="Times New Roman" w:cs="Times New Roman"/>
          <w:szCs w:val="24"/>
        </w:rPr>
        <w:t xml:space="preserve"> może zostać ustanowione na czas określo</w:t>
      </w:r>
      <w:r w:rsidR="00725FB5">
        <w:rPr>
          <w:rFonts w:ascii="Times New Roman" w:eastAsia="Times New Roman" w:hAnsi="Times New Roman" w:cs="Times New Roman"/>
          <w:szCs w:val="24"/>
        </w:rPr>
        <w:t>ny. W takim przypadku decyzja o </w:t>
      </w:r>
      <w:r w:rsidRPr="00C52F09">
        <w:rPr>
          <w:rFonts w:ascii="Times New Roman" w:eastAsia="Times New Roman" w:hAnsi="Times New Roman" w:cs="Times New Roman"/>
          <w:szCs w:val="24"/>
        </w:rPr>
        <w:t xml:space="preserve">ustaleniu lokalizacji inwestycji w zakresie Krajowego Centrum Przetwarzania Danych określa czas, na który ustanawiane jest ograniczenie. Powyższe stanowi gwarancje proporcjonalności ingerencji w prawo własności lub prawo użytkowania wieczystego nieruchomości – nie we wszystkich bowiem przypadkach będzie niezbędne ograniczenie sposobu korzystania z nieruchomości na nieograniczony czas. Celem art. 32 ust. 4 projektowanej ustawy jest umożliwienie inwestorowi uzyskania ograniczenia sposobu korzystania z nieruchomości na podstawie tego artykułu przez uzyskanie zezwolenia na zakładanie i przeprowadzenie wymienionych w projektowanym art. 32 ust. 1 urządzeń na czas określony, w tym znaczeniu, że można określić czas, przez który własność nieruchomości będzie ograniczona w ten sposób, iż jej właściciel będzie </w:t>
      </w:r>
      <w:r w:rsidRPr="00C52F09">
        <w:rPr>
          <w:rFonts w:ascii="Times New Roman" w:eastAsia="Times New Roman" w:hAnsi="Times New Roman" w:cs="Times New Roman"/>
          <w:szCs w:val="24"/>
        </w:rPr>
        <w:lastRenderedPageBreak/>
        <w:t>zobowiązany znosić cudze działanie polegające na zainstalowaniu określonych urządzeń i ich utrzymywaniu, które może być określone konkretną datą lub zdarzeniem. Powyższe może mieć zastosowanie np. w przypadku konieczności budowy tymczasowych obiektów. Ograniczenie, o którym mowa w art. 32 ust. 4 projektowanej ustawy, może obejmować każdą czynność, o której mowa w art. 32 ust. 1 i 2 tej ustawy.</w:t>
      </w:r>
    </w:p>
    <w:p w14:paraId="611838CD" w14:textId="1585CF4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Podkreślić także należy, że zgodnie z projektowanym art. 32 ust. 7</w:t>
      </w:r>
      <w:r w:rsidR="00C27374">
        <w:rPr>
          <w:rFonts w:eastAsia="Times New Roman" w:cs="Times New Roman"/>
          <w:szCs w:val="24"/>
        </w:rPr>
        <w:t>,</w:t>
      </w:r>
      <w:r w:rsidRPr="00C52F09">
        <w:rPr>
          <w:rFonts w:eastAsia="Times New Roman" w:cs="Times New Roman"/>
          <w:szCs w:val="24"/>
        </w:rPr>
        <w:t xml:space="preserve"> jeżeli nieruchomoś</w:t>
      </w:r>
      <w:r w:rsidR="00C27374">
        <w:rPr>
          <w:rFonts w:eastAsia="Times New Roman" w:cs="Times New Roman"/>
          <w:szCs w:val="24"/>
        </w:rPr>
        <w:t>ci</w:t>
      </w:r>
      <w:r w:rsidRPr="00C52F09">
        <w:rPr>
          <w:rFonts w:eastAsia="Times New Roman" w:cs="Times New Roman"/>
          <w:szCs w:val="24"/>
        </w:rPr>
        <w:t>, o której mowa w ust. 1–3 projektowanego art. 32</w:t>
      </w:r>
      <w:r w:rsidR="00C27374">
        <w:rPr>
          <w:rFonts w:eastAsia="Times New Roman" w:cs="Times New Roman"/>
          <w:szCs w:val="24"/>
        </w:rPr>
        <w:t>,</w:t>
      </w:r>
      <w:r w:rsidRPr="00C52F09">
        <w:rPr>
          <w:rFonts w:eastAsia="Times New Roman" w:cs="Times New Roman"/>
          <w:szCs w:val="24"/>
        </w:rPr>
        <w:t xml:space="preserve"> nie wykorzystano do realizacji inwestycji w zakresie Krajowego Centrum Przetwarzania Danych, wojewoda na wniosek osoby, której prawa do nieruchomości ograniczono</w:t>
      </w:r>
      <w:r w:rsidR="00C27374">
        <w:rPr>
          <w:rFonts w:eastAsia="Times New Roman" w:cs="Times New Roman"/>
          <w:szCs w:val="24"/>
        </w:rPr>
        <w:t>,</w:t>
      </w:r>
      <w:r w:rsidRPr="00C52F09">
        <w:rPr>
          <w:rFonts w:eastAsia="Times New Roman" w:cs="Times New Roman"/>
          <w:szCs w:val="24"/>
        </w:rPr>
        <w:t xml:space="preserve"> stwierdza zbędność tej nie</w:t>
      </w:r>
      <w:r w:rsidR="00725FB5">
        <w:rPr>
          <w:rFonts w:eastAsia="Times New Roman" w:cs="Times New Roman"/>
          <w:szCs w:val="24"/>
        </w:rPr>
        <w:t>ruchomości na cele inwestycji w </w:t>
      </w:r>
      <w:r w:rsidRPr="00C52F09">
        <w:rPr>
          <w:rFonts w:eastAsia="Times New Roman" w:cs="Times New Roman"/>
          <w:szCs w:val="24"/>
        </w:rPr>
        <w:t>zakresie Krajowego Centrum Przetwarzania Danych. Przepi</w:t>
      </w:r>
      <w:r w:rsidR="00725FB5">
        <w:rPr>
          <w:rFonts w:eastAsia="Times New Roman" w:cs="Times New Roman"/>
          <w:szCs w:val="24"/>
        </w:rPr>
        <w:t>sy rozdziału 6 ustawy z dnia 21 </w:t>
      </w:r>
      <w:r w:rsidRPr="00C52F09">
        <w:rPr>
          <w:rFonts w:eastAsia="Times New Roman" w:cs="Times New Roman"/>
          <w:szCs w:val="24"/>
        </w:rPr>
        <w:t>sierpnia 1997 r. o gospodarce nieruchomościami w takim przypadku stosuje się odpowiednio.</w:t>
      </w:r>
    </w:p>
    <w:p w14:paraId="7947F566" w14:textId="383F670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tym zakresie wykorzystano istniejące już rozwiązania zawarte w specustawach dotyczących realizacji szczególnych inwestycji oraz w przepisach usta</w:t>
      </w:r>
      <w:r w:rsidR="00725FB5">
        <w:rPr>
          <w:rFonts w:eastAsia="Times New Roman" w:cs="Times New Roman"/>
          <w:szCs w:val="24"/>
        </w:rPr>
        <w:t>wy z dnia 21 sierpnia 1997 r. o </w:t>
      </w:r>
      <w:r w:rsidRPr="00C52F09">
        <w:rPr>
          <w:rFonts w:eastAsia="Times New Roman" w:cs="Times New Roman"/>
          <w:szCs w:val="24"/>
        </w:rPr>
        <w:t>gospodarce nieruchomościami</w:t>
      </w:r>
      <w:r w:rsidR="00C27374">
        <w:rPr>
          <w:rFonts w:eastAsia="Times New Roman" w:cs="Times New Roman"/>
          <w:szCs w:val="24"/>
        </w:rPr>
        <w:t>,</w:t>
      </w:r>
      <w:r w:rsidRPr="00C52F09">
        <w:rPr>
          <w:rFonts w:eastAsia="Times New Roman" w:cs="Times New Roman"/>
          <w:szCs w:val="24"/>
        </w:rPr>
        <w:t xml:space="preserve"> tj. w jej art. 124, z uwzględnieniem pewnych zmian. Rozstrzygnięcie w tym zakresie wydawane byłoby w ramach decyzji o ustaleniu lokalizacji inwestycji w zakresie Krajowego Centrum Przetwarzania Danych. </w:t>
      </w:r>
    </w:p>
    <w:p w14:paraId="589E3D98" w14:textId="69039BDE" w:rsidR="00C52F09" w:rsidRPr="00C52F09" w:rsidRDefault="00C52F09" w:rsidP="00C52F09">
      <w:pPr>
        <w:pStyle w:val="ARTartustawynprozporzdzenia"/>
        <w:ind w:firstLine="0"/>
        <w:rPr>
          <w:rFonts w:ascii="Times New Roman" w:hAnsi="Times New Roman" w:cs="Times New Roman"/>
          <w:szCs w:val="24"/>
        </w:rPr>
      </w:pPr>
      <w:r w:rsidRPr="00C52F09">
        <w:rPr>
          <w:rFonts w:ascii="Times New Roman" w:eastAsia="Times New Roman" w:hAnsi="Times New Roman" w:cs="Times New Roman"/>
          <w:szCs w:val="24"/>
        </w:rPr>
        <w:t>W art. 40 ust. 1 przewidziano, że nieruchomości objęt</w:t>
      </w:r>
      <w:r w:rsidR="00C27374">
        <w:rPr>
          <w:rFonts w:ascii="Times New Roman" w:eastAsia="Times New Roman" w:hAnsi="Times New Roman" w:cs="Times New Roman"/>
          <w:szCs w:val="24"/>
        </w:rPr>
        <w:t>e</w:t>
      </w:r>
      <w:r w:rsidRPr="00C52F09">
        <w:rPr>
          <w:rFonts w:ascii="Times New Roman" w:eastAsia="Times New Roman" w:hAnsi="Times New Roman" w:cs="Times New Roman"/>
          <w:szCs w:val="24"/>
        </w:rPr>
        <w:t xml:space="preserve"> decyzją o ustaleniu lokalizacji inwestycji w zakresie Krajowego Centrum Przetwarzania Danych, które zostały przejęte na rzecz Skarbu Państwa, reprezentuje Skarb Państwa i gospodaruje nimi minister właściwy do spraw informatyzacji. </w:t>
      </w:r>
      <w:r w:rsidRPr="00C52F09">
        <w:rPr>
          <w:rFonts w:ascii="Times New Roman" w:hAnsi="Times New Roman" w:cs="Times New Roman"/>
          <w:szCs w:val="24"/>
        </w:rPr>
        <w:t>W ocenie projektodawcy uzasadnione je</w:t>
      </w:r>
      <w:r w:rsidR="00725FB5">
        <w:rPr>
          <w:rFonts w:ascii="Times New Roman" w:hAnsi="Times New Roman" w:cs="Times New Roman"/>
          <w:szCs w:val="24"/>
        </w:rPr>
        <w:t>st sprecyzowanie w art. 40 ust. </w:t>
      </w:r>
      <w:r w:rsidRPr="00C52F09">
        <w:rPr>
          <w:rFonts w:ascii="Times New Roman" w:hAnsi="Times New Roman" w:cs="Times New Roman"/>
          <w:szCs w:val="24"/>
        </w:rPr>
        <w:t>1, w celu sprawnego przeprowadzenia inwestycji na nier</w:t>
      </w:r>
      <w:r w:rsidR="00725FB5">
        <w:rPr>
          <w:rFonts w:ascii="Times New Roman" w:hAnsi="Times New Roman" w:cs="Times New Roman"/>
          <w:szCs w:val="24"/>
        </w:rPr>
        <w:t>uchomościach objętych decyzją o </w:t>
      </w:r>
      <w:r w:rsidRPr="00C52F09">
        <w:rPr>
          <w:rFonts w:ascii="Times New Roman" w:hAnsi="Times New Roman" w:cs="Times New Roman"/>
          <w:szCs w:val="24"/>
        </w:rPr>
        <w:t xml:space="preserve">lokalizacji inwestycji w zakresie Krajowego Centrum Przetwarzania Danych, z jakim dniem i w odniesieniu do jakich nieruchomości minister właściwy do spraw informatyzacji stanie się organem reprezentującym Skarb Państwa. Minister właściwy do spraw informatyzacji powinien stać się organem reprezentującym Skarb Państwa wyłącznie w odniesieniu do nieruchomości objętych decyzją o ustaleniu lokalizacji inwestycji w zakresie </w:t>
      </w:r>
      <w:r w:rsidRPr="00C52F09">
        <w:rPr>
          <w:rFonts w:ascii="Times New Roman" w:hAnsi="Times New Roman" w:cs="Times New Roman"/>
          <w:szCs w:val="24"/>
        </w:rPr>
        <w:lastRenderedPageBreak/>
        <w:t>Krajowego Centrum Przetwarzania Danych, a także dopiero z dniem</w:t>
      </w:r>
      <w:r w:rsidR="00AC48F3">
        <w:rPr>
          <w:rFonts w:ascii="Times New Roman" w:hAnsi="Times New Roman" w:cs="Times New Roman"/>
          <w:szCs w:val="24"/>
        </w:rPr>
        <w:t>,</w:t>
      </w:r>
      <w:r w:rsidRPr="00C52F09">
        <w:rPr>
          <w:rFonts w:ascii="Times New Roman" w:hAnsi="Times New Roman" w:cs="Times New Roman"/>
          <w:szCs w:val="24"/>
        </w:rPr>
        <w:t xml:space="preserve"> w którym decyzja ta stała się ostateczn</w:t>
      </w:r>
      <w:r w:rsidR="00992020">
        <w:rPr>
          <w:rFonts w:ascii="Times New Roman" w:hAnsi="Times New Roman" w:cs="Times New Roman"/>
          <w:szCs w:val="24"/>
        </w:rPr>
        <w:t>a</w:t>
      </w:r>
      <w:r w:rsidRPr="00C52F09">
        <w:rPr>
          <w:rFonts w:ascii="Times New Roman" w:hAnsi="Times New Roman" w:cs="Times New Roman"/>
          <w:szCs w:val="24"/>
        </w:rPr>
        <w:t>.</w:t>
      </w:r>
    </w:p>
    <w:p w14:paraId="49ADCDA7" w14:textId="25DE814D" w:rsidR="00C52F09" w:rsidRPr="00C52F09" w:rsidRDefault="00C52F09" w:rsidP="00C52F09">
      <w:pPr>
        <w:pStyle w:val="ARTartustawynprozporzdzenia"/>
        <w:ind w:firstLine="0"/>
        <w:rPr>
          <w:rFonts w:ascii="Times New Roman" w:hAnsi="Times New Roman" w:cs="Times New Roman"/>
          <w:szCs w:val="24"/>
        </w:rPr>
      </w:pPr>
      <w:r w:rsidRPr="00C52F09">
        <w:rPr>
          <w:rFonts w:ascii="Times New Roman" w:hAnsi="Times New Roman" w:cs="Times New Roman"/>
          <w:szCs w:val="24"/>
        </w:rPr>
        <w:t>Ponadto w celu wyeliminowania ewentualnych wątpliwości co do nieruchomości należących w dniu złożenia wniosku o wydanie decyzji o ustaleniu lokalizacji inwestycji w zakresie Krajowego Centrum Przetwarzania Danych do Skarbu Państwa w art. 40 ust. 2 sprecyzowano, że organem reprezentującym Skarb Państwa w sprawach gospodarowania takimi nieruchomościami stanie się minister właściwy do spraw informatyzacji, z dniem, w którym decyzja o ustaleniu lokalizacji inwestycji w zakresie Krajowego Centrum Przetwarzania Danych stała się ostateczna, w zakresie oznaczonym w tej decyzji.</w:t>
      </w:r>
    </w:p>
    <w:p w14:paraId="2BB76CEA" w14:textId="4C4C3B0D" w:rsidR="00C52F09" w:rsidRPr="00C52F09" w:rsidRDefault="00C52F09" w:rsidP="00C52F09">
      <w:pPr>
        <w:pStyle w:val="ARTartustawynprozporzdzenia"/>
        <w:ind w:firstLine="0"/>
        <w:rPr>
          <w:rFonts w:ascii="Times New Roman" w:hAnsi="Times New Roman" w:cs="Times New Roman"/>
          <w:szCs w:val="24"/>
        </w:rPr>
      </w:pPr>
      <w:r w:rsidRPr="00C52F09">
        <w:rPr>
          <w:rFonts w:ascii="Times New Roman" w:hAnsi="Times New Roman" w:cs="Times New Roman"/>
          <w:szCs w:val="24"/>
        </w:rPr>
        <w:t xml:space="preserve">Powyższa zmiana ma na celu wskazanie, </w:t>
      </w:r>
      <w:r w:rsidR="00992020">
        <w:rPr>
          <w:rFonts w:ascii="Times New Roman" w:hAnsi="Times New Roman" w:cs="Times New Roman"/>
          <w:szCs w:val="24"/>
        </w:rPr>
        <w:t>ż</w:t>
      </w:r>
      <w:r w:rsidRPr="00C52F09">
        <w:rPr>
          <w:rFonts w:ascii="Times New Roman" w:hAnsi="Times New Roman" w:cs="Times New Roman"/>
          <w:szCs w:val="24"/>
        </w:rPr>
        <w:t>e decyzja o ust</w:t>
      </w:r>
      <w:r w:rsidR="00725FB5">
        <w:rPr>
          <w:rFonts w:ascii="Times New Roman" w:hAnsi="Times New Roman" w:cs="Times New Roman"/>
          <w:szCs w:val="24"/>
        </w:rPr>
        <w:t>aleniu lokalizacji inwestycji w </w:t>
      </w:r>
      <w:r w:rsidRPr="00C52F09">
        <w:rPr>
          <w:rFonts w:ascii="Times New Roman" w:hAnsi="Times New Roman" w:cs="Times New Roman"/>
          <w:szCs w:val="24"/>
        </w:rPr>
        <w:t>zakresie Krajowego Centrum Przetwarzania Danych wywołuje skutek w postaci nabycia przez ministra właściwego do spraw informatyzacji uprawnienia do reprezentowania Skarbu Państwa w sprawach gospodarowania nieruchomościami, które w chwili złożenia przez inwestora wniosku o wydanie tej decyzji stanowiły własność Skarbu Państwa</w:t>
      </w:r>
      <w:r w:rsidR="00C27374">
        <w:rPr>
          <w:rFonts w:ascii="Times New Roman" w:hAnsi="Times New Roman" w:cs="Times New Roman"/>
          <w:szCs w:val="24"/>
        </w:rPr>
        <w:t>,</w:t>
      </w:r>
      <w:r w:rsidRPr="00C52F09">
        <w:rPr>
          <w:rFonts w:ascii="Times New Roman" w:hAnsi="Times New Roman" w:cs="Times New Roman"/>
          <w:szCs w:val="24"/>
        </w:rPr>
        <w:t xml:space="preserve"> w tym do nieruchomości rolnych Skarbu Państwa, co do których Skarb Państwa powierzył Krajowemu Ośrodkowi wykonywanie prawa własności i innych praw rzeczowych. Zauważyć należy, że nieracjonalne byłoby przyjmowanie, że minister właściwy do spraw informatyzacji uzyskuje prawo do reprezentowania Skarbu Państwa w sprawach gospodarowania nieruchomościami, które przeszły na własność Skarbu Państwa na skutek wydania decyzji lokalizacyjnej, ale nie uzyskuje go w stosunku do nieruchomości, które już wcześniej stanowiły własność Skarbu Państwa. Wprowadzany przepis służyć ma ujednoliceniu praktyki stosowania prawa przez organy administracyjne w tym zakresie.</w:t>
      </w:r>
    </w:p>
    <w:p w14:paraId="36DA2067" w14:textId="4994FCDD" w:rsidR="00C52F09" w:rsidRPr="00C52F09" w:rsidRDefault="00C52F09" w:rsidP="00C52F09">
      <w:pPr>
        <w:pStyle w:val="ARTartustawynprozporzdzenia"/>
        <w:ind w:firstLine="0"/>
        <w:rPr>
          <w:rFonts w:ascii="Times New Roman" w:hAnsi="Times New Roman" w:cs="Times New Roman"/>
          <w:szCs w:val="24"/>
        </w:rPr>
      </w:pPr>
      <w:r w:rsidRPr="00C52F09">
        <w:rPr>
          <w:rFonts w:ascii="Times New Roman" w:hAnsi="Times New Roman" w:cs="Times New Roman"/>
          <w:szCs w:val="24"/>
        </w:rPr>
        <w:t>Konsekwencją zmiany wprowadzonej w art. 40 jest konieczność zmiany lub uzupełnienia odesłań do tego przepisu w następujących przepisach projektowanej ustawy</w:t>
      </w:r>
      <w:r w:rsidRPr="00C52F09">
        <w:rPr>
          <w:rFonts w:ascii="Times New Roman" w:hAnsi="Times New Roman" w:cs="Times New Roman"/>
          <w:szCs w:val="24"/>
          <w:lang w:val="en-US"/>
        </w:rPr>
        <w:t xml:space="preserve">: </w:t>
      </w:r>
      <w:r w:rsidR="00725FB5">
        <w:rPr>
          <w:rFonts w:ascii="Times New Roman" w:hAnsi="Times New Roman" w:cs="Times New Roman"/>
          <w:szCs w:val="24"/>
          <w:lang w:val="en-US"/>
        </w:rPr>
        <w:t>art. 13 ust. 1 pkt </w:t>
      </w:r>
      <w:r w:rsidRPr="00C52F09">
        <w:rPr>
          <w:rFonts w:ascii="Times New Roman" w:hAnsi="Times New Roman" w:cs="Times New Roman"/>
          <w:szCs w:val="24"/>
          <w:lang w:val="en-US"/>
        </w:rPr>
        <w:t>1 lit. b</w:t>
      </w:r>
      <w:r w:rsidRPr="00C52F09">
        <w:rPr>
          <w:rFonts w:ascii="Times New Roman" w:hAnsi="Times New Roman" w:cs="Times New Roman"/>
          <w:szCs w:val="24"/>
        </w:rPr>
        <w:t xml:space="preserve"> oraz pkt 5 i 6, </w:t>
      </w:r>
      <w:r w:rsidRPr="00C52F09">
        <w:rPr>
          <w:rFonts w:ascii="Times New Roman" w:hAnsi="Times New Roman" w:cs="Times New Roman"/>
          <w:szCs w:val="24"/>
          <w:lang w:val="en-US"/>
        </w:rPr>
        <w:t>art. 16 ust. 1 pkt 1 lit. b oraz</w:t>
      </w:r>
      <w:r w:rsidRPr="00C52F09">
        <w:rPr>
          <w:rFonts w:ascii="Times New Roman" w:hAnsi="Times New Roman" w:cs="Times New Roman"/>
          <w:szCs w:val="24"/>
        </w:rPr>
        <w:t xml:space="preserve"> pkt 7 i 8, art. 17 ust. 2, 7 i 9, art. 25 ust. 6 oraz w art. 46 ust. 2 i 5.</w:t>
      </w:r>
    </w:p>
    <w:p w14:paraId="6919EFA0" w14:textId="77777777" w:rsidR="00C52F09" w:rsidRPr="00C52F09" w:rsidRDefault="00C52F09" w:rsidP="00C52F09">
      <w:pPr>
        <w:spacing w:before="120"/>
        <w:jc w:val="both"/>
        <w:rPr>
          <w:rFonts w:cs="Times New Roman"/>
          <w:szCs w:val="24"/>
        </w:rPr>
      </w:pPr>
      <w:r w:rsidRPr="00C52F09">
        <w:rPr>
          <w:rFonts w:eastAsia="Times New Roman" w:cs="Times New Roman"/>
          <w:szCs w:val="24"/>
        </w:rPr>
        <w:t xml:space="preserve">Minister ten może też w trybie bezprzetargowym ustanowić użytkowanie wieczyste </w:t>
      </w:r>
      <w:r w:rsidRPr="00C52F09">
        <w:rPr>
          <w:rFonts w:eastAsia="Times New Roman" w:cs="Times New Roman"/>
          <w:szCs w:val="24"/>
        </w:rPr>
        <w:lastRenderedPageBreak/>
        <w:t xml:space="preserve">nieruchomości </w:t>
      </w:r>
      <w:r w:rsidRPr="00C52F09">
        <w:rPr>
          <w:rFonts w:cs="Times New Roman"/>
          <w:szCs w:val="24"/>
        </w:rPr>
        <w:t xml:space="preserve">na cele związane z inwestycją w zakresie Krajowego Centrum Przetwarzania Danych. </w:t>
      </w:r>
    </w:p>
    <w:p w14:paraId="230AAFA8" w14:textId="23824874"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art. 45 ust. 1 zaproponowano, aby decyzje określone w pr</w:t>
      </w:r>
      <w:r w:rsidR="00BB31C1">
        <w:rPr>
          <w:rFonts w:eastAsia="Times New Roman" w:cs="Times New Roman"/>
          <w:szCs w:val="24"/>
        </w:rPr>
        <w:t>ojekcie ustawy, w tym decyzje o </w:t>
      </w:r>
      <w:r w:rsidRPr="00C52F09">
        <w:rPr>
          <w:rFonts w:eastAsia="Times New Roman" w:cs="Times New Roman"/>
          <w:szCs w:val="24"/>
        </w:rPr>
        <w:t>ustaleniu lokalizacji inwestycji w zakresie Krajowego Centrum Przetwarzania Danych, decyzje o pozwoleniu na budowę takich inwestycji, decyzje o środowiskowych uwarunkowaniach realizacji inwestycji w zakresie Krajowego Centrum Przetwarzania Danych, decyzje o pozwoleniu na użytkowanie takich inwestycji, a także decyzje o zezwoleniu na wejście na teren nieruchomości, określone w projekcie ustawy podlegały natychmiastowej wykonalności z mocy prawa. Z uwagi na potrzebę znaczącego przyspieszenia postępowań poprzedzających realizację inwestycji za celowe uznano, aby natychmiastowa wykonalność objęła wszystkie te decyzje. Skutkiem natychmiastowej wykonalności decyzji będzie to, że decyzja z chwilą jej doręczenia lub ogłoszenia o jej wydaniu staje się od razu wykonalna. Z tą chwilą stanowić też będą tytuł egzekucyjny, a wniesieni</w:t>
      </w:r>
      <w:r w:rsidR="00BB31C1">
        <w:rPr>
          <w:rFonts w:eastAsia="Times New Roman" w:cs="Times New Roman"/>
          <w:szCs w:val="24"/>
        </w:rPr>
        <w:t>e odwołania od takiej decyzji w </w:t>
      </w:r>
      <w:r w:rsidRPr="00C52F09">
        <w:rPr>
          <w:rFonts w:eastAsia="Times New Roman" w:cs="Times New Roman"/>
          <w:szCs w:val="24"/>
        </w:rPr>
        <w:t>terminie przez jakikolwiek podmiot nie wstrzyma wykonywania decyzji przez inwestora, co inwestorowi umożliwi przystąpienie do kolejnego etapu realizacji przedsięwzięcia.</w:t>
      </w:r>
    </w:p>
    <w:p w14:paraId="6C019466" w14:textId="640CCD8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Wprowadzono kwalifikowane wymagania dotyczące odwołań od decyzji, obejmujące konieczność przedstawienia zarzutów przeciw decyzji, określania istoty i zakresu żądania będącego przedmiotem odwołania oraz wskazywania dowodów uzasadniających to żądanie (art. 45 ust. 3 projektu ustawy). Ponadto w art. 45 ust. 5 zaproponowano, że w przypadku wniesienia odwołania od decyzji, organ administracji rozpatrz</w:t>
      </w:r>
      <w:r w:rsidR="00BB31C1">
        <w:rPr>
          <w:rFonts w:eastAsia="Times New Roman" w:cs="Times New Roman"/>
          <w:szCs w:val="24"/>
        </w:rPr>
        <w:t>y takie odwołanie w terminie 14 </w:t>
      </w:r>
      <w:r w:rsidRPr="00C52F09">
        <w:rPr>
          <w:rFonts w:eastAsia="Times New Roman" w:cs="Times New Roman"/>
          <w:szCs w:val="24"/>
        </w:rPr>
        <w:t>dni, za wyjątkiem decyzji o ustaleniu lokalizacji inwestycji w zakresie Krajowego Centrum Przetwarzania Danych, decyzji o pozwoleniu na użytkowanie inwestycji w zakresie Krajowego Centrum Przetwarzania Danych, decyzji o środowiskowych uwarunkowaniach realizacji inwestycji w zakresie Krajowego Centrum Przetwarzania Danych, dla których określono termin na rozpatrzenie odwołania wynoszący 60 dni.</w:t>
      </w:r>
    </w:p>
    <w:p w14:paraId="13A6FB21" w14:textId="58223EBD"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Tryb odwoławczy od decyzji Prezesa Urzędu Regulacji Energetyki regulowany jest przepisami </w:t>
      </w:r>
      <w:r w:rsidR="00992020">
        <w:rPr>
          <w:rFonts w:eastAsia="Times New Roman" w:cs="Times New Roman"/>
          <w:szCs w:val="24"/>
        </w:rPr>
        <w:t>K</w:t>
      </w:r>
      <w:r w:rsidRPr="00C52F09">
        <w:rPr>
          <w:rFonts w:eastAsia="Times New Roman" w:cs="Times New Roman"/>
          <w:szCs w:val="24"/>
        </w:rPr>
        <w:t>odeksu postępowania cywilnego.</w:t>
      </w:r>
    </w:p>
    <w:p w14:paraId="07FCCE06"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lastRenderedPageBreak/>
        <w:t>Podobnie też skrócono termin rozpoznania skarg przez sąd administracyjny (art. 47 ust. 1 projektu ustawy) oraz termin rozpoznania skargi kasacyjnej (art. 47 ust. 5 projektu ustawy).</w:t>
      </w:r>
    </w:p>
    <w:p w14:paraId="08787607" w14:textId="20C5E4E5"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Art. 47–49 projektu ustawy ma na celu wzmocnienie stabilności decyzji uzyskanych w toku postępowań w sprawie inwestycji w zakresie Krajowego Centrum Przetwarzania Danych. Niejednokrotnie zdarza się, że na skutek złożonych środków zaskarżenia, w tym środków nadzwyczajnych (takich jak np. wniosek o stwierdzenie nieważności decyzji lub o wznowienie postępowania zakończonego decyzją ostateczną) po rozpoczęciu inwestycji, a nawet i po ich zakończeniu, decyzje te zostają wyeliminowane z obrotu prawnego na skutek decyzji organów lub orzeczeń sądów. Prowadzi to do istotnych komplikacji po stronie inwestora, który niejednokrotnie nie może przystąpić do kolejnej fazy przygotowania inwestycji (np. złożenia wniosku o pozwolenie na budowę w przypadku uchylenia decyzji lokalizacyjnej) albo też konieczne staje się wszczęcie tzw. postępowania legalizacyjnego (m.in. art. 50–</w:t>
      </w:r>
      <w:r w:rsidR="00BB31C1">
        <w:rPr>
          <w:rFonts w:eastAsia="Times New Roman" w:cs="Times New Roman"/>
          <w:szCs w:val="24"/>
        </w:rPr>
        <w:t>53a ustawy z </w:t>
      </w:r>
      <w:r w:rsidRPr="00C52F09">
        <w:rPr>
          <w:rFonts w:eastAsia="Times New Roman" w:cs="Times New Roman"/>
          <w:szCs w:val="24"/>
        </w:rPr>
        <w:t>dnia 7 lipca 1994 r. – Prawo budowlane</w:t>
      </w:r>
      <w:r w:rsidR="009F050D">
        <w:rPr>
          <w:rFonts w:eastAsia="Times New Roman" w:cs="Times New Roman"/>
          <w:szCs w:val="24"/>
        </w:rPr>
        <w:t xml:space="preserve"> </w:t>
      </w:r>
      <w:r w:rsidR="009F050D" w:rsidRPr="005A1DF6">
        <w:t>(Dz. U. z 2021 r. poz. 2351, z póź</w:t>
      </w:r>
      <w:r w:rsidR="009F050D">
        <w:t>n</w:t>
      </w:r>
      <w:r w:rsidR="009F050D" w:rsidRPr="005A1DF6">
        <w:t>. zm.</w:t>
      </w:r>
      <w:r w:rsidRPr="00C52F09">
        <w:rPr>
          <w:rFonts w:eastAsia="Times New Roman" w:cs="Times New Roman"/>
          <w:szCs w:val="24"/>
        </w:rPr>
        <w:t xml:space="preserve">) w przypadku ostatecznego wyeliminowania z obrotu prawnego pozwolenia na budowę. </w:t>
      </w:r>
    </w:p>
    <w:p w14:paraId="1054A6B7" w14:textId="5536C84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Zaznaczyć przy tym należy, że szczególny tryb wprowadzony w art. 47–49 nie eliminuj</w:t>
      </w:r>
      <w:r w:rsidR="00C93F98">
        <w:rPr>
          <w:rFonts w:eastAsia="Times New Roman" w:cs="Times New Roman"/>
          <w:szCs w:val="24"/>
        </w:rPr>
        <w:t>e</w:t>
      </w:r>
      <w:r w:rsidRPr="00C52F09">
        <w:rPr>
          <w:rFonts w:eastAsia="Times New Roman" w:cs="Times New Roman"/>
          <w:szCs w:val="24"/>
        </w:rPr>
        <w:t xml:space="preserve"> prawa strony do dwuinstancyjnego postępowania administracyjnego, a jedynie ograniczaj</w:t>
      </w:r>
      <w:r w:rsidR="00C93F98">
        <w:rPr>
          <w:rFonts w:eastAsia="Times New Roman" w:cs="Times New Roman"/>
          <w:szCs w:val="24"/>
        </w:rPr>
        <w:t>a</w:t>
      </w:r>
      <w:r w:rsidRPr="00C52F09">
        <w:rPr>
          <w:rFonts w:eastAsia="Times New Roman" w:cs="Times New Roman"/>
          <w:szCs w:val="24"/>
        </w:rPr>
        <w:t xml:space="preserve"> zakres możliwych orzeczeń organu wyższej instancji, przewidując jednocześnie rozwiązanie alternatywne dla stwierdzenia nieważności bądź wznowienia postępowania i możliwość uzyskan</w:t>
      </w:r>
      <w:r w:rsidR="00992020">
        <w:rPr>
          <w:rFonts w:eastAsia="Times New Roman" w:cs="Times New Roman"/>
          <w:szCs w:val="24"/>
        </w:rPr>
        <w:t>i</w:t>
      </w:r>
      <w:r w:rsidRPr="00C52F09">
        <w:rPr>
          <w:rFonts w:eastAsia="Times New Roman" w:cs="Times New Roman"/>
          <w:szCs w:val="24"/>
        </w:rPr>
        <w:t>a stosownego odszkodowania. Podkreślić należy, że wprowadzane zmiany, poprzez zagwarantowanie utrzymania instytucji skargi oraz skargi kasacyjnej, a także zagwarantowanie odpowiedniego czasu na ich rozpoznanie, nie mają negatywnego wpływu na prawo stron do rozpatrzenia ich skargi przez właściwy sąd, a także merytorycznego rozpatrzenia sprawy.</w:t>
      </w:r>
    </w:p>
    <w:p w14:paraId="1A8C687D"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Projekt ustawy (art. 41) zmienia także zasady wydawania warunków przyłączenia do sieci inwestycji w zakresie Krajowego Centrum Przetwarzania Danych.</w:t>
      </w:r>
    </w:p>
    <w:p w14:paraId="17914B1F" w14:textId="113FCD3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Dla inwestycji w zakresie Krajowego Centrum Przetwarzania Danych warunki przy</w:t>
      </w:r>
      <w:r w:rsidRPr="00C52F09">
        <w:rPr>
          <w:rFonts w:eastAsia="Times New Roman" w:cs="Times New Roman"/>
          <w:szCs w:val="24"/>
        </w:rPr>
        <w:lastRenderedPageBreak/>
        <w:t xml:space="preserve">łączenia do sieci powinny zostać wydane w terminie do 30 dni od dnia złożenia wniosku. Jeżeli w tym czasie nie zostaną wydane warunki przyłączenia do sieci, zastosowanie mają sankcje przewidziane prawem energetycznym. Ponadto zgodnie z art. 41 ust. 4 projektu ustawy </w:t>
      </w:r>
      <w:r w:rsidR="00C74996">
        <w:rPr>
          <w:rFonts w:eastAsia="Times New Roman" w:cs="Times New Roman"/>
          <w:szCs w:val="24"/>
        </w:rPr>
        <w:t>p</w:t>
      </w:r>
      <w:r w:rsidRPr="00C52F09">
        <w:rPr>
          <w:rFonts w:eastAsia="Times New Roman" w:cs="Times New Roman"/>
          <w:szCs w:val="24"/>
        </w:rPr>
        <w:t>rzedsiębiorstwo energetyczne zajmujące się przesyłaniem lub dystrybucją paliw gazowych lub energii nie może odmówić wydania warunków przyłączeni</w:t>
      </w:r>
      <w:r w:rsidR="00BB31C1">
        <w:rPr>
          <w:rFonts w:eastAsia="Times New Roman" w:cs="Times New Roman"/>
          <w:szCs w:val="24"/>
        </w:rPr>
        <w:t>a do sieci lub zawarcia umowy o </w:t>
      </w:r>
      <w:r w:rsidRPr="00C52F09">
        <w:rPr>
          <w:rFonts w:eastAsia="Times New Roman" w:cs="Times New Roman"/>
          <w:szCs w:val="24"/>
        </w:rPr>
        <w:t xml:space="preserve">przyłączenie do sieci inwestycji w zakresie Krajowego Centrum Przetwarzania Danych lub połączonych z nimi instalacji odnawialnego źródła energii, w przypadku braku istnienia ekonomicznych warunków przyłączenia do sieci i dostarczania tych paliw lub energii. </w:t>
      </w:r>
    </w:p>
    <w:p w14:paraId="3BFB9138" w14:textId="57B0F3E0"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W przypadku braku istnienia ekonomicznych warunków przyłączenia do sieci, przedsiębiorstwo energetyczne ustala z inwestorem opłatę za </w:t>
      </w:r>
      <w:r w:rsidR="00BB31C1">
        <w:rPr>
          <w:rFonts w:eastAsia="Times New Roman" w:cs="Times New Roman"/>
          <w:szCs w:val="24"/>
        </w:rPr>
        <w:t>przyłączenie do sieci zgodnie z </w:t>
      </w:r>
      <w:r w:rsidRPr="00C52F09">
        <w:rPr>
          <w:rFonts w:eastAsia="Times New Roman" w:cs="Times New Roman"/>
          <w:szCs w:val="24"/>
        </w:rPr>
        <w:t>art. 7 ust. 9 ustawy z dnia 10 kwietnia 1997 r. – Prawo energetyczne</w:t>
      </w:r>
      <w:r w:rsidR="009F050D">
        <w:rPr>
          <w:rFonts w:eastAsia="Times New Roman" w:cs="Times New Roman"/>
          <w:szCs w:val="24"/>
        </w:rPr>
        <w:t xml:space="preserve"> </w:t>
      </w:r>
      <w:r w:rsidR="009F050D" w:rsidRPr="005A1DF6">
        <w:t>(Dz. U. z</w:t>
      </w:r>
      <w:r w:rsidR="00BB31C1">
        <w:t> </w:t>
      </w:r>
      <w:r w:rsidR="009F050D" w:rsidRPr="005A1DF6">
        <w:t xml:space="preserve">2022 r. poz. 1385, </w:t>
      </w:r>
      <w:r w:rsidR="009F050D">
        <w:t>z późn. zm.)</w:t>
      </w:r>
      <w:r w:rsidRPr="00C52F09">
        <w:rPr>
          <w:rFonts w:eastAsia="Times New Roman" w:cs="Times New Roman"/>
          <w:szCs w:val="24"/>
        </w:rPr>
        <w:t>.</w:t>
      </w:r>
    </w:p>
    <w:p w14:paraId="3CFEEA95" w14:textId="3A88AEFE"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Jeżeli opłata nie zostanie ustalona w terminie 45 dni od dnia złożenia wniosku o</w:t>
      </w:r>
      <w:r w:rsidR="0003018A">
        <w:rPr>
          <w:rFonts w:eastAsia="Times New Roman" w:cs="Times New Roman"/>
          <w:szCs w:val="24"/>
        </w:rPr>
        <w:t xml:space="preserve"> </w:t>
      </w:r>
      <w:r w:rsidRPr="00C52F09">
        <w:rPr>
          <w:rFonts w:eastAsia="Times New Roman" w:cs="Times New Roman"/>
          <w:szCs w:val="24"/>
        </w:rPr>
        <w:t>wydanie warunków przyłączenia, wówczas inwestor może zwrócić się do Prezesa Urzędu Regulacji Energetyki o narzucenie w drodze decyzji warunków przyłączenia inwestycji w zakresie Krajowego Centrum Przetwarzania Danych i określenie opłaty za jej przyłączenie. Jednocześnie wnioskodawca</w:t>
      </w:r>
      <w:r w:rsidR="00A14B73">
        <w:rPr>
          <w:rFonts w:eastAsia="Times New Roman" w:cs="Times New Roman"/>
          <w:szCs w:val="24"/>
        </w:rPr>
        <w:t>,</w:t>
      </w:r>
      <w:r w:rsidRPr="00C52F09">
        <w:rPr>
          <w:rFonts w:eastAsia="Times New Roman" w:cs="Times New Roman"/>
          <w:szCs w:val="24"/>
        </w:rPr>
        <w:t xml:space="preserve"> składając wniosek o wydanie warunków przyłączenia do sieci</w:t>
      </w:r>
      <w:r w:rsidR="00A14B73">
        <w:rPr>
          <w:rFonts w:eastAsia="Times New Roman" w:cs="Times New Roman"/>
          <w:szCs w:val="24"/>
        </w:rPr>
        <w:t>,</w:t>
      </w:r>
      <w:r w:rsidRPr="00C52F09">
        <w:rPr>
          <w:rFonts w:eastAsia="Times New Roman" w:cs="Times New Roman"/>
          <w:szCs w:val="24"/>
        </w:rPr>
        <w:t xml:space="preserve"> nie musi legitymować się posiadaniem tytułu prawnego do nieruchomości. Sytuacja ta może mieć miejsce, gdy przyłączany obiekt nie będzie objęty decyzją o ustaleniu lokalizacji inwestycji</w:t>
      </w:r>
      <w:r w:rsidR="00BB31C1">
        <w:rPr>
          <w:rFonts w:eastAsia="Times New Roman" w:cs="Times New Roman"/>
          <w:szCs w:val="24"/>
        </w:rPr>
        <w:t xml:space="preserve"> w </w:t>
      </w:r>
      <w:r w:rsidRPr="00C52F09">
        <w:rPr>
          <w:rFonts w:eastAsia="Times New Roman" w:cs="Times New Roman"/>
          <w:szCs w:val="24"/>
        </w:rPr>
        <w:t>zakresie Krajowego Centrum Przetwarzania Danych.</w:t>
      </w:r>
    </w:p>
    <w:p w14:paraId="1A7A3CC9" w14:textId="3AF04BC2" w:rsidR="00C52F09" w:rsidRPr="00C52F09" w:rsidRDefault="00C52F09" w:rsidP="00C52F09">
      <w:pPr>
        <w:widowControl/>
        <w:suppressAutoHyphens/>
        <w:spacing w:before="120"/>
        <w:jc w:val="both"/>
        <w:rPr>
          <w:rFonts w:eastAsia="Times New Roman" w:cs="Times New Roman"/>
          <w:szCs w:val="24"/>
        </w:rPr>
      </w:pPr>
      <w:r w:rsidRPr="00C52F09">
        <w:rPr>
          <w:rFonts w:eastAsia="Times New Roman" w:cs="Times New Roman"/>
          <w:szCs w:val="24"/>
        </w:rPr>
        <w:t>Zgodnie z projektowanym art. 42 ust. 1 inwestor we wniosku o wydanie decyzji o ustaleniu lokalizacji inwestycji w zakresie Krajowego Centrum Przetwarzania Danych może określić granice obszarów, na których w ramach ograniczenia sposobu korzystania z nieruchomości zgodnie z art. 32 ust. 1 ustanowiony ma zostać zakaz wznoszenia wskazanych w art. 42 ust. 1 obiektów. Projektowany art. 42 ust. 1 zawiera katalog obiektów, które ze względów bezpieczeństwa</w:t>
      </w:r>
      <w:r w:rsidR="005C3BB3">
        <w:rPr>
          <w:rFonts w:eastAsia="Times New Roman" w:cs="Times New Roman"/>
          <w:szCs w:val="24"/>
        </w:rPr>
        <w:t>,</w:t>
      </w:r>
      <w:r w:rsidRPr="00C52F09">
        <w:rPr>
          <w:rFonts w:eastAsia="Times New Roman" w:cs="Times New Roman"/>
          <w:szCs w:val="24"/>
        </w:rPr>
        <w:t xml:space="preserve"> co do zasady</w:t>
      </w:r>
      <w:r w:rsidR="005C3BB3">
        <w:rPr>
          <w:rFonts w:eastAsia="Times New Roman" w:cs="Times New Roman"/>
          <w:szCs w:val="24"/>
        </w:rPr>
        <w:t>,</w:t>
      </w:r>
      <w:r w:rsidRPr="00C52F09">
        <w:rPr>
          <w:rFonts w:eastAsia="Times New Roman" w:cs="Times New Roman"/>
          <w:szCs w:val="24"/>
        </w:rPr>
        <w:t xml:space="preserve"> nie powinny być lokalizowane w otoczeniu inwestycji w zakresie Krajowego Centrum Przetwarzania Danych obejmujących ośrodek obliczeniowy, przy czym ostatecznie inwestor na etapie składania wniosku podejmuje decyzje w tym zakresie, określając </w:t>
      </w:r>
      <w:r w:rsidRPr="00C52F09">
        <w:rPr>
          <w:rFonts w:eastAsia="Times New Roman" w:cs="Times New Roman"/>
          <w:szCs w:val="24"/>
        </w:rPr>
        <w:lastRenderedPageBreak/>
        <w:t>rodzaj obiektów spośród katalogu zawartego w art. 42 ust. 1 oraz minimalne odległości od ośrodka obliczeniowego. Wskazać przy tym należy, że ograniczenie to nie dotyczy obiektów już istniejących. Projektowana ustawa określa maksymalne odległości</w:t>
      </w:r>
      <w:r w:rsidR="005C3BB3">
        <w:rPr>
          <w:rFonts w:eastAsia="Times New Roman" w:cs="Times New Roman"/>
          <w:szCs w:val="24"/>
        </w:rPr>
        <w:t>,</w:t>
      </w:r>
      <w:r w:rsidRPr="00C52F09">
        <w:rPr>
          <w:rFonts w:eastAsia="Times New Roman" w:cs="Times New Roman"/>
          <w:szCs w:val="24"/>
        </w:rPr>
        <w:t xml:space="preserve"> do jakich inwestor może żądać ograniczeń. </w:t>
      </w:r>
    </w:p>
    <w:p w14:paraId="5E7A98A6" w14:textId="56FDC1BB"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Wymagania dotyczące minimalnych odległości określonych w art. 42 ust. 1 projektu ustawy nie dotyczą sieci światłowodowych łączących ośrodki obliczeniowe, linii energetycznych oraz innych obiektów liniowych związanych z inwestycjami w zakresie Krajowego Centrum Przetwarzania Danych. W przepisie art. 42 projektu ustawy przewidziano także kompetencje dla ministra do spraw informatyzacji do wyrażania zgody na zmniejszenie odległości Krajowego Centrum Przetwarzania Danych od innych obiektów lub obszarów, dla których odrębne przepisy szczególne prz</w:t>
      </w:r>
      <w:r w:rsidR="00C74996">
        <w:rPr>
          <w:rFonts w:eastAsia="Times New Roman" w:cs="Times New Roman"/>
          <w:szCs w:val="24"/>
        </w:rPr>
        <w:t>e</w:t>
      </w:r>
      <w:r w:rsidRPr="00C52F09">
        <w:rPr>
          <w:rFonts w:eastAsia="Times New Roman" w:cs="Times New Roman"/>
          <w:szCs w:val="24"/>
        </w:rPr>
        <w:t>widują minimalne odległości.</w:t>
      </w:r>
    </w:p>
    <w:p w14:paraId="203F09E6" w14:textId="5FFE18F2" w:rsidR="00C52F09" w:rsidRPr="00C52F09" w:rsidRDefault="00C52F09" w:rsidP="00C52F09">
      <w:pPr>
        <w:spacing w:before="120"/>
        <w:jc w:val="both"/>
        <w:rPr>
          <w:rFonts w:cs="Times New Roman"/>
          <w:szCs w:val="24"/>
        </w:rPr>
      </w:pPr>
      <w:r w:rsidRPr="00C52F09">
        <w:rPr>
          <w:rFonts w:eastAsia="Times New Roman" w:cs="Times New Roman"/>
          <w:szCs w:val="24"/>
        </w:rPr>
        <w:t>Art. 50 projektu ustawy zawiera katalog inwestycji towarzyszących inwestycjom w zakresie Krajowego Centrum Przetwarzania Danych, które mogą być realizowane przez podmioty inne niż inwestor inwestycji w zakresie Krajowego Centrum Przetwarzania Danych. Inwestycje te korzystają także z ułatwień wynikających z przepisów projektu ustawy, w zakresie ich lokalizacji i budowy oraz udzielania zamówień. Rozwiązanie to ma na celu usprawnienie realizacji także tych inwestycji, bowiem są one konieczne dla właściwego funkcjonowania Krajowego Centrum Przetwarzania Danych.</w:t>
      </w:r>
      <w:r w:rsidRPr="00C52F09">
        <w:rPr>
          <w:rFonts w:cs="Times New Roman"/>
          <w:szCs w:val="24"/>
        </w:rPr>
        <w:t xml:space="preserve"> Inwestycją towarzyszącą może być także budowa drogi publicznej lub drogi wewnętrznej. Budowa lub przebudowa drogi publicznej w związku z inwestycją w zakresie Krajowego Centrum Przetwarzania Danych, stosownie do wyboru reż</w:t>
      </w:r>
      <w:r w:rsidR="00154C94">
        <w:rPr>
          <w:rFonts w:cs="Times New Roman"/>
          <w:szCs w:val="24"/>
        </w:rPr>
        <w:t>i</w:t>
      </w:r>
      <w:r w:rsidRPr="00C52F09">
        <w:rPr>
          <w:rFonts w:cs="Times New Roman"/>
          <w:szCs w:val="24"/>
        </w:rPr>
        <w:t>mu prawnego, przez inwestora (podmiotu uprawnionego do stosowania przepisów projektowanej ustawy), nastąpi w oparciu o art. 16 ustawy o drogach publicznych (w przypadku inwestycji drogowej spowodowanej inwestycją niedrogową) lub w oparciu o przepisy projektowanej ustawy.</w:t>
      </w:r>
    </w:p>
    <w:p w14:paraId="2D6B7E1E" w14:textId="77777777"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 xml:space="preserve">W art. 44 projektu ustawy wskazano, że w sprawach nieuregulowanych w niniejszej ustawie stosuje się odpowiednio przepisy ustawy z dnia 21 sierpnia 1997 r. o gospodarce nieruchomościami, przy czym ilekroć w przepisach tej ustawy jest mowa o decyzji o ustaleniu lokalizacji inwestycji celu publicznego, rozumie się przez to także </w:t>
      </w:r>
      <w:r w:rsidRPr="00C52F09">
        <w:rPr>
          <w:rFonts w:eastAsia="Times New Roman" w:cs="Times New Roman"/>
          <w:szCs w:val="24"/>
        </w:rPr>
        <w:lastRenderedPageBreak/>
        <w:t>decyzję o ustaleniu lokalizacji inwestycji w zakresie Krajowego Centrum Przetwarzania Danych. Przepisu art. 9 ustawy z dnia 21 sierpnia 1997 r. o gospodarce nieruchomościami nie stosuje się.</w:t>
      </w:r>
    </w:p>
    <w:p w14:paraId="0FD21C45" w14:textId="2503B93A"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W art. 52 projektu ustawy dokonano niezbędnych zmi</w:t>
      </w:r>
      <w:r w:rsidR="00BB31C1">
        <w:rPr>
          <w:rFonts w:eastAsia="Times New Roman" w:cs="Times New Roman"/>
          <w:szCs w:val="24"/>
        </w:rPr>
        <w:t>an w przepisach ustawy z dnia 3 </w:t>
      </w:r>
      <w:r w:rsidRPr="00C52F09">
        <w:rPr>
          <w:rFonts w:eastAsia="Times New Roman" w:cs="Times New Roman"/>
          <w:szCs w:val="24"/>
        </w:rPr>
        <w:t xml:space="preserve">października 2008 r. o udostępnianiu informacji o środowisku i jego ochronie, udziale społeczeństwa w ochronie środowiska oraz o ocenach oddziaływania na środowisko. Zmiany te są wynikiem m.in. wprowadzenia do systemu prawnego nowego rodzaju decyzji </w:t>
      </w:r>
      <w:r w:rsidR="0003018A">
        <w:rPr>
          <w:rFonts w:eastAsia="Times New Roman" w:cs="Times New Roman"/>
          <w:szCs w:val="24"/>
        </w:rPr>
        <w:t>–</w:t>
      </w:r>
      <w:r w:rsidR="00BB31C1">
        <w:rPr>
          <w:rFonts w:eastAsia="Times New Roman" w:cs="Times New Roman"/>
          <w:szCs w:val="24"/>
        </w:rPr>
        <w:t xml:space="preserve"> decyzji o </w:t>
      </w:r>
      <w:r w:rsidRPr="00C52F09">
        <w:rPr>
          <w:rFonts w:eastAsia="Times New Roman" w:cs="Times New Roman"/>
          <w:szCs w:val="24"/>
        </w:rPr>
        <w:t>ustaleniu lokalizacji inwestycji w zakresie Krajowego Centrum Przetwarzania Danych. Zgodnie z założeniem złożenie wniosku o wydanie decyzji o ustaleniu lokalizacji inwestycji w zakresie Krajowego Centrum Przetwarzania Danych poprzedzone będzie koniecznością uzyskania decyzji o środowiskowych uwarunkowaniach.</w:t>
      </w:r>
    </w:p>
    <w:p w14:paraId="0A932E9A" w14:textId="1AE5A7B6" w:rsidR="00C52F09" w:rsidRPr="00C52F09" w:rsidRDefault="00C52F09" w:rsidP="00C52F09">
      <w:pPr>
        <w:spacing w:before="120"/>
        <w:jc w:val="both"/>
        <w:rPr>
          <w:rFonts w:eastAsia="Times New Roman" w:cs="Times New Roman"/>
          <w:b/>
          <w:szCs w:val="24"/>
        </w:rPr>
      </w:pPr>
      <w:r w:rsidRPr="00C52F09">
        <w:rPr>
          <w:rFonts w:eastAsia="Times New Roman" w:cs="Times New Roman"/>
          <w:szCs w:val="24"/>
        </w:rPr>
        <w:t>Zgodnie z art. 53 projektu ustawy inwestor inwestycji w zakresie Krajowego Centrum Przetwarzania Danych może dokonać wyboru trybu</w:t>
      </w:r>
      <w:r w:rsidR="00B22065">
        <w:rPr>
          <w:rFonts w:eastAsia="Times New Roman" w:cs="Times New Roman"/>
          <w:szCs w:val="24"/>
        </w:rPr>
        <w:t>,</w:t>
      </w:r>
      <w:r w:rsidRPr="00C52F09">
        <w:rPr>
          <w:rFonts w:eastAsia="Times New Roman" w:cs="Times New Roman"/>
          <w:szCs w:val="24"/>
        </w:rPr>
        <w:t xml:space="preserve"> w jakim będzie realizował zamówienia związane z inwestycjami w zakresie Krajowego Centrum Przetwarzania Danych, które zostały wszczęte przed dniem wejścia w życie ustawy.</w:t>
      </w:r>
    </w:p>
    <w:p w14:paraId="4B6F91E0" w14:textId="348D641F" w:rsidR="00C52F09" w:rsidRPr="00C52F09" w:rsidRDefault="00C52F09" w:rsidP="00C52F09">
      <w:pPr>
        <w:spacing w:before="120"/>
        <w:jc w:val="both"/>
        <w:rPr>
          <w:rFonts w:eastAsia="Times New Roman" w:cs="Times New Roman"/>
          <w:szCs w:val="24"/>
        </w:rPr>
      </w:pPr>
      <w:r w:rsidRPr="00C52F09">
        <w:rPr>
          <w:rFonts w:eastAsia="Times New Roman" w:cs="Times New Roman"/>
          <w:szCs w:val="24"/>
        </w:rPr>
        <w:t>Do postępowań zakupowych w sprawach dotyczących inwestycji w zakresie Krajowego Centrum Przetwarzania Danych, wszczętych i niezakończonych do dnia wejścia w życie ustawy, stosuje się przepisy dotychczasowe lub na wniosek inwestora skierowany do wykonawców przepisy ustawy. Jeżeli wykonawcy, którzy biorą udział w</w:t>
      </w:r>
      <w:r w:rsidR="0003018A">
        <w:rPr>
          <w:rFonts w:eastAsia="Times New Roman" w:cs="Times New Roman"/>
          <w:szCs w:val="24"/>
        </w:rPr>
        <w:t xml:space="preserve"> </w:t>
      </w:r>
      <w:r w:rsidRPr="00C52F09">
        <w:rPr>
          <w:rFonts w:eastAsia="Times New Roman" w:cs="Times New Roman"/>
          <w:szCs w:val="24"/>
        </w:rPr>
        <w:t>postępowaniu</w:t>
      </w:r>
      <w:r w:rsidR="00B22065">
        <w:rPr>
          <w:rFonts w:eastAsia="Times New Roman" w:cs="Times New Roman"/>
          <w:szCs w:val="24"/>
        </w:rPr>
        <w:t>,</w:t>
      </w:r>
      <w:r w:rsidRPr="00C52F09">
        <w:rPr>
          <w:rFonts w:eastAsia="Times New Roman" w:cs="Times New Roman"/>
          <w:szCs w:val="24"/>
        </w:rPr>
        <w:t xml:space="preserve"> na podstawie dotychczasowych uregulowań prawnych nie wyrażą zgody na zmianę trybu przez inwestora, wówczas mogą żądać zwrotu wadium i</w:t>
      </w:r>
      <w:r w:rsidR="0003018A">
        <w:rPr>
          <w:rFonts w:eastAsia="Times New Roman" w:cs="Times New Roman"/>
          <w:szCs w:val="24"/>
        </w:rPr>
        <w:t xml:space="preserve"> </w:t>
      </w:r>
      <w:r w:rsidRPr="00C52F09">
        <w:rPr>
          <w:rFonts w:eastAsia="Times New Roman" w:cs="Times New Roman"/>
          <w:szCs w:val="24"/>
        </w:rPr>
        <w:t>odstąpić od dalszego udziału w takim postępowaniu.</w:t>
      </w:r>
    </w:p>
    <w:p w14:paraId="123C269A" w14:textId="2BE6A522" w:rsidR="00C52F09" w:rsidRPr="00C52F09" w:rsidRDefault="00C52F09" w:rsidP="00C52F09">
      <w:pPr>
        <w:widowControl/>
        <w:suppressAutoHyphens/>
        <w:spacing w:before="120"/>
        <w:jc w:val="both"/>
        <w:rPr>
          <w:rFonts w:eastAsia="Times New Roman" w:cs="Times New Roman"/>
          <w:szCs w:val="24"/>
        </w:rPr>
      </w:pPr>
      <w:r w:rsidRPr="00C52F09">
        <w:rPr>
          <w:rFonts w:eastAsia="Times New Roman" w:cs="Times New Roman"/>
          <w:szCs w:val="24"/>
        </w:rPr>
        <w:t xml:space="preserve">Projektowany art. 54 umożliwia inwestorowi dokonanie wyboru trybu w odniesieniu do postępowań administracyjnych </w:t>
      </w:r>
      <w:r w:rsidR="00FE0D36">
        <w:rPr>
          <w:rFonts w:eastAsia="Times New Roman" w:cs="Times New Roman"/>
          <w:szCs w:val="24"/>
        </w:rPr>
        <w:t xml:space="preserve">– </w:t>
      </w:r>
      <w:r w:rsidRPr="00C52F09">
        <w:rPr>
          <w:rFonts w:eastAsia="Times New Roman" w:cs="Times New Roman"/>
          <w:szCs w:val="24"/>
        </w:rPr>
        <w:t>w zakresie inwestycji</w:t>
      </w:r>
      <w:r w:rsidR="00A22D65">
        <w:rPr>
          <w:rFonts w:eastAsia="Times New Roman" w:cs="Times New Roman"/>
          <w:szCs w:val="24"/>
        </w:rPr>
        <w:t>,</w:t>
      </w:r>
      <w:r w:rsidRPr="00C52F09">
        <w:rPr>
          <w:rFonts w:eastAsia="Times New Roman" w:cs="Times New Roman"/>
          <w:szCs w:val="24"/>
        </w:rPr>
        <w:t xml:space="preserve"> które po wejściu w życie niniejszej ustawy będą mogły zostać zakwalifikowane jako inwestycje w zakresie Krajowego Centrum Przetwarzania Danych (zgodnie z definicją tych inwestycji </w:t>
      </w:r>
      <w:r w:rsidR="00BB31C1">
        <w:rPr>
          <w:rFonts w:eastAsia="Times New Roman" w:cs="Times New Roman"/>
          <w:szCs w:val="24"/>
        </w:rPr>
        <w:t>i inwestora, które są zawarte w </w:t>
      </w:r>
      <w:r w:rsidRPr="00C52F09">
        <w:rPr>
          <w:rFonts w:eastAsia="Times New Roman" w:cs="Times New Roman"/>
          <w:szCs w:val="24"/>
        </w:rPr>
        <w:t>projektowanej ustawie), które jednocześnie zostały wszczęte i niezakończone do dnia wejścia w życie niniejszej ustawy</w:t>
      </w:r>
      <w:r w:rsidR="00F64CC6">
        <w:rPr>
          <w:rFonts w:eastAsia="Times New Roman" w:cs="Times New Roman"/>
          <w:szCs w:val="24"/>
        </w:rPr>
        <w:t>,</w:t>
      </w:r>
      <w:r w:rsidRPr="00C52F09">
        <w:rPr>
          <w:rFonts w:eastAsia="Times New Roman" w:cs="Times New Roman"/>
          <w:szCs w:val="24"/>
        </w:rPr>
        <w:t xml:space="preserve"> stosuje się przepisy dotychczasowe</w:t>
      </w:r>
      <w:r w:rsidR="00FE0D36">
        <w:rPr>
          <w:rFonts w:eastAsia="Times New Roman" w:cs="Times New Roman"/>
          <w:szCs w:val="24"/>
        </w:rPr>
        <w:t>,</w:t>
      </w:r>
      <w:r w:rsidRPr="00C52F09">
        <w:rPr>
          <w:rFonts w:eastAsia="Times New Roman" w:cs="Times New Roman"/>
          <w:szCs w:val="24"/>
        </w:rPr>
        <w:t xml:space="preserve"> lub inwestora </w:t>
      </w:r>
      <w:r w:rsidR="00FE0D36">
        <w:rPr>
          <w:rFonts w:eastAsia="Times New Roman" w:cs="Times New Roman"/>
          <w:szCs w:val="24"/>
        </w:rPr>
        <w:t xml:space="preserve">– </w:t>
      </w:r>
      <w:r w:rsidRPr="00C52F09">
        <w:rPr>
          <w:rFonts w:eastAsia="Times New Roman" w:cs="Times New Roman"/>
          <w:szCs w:val="24"/>
        </w:rPr>
        <w:t xml:space="preserve">przepisy niniejszej ustawy. Wprowadzany </w:t>
      </w:r>
      <w:r w:rsidRPr="00C52F09">
        <w:rPr>
          <w:rFonts w:eastAsia="Times New Roman" w:cs="Times New Roman"/>
          <w:szCs w:val="24"/>
        </w:rPr>
        <w:lastRenderedPageBreak/>
        <w:t>przepis ma na celu umożliwienie inwestorowi wyb</w:t>
      </w:r>
      <w:r w:rsidR="00FE0D36">
        <w:rPr>
          <w:rFonts w:eastAsia="Times New Roman" w:cs="Times New Roman"/>
          <w:szCs w:val="24"/>
        </w:rPr>
        <w:t>oru</w:t>
      </w:r>
      <w:r w:rsidRPr="00C52F09">
        <w:rPr>
          <w:rFonts w:eastAsia="Times New Roman" w:cs="Times New Roman"/>
          <w:szCs w:val="24"/>
        </w:rPr>
        <w:t xml:space="preserve"> reżimu prawnego stosownie do stopnia zaawansowania realizacji inwestycji w zakresie Krajowego Centrum Przetwarzania Danych oraz potrzeb związanych z tymi inwestycjami. </w:t>
      </w:r>
    </w:p>
    <w:p w14:paraId="28A1AED3" w14:textId="257A6261" w:rsidR="00C52F09" w:rsidRPr="00C52F09" w:rsidRDefault="00C52F09" w:rsidP="00C52F09">
      <w:pPr>
        <w:widowControl/>
        <w:suppressAutoHyphens/>
        <w:spacing w:before="120"/>
        <w:jc w:val="both"/>
        <w:rPr>
          <w:rFonts w:eastAsia="Times New Roman" w:cs="Times New Roman"/>
          <w:szCs w:val="24"/>
        </w:rPr>
      </w:pPr>
      <w:r w:rsidRPr="00C52F09">
        <w:rPr>
          <w:rFonts w:eastAsia="Times New Roman" w:cs="Times New Roman"/>
          <w:szCs w:val="24"/>
        </w:rPr>
        <w:t>Jednocześnie</w:t>
      </w:r>
      <w:r w:rsidR="00FE0D36">
        <w:rPr>
          <w:rFonts w:eastAsia="Times New Roman" w:cs="Times New Roman"/>
          <w:szCs w:val="24"/>
        </w:rPr>
        <w:t>,</w:t>
      </w:r>
      <w:r w:rsidRPr="00C52F09">
        <w:rPr>
          <w:rFonts w:eastAsia="Times New Roman" w:cs="Times New Roman"/>
          <w:szCs w:val="24"/>
        </w:rPr>
        <w:t xml:space="preserve"> na mocy projektowanego art. 56, decyzje wydane przed dniem wejścia w życie projektu ustawy zachowują moc. Inwestor może jednak żądać wydania decyzji na zasadach określonych w projekcie ustawy.</w:t>
      </w:r>
    </w:p>
    <w:p w14:paraId="5DBC9610" w14:textId="12FF32F8" w:rsidR="00C52F09" w:rsidRPr="00C52F09" w:rsidRDefault="00C52F09" w:rsidP="00C52F09">
      <w:pPr>
        <w:suppressAutoHyphens/>
        <w:autoSpaceDE/>
        <w:adjustRightInd/>
        <w:spacing w:before="120"/>
        <w:jc w:val="both"/>
        <w:rPr>
          <w:rFonts w:eastAsia="Calibri" w:cs="Times New Roman"/>
          <w:color w:val="000000"/>
          <w:szCs w:val="24"/>
        </w:rPr>
      </w:pPr>
      <w:r w:rsidRPr="00C52F09">
        <w:rPr>
          <w:rFonts w:eastAsia="Calibri" w:cs="Times New Roman"/>
          <w:color w:val="000000"/>
          <w:szCs w:val="24"/>
        </w:rPr>
        <w:t>Zgodnie z art. 57 zaproponowano, aby projektowana ustawa utraciła swą moc w zakresie ułatwień w realizacji inwestycji w zakresie Krajowego Centrum Przetwarzania Danych</w:t>
      </w:r>
      <w:r w:rsidR="00513C6E">
        <w:rPr>
          <w:rFonts w:eastAsia="Calibri" w:cs="Times New Roman"/>
          <w:color w:val="000000"/>
          <w:szCs w:val="24"/>
        </w:rPr>
        <w:t xml:space="preserve"> z</w:t>
      </w:r>
      <w:r w:rsidR="00C74996">
        <w:rPr>
          <w:rFonts w:eastAsia="Calibri" w:cs="Times New Roman"/>
          <w:color w:val="000000"/>
          <w:szCs w:val="24"/>
        </w:rPr>
        <w:t xml:space="preserve"> dni</w:t>
      </w:r>
      <w:r w:rsidR="00513C6E">
        <w:rPr>
          <w:rFonts w:eastAsia="Calibri" w:cs="Times New Roman"/>
          <w:color w:val="000000"/>
          <w:szCs w:val="24"/>
        </w:rPr>
        <w:t>em</w:t>
      </w:r>
      <w:r w:rsidR="0003018A">
        <w:rPr>
          <w:rFonts w:eastAsia="Calibri" w:cs="Times New Roman"/>
          <w:color w:val="000000"/>
          <w:szCs w:val="24"/>
        </w:rPr>
        <w:t xml:space="preserve"> </w:t>
      </w:r>
      <w:r w:rsidRPr="00C52F09">
        <w:rPr>
          <w:rFonts w:eastAsia="Calibri" w:cs="Times New Roman"/>
          <w:color w:val="000000"/>
          <w:szCs w:val="24"/>
        </w:rPr>
        <w:t xml:space="preserve">31 grudnia 2050 r. Zgodnie z informacjami zawartymi w ust. 2 OSR na dzień sporządzenia </w:t>
      </w:r>
      <w:r w:rsidR="00803A5C">
        <w:rPr>
          <w:rFonts w:eastAsia="Calibri" w:cs="Times New Roman"/>
          <w:color w:val="000000"/>
          <w:szCs w:val="24"/>
        </w:rPr>
        <w:t>o</w:t>
      </w:r>
      <w:r w:rsidRPr="00C52F09">
        <w:rPr>
          <w:rFonts w:eastAsia="Calibri" w:cs="Times New Roman"/>
          <w:color w:val="000000"/>
          <w:szCs w:val="24"/>
        </w:rPr>
        <w:t>ceny, o której mowa w OSR, właściwe jednostki zadeklarowały zapotrzebowanie na powierzchnię przetwarzania danych na poziomie 2400 m</w:t>
      </w:r>
      <w:r w:rsidRPr="00C52F09">
        <w:rPr>
          <w:rFonts w:eastAsia="Calibri" w:cs="Times New Roman"/>
          <w:color w:val="000000"/>
          <w:szCs w:val="24"/>
          <w:vertAlign w:val="superscript"/>
        </w:rPr>
        <w:t>2</w:t>
      </w:r>
      <w:r w:rsidRPr="00C52F09">
        <w:rPr>
          <w:rFonts w:eastAsia="Calibri" w:cs="Times New Roman"/>
          <w:color w:val="000000"/>
          <w:szCs w:val="24"/>
        </w:rPr>
        <w:t xml:space="preserve"> (na rok 2026) i tendencję wzrostową w kolejnych latach (3200 m</w:t>
      </w:r>
      <w:r w:rsidRPr="00C52F09">
        <w:rPr>
          <w:rFonts w:eastAsia="Calibri" w:cs="Times New Roman"/>
          <w:color w:val="000000"/>
          <w:szCs w:val="24"/>
          <w:vertAlign w:val="superscript"/>
        </w:rPr>
        <w:t>2</w:t>
      </w:r>
      <w:r w:rsidRPr="00C52F09">
        <w:rPr>
          <w:rFonts w:eastAsia="Calibri" w:cs="Times New Roman"/>
          <w:color w:val="000000"/>
          <w:szCs w:val="24"/>
        </w:rPr>
        <w:t xml:space="preserve"> na rok 2031 i 3800 m</w:t>
      </w:r>
      <w:r w:rsidRPr="00C52F09">
        <w:rPr>
          <w:rFonts w:eastAsia="Calibri" w:cs="Times New Roman"/>
          <w:color w:val="000000"/>
          <w:szCs w:val="24"/>
          <w:vertAlign w:val="superscript"/>
        </w:rPr>
        <w:t>2</w:t>
      </w:r>
      <w:r w:rsidRPr="00C52F09">
        <w:rPr>
          <w:rFonts w:eastAsia="Calibri" w:cs="Times New Roman"/>
          <w:color w:val="000000"/>
          <w:szCs w:val="24"/>
        </w:rPr>
        <w:t xml:space="preserve"> na rok</w:t>
      </w:r>
      <w:r w:rsidR="00BB31C1">
        <w:rPr>
          <w:rFonts w:eastAsia="Calibri" w:cs="Times New Roman"/>
          <w:color w:val="000000"/>
          <w:szCs w:val="24"/>
        </w:rPr>
        <w:t xml:space="preserve"> 2041). W związku z powyższym w </w:t>
      </w:r>
      <w:r w:rsidRPr="00C52F09">
        <w:rPr>
          <w:rFonts w:eastAsia="Calibri" w:cs="Times New Roman"/>
          <w:color w:val="000000"/>
          <w:szCs w:val="24"/>
        </w:rPr>
        <w:t xml:space="preserve">celu zabezpieczenia możliwości realizacji budowy lub modernizacji ośrodków wskazanych w zapotrzebowaniu na 2041 r. wskazano 2050 r. jako </w:t>
      </w:r>
      <w:r w:rsidR="00F50FC6">
        <w:rPr>
          <w:rFonts w:eastAsia="Calibri" w:cs="Times New Roman"/>
          <w:color w:val="000000"/>
          <w:szCs w:val="24"/>
        </w:rPr>
        <w:t>rok</w:t>
      </w:r>
      <w:r w:rsidR="00F50FC6" w:rsidRPr="00C52F09">
        <w:rPr>
          <w:rFonts w:eastAsia="Calibri" w:cs="Times New Roman"/>
          <w:color w:val="000000"/>
          <w:szCs w:val="24"/>
        </w:rPr>
        <w:t xml:space="preserve"> </w:t>
      </w:r>
      <w:r w:rsidRPr="00C52F09">
        <w:rPr>
          <w:rFonts w:eastAsia="Calibri" w:cs="Times New Roman"/>
          <w:color w:val="000000"/>
          <w:szCs w:val="24"/>
        </w:rPr>
        <w:t>końcow</w:t>
      </w:r>
      <w:r w:rsidR="00F50FC6">
        <w:rPr>
          <w:rFonts w:eastAsia="Calibri" w:cs="Times New Roman"/>
          <w:color w:val="000000"/>
          <w:szCs w:val="24"/>
        </w:rPr>
        <w:t>y</w:t>
      </w:r>
      <w:r w:rsidRPr="00C52F09">
        <w:rPr>
          <w:rFonts w:eastAsia="Calibri" w:cs="Times New Roman"/>
          <w:color w:val="000000"/>
          <w:szCs w:val="24"/>
        </w:rPr>
        <w:t xml:space="preserve"> obowiązywania przepisów projektowanej ustawy.</w:t>
      </w:r>
    </w:p>
    <w:p w14:paraId="26D5D39B" w14:textId="63530CF6" w:rsidR="00C52F09" w:rsidRPr="00C52F09" w:rsidRDefault="00C52F09" w:rsidP="00C52F09">
      <w:pPr>
        <w:suppressAutoHyphens/>
        <w:autoSpaceDE/>
        <w:adjustRightInd/>
        <w:spacing w:before="120"/>
        <w:jc w:val="both"/>
        <w:rPr>
          <w:rFonts w:eastAsia="Calibri" w:cs="Times New Roman"/>
          <w:color w:val="000000"/>
          <w:szCs w:val="24"/>
        </w:rPr>
      </w:pPr>
      <w:r w:rsidRPr="00C52F09">
        <w:rPr>
          <w:rFonts w:eastAsia="Calibri" w:cs="Times New Roman"/>
          <w:color w:val="000000"/>
          <w:szCs w:val="24"/>
        </w:rPr>
        <w:t>Projektowana ustawa nie zawiera przepisów technicznych w rozumieniu rozporządzenia Rady Ministrów z dnia 23 grudnia 2002 r. w sprawie sposobu funkcjonowania krajowego systemu notyfikacji norm i aktów prawnych (Dz. U. poz. 2039 oraz z 2004 r. poz. 5</w:t>
      </w:r>
      <w:r w:rsidR="009F050D">
        <w:rPr>
          <w:rFonts w:eastAsia="Calibri" w:cs="Times New Roman"/>
          <w:color w:val="000000"/>
          <w:szCs w:val="24"/>
        </w:rPr>
        <w:t>97</w:t>
      </w:r>
      <w:r w:rsidRPr="00C52F09">
        <w:rPr>
          <w:rFonts w:eastAsia="Calibri" w:cs="Times New Roman"/>
          <w:color w:val="000000"/>
          <w:szCs w:val="24"/>
        </w:rPr>
        <w:t>), w</w:t>
      </w:r>
      <w:r w:rsidR="0003018A">
        <w:rPr>
          <w:rFonts w:eastAsia="Calibri" w:cs="Times New Roman"/>
          <w:color w:val="000000"/>
          <w:szCs w:val="24"/>
        </w:rPr>
        <w:t xml:space="preserve"> </w:t>
      </w:r>
      <w:r w:rsidRPr="00C52F09">
        <w:rPr>
          <w:rFonts w:eastAsia="Calibri" w:cs="Times New Roman"/>
          <w:color w:val="000000"/>
          <w:szCs w:val="24"/>
        </w:rPr>
        <w:t>związku z czym nie podlega notyfikacji zgodnie z ww. przepisami.</w:t>
      </w:r>
    </w:p>
    <w:p w14:paraId="7423BB72" w14:textId="77777777" w:rsidR="00C52F09" w:rsidRPr="00C52F09" w:rsidRDefault="00C52F09" w:rsidP="00C52F09">
      <w:pPr>
        <w:suppressAutoHyphens/>
        <w:autoSpaceDE/>
        <w:adjustRightInd/>
        <w:spacing w:before="120"/>
        <w:jc w:val="both"/>
        <w:rPr>
          <w:rFonts w:eastAsia="Calibri" w:cs="Times New Roman"/>
          <w:color w:val="000000"/>
          <w:szCs w:val="24"/>
        </w:rPr>
      </w:pPr>
      <w:r w:rsidRPr="00C52F09">
        <w:rPr>
          <w:rFonts w:eastAsia="Calibri" w:cs="Times New Roman"/>
          <w:color w:val="000000"/>
          <w:szCs w:val="24"/>
        </w:rPr>
        <w:t>Przedmiot projektowanej regulacji nie jest sprzeczny z prawem Unii Europejskiej.</w:t>
      </w:r>
    </w:p>
    <w:p w14:paraId="19DAF1F6" w14:textId="77777777" w:rsidR="00C52F09" w:rsidRPr="00C52F09" w:rsidRDefault="00C52F09" w:rsidP="00C52F09">
      <w:pPr>
        <w:suppressAutoHyphens/>
        <w:autoSpaceDE/>
        <w:adjustRightInd/>
        <w:spacing w:before="120"/>
        <w:jc w:val="both"/>
        <w:rPr>
          <w:rFonts w:eastAsia="Calibri" w:cs="Times New Roman"/>
          <w:color w:val="000000"/>
          <w:szCs w:val="24"/>
        </w:rPr>
      </w:pPr>
      <w:r w:rsidRPr="00C52F09">
        <w:rPr>
          <w:rFonts w:eastAsia="Calibri" w:cs="Times New Roman"/>
          <w:color w:val="000000"/>
          <w:spacing w:val="-4"/>
          <w:szCs w:val="24"/>
        </w:rPr>
        <w:t>Projekt ustawy nie wymaga przedstawienia właściwym organom i instytucjom Unii Europejskiej,</w:t>
      </w:r>
      <w:r w:rsidRPr="00C52F09">
        <w:rPr>
          <w:rFonts w:eastAsia="Calibri" w:cs="Times New Roman"/>
          <w:color w:val="000000"/>
          <w:szCs w:val="24"/>
        </w:rPr>
        <w:t xml:space="preserve"> </w:t>
      </w:r>
      <w:r w:rsidRPr="00C52F09">
        <w:rPr>
          <w:rFonts w:eastAsia="Calibri" w:cs="Times New Roman"/>
          <w:color w:val="000000"/>
          <w:spacing w:val="-6"/>
          <w:szCs w:val="24"/>
        </w:rPr>
        <w:t>w tym Europejskiemu Bankowi Centralnemu, w celu uzyskania opinii, dokonania powiadomienia,</w:t>
      </w:r>
      <w:r w:rsidRPr="00C52F09">
        <w:rPr>
          <w:rFonts w:eastAsia="Calibri" w:cs="Times New Roman"/>
          <w:color w:val="000000"/>
          <w:szCs w:val="24"/>
        </w:rPr>
        <w:t xml:space="preserve"> konsultacji albo uzgodnienia, o których mowa w § 39 uchwały nr 190 Rady Ministrów z dnia 29 października 2013 r. – Regulamin pracy Rady Ministrów (M.P. z 2022 r. poz. 348).</w:t>
      </w:r>
    </w:p>
    <w:p w14:paraId="7F81336B" w14:textId="77777777" w:rsidR="00C52F09" w:rsidRPr="00C52F09" w:rsidRDefault="00C52F09" w:rsidP="00C52F09">
      <w:pPr>
        <w:suppressAutoHyphens/>
        <w:autoSpaceDE/>
        <w:adjustRightInd/>
        <w:spacing w:before="120"/>
        <w:jc w:val="both"/>
        <w:rPr>
          <w:rFonts w:eastAsia="Calibri" w:cs="Times New Roman"/>
          <w:color w:val="000000"/>
          <w:szCs w:val="24"/>
        </w:rPr>
      </w:pPr>
      <w:r w:rsidRPr="00C52F09">
        <w:rPr>
          <w:rFonts w:eastAsia="Calibri" w:cs="Times New Roman"/>
          <w:color w:val="000000"/>
          <w:szCs w:val="24"/>
        </w:rPr>
        <w:t xml:space="preserve">Wejście w życie projektowanej ustawy nie będzie miało wpływu na konkurencyjność gospodarki i przedsiębiorczość, w tym funkcjonowanie przedsiębiorców, a zwłaszcza </w:t>
      </w:r>
      <w:r w:rsidRPr="00C52F09">
        <w:rPr>
          <w:rFonts w:eastAsia="Calibri" w:cs="Times New Roman"/>
          <w:color w:val="000000"/>
          <w:spacing w:val="-6"/>
          <w:szCs w:val="24"/>
        </w:rPr>
        <w:t>mikroprzedsiębiorców, małych i średnich przedsiębiorców.</w:t>
      </w:r>
    </w:p>
    <w:p w14:paraId="1A9E93E6" w14:textId="77777777" w:rsidR="008E70DC" w:rsidRPr="00C52F09" w:rsidRDefault="00C52F09" w:rsidP="0003018A">
      <w:pPr>
        <w:spacing w:before="120"/>
        <w:jc w:val="both"/>
        <w:rPr>
          <w:rFonts w:cs="Times New Roman"/>
          <w:szCs w:val="24"/>
        </w:rPr>
      </w:pPr>
      <w:r w:rsidRPr="00C52F09">
        <w:rPr>
          <w:rFonts w:eastAsia="Calibri" w:cs="Times New Roman"/>
          <w:color w:val="000000"/>
          <w:szCs w:val="24"/>
        </w:rPr>
        <w:lastRenderedPageBreak/>
        <w:t>Stosownie do art. 5 ustawy z dnia 7 lipca 2005 r. o działalności lobbingowej w procesie stanowienia prawa (Dz. U. z 2017 r. poz. 248) oraz art. 52 § 1 uchwały nr 190 Rady Ministrów z dnia 29 października 2013 r. – Regulamin pracy Rady Ministrów projekt ustawy został udostępniony w Biuletynie Informacji Publicznej Rządowego Centrum Legislacji w</w:t>
      </w:r>
      <w:r w:rsidR="0003018A">
        <w:rPr>
          <w:rFonts w:eastAsia="Calibri" w:cs="Times New Roman"/>
          <w:color w:val="000000"/>
          <w:szCs w:val="24"/>
        </w:rPr>
        <w:t xml:space="preserve"> </w:t>
      </w:r>
      <w:r w:rsidRPr="00C52F09">
        <w:rPr>
          <w:rFonts w:eastAsia="Calibri" w:cs="Times New Roman"/>
          <w:color w:val="000000"/>
          <w:szCs w:val="24"/>
        </w:rPr>
        <w:t>serwisie Rządowy Proces Legislacyjny.</w:t>
      </w:r>
    </w:p>
    <w:sectPr w:rsidR="008E70DC" w:rsidRPr="00C52F09" w:rsidSect="00B1449B">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9E3F8" w14:textId="77777777" w:rsidR="00BF4D01" w:rsidRDefault="00BF4D01" w:rsidP="00C52F09">
      <w:pPr>
        <w:spacing w:line="240" w:lineRule="auto"/>
      </w:pPr>
      <w:r>
        <w:separator/>
      </w:r>
    </w:p>
  </w:endnote>
  <w:endnote w:type="continuationSeparator" w:id="0">
    <w:p w14:paraId="5D64D88F" w14:textId="77777777" w:rsidR="00BF4D01" w:rsidRDefault="00BF4D01" w:rsidP="00C52F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60601"/>
      <w:docPartObj>
        <w:docPartGallery w:val="Page Numbers (Bottom of Page)"/>
        <w:docPartUnique/>
      </w:docPartObj>
    </w:sdtPr>
    <w:sdtEndPr/>
    <w:sdtContent>
      <w:p w14:paraId="3B0B8368" w14:textId="7D3EBECB" w:rsidR="00725FB5" w:rsidRDefault="00725FB5" w:rsidP="00B1449B">
        <w:pPr>
          <w:pStyle w:val="Stopka"/>
          <w:jc w:val="center"/>
        </w:pPr>
        <w:r>
          <w:fldChar w:fldCharType="begin"/>
        </w:r>
        <w:r>
          <w:instrText>PAGE   \* MERGEFORMAT</w:instrText>
        </w:r>
        <w:r>
          <w:fldChar w:fldCharType="separate"/>
        </w:r>
        <w:r w:rsidR="00017D5D">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6804B" w14:textId="77777777" w:rsidR="00BF4D01" w:rsidRDefault="00BF4D01" w:rsidP="00C52F09">
      <w:pPr>
        <w:spacing w:line="240" w:lineRule="auto"/>
      </w:pPr>
      <w:r>
        <w:separator/>
      </w:r>
    </w:p>
  </w:footnote>
  <w:footnote w:type="continuationSeparator" w:id="0">
    <w:p w14:paraId="30064CB2" w14:textId="77777777" w:rsidR="00BF4D01" w:rsidRDefault="00BF4D01" w:rsidP="00C52F09">
      <w:pPr>
        <w:spacing w:line="240" w:lineRule="auto"/>
      </w:pPr>
      <w:r>
        <w:continuationSeparator/>
      </w:r>
    </w:p>
  </w:footnote>
  <w:footnote w:id="1">
    <w:p w14:paraId="1378E771" w14:textId="77777777" w:rsidR="00725FB5" w:rsidRPr="00DA7984" w:rsidRDefault="00725FB5" w:rsidP="00C52F09">
      <w:pPr>
        <w:pStyle w:val="Tekstprzypisudolnego"/>
        <w:spacing w:line="240" w:lineRule="auto"/>
        <w:ind w:left="181" w:hanging="181"/>
        <w:jc w:val="both"/>
        <w:rPr>
          <w:rFonts w:cs="Calibri"/>
          <w:sz w:val="18"/>
          <w:szCs w:val="18"/>
        </w:rPr>
      </w:pPr>
      <w:r w:rsidRPr="00DA7984">
        <w:rPr>
          <w:rStyle w:val="Odwoanieprzypisudolnego"/>
          <w:rFonts w:cs="Calibri"/>
          <w:sz w:val="18"/>
          <w:szCs w:val="18"/>
        </w:rPr>
        <w:footnoteRef/>
      </w:r>
      <w:r>
        <w:rPr>
          <w:rFonts w:cs="Calibri"/>
          <w:sz w:val="18"/>
          <w:szCs w:val="18"/>
          <w:vertAlign w:val="superscript"/>
        </w:rPr>
        <w:t>)</w:t>
      </w:r>
      <w:r>
        <w:rPr>
          <w:rFonts w:cs="Calibri"/>
          <w:sz w:val="18"/>
          <w:szCs w:val="18"/>
          <w:vertAlign w:val="superscript"/>
        </w:rPr>
        <w:tab/>
      </w:r>
      <w:r w:rsidRPr="00DA7984">
        <w:rPr>
          <w:rFonts w:cs="Calibri"/>
          <w:sz w:val="18"/>
          <w:szCs w:val="18"/>
          <w:shd w:val="clear" w:color="auto" w:fill="FFFFFF"/>
        </w:rPr>
        <w:t>A. Wiktorowski [w:] A. Gawrońska-Baran, E. Wiktorowska, P. Wójcik, A. Wiktorowski, </w:t>
      </w:r>
      <w:r w:rsidRPr="00DA7984">
        <w:rPr>
          <w:rFonts w:cs="Calibri"/>
          <w:i/>
          <w:iCs/>
          <w:sz w:val="18"/>
          <w:szCs w:val="18"/>
        </w:rPr>
        <w:t>Prawo zamówień publicznych. Komentarz aktualizowany</w:t>
      </w:r>
      <w:r w:rsidRPr="00DA7984">
        <w:rPr>
          <w:rFonts w:cs="Calibri"/>
          <w:sz w:val="18"/>
          <w:szCs w:val="18"/>
          <w:shd w:val="clear" w:color="auto" w:fill="FFFFFF"/>
        </w:rPr>
        <w:t>, LEX/el. 2022, art. 17</w:t>
      </w:r>
      <w:r>
        <w:rPr>
          <w:rFonts w:cs="Calibri"/>
          <w:sz w:val="18"/>
          <w:szCs w:val="18"/>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0FD9"/>
    <w:multiLevelType w:val="hybridMultilevel"/>
    <w:tmpl w:val="E42852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D93F29"/>
    <w:multiLevelType w:val="hybridMultilevel"/>
    <w:tmpl w:val="7F5C4CF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 w15:restartNumberingAfterBreak="0">
    <w:nsid w:val="0A7A0EB3"/>
    <w:multiLevelType w:val="hybridMultilevel"/>
    <w:tmpl w:val="FA38DA8C"/>
    <w:lvl w:ilvl="0" w:tplc="5804ED60">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770443"/>
    <w:multiLevelType w:val="hybridMultilevel"/>
    <w:tmpl w:val="35B48C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6B7160"/>
    <w:multiLevelType w:val="hybridMultilevel"/>
    <w:tmpl w:val="668EB4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EB471B"/>
    <w:multiLevelType w:val="hybridMultilevel"/>
    <w:tmpl w:val="289EAB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00A7DBA"/>
    <w:multiLevelType w:val="hybridMultilevel"/>
    <w:tmpl w:val="AEBE60D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602E0BF6"/>
    <w:multiLevelType w:val="hybridMultilevel"/>
    <w:tmpl w:val="ED8CC8DA"/>
    <w:lvl w:ilvl="0" w:tplc="17CC3364">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8" w15:restartNumberingAfterBreak="0">
    <w:nsid w:val="6CC76072"/>
    <w:multiLevelType w:val="hybridMultilevel"/>
    <w:tmpl w:val="64F6D088"/>
    <w:lvl w:ilvl="0" w:tplc="77A0A96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9" w15:restartNumberingAfterBreak="0">
    <w:nsid w:val="79FD4470"/>
    <w:multiLevelType w:val="hybridMultilevel"/>
    <w:tmpl w:val="7398F48E"/>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F09"/>
    <w:rsid w:val="00006769"/>
    <w:rsid w:val="00017D5D"/>
    <w:rsid w:val="0003018A"/>
    <w:rsid w:val="00034F3B"/>
    <w:rsid w:val="000560F1"/>
    <w:rsid w:val="000A7983"/>
    <w:rsid w:val="000C47A2"/>
    <w:rsid w:val="00113706"/>
    <w:rsid w:val="00137DD5"/>
    <w:rsid w:val="00154C94"/>
    <w:rsid w:val="00170435"/>
    <w:rsid w:val="00186A87"/>
    <w:rsid w:val="00195AF7"/>
    <w:rsid w:val="001F5E86"/>
    <w:rsid w:val="00214F9F"/>
    <w:rsid w:val="002804B2"/>
    <w:rsid w:val="00282C85"/>
    <w:rsid w:val="002B04BE"/>
    <w:rsid w:val="00337107"/>
    <w:rsid w:val="003401EC"/>
    <w:rsid w:val="00345830"/>
    <w:rsid w:val="003512F8"/>
    <w:rsid w:val="00365055"/>
    <w:rsid w:val="00390F0E"/>
    <w:rsid w:val="003C46BA"/>
    <w:rsid w:val="00415B06"/>
    <w:rsid w:val="00424E40"/>
    <w:rsid w:val="004308C6"/>
    <w:rsid w:val="00454656"/>
    <w:rsid w:val="00494FE8"/>
    <w:rsid w:val="004B0770"/>
    <w:rsid w:val="004E7CA9"/>
    <w:rsid w:val="004F205F"/>
    <w:rsid w:val="004F3B74"/>
    <w:rsid w:val="00513C6E"/>
    <w:rsid w:val="00545621"/>
    <w:rsid w:val="0055033F"/>
    <w:rsid w:val="00554F62"/>
    <w:rsid w:val="00560B73"/>
    <w:rsid w:val="00574398"/>
    <w:rsid w:val="005878BF"/>
    <w:rsid w:val="00594016"/>
    <w:rsid w:val="005A09FB"/>
    <w:rsid w:val="005C3BB3"/>
    <w:rsid w:val="00650D3C"/>
    <w:rsid w:val="00677273"/>
    <w:rsid w:val="00694448"/>
    <w:rsid w:val="006C4A91"/>
    <w:rsid w:val="006D3E89"/>
    <w:rsid w:val="007030A1"/>
    <w:rsid w:val="00725FB5"/>
    <w:rsid w:val="00741C21"/>
    <w:rsid w:val="00771CDC"/>
    <w:rsid w:val="007A28CA"/>
    <w:rsid w:val="007A4EA1"/>
    <w:rsid w:val="007E6FB0"/>
    <w:rsid w:val="00803A5C"/>
    <w:rsid w:val="0080485D"/>
    <w:rsid w:val="008210C1"/>
    <w:rsid w:val="0084171A"/>
    <w:rsid w:val="008469B5"/>
    <w:rsid w:val="008659EB"/>
    <w:rsid w:val="008771FD"/>
    <w:rsid w:val="00894743"/>
    <w:rsid w:val="008B1617"/>
    <w:rsid w:val="008E43E8"/>
    <w:rsid w:val="008E70DC"/>
    <w:rsid w:val="008F56AF"/>
    <w:rsid w:val="008F572E"/>
    <w:rsid w:val="008F6F97"/>
    <w:rsid w:val="00912737"/>
    <w:rsid w:val="0093115F"/>
    <w:rsid w:val="009447AD"/>
    <w:rsid w:val="00955DFB"/>
    <w:rsid w:val="00977B95"/>
    <w:rsid w:val="00992020"/>
    <w:rsid w:val="009939DD"/>
    <w:rsid w:val="009D3049"/>
    <w:rsid w:val="009F050D"/>
    <w:rsid w:val="00A07B5C"/>
    <w:rsid w:val="00A14B73"/>
    <w:rsid w:val="00A22D65"/>
    <w:rsid w:val="00A32336"/>
    <w:rsid w:val="00A348A9"/>
    <w:rsid w:val="00A41895"/>
    <w:rsid w:val="00A43358"/>
    <w:rsid w:val="00A456D7"/>
    <w:rsid w:val="00A60F99"/>
    <w:rsid w:val="00A82C74"/>
    <w:rsid w:val="00A93CE9"/>
    <w:rsid w:val="00AB08F7"/>
    <w:rsid w:val="00AB34EE"/>
    <w:rsid w:val="00AC48F3"/>
    <w:rsid w:val="00AF6D22"/>
    <w:rsid w:val="00B1449B"/>
    <w:rsid w:val="00B21226"/>
    <w:rsid w:val="00B22065"/>
    <w:rsid w:val="00B405FE"/>
    <w:rsid w:val="00B4399F"/>
    <w:rsid w:val="00B65111"/>
    <w:rsid w:val="00B97A0D"/>
    <w:rsid w:val="00BB04FF"/>
    <w:rsid w:val="00BB0A5C"/>
    <w:rsid w:val="00BB31C1"/>
    <w:rsid w:val="00BB7550"/>
    <w:rsid w:val="00BF4D01"/>
    <w:rsid w:val="00C27374"/>
    <w:rsid w:val="00C52F09"/>
    <w:rsid w:val="00C74996"/>
    <w:rsid w:val="00C93F98"/>
    <w:rsid w:val="00CD1EDF"/>
    <w:rsid w:val="00D00A78"/>
    <w:rsid w:val="00D07DC5"/>
    <w:rsid w:val="00D16D4D"/>
    <w:rsid w:val="00D63EDA"/>
    <w:rsid w:val="00D70E24"/>
    <w:rsid w:val="00DE6991"/>
    <w:rsid w:val="00E10737"/>
    <w:rsid w:val="00E62ACB"/>
    <w:rsid w:val="00EB19A1"/>
    <w:rsid w:val="00EE0A97"/>
    <w:rsid w:val="00F13D5F"/>
    <w:rsid w:val="00F219BF"/>
    <w:rsid w:val="00F241CE"/>
    <w:rsid w:val="00F32624"/>
    <w:rsid w:val="00F50FC6"/>
    <w:rsid w:val="00F64CC6"/>
    <w:rsid w:val="00F733EB"/>
    <w:rsid w:val="00F75F4C"/>
    <w:rsid w:val="00F92F93"/>
    <w:rsid w:val="00FB56EE"/>
    <w:rsid w:val="00FE0D36"/>
    <w:rsid w:val="00FF7F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0F2E53"/>
  <w15:chartTrackingRefBased/>
  <w15:docId w15:val="{531F11E0-5C2F-4F9F-B888-959B4FA7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52F09"/>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C52F09"/>
    <w:rPr>
      <w:rFonts w:cs="Times New Roman"/>
      <w:vertAlign w:val="superscript"/>
    </w:rPr>
  </w:style>
  <w:style w:type="paragraph" w:customStyle="1" w:styleId="ARTartustawynprozporzdzenia">
    <w:name w:val="ART(§) – art. ustawy (§ np. rozporządzenia)"/>
    <w:uiPriority w:val="11"/>
    <w:qFormat/>
    <w:rsid w:val="00C52F0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C52F09"/>
    <w:pPr>
      <w:spacing w:before="0"/>
    </w:pPr>
    <w:rPr>
      <w:bCs/>
    </w:rPr>
  </w:style>
  <w:style w:type="paragraph" w:customStyle="1" w:styleId="PKTpunkt">
    <w:name w:val="PKT – punkt"/>
    <w:uiPriority w:val="13"/>
    <w:qFormat/>
    <w:rsid w:val="00C52F09"/>
    <w:pPr>
      <w:spacing w:after="0" w:line="360" w:lineRule="auto"/>
      <w:ind w:left="510" w:hanging="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iPriority w:val="99"/>
    <w:semiHidden/>
    <w:qFormat/>
    <w:rsid w:val="00C52F09"/>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C52F09"/>
    <w:rPr>
      <w:rFonts w:ascii="Times" w:eastAsia="Times New Roman" w:hAnsi="Times" w:cs="Times New Roman"/>
      <w:sz w:val="24"/>
      <w:szCs w:val="24"/>
      <w:lang w:eastAsia="pl-PL"/>
    </w:rPr>
  </w:style>
  <w:style w:type="character" w:customStyle="1" w:styleId="Ppogrubienie">
    <w:name w:val="_P_ – pogrubienie"/>
    <w:basedOn w:val="Domylnaczcionkaakapitu"/>
    <w:uiPriority w:val="1"/>
    <w:qFormat/>
    <w:rsid w:val="00C52F09"/>
    <w:rPr>
      <w:b/>
    </w:rPr>
  </w:style>
  <w:style w:type="paragraph" w:styleId="Tekstdymka">
    <w:name w:val="Balloon Text"/>
    <w:basedOn w:val="Normalny"/>
    <w:link w:val="TekstdymkaZnak"/>
    <w:uiPriority w:val="99"/>
    <w:semiHidden/>
    <w:unhideWhenUsed/>
    <w:rsid w:val="008F56A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F56AF"/>
    <w:rPr>
      <w:rFonts w:ascii="Segoe UI" w:eastAsiaTheme="minorEastAsia" w:hAnsi="Segoe UI" w:cs="Segoe UI"/>
      <w:sz w:val="18"/>
      <w:szCs w:val="18"/>
      <w:lang w:eastAsia="pl-PL"/>
    </w:rPr>
  </w:style>
  <w:style w:type="character" w:styleId="Odwoaniedokomentarza">
    <w:name w:val="annotation reference"/>
    <w:basedOn w:val="Domylnaczcionkaakapitu"/>
    <w:uiPriority w:val="99"/>
    <w:semiHidden/>
    <w:unhideWhenUsed/>
    <w:rsid w:val="008F56AF"/>
    <w:rPr>
      <w:sz w:val="16"/>
      <w:szCs w:val="16"/>
    </w:rPr>
  </w:style>
  <w:style w:type="paragraph" w:styleId="Tekstkomentarza">
    <w:name w:val="annotation text"/>
    <w:basedOn w:val="Normalny"/>
    <w:link w:val="TekstkomentarzaZnak"/>
    <w:uiPriority w:val="99"/>
    <w:semiHidden/>
    <w:unhideWhenUsed/>
    <w:rsid w:val="008F56AF"/>
    <w:pPr>
      <w:spacing w:line="240" w:lineRule="auto"/>
    </w:pPr>
    <w:rPr>
      <w:sz w:val="20"/>
    </w:rPr>
  </w:style>
  <w:style w:type="character" w:customStyle="1" w:styleId="TekstkomentarzaZnak">
    <w:name w:val="Tekst komentarza Znak"/>
    <w:basedOn w:val="Domylnaczcionkaakapitu"/>
    <w:link w:val="Tekstkomentarza"/>
    <w:uiPriority w:val="99"/>
    <w:semiHidden/>
    <w:rsid w:val="008F56AF"/>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8F56AF"/>
    <w:rPr>
      <w:b/>
      <w:bCs/>
    </w:rPr>
  </w:style>
  <w:style w:type="character" w:customStyle="1" w:styleId="TematkomentarzaZnak">
    <w:name w:val="Temat komentarza Znak"/>
    <w:basedOn w:val="TekstkomentarzaZnak"/>
    <w:link w:val="Tematkomentarza"/>
    <w:uiPriority w:val="99"/>
    <w:semiHidden/>
    <w:rsid w:val="008F56AF"/>
    <w:rPr>
      <w:rFonts w:ascii="Times New Roman" w:eastAsiaTheme="minorEastAsia" w:hAnsi="Times New Roman" w:cs="Arial"/>
      <w:b/>
      <w:bCs/>
      <w:sz w:val="20"/>
      <w:szCs w:val="20"/>
      <w:lang w:eastAsia="pl-PL"/>
    </w:rPr>
  </w:style>
  <w:style w:type="paragraph" w:styleId="Nagwek">
    <w:name w:val="header"/>
    <w:basedOn w:val="Normalny"/>
    <w:link w:val="NagwekZnak"/>
    <w:uiPriority w:val="99"/>
    <w:unhideWhenUsed/>
    <w:rsid w:val="00B1449B"/>
    <w:pPr>
      <w:tabs>
        <w:tab w:val="center" w:pos="4536"/>
        <w:tab w:val="right" w:pos="9072"/>
      </w:tabs>
      <w:spacing w:line="240" w:lineRule="auto"/>
    </w:pPr>
  </w:style>
  <w:style w:type="character" w:customStyle="1" w:styleId="NagwekZnak">
    <w:name w:val="Nagłówek Znak"/>
    <w:basedOn w:val="Domylnaczcionkaakapitu"/>
    <w:link w:val="Nagwek"/>
    <w:uiPriority w:val="99"/>
    <w:rsid w:val="00B1449B"/>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B1449B"/>
    <w:pPr>
      <w:tabs>
        <w:tab w:val="center" w:pos="4536"/>
        <w:tab w:val="right" w:pos="9072"/>
      </w:tabs>
      <w:spacing w:line="240" w:lineRule="auto"/>
    </w:pPr>
  </w:style>
  <w:style w:type="character" w:customStyle="1" w:styleId="StopkaZnak">
    <w:name w:val="Stopka Znak"/>
    <w:basedOn w:val="Domylnaczcionkaakapitu"/>
    <w:link w:val="Stopka"/>
    <w:uiPriority w:val="99"/>
    <w:rsid w:val="00B1449B"/>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16974</Words>
  <Characters>101845</Characters>
  <Application>Microsoft Office Word</Application>
  <DocSecurity>0</DocSecurity>
  <Lines>848</Lines>
  <Paragraphs>237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118582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Bodych Dominika</dc:creator>
  <cp:keywords/>
  <dc:description/>
  <cp:lastModifiedBy>Kołakowska Iwona</cp:lastModifiedBy>
  <cp:revision>3</cp:revision>
  <dcterms:created xsi:type="dcterms:W3CDTF">2023-03-30T12:52:00Z</dcterms:created>
  <dcterms:modified xsi:type="dcterms:W3CDTF">2023-03-30T12:52:00Z</dcterms:modified>
</cp:coreProperties>
</file>