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C83789" w14:textId="77777777" w:rsidR="00F17612" w:rsidRPr="009D6708" w:rsidRDefault="00F17612" w:rsidP="009D6708">
      <w:pPr>
        <w:widowControl/>
        <w:spacing w:before="120" w:after="240"/>
        <w:jc w:val="center"/>
        <w:rPr>
          <w:rFonts w:eastAsia="Times New Roman" w:cs="Times New Roman"/>
          <w:szCs w:val="24"/>
        </w:rPr>
      </w:pPr>
      <w:r w:rsidRPr="009D6708">
        <w:rPr>
          <w:rFonts w:eastAsia="Times New Roman" w:cs="Times New Roman"/>
          <w:szCs w:val="24"/>
        </w:rPr>
        <w:t>UZASADNIENIE</w:t>
      </w:r>
    </w:p>
    <w:p w14:paraId="25074588" w14:textId="77777777" w:rsidR="00F17612" w:rsidRPr="00346672" w:rsidRDefault="00F17612" w:rsidP="009D6708">
      <w:pPr>
        <w:widowControl/>
        <w:spacing w:before="120"/>
        <w:jc w:val="both"/>
        <w:rPr>
          <w:rFonts w:eastAsia="Times New Roman" w:cs="Times New Roman"/>
          <w:b/>
          <w:bCs/>
          <w:szCs w:val="24"/>
        </w:rPr>
      </w:pPr>
      <w:r w:rsidRPr="00346672">
        <w:rPr>
          <w:rFonts w:eastAsia="Times New Roman" w:cs="Times New Roman"/>
          <w:b/>
          <w:bCs/>
          <w:szCs w:val="24"/>
        </w:rPr>
        <w:t>Potrzeba i cel uchwalenia projektowanej ustawy</w:t>
      </w:r>
    </w:p>
    <w:p w14:paraId="2303462E" w14:textId="45EB47B8" w:rsidR="00F17612" w:rsidRPr="00346672" w:rsidRDefault="00F17612" w:rsidP="009D6708">
      <w:pPr>
        <w:widowControl/>
        <w:spacing w:before="120"/>
        <w:jc w:val="both"/>
        <w:rPr>
          <w:rFonts w:eastAsia="Times New Roman" w:cs="Times New Roman"/>
          <w:b/>
          <w:bCs/>
          <w:szCs w:val="24"/>
        </w:rPr>
      </w:pPr>
      <w:r w:rsidRPr="00346672">
        <w:rPr>
          <w:rFonts w:eastAsia="Calibri" w:cs="Times New Roman"/>
          <w:color w:val="000000"/>
          <w:szCs w:val="24"/>
          <w:lang w:eastAsia="en-US"/>
        </w:rPr>
        <w:t>Zmiany koncepcji systemu zabezpieczenia społecznego na okres po zakończeniu kariery zawodowej oraz powoływanie do życia nowych produkt</w:t>
      </w:r>
      <w:r w:rsidR="00655092">
        <w:rPr>
          <w:rFonts w:eastAsia="Calibri" w:cs="Times New Roman"/>
          <w:color w:val="000000"/>
          <w:szCs w:val="24"/>
          <w:lang w:eastAsia="en-US"/>
        </w:rPr>
        <w:t>ów oszczędnościowych, reformy i </w:t>
      </w:r>
      <w:r w:rsidRPr="00346672">
        <w:rPr>
          <w:rFonts w:eastAsia="Calibri" w:cs="Times New Roman"/>
          <w:color w:val="000000"/>
          <w:szCs w:val="24"/>
          <w:lang w:eastAsia="en-US"/>
        </w:rPr>
        <w:t>przekształcenia w OFE spowodował</w:t>
      </w:r>
      <w:r w:rsidR="005D62C4">
        <w:rPr>
          <w:rFonts w:eastAsia="Calibri" w:cs="Times New Roman"/>
          <w:color w:val="000000"/>
          <w:szCs w:val="24"/>
          <w:lang w:eastAsia="en-US"/>
        </w:rPr>
        <w:t>y</w:t>
      </w:r>
      <w:r w:rsidRPr="00346672">
        <w:rPr>
          <w:rFonts w:eastAsia="Calibri" w:cs="Times New Roman"/>
          <w:color w:val="000000"/>
          <w:szCs w:val="24"/>
          <w:lang w:eastAsia="en-US"/>
        </w:rPr>
        <w:t>, że Polacy nie mają komfortu panowania nad całością swoich oszczędności gromadzonych z myślą o przyszłości. C</w:t>
      </w:r>
      <w:r w:rsidR="00655092">
        <w:rPr>
          <w:rFonts w:eastAsia="Calibri" w:cs="Times New Roman"/>
          <w:color w:val="000000"/>
          <w:szCs w:val="24"/>
          <w:lang w:eastAsia="en-US"/>
        </w:rPr>
        <w:t>o prawda instytucje finansowe i </w:t>
      </w:r>
      <w:r w:rsidRPr="00346672">
        <w:rPr>
          <w:rFonts w:eastAsia="Calibri" w:cs="Times New Roman"/>
          <w:color w:val="000000"/>
          <w:szCs w:val="24"/>
          <w:lang w:eastAsia="en-US"/>
        </w:rPr>
        <w:t>ZUS dostarczają informacji o stanie kont, udostępniają także internetowo możliwość sprawdzania stanu rachunków, ale jest to wiedza rozpr</w:t>
      </w:r>
      <w:r w:rsidR="00655092">
        <w:rPr>
          <w:rFonts w:eastAsia="Calibri" w:cs="Times New Roman"/>
          <w:color w:val="000000"/>
          <w:szCs w:val="24"/>
          <w:lang w:eastAsia="en-US"/>
        </w:rPr>
        <w:t>oszona, wymagająca posiadania i </w:t>
      </w:r>
      <w:r w:rsidRPr="00346672">
        <w:rPr>
          <w:rFonts w:eastAsia="Calibri" w:cs="Times New Roman"/>
          <w:color w:val="000000"/>
          <w:szCs w:val="24"/>
          <w:lang w:eastAsia="en-US"/>
        </w:rPr>
        <w:t xml:space="preserve">pamiętania kilku loginów i haseł dostępowych. Ponadto informacje te są również prezentowane w różnej formie. Nie ma jednego, spójnego, docelowego miejsca, gdzie taką informację można całościowo uzyskać bez konieczności zwracania się do wielu instytucji. Powoduje to także niskie zainteresowanie oszczędzaniem, niską dyscyplinę w oszczędzaniu, a nawet potencjalnie ograniczone zaufanie do instytucji gromadzących oszczędności. </w:t>
      </w:r>
    </w:p>
    <w:p w14:paraId="4FA80909" w14:textId="0412C744" w:rsidR="00F17612" w:rsidRPr="00346672" w:rsidRDefault="00F17612" w:rsidP="009D6708">
      <w:pPr>
        <w:widowControl/>
        <w:spacing w:before="120"/>
        <w:jc w:val="both"/>
        <w:rPr>
          <w:rFonts w:eastAsia="Calibri" w:cs="Times New Roman"/>
          <w:color w:val="000000"/>
          <w:szCs w:val="24"/>
          <w:lang w:eastAsia="en-US"/>
        </w:rPr>
      </w:pPr>
      <w:r w:rsidRPr="00346672">
        <w:rPr>
          <w:rFonts w:eastAsia="Calibri" w:cs="Times New Roman"/>
          <w:color w:val="000000"/>
          <w:szCs w:val="24"/>
          <w:lang w:eastAsia="en-US"/>
        </w:rPr>
        <w:t>Utrudniony dostęp do informacji o środkach ze składek i dobrowolnych wpłatach w praktyce uniemożliwia ocenę poziomu świadczeń, na jakie zainteresowani mogą liczyć w przyszłości. Ponadto osoby gromadzące oszczędności nie mają wiedzy i pewności, czy wskazały w razie swojej śmierci osoby uposażone do odbioru pozostałych po nich środków. To powoduje trudności w ich wypłatach. Z tych względów informacje o stanie kont emerytalnych oraz możliwość łatwego sprawdzenia swoich danych osobowych i dyspozycji w poszczególnych produktach emerytalnych, a tym samym zapoznanie się także z szacunkową wysokością przyszłych świadczeń są niezwykle potrzebne.</w:t>
      </w:r>
    </w:p>
    <w:p w14:paraId="7C6F6C31" w14:textId="6F94E631" w:rsidR="00F17612" w:rsidRPr="00346672" w:rsidRDefault="00F17612" w:rsidP="009D6708">
      <w:pPr>
        <w:widowControl/>
        <w:spacing w:before="120"/>
        <w:jc w:val="both"/>
        <w:rPr>
          <w:rFonts w:eastAsia="Calibri" w:cs="Times New Roman"/>
          <w:color w:val="000000"/>
          <w:szCs w:val="24"/>
          <w:lang w:eastAsia="en-US"/>
        </w:rPr>
      </w:pPr>
      <w:r w:rsidRPr="00346672">
        <w:rPr>
          <w:rFonts w:eastAsia="Calibri" w:cs="Times New Roman"/>
          <w:color w:val="000000"/>
          <w:szCs w:val="24"/>
          <w:lang w:eastAsia="en-US"/>
        </w:rPr>
        <w:t xml:space="preserve">Powołanie do życia Centralnej Informacji Emerytalnej (CIE) będzie odpowiadać na zapotrzebowanie społeczne, mitygować lęki oraz pozwoli Polakom lepiej planować przyszłość, o którą </w:t>
      </w:r>
      <w:r w:rsidR="00346672">
        <w:rPr>
          <w:rFonts w:eastAsia="Calibri" w:cs="Times New Roman"/>
          <w:color w:val="000000"/>
          <w:szCs w:val="24"/>
          <w:lang w:eastAsia="en-US"/>
        </w:rPr>
        <w:t>–</w:t>
      </w:r>
      <w:r w:rsidRPr="00346672">
        <w:rPr>
          <w:rFonts w:eastAsia="Calibri" w:cs="Times New Roman"/>
          <w:color w:val="000000"/>
          <w:szCs w:val="24"/>
          <w:lang w:eastAsia="en-US"/>
        </w:rPr>
        <w:t xml:space="preserve"> jak wynika z badań </w:t>
      </w:r>
      <w:r w:rsidR="00346672">
        <w:rPr>
          <w:rFonts w:eastAsia="Calibri" w:cs="Times New Roman"/>
          <w:color w:val="000000"/>
          <w:szCs w:val="24"/>
          <w:lang w:eastAsia="en-US"/>
        </w:rPr>
        <w:t>–</w:t>
      </w:r>
      <w:r w:rsidRPr="00346672">
        <w:rPr>
          <w:rFonts w:eastAsia="Calibri" w:cs="Times New Roman"/>
          <w:color w:val="000000"/>
          <w:szCs w:val="24"/>
          <w:lang w:eastAsia="en-US"/>
        </w:rPr>
        <w:t xml:space="preserve"> się martwią. Nawet 39% rodaków twierdzi, że co najmniej raz w miesiącu mają obawy związane z długoterminowym planowaniem finansów. Polacy są też zdecydowanie mniej przekonani o możliwości zapewnienia sobie komfortowej emerytury niż mieszkańcy innych krajów </w:t>
      </w:r>
      <w:r w:rsidR="00346672">
        <w:rPr>
          <w:rFonts w:eastAsia="Calibri" w:cs="Times New Roman"/>
          <w:color w:val="000000"/>
          <w:szCs w:val="24"/>
          <w:lang w:eastAsia="en-US"/>
        </w:rPr>
        <w:t>–</w:t>
      </w:r>
      <w:r w:rsidRPr="00346672">
        <w:rPr>
          <w:rFonts w:eastAsia="Calibri" w:cs="Times New Roman"/>
          <w:color w:val="000000"/>
          <w:szCs w:val="24"/>
          <w:lang w:eastAsia="en-US"/>
        </w:rPr>
        <w:t xml:space="preserve"> 9% Polaków vs. 29% osób na świecie (</w:t>
      </w:r>
      <w:r w:rsidR="00BB3297">
        <w:rPr>
          <w:rFonts w:eastAsia="Calibri" w:cs="Times New Roman"/>
          <w:color w:val="000000"/>
          <w:szCs w:val="24"/>
          <w:lang w:eastAsia="en-US"/>
        </w:rPr>
        <w:t>ź</w:t>
      </w:r>
      <w:r w:rsidRPr="00346672">
        <w:rPr>
          <w:rFonts w:eastAsia="Calibri" w:cs="Times New Roman"/>
          <w:color w:val="000000"/>
          <w:szCs w:val="24"/>
          <w:lang w:eastAsia="en-US"/>
        </w:rPr>
        <w:t>ródło: raport pt. „Nowa umowa społeczna: Wspieranie oszczędzających w zmieniającym się świecie”, Ankieta Przygotowania Emerytalnego AEGON, 2019).</w:t>
      </w:r>
    </w:p>
    <w:p w14:paraId="59969068" w14:textId="77777777" w:rsidR="00F17612" w:rsidRPr="00346672" w:rsidRDefault="00F17612" w:rsidP="009D6708">
      <w:pPr>
        <w:widowControl/>
        <w:spacing w:before="120"/>
        <w:jc w:val="both"/>
        <w:rPr>
          <w:rFonts w:eastAsia="Calibri" w:cs="Times New Roman"/>
          <w:color w:val="000000"/>
          <w:szCs w:val="24"/>
          <w:lang w:eastAsia="en-US"/>
        </w:rPr>
      </w:pPr>
      <w:r w:rsidRPr="00346672">
        <w:rPr>
          <w:rFonts w:eastAsia="Calibri" w:cs="Times New Roman"/>
          <w:color w:val="000000"/>
          <w:szCs w:val="24"/>
          <w:lang w:eastAsia="en-US"/>
        </w:rPr>
        <w:t xml:space="preserve">Brak wiedzy Polaków na temat funkcjonującego systemu ubezpieczeń opisują także badania ZUS i Instytutu Spraw Publicznych pt. „Wiedza i postawy wobec ubezpieczeń społecznych. Raport z badań” (Warszawa 2016), z których wynika m.in., że „Polacy niewiele wiedzą na </w:t>
      </w:r>
      <w:r w:rsidRPr="00346672">
        <w:rPr>
          <w:rFonts w:eastAsia="Calibri" w:cs="Times New Roman"/>
          <w:color w:val="000000"/>
          <w:szCs w:val="24"/>
          <w:lang w:eastAsia="en-US"/>
        </w:rPr>
        <w:lastRenderedPageBreak/>
        <w:t>temat systemu ubezpieczeń społecznych – tylko 7% prezentuje poziom wiedzy, który można uznać za zadowalający, brak wiedzy sprawia, że ocenami dotyczącymi systemu ubezpieczeń społecznych rządzą emocje, dominującym uczuciem związanym z polskim systemem ubezpieczeń społecznych jest niepewność – obawa, czy w przyszłości w ogóle będą wypłacane emerytury, a jeśli tak, to czy zapewnią jakikolwiek akceptowalny poziom życia, Polacy nie mają ani wiedzy na temat systemu ubezpieczeń społecznych, ani ugruntowanych poglądów na temat relacji państwo–obywatel i tego, jaki model ubezpieczeń społecznych powinien funkcjonować, ponad połowa Polaków szuka informacji na temat ubezpieczeń społecznych.”</w:t>
      </w:r>
    </w:p>
    <w:p w14:paraId="002EC252" w14:textId="014550DA" w:rsidR="00F17612" w:rsidRPr="00346672" w:rsidRDefault="00F17612" w:rsidP="009D6708">
      <w:pPr>
        <w:widowControl/>
        <w:spacing w:before="120"/>
        <w:jc w:val="both"/>
        <w:rPr>
          <w:rFonts w:eastAsia="Calibri" w:cs="Times New Roman"/>
          <w:color w:val="000000"/>
          <w:szCs w:val="24"/>
          <w:lang w:eastAsia="en-US"/>
        </w:rPr>
      </w:pPr>
      <w:r w:rsidRPr="00346672">
        <w:rPr>
          <w:rFonts w:eastAsia="Calibri" w:cs="Times New Roman"/>
          <w:color w:val="000000"/>
          <w:szCs w:val="24"/>
          <w:lang w:eastAsia="en-US"/>
        </w:rPr>
        <w:t>Kształtuje to obraz Polaków jako osób martwiących się o swoją przyszłość, choć z drugiej strony niemających specjalnie wiedzy</w:t>
      </w:r>
      <w:r w:rsidR="00466021">
        <w:rPr>
          <w:rFonts w:eastAsia="Calibri" w:cs="Times New Roman"/>
          <w:color w:val="000000"/>
          <w:szCs w:val="24"/>
          <w:lang w:eastAsia="en-US"/>
        </w:rPr>
        <w:t>,</w:t>
      </w:r>
      <w:r w:rsidRPr="00346672">
        <w:rPr>
          <w:rFonts w:eastAsia="Calibri" w:cs="Times New Roman"/>
          <w:color w:val="000000"/>
          <w:szCs w:val="24"/>
          <w:lang w:eastAsia="en-US"/>
        </w:rPr>
        <w:t xml:space="preserve"> jak działać, </w:t>
      </w:r>
      <w:r w:rsidR="000E5A6E">
        <w:rPr>
          <w:rFonts w:eastAsia="Calibri" w:cs="Times New Roman"/>
          <w:color w:val="000000"/>
          <w:szCs w:val="24"/>
          <w:lang w:eastAsia="en-US"/>
        </w:rPr>
        <w:t>a</w:t>
      </w:r>
      <w:r w:rsidRPr="00346672">
        <w:rPr>
          <w:rFonts w:eastAsia="Calibri" w:cs="Times New Roman"/>
          <w:color w:val="000000"/>
          <w:szCs w:val="24"/>
          <w:lang w:eastAsia="en-US"/>
        </w:rPr>
        <w:t xml:space="preserve">by te lęki zredukować. Bez wątpienia powołanie do życia CIE i możliwość wglądu w całość oszczędności emerytalnych pozwoli lepiej poznać stan swojej „emerytalnej zamożności” oraz zaplanować takie działania, </w:t>
      </w:r>
      <w:r w:rsidR="000E5A6E">
        <w:rPr>
          <w:rFonts w:eastAsia="Calibri" w:cs="Times New Roman"/>
          <w:color w:val="000000"/>
          <w:szCs w:val="24"/>
          <w:lang w:eastAsia="en-US"/>
        </w:rPr>
        <w:t>a</w:t>
      </w:r>
      <w:r w:rsidRPr="00346672">
        <w:rPr>
          <w:rFonts w:eastAsia="Calibri" w:cs="Times New Roman"/>
          <w:color w:val="000000"/>
          <w:szCs w:val="24"/>
          <w:lang w:eastAsia="en-US"/>
        </w:rPr>
        <w:t>by mniej martwić się o przyszłość.</w:t>
      </w:r>
    </w:p>
    <w:p w14:paraId="1CE183C8" w14:textId="1D4DF6F5" w:rsidR="00F17612" w:rsidRPr="00346672" w:rsidRDefault="00F17612" w:rsidP="009D6708">
      <w:pPr>
        <w:widowControl/>
        <w:spacing w:before="120"/>
        <w:jc w:val="both"/>
        <w:rPr>
          <w:rFonts w:eastAsia="Calibri" w:cs="Times New Roman"/>
          <w:color w:val="000000"/>
          <w:szCs w:val="24"/>
          <w:lang w:eastAsia="en-US"/>
        </w:rPr>
      </w:pPr>
      <w:r w:rsidRPr="00346672">
        <w:rPr>
          <w:rFonts w:eastAsia="Calibri" w:cs="Times New Roman"/>
          <w:color w:val="000000"/>
          <w:szCs w:val="24"/>
          <w:lang w:eastAsia="en-US"/>
        </w:rPr>
        <w:t xml:space="preserve">Jest to tym bardziej istotne, że Polacy mają do dyspozycji coraz więcej pieniędzy, które mogą oszczędzać. Jak wynika z danych GUS zawartych w opracowaniu „Sytuacja gospodarstw domowych w 2020 r. w świetle wyników badania budżetów gospodarstw domowych” (GUS) w 2020 r. osoba żyjąca w kraju w gospodarstwie domowym dysponowała średnio dochodem w wysokości 1919 zł, a jej wydatki wyniosły 1210 zł. Oznacza to, że nadwyżka dochodu nad wydatkami sięgnęła 37%, co było wartością rekordową od 1989 r. Na przykład 10 lat wcześniej (w 2010 r.) ta nadwyżka sięgała zaledwie 12%. Polacy mają zatem kapitał i możliwości, </w:t>
      </w:r>
      <w:r w:rsidR="00466021">
        <w:rPr>
          <w:rFonts w:eastAsia="Calibri" w:cs="Times New Roman"/>
          <w:color w:val="000000"/>
          <w:szCs w:val="24"/>
          <w:lang w:eastAsia="en-US"/>
        </w:rPr>
        <w:t>a</w:t>
      </w:r>
      <w:r w:rsidRPr="00346672">
        <w:rPr>
          <w:rFonts w:eastAsia="Calibri" w:cs="Times New Roman"/>
          <w:color w:val="000000"/>
          <w:szCs w:val="24"/>
          <w:lang w:eastAsia="en-US"/>
        </w:rPr>
        <w:t>by dodatkowo oszczędzać, ale nie robią tego m.in. ze względu na niewystarczającą wiedzę dotyczącą możliwości lokowania nadwyżek oraz swojej przyszłości emerytalnej.</w:t>
      </w:r>
    </w:p>
    <w:p w14:paraId="128947C8" w14:textId="39A78BF2" w:rsidR="00F17612" w:rsidRPr="00346672" w:rsidRDefault="00F17612" w:rsidP="009D6708">
      <w:pPr>
        <w:widowControl/>
        <w:spacing w:before="120"/>
        <w:jc w:val="both"/>
        <w:rPr>
          <w:rFonts w:eastAsia="Calibri" w:cs="Times New Roman"/>
          <w:color w:val="000000"/>
          <w:szCs w:val="24"/>
          <w:lang w:eastAsia="en-US"/>
        </w:rPr>
      </w:pPr>
      <w:r w:rsidRPr="00346672">
        <w:rPr>
          <w:rFonts w:eastAsia="Calibri" w:cs="Times New Roman"/>
          <w:color w:val="000000"/>
          <w:szCs w:val="24"/>
          <w:lang w:eastAsia="en-US"/>
        </w:rPr>
        <w:t>O niewydajnym sposobie oszczędzania i gromadzenia nadwyżek finansowych świadczą też dane dotyczące tego, gdzie Polacy trzymają swoje oszczędności. Zgodnie z przygotowywanym co miesiąc przez Polski Fundusz Rozwoju (PFR) zestawieniem wartość aktywów finansowych netto gospodarstw domowych (aktywa pomniejszone o zobowiązania) wyniosła na koniec drugiego kwartału 2021 r. 1,800 mld zł, co było kwotą o 16,0% wyższą niż na koniec II kwartału 2020 r. i o 0,8% większą niż w I kwartale 2021 r. Niestety nadwyżki te były w zdecydowanej większości zgromadzone w instrumentach finansowych, któ</w:t>
      </w:r>
      <w:r w:rsidR="00655092">
        <w:rPr>
          <w:rFonts w:eastAsia="Calibri" w:cs="Times New Roman"/>
          <w:color w:val="000000"/>
          <w:szCs w:val="24"/>
          <w:lang w:eastAsia="en-US"/>
        </w:rPr>
        <w:t>re przynoszą Polakom realne (po </w:t>
      </w:r>
      <w:r w:rsidRPr="00346672">
        <w:rPr>
          <w:rFonts w:eastAsia="Calibri" w:cs="Times New Roman"/>
          <w:color w:val="000000"/>
          <w:szCs w:val="24"/>
          <w:lang w:eastAsia="en-US"/>
        </w:rPr>
        <w:t>uwzględnieniu inflacji) straty. Na koniec II kwartał</w:t>
      </w:r>
      <w:r w:rsidR="00655092">
        <w:rPr>
          <w:rFonts w:eastAsia="Calibri" w:cs="Times New Roman"/>
          <w:color w:val="000000"/>
          <w:szCs w:val="24"/>
          <w:lang w:eastAsia="en-US"/>
        </w:rPr>
        <w:t>u 2021 r. gospodarstwa domowe w </w:t>
      </w:r>
      <w:r w:rsidRPr="00346672">
        <w:rPr>
          <w:rFonts w:eastAsia="Calibri" w:cs="Times New Roman"/>
          <w:color w:val="000000"/>
          <w:szCs w:val="24"/>
          <w:lang w:eastAsia="en-US"/>
        </w:rPr>
        <w:t xml:space="preserve">gotówce zgromadziły aż 322,5 mld zł, tj. o 16,1% więcej niż w analogicznym kwartale rok temu. Gotówka jest drugim największym składnikiem aktywów finansowych gospodarstw domowych, ustępując jedynie bieżącym depozytom rozliczeniowym. W stosunku do PKB </w:t>
      </w:r>
      <w:r w:rsidRPr="00346672">
        <w:rPr>
          <w:rFonts w:eastAsia="Calibri" w:cs="Times New Roman"/>
          <w:color w:val="000000"/>
          <w:szCs w:val="24"/>
          <w:lang w:eastAsia="en-US"/>
        </w:rPr>
        <w:lastRenderedPageBreak/>
        <w:t>dysponujemy największą ilością gotówki spośród wszystkich krajów Unii Europejskiej. Z kolei w depozytach bieżących (także oprocentowanych na minimalnym poziomie) zgromadziliśmy 846,5 mld zł. Oznacza to, że blisko 1,2 bln zł Polacy trzymają w aktywach, które realnie przynoszą im straty. Powołanie do życia CIE może zmienić te nawyki i spowodować, że Polacy będą chętniej oszczędzać w bardziej opłacalnych dla siebie instrumentach.</w:t>
      </w:r>
    </w:p>
    <w:p w14:paraId="37938764" w14:textId="158FE2A0" w:rsidR="00F17612" w:rsidRPr="00346672" w:rsidRDefault="00F17612" w:rsidP="009D6708">
      <w:pPr>
        <w:widowControl/>
        <w:spacing w:before="120"/>
        <w:jc w:val="both"/>
        <w:rPr>
          <w:rFonts w:eastAsia="Calibri" w:cs="Times New Roman"/>
          <w:color w:val="000000"/>
          <w:szCs w:val="24"/>
          <w:lang w:eastAsia="en-US"/>
        </w:rPr>
      </w:pPr>
      <w:r w:rsidRPr="00346672">
        <w:rPr>
          <w:rFonts w:eastAsia="Calibri" w:cs="Times New Roman"/>
          <w:color w:val="000000"/>
          <w:szCs w:val="24"/>
          <w:lang w:eastAsia="en-US"/>
        </w:rPr>
        <w:t>CIE, gromadząc dane ze wszystkich filarów zabezpieczenia emerytalnego (publiczny, firmowy, indywidualny) spełniałaby 3 podstawowe, niezwykle istotn</w:t>
      </w:r>
      <w:r w:rsidR="00803C28">
        <w:rPr>
          <w:rFonts w:eastAsia="Calibri" w:cs="Times New Roman"/>
          <w:color w:val="000000"/>
          <w:szCs w:val="24"/>
          <w:lang w:eastAsia="en-US"/>
        </w:rPr>
        <w:t>e z punktu widzenia obywateli i </w:t>
      </w:r>
      <w:r w:rsidRPr="00346672">
        <w:rPr>
          <w:rFonts w:eastAsia="Calibri" w:cs="Times New Roman"/>
          <w:color w:val="000000"/>
          <w:szCs w:val="24"/>
          <w:lang w:eastAsia="en-US"/>
        </w:rPr>
        <w:t>systemu zadania:</w:t>
      </w:r>
    </w:p>
    <w:p w14:paraId="31BDE8F6" w14:textId="4FFF3016" w:rsidR="00F17612" w:rsidRPr="00346672" w:rsidRDefault="00F17612" w:rsidP="0076151F">
      <w:pPr>
        <w:widowControl/>
        <w:autoSpaceDE/>
        <w:autoSpaceDN/>
        <w:adjustRightInd/>
        <w:spacing w:before="120"/>
        <w:ind w:left="708" w:hanging="708"/>
        <w:contextualSpacing/>
        <w:jc w:val="both"/>
        <w:rPr>
          <w:rFonts w:eastAsia="Times New Roman" w:cs="Times New Roman"/>
          <w:bCs/>
          <w:szCs w:val="24"/>
        </w:rPr>
      </w:pPr>
      <w:r w:rsidRPr="00346672">
        <w:rPr>
          <w:rFonts w:eastAsia="Times New Roman" w:cs="Times New Roman"/>
          <w:bCs/>
          <w:szCs w:val="24"/>
        </w:rPr>
        <w:t>1)</w:t>
      </w:r>
      <w:r w:rsidR="0076151F">
        <w:rPr>
          <w:rFonts w:eastAsia="Times New Roman" w:cs="Times New Roman"/>
          <w:bCs/>
          <w:szCs w:val="24"/>
        </w:rPr>
        <w:tab/>
      </w:r>
      <w:r w:rsidRPr="00346672">
        <w:rPr>
          <w:rFonts w:eastAsia="Times New Roman" w:cs="Times New Roman"/>
          <w:bCs/>
          <w:szCs w:val="24"/>
        </w:rPr>
        <w:t>dostarczenie informacji poglądowej o stanie oszczędności emerytalnych i wysokości przyszłego świadczenia. Polacy mogliby dzięki temu w aplikacji mobilnej lub na stronie internetowej w jednym miejscu zobaczyć</w:t>
      </w:r>
      <w:r w:rsidR="0076151F">
        <w:rPr>
          <w:rFonts w:eastAsia="Times New Roman" w:cs="Times New Roman"/>
          <w:bCs/>
          <w:szCs w:val="24"/>
        </w:rPr>
        <w:t>,</w:t>
      </w:r>
      <w:r w:rsidRPr="00346672">
        <w:rPr>
          <w:rFonts w:eastAsia="Times New Roman" w:cs="Times New Roman"/>
          <w:bCs/>
          <w:szCs w:val="24"/>
        </w:rPr>
        <w:t xml:space="preserve"> ile pieniędzy zgromadzili na przyszłe świadczenia i jaka będzie lub może być ich wysokość w przyszłości. Ta użyteczność CIE dostarczałaby zatem kompleksowej informacji ze wszystkich systemów w jednym miejscu, miałaby też wbudowane kalkulatory wysokości przyszłych świadczeń, dostarczałaby informacji o bieżących i przeszłych przelewach od pracodawców (dodatkowa funkcja kontrolna firm ze strony obywateli, możliwość sięgnięcia do historii rachunku) oraz z instytucji finansowych. Taka konstrukcja umożliwi kontrolę całości kapitału emerytalnego w jednym miejscu;</w:t>
      </w:r>
    </w:p>
    <w:p w14:paraId="5D9EF2D7" w14:textId="632A1879" w:rsidR="00F17612" w:rsidRPr="00346672" w:rsidRDefault="00F17612" w:rsidP="0076151F">
      <w:pPr>
        <w:widowControl/>
        <w:autoSpaceDE/>
        <w:autoSpaceDN/>
        <w:adjustRightInd/>
        <w:spacing w:before="120"/>
        <w:ind w:left="708" w:hanging="708"/>
        <w:contextualSpacing/>
        <w:jc w:val="both"/>
        <w:rPr>
          <w:rFonts w:eastAsia="Times New Roman" w:cs="Times New Roman"/>
          <w:bCs/>
          <w:szCs w:val="24"/>
        </w:rPr>
      </w:pPr>
      <w:r w:rsidRPr="00346672">
        <w:rPr>
          <w:rFonts w:eastAsia="Times New Roman" w:cs="Times New Roman"/>
          <w:bCs/>
          <w:szCs w:val="24"/>
        </w:rPr>
        <w:t>2)</w:t>
      </w:r>
      <w:r w:rsidR="0076151F">
        <w:rPr>
          <w:rFonts w:eastAsia="Times New Roman" w:cs="Times New Roman"/>
          <w:bCs/>
          <w:szCs w:val="24"/>
        </w:rPr>
        <w:tab/>
      </w:r>
      <w:r w:rsidRPr="00346672">
        <w:rPr>
          <w:rFonts w:eastAsia="Times New Roman" w:cs="Times New Roman"/>
          <w:bCs/>
          <w:szCs w:val="24"/>
        </w:rPr>
        <w:t xml:space="preserve">możliwość otrzymywania informacji o stanie kont w wersji elektronicznej, w jednym miejscu. Obecnie wiele instytucji finansowych (np. TFI czy PTE prowadzące PPK, PTE prowadzące OFE) oraz ZUS są zobowiązane do wysłania listownych/mailowych informacji o stanie kont emerytalnych swoich klientów. Jest to masowa korespondencja. </w:t>
      </w:r>
      <w:r w:rsidR="0076151F">
        <w:rPr>
          <w:rFonts w:eastAsia="Times New Roman" w:cs="Times New Roman"/>
          <w:bCs/>
          <w:szCs w:val="24"/>
        </w:rPr>
        <w:t>Powoduje</w:t>
      </w:r>
      <w:r w:rsidR="0076151F" w:rsidRPr="00346672">
        <w:rPr>
          <w:rFonts w:eastAsia="Times New Roman" w:cs="Times New Roman"/>
          <w:bCs/>
          <w:szCs w:val="24"/>
        </w:rPr>
        <w:t xml:space="preserve"> </w:t>
      </w:r>
      <w:r w:rsidRPr="00346672">
        <w:rPr>
          <w:rFonts w:eastAsia="Times New Roman" w:cs="Times New Roman"/>
          <w:bCs/>
          <w:szCs w:val="24"/>
        </w:rPr>
        <w:t xml:space="preserve">to nie tylko określone koszty, ale ze względu na często nieaktualne dane adresowe/mailowe nie dociera do adresatów. Powołanie do życia CIE zdecydowanie </w:t>
      </w:r>
      <w:r w:rsidR="0076151F">
        <w:rPr>
          <w:rFonts w:eastAsia="Times New Roman" w:cs="Times New Roman"/>
          <w:bCs/>
          <w:szCs w:val="24"/>
        </w:rPr>
        <w:t>uprości</w:t>
      </w:r>
      <w:r w:rsidRPr="00346672">
        <w:rPr>
          <w:rFonts w:eastAsia="Times New Roman" w:cs="Times New Roman"/>
          <w:bCs/>
          <w:szCs w:val="24"/>
        </w:rPr>
        <w:t xml:space="preserve"> proces informowania ubezpieczonych o stanie ich kont i spowoduje, że będzie on bardziej efektywny i tańszy;</w:t>
      </w:r>
    </w:p>
    <w:p w14:paraId="35D71B44" w14:textId="31C1B435" w:rsidR="00F17612" w:rsidRPr="00346672" w:rsidRDefault="00F17612" w:rsidP="0076151F">
      <w:pPr>
        <w:widowControl/>
        <w:autoSpaceDE/>
        <w:autoSpaceDN/>
        <w:adjustRightInd/>
        <w:spacing w:before="120"/>
        <w:ind w:left="708" w:hanging="708"/>
        <w:contextualSpacing/>
        <w:jc w:val="both"/>
        <w:rPr>
          <w:rFonts w:eastAsia="Times New Roman" w:cs="Times New Roman"/>
          <w:bCs/>
          <w:szCs w:val="24"/>
        </w:rPr>
      </w:pPr>
      <w:r w:rsidRPr="00346672">
        <w:rPr>
          <w:rFonts w:eastAsia="Times New Roman" w:cs="Times New Roman"/>
          <w:bCs/>
          <w:szCs w:val="24"/>
        </w:rPr>
        <w:t>3)</w:t>
      </w:r>
      <w:r w:rsidR="0076151F">
        <w:rPr>
          <w:rFonts w:eastAsia="Times New Roman" w:cs="Times New Roman"/>
          <w:bCs/>
          <w:szCs w:val="24"/>
        </w:rPr>
        <w:tab/>
      </w:r>
      <w:r w:rsidRPr="00346672">
        <w:rPr>
          <w:rFonts w:eastAsia="Times New Roman" w:cs="Times New Roman"/>
          <w:bCs/>
          <w:szCs w:val="24"/>
        </w:rPr>
        <w:t xml:space="preserve">możliwość aktualizacji danych osobowych </w:t>
      </w:r>
      <w:r w:rsidR="009C5F2A">
        <w:rPr>
          <w:rFonts w:eastAsia="Times New Roman" w:cs="Times New Roman"/>
          <w:bCs/>
          <w:szCs w:val="24"/>
        </w:rPr>
        <w:t>za</w:t>
      </w:r>
      <w:r w:rsidR="009C5F2A" w:rsidRPr="00346672">
        <w:rPr>
          <w:rFonts w:eastAsia="Times New Roman" w:cs="Times New Roman"/>
          <w:bCs/>
          <w:szCs w:val="24"/>
        </w:rPr>
        <w:t xml:space="preserve"> </w:t>
      </w:r>
      <w:r w:rsidRPr="00346672">
        <w:rPr>
          <w:rFonts w:eastAsia="Times New Roman" w:cs="Times New Roman"/>
          <w:bCs/>
          <w:szCs w:val="24"/>
        </w:rPr>
        <w:t>pomoc</w:t>
      </w:r>
      <w:r w:rsidR="009C5F2A">
        <w:rPr>
          <w:rFonts w:eastAsia="Times New Roman" w:cs="Times New Roman"/>
          <w:bCs/>
          <w:szCs w:val="24"/>
        </w:rPr>
        <w:t>ą</w:t>
      </w:r>
      <w:r w:rsidRPr="00346672">
        <w:rPr>
          <w:rFonts w:eastAsia="Times New Roman" w:cs="Times New Roman"/>
          <w:bCs/>
          <w:szCs w:val="24"/>
        </w:rPr>
        <w:t xml:space="preserve"> rejestrów publicznych. Obecnie, np. po zmianie adresu zamieszkania czy numeru dowodu osobistego, obywatele chcący zachować aktualne dane i otrzymywać z instytucji bieżące informacje muszą udać się do każdej z nich osobno, </w:t>
      </w:r>
      <w:r w:rsidR="009C5F2A">
        <w:rPr>
          <w:rFonts w:eastAsia="Times New Roman" w:cs="Times New Roman"/>
          <w:bCs/>
          <w:szCs w:val="24"/>
        </w:rPr>
        <w:t>a</w:t>
      </w:r>
      <w:r w:rsidRPr="00346672">
        <w:rPr>
          <w:rFonts w:eastAsia="Times New Roman" w:cs="Times New Roman"/>
          <w:bCs/>
          <w:szCs w:val="24"/>
        </w:rPr>
        <w:t>by zgłosić nowe dane. Co więcej</w:t>
      </w:r>
      <w:r w:rsidR="00803C28">
        <w:rPr>
          <w:rFonts w:eastAsia="Times New Roman" w:cs="Times New Roman"/>
          <w:bCs/>
          <w:szCs w:val="24"/>
        </w:rPr>
        <w:t xml:space="preserve"> często odbywa się to w </w:t>
      </w:r>
      <w:r w:rsidRPr="00346672">
        <w:rPr>
          <w:rFonts w:eastAsia="Times New Roman" w:cs="Times New Roman"/>
          <w:bCs/>
          <w:szCs w:val="24"/>
        </w:rPr>
        <w:t>postaci papierowej</w:t>
      </w:r>
      <w:r w:rsidR="009C5F2A">
        <w:rPr>
          <w:rFonts w:eastAsia="Times New Roman" w:cs="Times New Roman"/>
          <w:bCs/>
          <w:szCs w:val="24"/>
        </w:rPr>
        <w:t>,</w:t>
      </w:r>
      <w:r w:rsidRPr="00346672">
        <w:rPr>
          <w:rFonts w:eastAsia="Times New Roman" w:cs="Times New Roman"/>
          <w:bCs/>
          <w:szCs w:val="24"/>
        </w:rPr>
        <w:t xml:space="preserve"> co utrudnia im życie, podraża koszty całego systemu, może też powodować pomyłki i konieczność składania wyjaśnień lub korekt. System CIE będzie umożliwiał ich użytkownikom złożenie tylko jednej, elektronicznej dyspozycji zmiany </w:t>
      </w:r>
      <w:r w:rsidRPr="00346672">
        <w:rPr>
          <w:rFonts w:eastAsia="Times New Roman" w:cs="Times New Roman"/>
          <w:bCs/>
          <w:szCs w:val="24"/>
        </w:rPr>
        <w:lastRenderedPageBreak/>
        <w:t>danych, które zostaną przekazane za jej pośrednictwem do wszystkich instytucji, w których konta ma obywatel. System CIE będzie też komunikował się z rejestrem PESEL, więc osoba zmieniająca podstawowe dane w tym rejestrze (np. nazwisko czy numer dowodu) będzie miała automatycznie aktualizowane te dane w bazach instytucji gromadzących jej oszczędności emerytalne. Takie rozwiązanie spowoduje nie tylko ogromne ułatwienie dla obywateli, ale także dla dużej liczby instytucji obsługujących system.</w:t>
      </w:r>
    </w:p>
    <w:p w14:paraId="183DCE88" w14:textId="45B06F9B"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Mając na uwadze, że</w:t>
      </w:r>
      <w:r w:rsidR="00346672">
        <w:rPr>
          <w:rFonts w:eastAsia="Times New Roman" w:cs="Times New Roman"/>
          <w:bCs/>
          <w:szCs w:val="24"/>
        </w:rPr>
        <w:t xml:space="preserve"> </w:t>
      </w:r>
      <w:r w:rsidRPr="00346672">
        <w:rPr>
          <w:rFonts w:eastAsia="Times New Roman" w:cs="Times New Roman"/>
          <w:bCs/>
          <w:szCs w:val="24"/>
        </w:rPr>
        <w:t>szeroko rozumiane informacje emerytalne to dane wrażliwe i o dużym znaczeniu, a także ze względu na skalę tego zadania</w:t>
      </w:r>
      <w:r w:rsidR="009C5F2A">
        <w:rPr>
          <w:rFonts w:eastAsia="Times New Roman" w:cs="Times New Roman"/>
          <w:bCs/>
          <w:szCs w:val="24"/>
        </w:rPr>
        <w:t>,</w:t>
      </w:r>
      <w:r w:rsidRPr="00346672">
        <w:rPr>
          <w:rFonts w:eastAsia="Times New Roman" w:cs="Times New Roman"/>
          <w:bCs/>
          <w:szCs w:val="24"/>
        </w:rPr>
        <w:t xml:space="preserve"> nie jest możliwe zbudowanie centralnego systemu informatycznego gromadzącego i udostepniającego informacje emerytalne bez wyraźnej podstawy prawnej. Uregulowanie CIE, w tym systemu CIE w ustawie</w:t>
      </w:r>
      <w:r w:rsidR="009C5F2A">
        <w:rPr>
          <w:rFonts w:eastAsia="Times New Roman" w:cs="Times New Roman"/>
          <w:bCs/>
          <w:szCs w:val="24"/>
        </w:rPr>
        <w:t>,</w:t>
      </w:r>
      <w:r w:rsidRPr="00346672">
        <w:rPr>
          <w:rFonts w:eastAsia="Times New Roman" w:cs="Times New Roman"/>
          <w:bCs/>
          <w:szCs w:val="24"/>
        </w:rPr>
        <w:t xml:space="preserve"> pozwala także na przyjęcie rozwiązań dostosowanych do różnych systemów: ZUS, KRUS, komercyjnych instytucji finansowych itp. Projektowana ustawa stanowi zatem uzupełnienie nie jednej, ale wielu uregulowań rangi ustawowej.</w:t>
      </w:r>
    </w:p>
    <w:p w14:paraId="1628EE2F"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CIE będzie przedstawiać użytkownikowi zagregowane informacje o uczestnictwie w systemie emerytalnym opartym na trzech filarach:</w:t>
      </w:r>
    </w:p>
    <w:p w14:paraId="3B462C15" w14:textId="59778F78" w:rsidR="00F17612" w:rsidRPr="00346672" w:rsidRDefault="00F17612" w:rsidP="00346672">
      <w:pPr>
        <w:widowControl/>
        <w:numPr>
          <w:ilvl w:val="0"/>
          <w:numId w:val="1"/>
        </w:numPr>
        <w:autoSpaceDE/>
        <w:autoSpaceDN/>
        <w:adjustRightInd/>
        <w:ind w:left="357" w:hanging="357"/>
        <w:jc w:val="both"/>
        <w:rPr>
          <w:rFonts w:eastAsia="Times New Roman" w:cs="Times New Roman"/>
          <w:bCs/>
          <w:szCs w:val="24"/>
        </w:rPr>
      </w:pPr>
      <w:r w:rsidRPr="00346672">
        <w:rPr>
          <w:rFonts w:eastAsia="Times New Roman" w:cs="Times New Roman"/>
          <w:bCs/>
          <w:szCs w:val="24"/>
        </w:rPr>
        <w:t xml:space="preserve">filar publiczny </w:t>
      </w:r>
      <w:r w:rsidR="00346672">
        <w:rPr>
          <w:rFonts w:eastAsia="Times New Roman" w:cs="Times New Roman"/>
          <w:bCs/>
          <w:szCs w:val="24"/>
        </w:rPr>
        <w:t>–</w:t>
      </w:r>
      <w:r w:rsidRPr="00346672">
        <w:rPr>
          <w:rFonts w:eastAsia="Times New Roman" w:cs="Times New Roman"/>
          <w:bCs/>
          <w:szCs w:val="24"/>
        </w:rPr>
        <w:t xml:space="preserve"> na który składają się przede wszystkim system powszechny prowadzony przez ZUS oraz KRUS</w:t>
      </w:r>
      <w:r w:rsidR="009C5F2A">
        <w:rPr>
          <w:rFonts w:eastAsia="Times New Roman" w:cs="Times New Roman"/>
          <w:bCs/>
          <w:szCs w:val="24"/>
        </w:rPr>
        <w:t>,</w:t>
      </w:r>
    </w:p>
    <w:p w14:paraId="0E160583" w14:textId="77777777" w:rsidR="00F17612" w:rsidRPr="00346672" w:rsidRDefault="00F17612" w:rsidP="00346672">
      <w:pPr>
        <w:widowControl/>
        <w:numPr>
          <w:ilvl w:val="0"/>
          <w:numId w:val="1"/>
        </w:numPr>
        <w:autoSpaceDE/>
        <w:autoSpaceDN/>
        <w:adjustRightInd/>
        <w:ind w:left="357" w:hanging="357"/>
        <w:jc w:val="both"/>
        <w:rPr>
          <w:rFonts w:eastAsia="Times New Roman" w:cs="Times New Roman"/>
          <w:bCs/>
          <w:szCs w:val="24"/>
        </w:rPr>
      </w:pPr>
      <w:r w:rsidRPr="00346672">
        <w:rPr>
          <w:rFonts w:eastAsia="Times New Roman" w:cs="Times New Roman"/>
          <w:bCs/>
          <w:szCs w:val="24"/>
        </w:rPr>
        <w:t>prywatny filar pracowniczy, współtworzony lub tworzony przez pracodawców – na który składają się konta w Pracowniczych Planach Kapitałowych (PPK) oraz w Pracowniczych Programach Emerytalnych (PPE),</w:t>
      </w:r>
    </w:p>
    <w:p w14:paraId="7DDE2AEF" w14:textId="77777777" w:rsidR="00F17612" w:rsidRPr="00346672" w:rsidRDefault="00F17612" w:rsidP="00346672">
      <w:pPr>
        <w:widowControl/>
        <w:numPr>
          <w:ilvl w:val="0"/>
          <w:numId w:val="1"/>
        </w:numPr>
        <w:autoSpaceDE/>
        <w:autoSpaceDN/>
        <w:adjustRightInd/>
        <w:ind w:left="357" w:hanging="357"/>
        <w:jc w:val="both"/>
        <w:rPr>
          <w:rFonts w:eastAsia="Times New Roman" w:cs="Times New Roman"/>
          <w:bCs/>
          <w:szCs w:val="24"/>
        </w:rPr>
      </w:pPr>
      <w:r w:rsidRPr="00346672">
        <w:rPr>
          <w:rFonts w:eastAsia="Times New Roman" w:cs="Times New Roman"/>
          <w:bCs/>
          <w:szCs w:val="24"/>
        </w:rPr>
        <w:t xml:space="preserve">prywatny filar indywidualny – na który składają się Indywidualne Konta Emerytalne (IKE), Indywidualne Konta Zabezpieczenia Emerytalnego (IKZE) oraz Otwarte Fundusze Emerytalne (OFE). </w:t>
      </w:r>
    </w:p>
    <w:p w14:paraId="4F220371" w14:textId="1E23E99A" w:rsidR="00F17612" w:rsidRPr="00346672" w:rsidRDefault="00F17612" w:rsidP="009D6708">
      <w:pPr>
        <w:widowControl/>
        <w:autoSpaceDE/>
        <w:autoSpaceDN/>
        <w:adjustRightInd/>
        <w:spacing w:before="120"/>
        <w:jc w:val="both"/>
        <w:rPr>
          <w:rFonts w:eastAsia="Calibri" w:cs="Times New Roman"/>
          <w:szCs w:val="24"/>
          <w:lang w:eastAsia="en-US"/>
        </w:rPr>
      </w:pPr>
      <w:r w:rsidRPr="00346672">
        <w:rPr>
          <w:rFonts w:eastAsia="Calibri" w:cs="Times New Roman"/>
          <w:szCs w:val="24"/>
          <w:lang w:eastAsia="en-US"/>
        </w:rPr>
        <w:t xml:space="preserve">W proces powstawania CIE </w:t>
      </w:r>
      <w:r w:rsidR="000663C8" w:rsidRPr="00346672">
        <w:rPr>
          <w:rFonts w:eastAsia="Calibri" w:cs="Times New Roman"/>
          <w:szCs w:val="24"/>
          <w:lang w:eastAsia="en-US"/>
        </w:rPr>
        <w:t xml:space="preserve">będą </w:t>
      </w:r>
      <w:r w:rsidRPr="00346672">
        <w:rPr>
          <w:rFonts w:eastAsia="Calibri" w:cs="Times New Roman"/>
          <w:szCs w:val="24"/>
          <w:lang w:eastAsia="en-US"/>
        </w:rPr>
        <w:t xml:space="preserve">zaangażowane różne podmioty. Dzięki ścisłej współpracy Kancelarii Prezesa Rady Ministrów z ZUS, KRUS, PFR i </w:t>
      </w:r>
      <w:r w:rsidRPr="00346672">
        <w:rPr>
          <w:rFonts w:eastAsia="Calibri" w:cs="Times New Roman"/>
          <w:color w:val="000000" w:themeColor="text1"/>
          <w:szCs w:val="24"/>
          <w:lang w:eastAsia="en-US"/>
        </w:rPr>
        <w:t xml:space="preserve">jej w 100% spółki zależnej </w:t>
      </w:r>
      <w:r w:rsidRPr="00346672">
        <w:rPr>
          <w:rFonts w:eastAsia="Calibri" w:cs="Times New Roman"/>
          <w:szCs w:val="24"/>
          <w:lang w:eastAsia="en-US"/>
        </w:rPr>
        <w:t>– PFR Portal, PPK, a także z instytucjami finansowymi i ubezpieczeniowymi oraz agentami transferowymi, powstanie system dostarczający możliwie pełnej i kompleksowej informacji o stanie i możliwościach dalszego oszczędzania oraz oferujący zestaw narzędzi do administrowania tymi oszczędnościami. Podstawowe zadania poszczególnych uczestników procesu są następujące:</w:t>
      </w:r>
    </w:p>
    <w:p w14:paraId="66EAE030" w14:textId="4CAB47C0" w:rsidR="00F17612" w:rsidRPr="00346672" w:rsidRDefault="00F17612" w:rsidP="00346672">
      <w:pPr>
        <w:widowControl/>
        <w:numPr>
          <w:ilvl w:val="0"/>
          <w:numId w:val="1"/>
        </w:numPr>
        <w:autoSpaceDE/>
        <w:autoSpaceDN/>
        <w:adjustRightInd/>
        <w:ind w:left="357" w:hanging="357"/>
        <w:jc w:val="both"/>
        <w:rPr>
          <w:rFonts w:eastAsia="Times New Roman" w:cs="Times New Roman"/>
          <w:bCs/>
          <w:szCs w:val="24"/>
        </w:rPr>
      </w:pPr>
      <w:r w:rsidRPr="00346672">
        <w:rPr>
          <w:rFonts w:eastAsia="Times New Roman" w:cs="Times New Roman"/>
          <w:bCs/>
          <w:szCs w:val="24"/>
        </w:rPr>
        <w:lastRenderedPageBreak/>
        <w:t xml:space="preserve">KPRM (dział administracji rządowej </w:t>
      </w:r>
      <w:r w:rsidR="00346672">
        <w:rPr>
          <w:rFonts w:eastAsia="Times New Roman" w:cs="Times New Roman"/>
          <w:bCs/>
          <w:szCs w:val="24"/>
        </w:rPr>
        <w:t>–</w:t>
      </w:r>
      <w:r w:rsidRPr="00346672">
        <w:rPr>
          <w:rFonts w:eastAsia="Times New Roman" w:cs="Times New Roman"/>
          <w:bCs/>
          <w:szCs w:val="24"/>
        </w:rPr>
        <w:t xml:space="preserve"> informatyzacja): integracja systemu CIE z serwisem internetowym gov.pl i publiczną aplikacją mobilną, integracja z Węzłem Krajowym Identyfikacji Elektronicznej (WK) w zakresie uwierzytelnienia użytkownika CIE, dostęp i wymiana informacji pozyskanych z rejestrów publicznych (SRP),</w:t>
      </w:r>
    </w:p>
    <w:p w14:paraId="5BA77EFB" w14:textId="587E7AAA" w:rsidR="00F17612" w:rsidRPr="00346672" w:rsidRDefault="00F17612" w:rsidP="00346672">
      <w:pPr>
        <w:widowControl/>
        <w:numPr>
          <w:ilvl w:val="0"/>
          <w:numId w:val="1"/>
        </w:numPr>
        <w:autoSpaceDE/>
        <w:autoSpaceDN/>
        <w:adjustRightInd/>
        <w:ind w:left="357" w:hanging="357"/>
        <w:jc w:val="both"/>
        <w:rPr>
          <w:rFonts w:eastAsia="Times New Roman" w:cs="Times New Roman"/>
          <w:bCs/>
          <w:szCs w:val="24"/>
        </w:rPr>
      </w:pPr>
      <w:r w:rsidRPr="00346672">
        <w:rPr>
          <w:rFonts w:eastAsia="Times New Roman" w:cs="Times New Roman"/>
          <w:bCs/>
          <w:szCs w:val="24"/>
        </w:rPr>
        <w:t xml:space="preserve">ZUS i KRUS: udostępnianie informacji o kontach i subkontach ubezpieczonych, działania informacyjne i promocyjne systemu CIE, które </w:t>
      </w:r>
      <w:r w:rsidR="000663C8" w:rsidRPr="00346672">
        <w:rPr>
          <w:rFonts w:eastAsia="Times New Roman" w:cs="Times New Roman"/>
          <w:bCs/>
          <w:szCs w:val="24"/>
        </w:rPr>
        <w:t xml:space="preserve">są </w:t>
      </w:r>
      <w:r w:rsidRPr="00346672">
        <w:rPr>
          <w:rFonts w:eastAsia="Times New Roman" w:cs="Times New Roman"/>
          <w:bCs/>
          <w:szCs w:val="24"/>
        </w:rPr>
        <w:t>związane z działalnością ZUS i KRUS,</w:t>
      </w:r>
    </w:p>
    <w:p w14:paraId="43BF5274" w14:textId="77777777" w:rsidR="00F17612" w:rsidRPr="00346672" w:rsidRDefault="00F17612" w:rsidP="00346672">
      <w:pPr>
        <w:widowControl/>
        <w:numPr>
          <w:ilvl w:val="0"/>
          <w:numId w:val="1"/>
        </w:numPr>
        <w:autoSpaceDE/>
        <w:autoSpaceDN/>
        <w:adjustRightInd/>
        <w:ind w:left="357" w:hanging="357"/>
        <w:jc w:val="both"/>
        <w:rPr>
          <w:rFonts w:eastAsia="Times New Roman" w:cs="Times New Roman"/>
          <w:bCs/>
          <w:szCs w:val="24"/>
        </w:rPr>
      </w:pPr>
      <w:r w:rsidRPr="00346672">
        <w:rPr>
          <w:rFonts w:eastAsia="Times New Roman" w:cs="Times New Roman"/>
          <w:bCs/>
          <w:szCs w:val="24"/>
        </w:rPr>
        <w:t xml:space="preserve">PFR i </w:t>
      </w:r>
      <w:r w:rsidRPr="00346672">
        <w:rPr>
          <w:rFonts w:eastAsia="Times New Roman" w:cs="Times New Roman"/>
          <w:color w:val="000000" w:themeColor="text1"/>
          <w:szCs w:val="24"/>
        </w:rPr>
        <w:t>podmiot</w:t>
      </w:r>
      <w:r w:rsidRPr="00346672">
        <w:rPr>
          <w:rFonts w:eastAsia="Times New Roman" w:cs="Times New Roman"/>
          <w:bCs/>
          <w:color w:val="000000" w:themeColor="text1"/>
          <w:szCs w:val="24"/>
        </w:rPr>
        <w:t xml:space="preserve"> grupy </w:t>
      </w:r>
      <w:r w:rsidRPr="00346672">
        <w:rPr>
          <w:rFonts w:eastAsia="Times New Roman" w:cs="Times New Roman"/>
          <w:bCs/>
          <w:szCs w:val="24"/>
        </w:rPr>
        <w:t>PFR (zwłaszcza spółka PFR Portal PPK): opracowanie architektury, uruchomienie i wdrożenie infrastruktury informatycznej systemu CIE (poza zadaniami wykonywanymi przez inne instytucje), koordynacja działań między instytucjami systemu CIE, budowa i utrzymywanie baz danych, wdrożenie usług oferowanych w systemie CIE,</w:t>
      </w:r>
    </w:p>
    <w:p w14:paraId="1DCAFBDE" w14:textId="77777777" w:rsidR="00F17612" w:rsidRPr="00346672" w:rsidRDefault="00F17612" w:rsidP="00346672">
      <w:pPr>
        <w:widowControl/>
        <w:numPr>
          <w:ilvl w:val="0"/>
          <w:numId w:val="1"/>
        </w:numPr>
        <w:autoSpaceDE/>
        <w:autoSpaceDN/>
        <w:adjustRightInd/>
        <w:ind w:left="357" w:hanging="357"/>
        <w:jc w:val="both"/>
        <w:rPr>
          <w:rFonts w:eastAsia="Times New Roman" w:cs="Times New Roman"/>
          <w:bCs/>
          <w:szCs w:val="24"/>
        </w:rPr>
      </w:pPr>
      <w:r w:rsidRPr="00346672">
        <w:rPr>
          <w:rFonts w:eastAsia="Times New Roman" w:cs="Times New Roman"/>
          <w:bCs/>
          <w:szCs w:val="24"/>
        </w:rPr>
        <w:t>instytucje finansowe i ubezpieczeniowe oraz agenci transferowi: integracja i cykliczne zasilanie systemu CIE informacjami emerytalnymi, wymiana lub pośredniczenie w wymianie informacji (agenci transferowi) z systemem CIE.</w:t>
      </w:r>
    </w:p>
    <w:p w14:paraId="0F2D3151" w14:textId="67DFF64E" w:rsidR="00F17612" w:rsidRPr="00346672" w:rsidRDefault="00F17612" w:rsidP="009D6708">
      <w:pPr>
        <w:widowControl/>
        <w:autoSpaceDE/>
        <w:autoSpaceDN/>
        <w:adjustRightInd/>
        <w:spacing w:before="120"/>
        <w:jc w:val="both"/>
        <w:rPr>
          <w:rFonts w:eastAsia="Calibri" w:cs="Times New Roman"/>
          <w:szCs w:val="24"/>
          <w:lang w:eastAsia="en-US"/>
        </w:rPr>
      </w:pPr>
      <w:r w:rsidRPr="00346672">
        <w:rPr>
          <w:rFonts w:eastAsia="Calibri" w:cs="Times New Roman"/>
          <w:szCs w:val="24"/>
          <w:lang w:eastAsia="en-US"/>
        </w:rPr>
        <w:t>Podmioty Grupy PFR posiadają kompetencje do budowy CIE z następujących względów: PFR jest spółką Skarbu Państwa oferującą instrumenty służące rozwojowi przedsiębiorstw, jednostek samorządu terytorialnego oraz osób prywatnych, która inwestuje w zrównoważony rozwój społeczny i wzrost gospodarczy państwa. Ponadto PFR ściśle współpracuje z innymi instytucjami rozwoju</w:t>
      </w:r>
      <w:r w:rsidR="000663C8">
        <w:rPr>
          <w:rFonts w:eastAsia="Calibri" w:cs="Times New Roman"/>
          <w:szCs w:val="24"/>
          <w:lang w:eastAsia="en-US"/>
        </w:rPr>
        <w:t>,</w:t>
      </w:r>
      <w:r w:rsidRPr="00346672">
        <w:rPr>
          <w:rFonts w:eastAsia="Calibri" w:cs="Times New Roman"/>
          <w:szCs w:val="24"/>
          <w:lang w:eastAsia="en-US"/>
        </w:rPr>
        <w:t xml:space="preserve"> tj. Bankiem Gospodarstwa Krajowego, Agencją Rozwoju Przemysłu, Korporacją Ubezpieczeń i Kredytów Eksportowych, Polską Agencją Inwestycji i Handlu oraz Polską Agencją Rozwoju Przedsiębiorczości w celu realizacji Strategii na rzecz Odpowiedzialnego Rozwoju. Posiada zarówno unikalny status, jak i doświadczenie. Jako spółka Skarbu Państwa realizująca misję publiczną PFR jest instytucją, której łatwiej kooperować z publicznymi ubezpieczycielami (ZUS, KRUS) oraz jednostkami administracji, które będą współpracować przy budowie CIE. Z drugiej strony jako instytucji działającej na rynku doradczym i ubezpieczeniowym łatwo </w:t>
      </w:r>
      <w:r w:rsidR="000663C8" w:rsidRPr="00346672">
        <w:rPr>
          <w:rFonts w:eastAsia="Calibri" w:cs="Times New Roman"/>
          <w:szCs w:val="24"/>
          <w:lang w:eastAsia="en-US"/>
        </w:rPr>
        <w:t xml:space="preserve">jej </w:t>
      </w:r>
      <w:r w:rsidRPr="00346672">
        <w:rPr>
          <w:rFonts w:eastAsia="Calibri" w:cs="Times New Roman"/>
          <w:szCs w:val="24"/>
          <w:lang w:eastAsia="en-US"/>
        </w:rPr>
        <w:t>będzie współpracować z instytucjami finansowymi prowadzącymi rachunki oszczędnościowe (IKE, IKZE, PPK, PPE, OFE) swoich klientów. Szczególne zadania w zakresie pracowniczych planów kapitałowych pełni spółka zależna PFR – PFR Portal PPK sp. z o.o., która jest współodpowiedzialna za wdrożenie w Polsce PPK. Jej profil bardzo odpowiada kolejnemu projektowi – po PPK – wspierającemu ideę dodatkowego oszczędzania na jesień życia. Spółka na bieżąco prowadzi też działalność związaną z edukacją ekonomiczną w Polsce.</w:t>
      </w:r>
    </w:p>
    <w:p w14:paraId="53C9B6B5" w14:textId="3CA58BF4" w:rsidR="00F17612" w:rsidRPr="00346672" w:rsidRDefault="00F17612" w:rsidP="009D6708">
      <w:pPr>
        <w:widowControl/>
        <w:autoSpaceDE/>
        <w:autoSpaceDN/>
        <w:adjustRightInd/>
        <w:spacing w:before="120"/>
        <w:jc w:val="both"/>
        <w:rPr>
          <w:rFonts w:eastAsia="Times New Roman" w:cs="Times New Roman"/>
          <w:bCs/>
          <w:szCs w:val="24"/>
        </w:rPr>
      </w:pPr>
      <w:r w:rsidRPr="00346672">
        <w:rPr>
          <w:rFonts w:eastAsia="Calibri" w:cs="Times New Roman"/>
          <w:szCs w:val="24"/>
          <w:lang w:eastAsia="en-US"/>
        </w:rPr>
        <w:t xml:space="preserve">System CIE będzie zintegrowany z WK, pośredniczącym w uwierzytelnianiu w krajowych usługach online za pomocą środków identyfikacji elektronicznej wydanych przez różne </w:t>
      </w:r>
      <w:r w:rsidRPr="00346672">
        <w:rPr>
          <w:rFonts w:eastAsia="Calibri" w:cs="Times New Roman"/>
          <w:szCs w:val="24"/>
          <w:lang w:eastAsia="en-US"/>
        </w:rPr>
        <w:lastRenderedPageBreak/>
        <w:t>podmioty w ramach systemów identyfikacji elektronicznej.</w:t>
      </w:r>
      <w:r w:rsidRPr="00346672" w:rsidDel="001F02EE">
        <w:rPr>
          <w:rFonts w:eastAsia="Calibri" w:cs="Times New Roman"/>
          <w:szCs w:val="24"/>
          <w:lang w:eastAsia="en-US"/>
        </w:rPr>
        <w:t xml:space="preserve"> </w:t>
      </w:r>
      <w:r w:rsidRPr="00346672">
        <w:rPr>
          <w:rFonts w:eastAsia="Calibri" w:cs="Times New Roman"/>
          <w:szCs w:val="24"/>
          <w:lang w:eastAsia="en-US"/>
        </w:rPr>
        <w:t xml:space="preserve">Istotne są także kompetencje związane z wdrażanym przez PFR oraz PFR Portal od końca 2019 r. programem PPK. Równocześnie PFR zbudował we współpracy z partnerem zewnętrznym </w:t>
      </w:r>
      <w:r w:rsidRPr="00346672" w:rsidDel="006B1D75">
        <w:rPr>
          <w:rFonts w:eastAsia="Calibri" w:cs="Times New Roman"/>
          <w:szCs w:val="24"/>
          <w:lang w:eastAsia="en-US"/>
        </w:rPr>
        <w:t>m.in</w:t>
      </w:r>
      <w:r w:rsidRPr="00346672">
        <w:rPr>
          <w:rFonts w:eastAsia="Calibri" w:cs="Times New Roman"/>
          <w:szCs w:val="24"/>
          <w:lang w:eastAsia="en-US"/>
        </w:rPr>
        <w:t xml:space="preserve">. rozbudowany system informatyczny, ewidencjonujący uczestników i podmioty PPK. PFR uruchomił też portal internetowy przeznaczony dla PPK, którego operatorem jest PFR Portal PPK. Ponadto PFR prowadzi obsługę telefoniczną programu oraz przeprowadza akcję </w:t>
      </w:r>
      <w:r w:rsidRPr="00346672">
        <w:rPr>
          <w:rFonts w:eastAsia="Times New Roman" w:cs="Times New Roman"/>
          <w:bCs/>
          <w:szCs w:val="24"/>
        </w:rPr>
        <w:t xml:space="preserve">edukacyjną dla obywateli i firm. Buduje także kompetencje wewnątrz organizacji. </w:t>
      </w:r>
    </w:p>
    <w:p w14:paraId="7C732620" w14:textId="7913CD90"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Należy dodać, że rozwiązania podobne do projektowanej CIE zostały utworzone lub są aktualnie tworzone w państwach wysoko rozwiniętych, w których system emerytalny – podobnie jak w Polsce – obejmuje zarówno filar publiczny</w:t>
      </w:r>
      <w:r w:rsidR="003A007B">
        <w:rPr>
          <w:rFonts w:eastAsia="Times New Roman" w:cs="Times New Roman"/>
          <w:bCs/>
          <w:szCs w:val="24"/>
        </w:rPr>
        <w:t>,</w:t>
      </w:r>
      <w:r w:rsidRPr="00346672">
        <w:rPr>
          <w:rFonts w:eastAsia="Times New Roman" w:cs="Times New Roman"/>
          <w:bCs/>
          <w:szCs w:val="24"/>
        </w:rPr>
        <w:t xml:space="preserve"> jak i filary kapitałowe (oszczędnościowe). Udostępnienie kompletnej i wiarygodnej informacji postrzega się jako kluczowy element budowania świadomości znaczenia oszczędzania na okres po zakończeniu kariery zawodowej oraz zwiększenie przejrzystości rynku produktów emerytalnych. Jedną tzw. tablicę emerytalną (ang. </w:t>
      </w:r>
      <w:proofErr w:type="spellStart"/>
      <w:r w:rsidRPr="00346672">
        <w:rPr>
          <w:rFonts w:eastAsia="Times New Roman" w:cs="Times New Roman"/>
          <w:bCs/>
          <w:i/>
          <w:iCs/>
          <w:szCs w:val="24"/>
        </w:rPr>
        <w:t>pension</w:t>
      </w:r>
      <w:proofErr w:type="spellEnd"/>
      <w:r w:rsidRPr="00346672">
        <w:rPr>
          <w:rFonts w:eastAsia="Times New Roman" w:cs="Times New Roman"/>
          <w:bCs/>
          <w:i/>
          <w:iCs/>
          <w:szCs w:val="24"/>
        </w:rPr>
        <w:t xml:space="preserve"> </w:t>
      </w:r>
      <w:proofErr w:type="spellStart"/>
      <w:r w:rsidRPr="00346672">
        <w:rPr>
          <w:rFonts w:eastAsia="Times New Roman" w:cs="Times New Roman"/>
          <w:bCs/>
          <w:i/>
          <w:iCs/>
          <w:szCs w:val="24"/>
        </w:rPr>
        <w:t>dashboard</w:t>
      </w:r>
      <w:proofErr w:type="spellEnd"/>
      <w:r w:rsidRPr="00346672">
        <w:rPr>
          <w:rFonts w:eastAsia="Times New Roman" w:cs="Times New Roman"/>
          <w:bCs/>
          <w:szCs w:val="24"/>
        </w:rPr>
        <w:t>) utworzono</w:t>
      </w:r>
      <w:r w:rsidRPr="00346672" w:rsidDel="006B1D75">
        <w:rPr>
          <w:rFonts w:eastAsia="Times New Roman" w:cs="Times New Roman"/>
          <w:bCs/>
          <w:szCs w:val="24"/>
        </w:rPr>
        <w:t xml:space="preserve"> już</w:t>
      </w:r>
      <w:r w:rsidRPr="00346672">
        <w:rPr>
          <w:rFonts w:eastAsia="Times New Roman" w:cs="Times New Roman"/>
          <w:bCs/>
          <w:szCs w:val="24"/>
        </w:rPr>
        <w:t xml:space="preserve"> m.in. w Danii (1999 r.), Szwecji (2007 r.), Australii (2012 r.) i Holandii (2008 r.). Plany utworzenia takich systemów informacji emerytalnej są</w:t>
      </w:r>
      <w:r w:rsidRPr="00346672" w:rsidDel="006B1D75">
        <w:rPr>
          <w:rFonts w:eastAsia="Times New Roman" w:cs="Times New Roman"/>
          <w:bCs/>
          <w:szCs w:val="24"/>
        </w:rPr>
        <w:t xml:space="preserve"> </w:t>
      </w:r>
      <w:r w:rsidRPr="00346672">
        <w:rPr>
          <w:rFonts w:eastAsia="Times New Roman" w:cs="Times New Roman"/>
          <w:bCs/>
          <w:szCs w:val="24"/>
        </w:rPr>
        <w:t>wdrażane np. w Wielkiej Brytanii.</w:t>
      </w:r>
    </w:p>
    <w:p w14:paraId="688A9ACD"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Obecnie nie funkcjonuje usługa elektroniczna, która zapewniałaby łatwy i nieodpłatny dostęp do możliwie pełnej informacji o zgromadzonych oszczędnościach emerytalnych. Materia projektowanej ustawy nie jest obecnie przedmiotem przepisów prawa powszechnie obowiązującego.</w:t>
      </w:r>
    </w:p>
    <w:p w14:paraId="28618A02" w14:textId="382C5DDB"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Podsumowując, dzięki uruchomieniu CIE </w:t>
      </w:r>
      <w:r w:rsidR="00FC4035" w:rsidRPr="00346672">
        <w:rPr>
          <w:rFonts w:eastAsia="Times New Roman" w:cs="Times New Roman"/>
          <w:bCs/>
          <w:szCs w:val="24"/>
        </w:rPr>
        <w:t xml:space="preserve">będzie </w:t>
      </w:r>
      <w:r w:rsidRPr="00346672">
        <w:rPr>
          <w:rFonts w:eastAsia="Times New Roman" w:cs="Times New Roman"/>
          <w:bCs/>
          <w:szCs w:val="24"/>
        </w:rPr>
        <w:t>możliwe osiągnięcie wielu korzystnych efektów, w szczególności podniesienie świadomości i budowa zainteresowania produktami emerytalnymi przez:</w:t>
      </w:r>
    </w:p>
    <w:p w14:paraId="40F838E8" w14:textId="1CA79617" w:rsidR="00F17612" w:rsidRPr="00346672" w:rsidRDefault="00F17612" w:rsidP="009D6708">
      <w:pPr>
        <w:widowControl/>
        <w:tabs>
          <w:tab w:val="left" w:pos="504"/>
        </w:tabs>
        <w:autoSpaceDE/>
        <w:autoSpaceDN/>
        <w:adjustRightInd/>
        <w:ind w:left="510" w:hanging="510"/>
        <w:jc w:val="both"/>
        <w:rPr>
          <w:rFonts w:eastAsia="Times New Roman" w:cs="Times New Roman"/>
          <w:bCs/>
          <w:szCs w:val="24"/>
        </w:rPr>
      </w:pPr>
      <w:r w:rsidRPr="00346672">
        <w:rPr>
          <w:rFonts w:eastAsia="Times New Roman" w:cs="Times New Roman"/>
          <w:bCs/>
          <w:szCs w:val="24"/>
        </w:rPr>
        <w:t>1)</w:t>
      </w:r>
      <w:r w:rsidR="00964502">
        <w:rPr>
          <w:rFonts w:eastAsia="Times New Roman" w:cs="Times New Roman"/>
          <w:bCs/>
          <w:szCs w:val="24"/>
        </w:rPr>
        <w:tab/>
      </w:r>
      <w:r w:rsidRPr="00346672">
        <w:rPr>
          <w:rFonts w:eastAsia="Times New Roman" w:cs="Times New Roman"/>
          <w:bCs/>
          <w:szCs w:val="24"/>
        </w:rPr>
        <w:t>zapewnianie wiedzy na temat wszystkich posiadanych produktów emerytalnych oraz ich sald;</w:t>
      </w:r>
    </w:p>
    <w:p w14:paraId="0DABEF61" w14:textId="673E4255" w:rsidR="00F17612" w:rsidRPr="00346672" w:rsidRDefault="00F17612" w:rsidP="009D6708">
      <w:pPr>
        <w:widowControl/>
        <w:tabs>
          <w:tab w:val="left" w:pos="504"/>
        </w:tabs>
        <w:autoSpaceDE/>
        <w:autoSpaceDN/>
        <w:adjustRightInd/>
        <w:ind w:left="510" w:hanging="510"/>
        <w:jc w:val="both"/>
        <w:rPr>
          <w:rFonts w:eastAsia="Times New Roman" w:cs="Times New Roman"/>
          <w:bCs/>
          <w:szCs w:val="24"/>
        </w:rPr>
      </w:pPr>
      <w:r w:rsidRPr="00346672">
        <w:rPr>
          <w:rFonts w:eastAsia="Times New Roman" w:cs="Times New Roman"/>
          <w:bCs/>
          <w:szCs w:val="24"/>
        </w:rPr>
        <w:t>2)</w:t>
      </w:r>
      <w:r w:rsidR="00964502">
        <w:rPr>
          <w:rFonts w:eastAsia="Times New Roman" w:cs="Times New Roman"/>
          <w:bCs/>
          <w:szCs w:val="24"/>
        </w:rPr>
        <w:tab/>
      </w:r>
      <w:r w:rsidRPr="00346672">
        <w:rPr>
          <w:rFonts w:eastAsia="Times New Roman" w:cs="Times New Roman"/>
          <w:bCs/>
          <w:szCs w:val="24"/>
        </w:rPr>
        <w:t>umożliwienie symulacji wysokości przyszłych świadczeń emerytalnych;</w:t>
      </w:r>
    </w:p>
    <w:p w14:paraId="180B2093" w14:textId="21848AEA" w:rsidR="00F17612" w:rsidRPr="00346672" w:rsidRDefault="00F17612" w:rsidP="009D6708">
      <w:pPr>
        <w:widowControl/>
        <w:tabs>
          <w:tab w:val="left" w:pos="504"/>
        </w:tabs>
        <w:autoSpaceDE/>
        <w:autoSpaceDN/>
        <w:adjustRightInd/>
        <w:ind w:left="510" w:hanging="510"/>
        <w:jc w:val="both"/>
        <w:rPr>
          <w:rFonts w:eastAsia="Times New Roman" w:cs="Times New Roman"/>
          <w:bCs/>
          <w:szCs w:val="24"/>
        </w:rPr>
      </w:pPr>
      <w:r w:rsidRPr="00346672">
        <w:rPr>
          <w:rFonts w:eastAsia="Times New Roman" w:cs="Times New Roman"/>
          <w:bCs/>
          <w:szCs w:val="24"/>
        </w:rPr>
        <w:t>3)</w:t>
      </w:r>
      <w:r w:rsidR="00964502">
        <w:rPr>
          <w:rFonts w:eastAsia="Times New Roman" w:cs="Times New Roman"/>
          <w:bCs/>
          <w:szCs w:val="24"/>
        </w:rPr>
        <w:tab/>
      </w:r>
      <w:r w:rsidRPr="00346672">
        <w:rPr>
          <w:rFonts w:eastAsia="Times New Roman" w:cs="Times New Roman"/>
          <w:bCs/>
          <w:szCs w:val="24"/>
        </w:rPr>
        <w:t>propagowanie wiedzy na temat systemu emerytalnego oraz możliwościach zwiększenia bezpieczeństwa emerytalnego;</w:t>
      </w:r>
    </w:p>
    <w:p w14:paraId="7DED740D" w14:textId="5B7B52DE" w:rsidR="00F17612" w:rsidRPr="00346672" w:rsidRDefault="00F17612" w:rsidP="009D6708">
      <w:pPr>
        <w:widowControl/>
        <w:tabs>
          <w:tab w:val="left" w:pos="504"/>
        </w:tabs>
        <w:autoSpaceDE/>
        <w:autoSpaceDN/>
        <w:adjustRightInd/>
        <w:ind w:left="510" w:hanging="510"/>
        <w:jc w:val="both"/>
        <w:rPr>
          <w:rFonts w:eastAsia="Times New Roman" w:cs="Times New Roman"/>
          <w:bCs/>
          <w:szCs w:val="24"/>
        </w:rPr>
      </w:pPr>
      <w:r w:rsidRPr="00346672">
        <w:rPr>
          <w:rFonts w:eastAsia="Times New Roman" w:cs="Times New Roman"/>
          <w:bCs/>
          <w:szCs w:val="24"/>
        </w:rPr>
        <w:t>4)</w:t>
      </w:r>
      <w:r w:rsidR="00964502">
        <w:rPr>
          <w:rFonts w:eastAsia="Times New Roman" w:cs="Times New Roman"/>
          <w:bCs/>
          <w:szCs w:val="24"/>
        </w:rPr>
        <w:tab/>
      </w:r>
      <w:r w:rsidRPr="00346672">
        <w:rPr>
          <w:rFonts w:eastAsia="Times New Roman" w:cs="Times New Roman"/>
          <w:bCs/>
          <w:szCs w:val="24"/>
        </w:rPr>
        <w:t xml:space="preserve">zapewnienie jednego, spójnego kanału informacyjnego, który ułatwi dostęp do informacji o produktach emerytalnych. </w:t>
      </w:r>
    </w:p>
    <w:p w14:paraId="6092FFF2" w14:textId="78969DA6"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w:t>
      </w:r>
      <w:r w:rsidR="00F26740">
        <w:rPr>
          <w:rFonts w:eastAsia="Times New Roman" w:cs="Times New Roman"/>
          <w:b/>
          <w:bCs/>
          <w:szCs w:val="24"/>
        </w:rPr>
        <w:t xml:space="preserve"> </w:t>
      </w:r>
      <w:r w:rsidRPr="00346672">
        <w:rPr>
          <w:rFonts w:eastAsia="Times New Roman" w:cs="Times New Roman"/>
          <w:b/>
          <w:bCs/>
          <w:szCs w:val="24"/>
        </w:rPr>
        <w:t>Zakres ustawy</w:t>
      </w:r>
    </w:p>
    <w:p w14:paraId="0271CDDF"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Projektowany przepis art. 1 określa przedmiot ustawy. Projektowana ustawa określa:</w:t>
      </w:r>
    </w:p>
    <w:p w14:paraId="62F38727"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lastRenderedPageBreak/>
        <w:t>1)</w:t>
      </w:r>
      <w:r w:rsidRPr="00346672">
        <w:rPr>
          <w:rFonts w:eastAsia="Times New Roman" w:cs="Times New Roman"/>
          <w:bCs/>
          <w:szCs w:val="24"/>
        </w:rPr>
        <w:tab/>
        <w:t>zasady funkcjonowania CIE;</w:t>
      </w:r>
    </w:p>
    <w:p w14:paraId="3394C447"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2)</w:t>
      </w:r>
      <w:r w:rsidRPr="00346672">
        <w:rPr>
          <w:rFonts w:eastAsia="Times New Roman" w:cs="Times New Roman"/>
          <w:bCs/>
          <w:szCs w:val="24"/>
        </w:rPr>
        <w:tab/>
        <w:t>zasady dostępu do określonej w ustawie informacji emerytalnej, tj. w szczególności o posiadanych produktach emerytalnych, aktualnym stanie zgromadzonych środków emerytalnych oraz ich szacowanym wpływie na wysokość przyszłych świadczeń emerytalnych;</w:t>
      </w:r>
    </w:p>
    <w:p w14:paraId="6D3AB1DB"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3)</w:t>
      </w:r>
      <w:r w:rsidRPr="00346672">
        <w:rPr>
          <w:rFonts w:eastAsia="Times New Roman" w:cs="Times New Roman"/>
          <w:bCs/>
          <w:szCs w:val="24"/>
        </w:rPr>
        <w:tab/>
        <w:t>warunki korzystania z usług elektronicznych świadczonych za pomocą CIE.</w:t>
      </w:r>
    </w:p>
    <w:p w14:paraId="7FC60522" w14:textId="104985B4"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Należy podkreślić, że projektowana ustawa nie wprowadza zmian w zasadach gromadzenia oszczędności emerytalnych, a reguluje tylko dostęp informacji o nich </w:t>
      </w:r>
      <w:r w:rsidR="003620D3">
        <w:rPr>
          <w:rFonts w:eastAsia="Times New Roman" w:cs="Times New Roman"/>
          <w:bCs/>
          <w:szCs w:val="24"/>
        </w:rPr>
        <w:t>za</w:t>
      </w:r>
      <w:r w:rsidR="003620D3" w:rsidRPr="00346672">
        <w:rPr>
          <w:rFonts w:eastAsia="Times New Roman" w:cs="Times New Roman"/>
          <w:bCs/>
          <w:szCs w:val="24"/>
        </w:rPr>
        <w:t xml:space="preserve"> </w:t>
      </w:r>
      <w:r w:rsidRPr="00346672">
        <w:rPr>
          <w:rFonts w:eastAsia="Times New Roman" w:cs="Times New Roman"/>
          <w:bCs/>
          <w:szCs w:val="24"/>
        </w:rPr>
        <w:t>pomoc</w:t>
      </w:r>
      <w:r w:rsidR="003620D3">
        <w:rPr>
          <w:rFonts w:eastAsia="Times New Roman" w:cs="Times New Roman"/>
          <w:bCs/>
          <w:szCs w:val="24"/>
        </w:rPr>
        <w:t>ą</w:t>
      </w:r>
      <w:r w:rsidRPr="00346672">
        <w:rPr>
          <w:rFonts w:eastAsia="Times New Roman" w:cs="Times New Roman"/>
          <w:bCs/>
          <w:szCs w:val="24"/>
        </w:rPr>
        <w:t xml:space="preserve"> strony internetowej i aplikacji na telefony komórkowe (aplikacji mobilnej). Na</w:t>
      </w:r>
      <w:r w:rsidR="00346672">
        <w:rPr>
          <w:rFonts w:eastAsia="Times New Roman" w:cs="Times New Roman"/>
          <w:bCs/>
          <w:szCs w:val="24"/>
        </w:rPr>
        <w:t xml:space="preserve"> </w:t>
      </w:r>
      <w:r w:rsidRPr="00346672">
        <w:rPr>
          <w:rFonts w:eastAsia="Times New Roman" w:cs="Times New Roman"/>
          <w:bCs/>
          <w:szCs w:val="24"/>
        </w:rPr>
        <w:t xml:space="preserve">początkowym etapie priorytetem będzie zatem zapewnienie wyświetlania informacji, a dopiero wraz z rozwojem CIE </w:t>
      </w:r>
      <w:r w:rsidR="003620D3" w:rsidRPr="00346672">
        <w:rPr>
          <w:rFonts w:eastAsia="Times New Roman" w:cs="Times New Roman"/>
          <w:bCs/>
          <w:szCs w:val="24"/>
        </w:rPr>
        <w:t xml:space="preserve">zostaną </w:t>
      </w:r>
      <w:r w:rsidRPr="00346672">
        <w:rPr>
          <w:rFonts w:eastAsia="Times New Roman" w:cs="Times New Roman"/>
          <w:bCs/>
          <w:szCs w:val="24"/>
        </w:rPr>
        <w:t>dodane stopniowo kolejne funkcjonalności (usług</w:t>
      </w:r>
      <w:r w:rsidRPr="00346672" w:rsidDel="006B1D75">
        <w:rPr>
          <w:rFonts w:eastAsia="Times New Roman" w:cs="Times New Roman"/>
          <w:bCs/>
          <w:szCs w:val="24"/>
        </w:rPr>
        <w:t xml:space="preserve">i </w:t>
      </w:r>
      <w:r w:rsidRPr="00346672">
        <w:rPr>
          <w:rFonts w:eastAsia="Times New Roman" w:cs="Times New Roman"/>
          <w:bCs/>
          <w:szCs w:val="24"/>
        </w:rPr>
        <w:t>elektroniczne).</w:t>
      </w:r>
    </w:p>
    <w:p w14:paraId="6ABFDCD0" w14:textId="482A0906"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2.</w:t>
      </w:r>
      <w:r w:rsidR="00F26740">
        <w:rPr>
          <w:rFonts w:eastAsia="Times New Roman" w:cs="Times New Roman"/>
          <w:b/>
          <w:bCs/>
          <w:szCs w:val="24"/>
        </w:rPr>
        <w:t xml:space="preserve"> </w:t>
      </w:r>
      <w:r w:rsidRPr="00346672">
        <w:rPr>
          <w:rFonts w:eastAsia="Times New Roman" w:cs="Times New Roman"/>
          <w:b/>
          <w:bCs/>
          <w:szCs w:val="24"/>
        </w:rPr>
        <w:t>Słowniczek pojęć ustawowych</w:t>
      </w:r>
    </w:p>
    <w:p w14:paraId="5D871451"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Projektowana ustawa w art. 2 zawiera słowniczek pojęć użytych w jej przepisach.</w:t>
      </w:r>
    </w:p>
    <w:p w14:paraId="222351D3" w14:textId="0380F043"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Pierwszą definicją jest definicja CIE (pkt 1). Przez CIE należy rozumieć zespół rozwiązań organizacyjno-technicznych </w:t>
      </w:r>
      <w:r w:rsidRPr="00346672">
        <w:rPr>
          <w:rFonts w:cs="Times New Roman"/>
          <w:szCs w:val="24"/>
        </w:rPr>
        <w:t>umożliwiających zainteresowanemu dostęp do informacji emerytalnej i korzystanie z usług elektronicznych</w:t>
      </w:r>
      <w:r w:rsidRPr="00346672">
        <w:rPr>
          <w:rFonts w:eastAsia="Times New Roman" w:cs="Times New Roman"/>
          <w:bCs/>
          <w:szCs w:val="24"/>
        </w:rPr>
        <w:t>. Głównym elementem CIE będzie system teleinformatyczny zarządzany przez PFR Portal</w:t>
      </w:r>
      <w:r w:rsidR="00601696">
        <w:rPr>
          <w:rFonts w:eastAsia="Times New Roman" w:cs="Times New Roman"/>
          <w:bCs/>
          <w:szCs w:val="24"/>
        </w:rPr>
        <w:t>,</w:t>
      </w:r>
      <w:r w:rsidRPr="00346672">
        <w:rPr>
          <w:rFonts w:eastAsia="Times New Roman" w:cs="Times New Roman"/>
          <w:bCs/>
          <w:szCs w:val="24"/>
        </w:rPr>
        <w:t xml:space="preserve"> w którym będą kompletowane dane z różnych źródeł (ZUS, KR</w:t>
      </w:r>
      <w:r w:rsidRPr="00346672" w:rsidDel="006B1D75">
        <w:rPr>
          <w:rFonts w:eastAsia="Times New Roman" w:cs="Times New Roman"/>
          <w:bCs/>
          <w:szCs w:val="24"/>
        </w:rPr>
        <w:t>US,</w:t>
      </w:r>
      <w:r w:rsidRPr="00346672">
        <w:rPr>
          <w:rFonts w:eastAsia="Times New Roman" w:cs="Times New Roman"/>
          <w:bCs/>
          <w:szCs w:val="24"/>
        </w:rPr>
        <w:t xml:space="preserve"> fundusze emerytalne itd.) w celu świadczenia usług elektronicznych osobom, które zechcą skorzystać z usług świadczonych w ramach CIE. Najważniejszą usługą elektroniczną będzie zapewnienie dostępu do informacji emerytalnej, w tym do informacji o posiadanych produktach emerytalnych, aktualnym stanie zgromadzonych środków emerytalnych oraz ich szacowanym wpływie na wysokość przyszłych świadczeń emerytalnych (pkt 16), czyli emerytur z systemów publicznych (ZUS, w tym OFE i KRUS)</w:t>
      </w:r>
      <w:r w:rsidR="00601696">
        <w:rPr>
          <w:rFonts w:eastAsia="Times New Roman" w:cs="Times New Roman"/>
          <w:bCs/>
          <w:szCs w:val="24"/>
        </w:rPr>
        <w:t>,</w:t>
      </w:r>
      <w:r w:rsidRPr="00346672">
        <w:rPr>
          <w:rFonts w:eastAsia="Times New Roman" w:cs="Times New Roman"/>
          <w:bCs/>
          <w:szCs w:val="24"/>
        </w:rPr>
        <w:t xml:space="preserve"> i świadczenia wypłacane</w:t>
      </w:r>
      <w:r w:rsidR="00601696">
        <w:rPr>
          <w:rFonts w:eastAsia="Times New Roman" w:cs="Times New Roman"/>
          <w:bCs/>
          <w:szCs w:val="24"/>
        </w:rPr>
        <w:t>go</w:t>
      </w:r>
      <w:r w:rsidRPr="00346672">
        <w:rPr>
          <w:rFonts w:eastAsia="Times New Roman" w:cs="Times New Roman"/>
          <w:bCs/>
          <w:szCs w:val="24"/>
        </w:rPr>
        <w:t xml:space="preserve"> przez instytucje finansowe i inne podmioty prywatne (IKE, IKZE, PPE, PPK). Drugim celem jest umożliwienie zainteresowanym korzystania z określonych w ustawie usług elektronicznych związanych ze świadczeniami emerytalnymi.</w:t>
      </w:r>
    </w:p>
    <w:p w14:paraId="4006E2CB"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Warunkiem dostępu do usług świadczonych w ramach CIE będzie założenie profilu CI</w:t>
      </w:r>
      <w:r w:rsidRPr="00346672" w:rsidDel="006B1D75">
        <w:rPr>
          <w:rFonts w:eastAsia="Times New Roman" w:cs="Times New Roman"/>
          <w:bCs/>
          <w:szCs w:val="24"/>
        </w:rPr>
        <w:t xml:space="preserve">E. </w:t>
      </w:r>
      <w:r w:rsidRPr="00346672">
        <w:rPr>
          <w:rFonts w:eastAsia="Times New Roman" w:cs="Times New Roman"/>
          <w:bCs/>
          <w:szCs w:val="24"/>
        </w:rPr>
        <w:t xml:space="preserve">Zgodnie z projektowanym art. 2 pkt 12, profil CIE to wydzielona część systemu CIE, która umożliwi korzystanie z usług elektronicznych świadczonych za pomocą systemu CIE, w tym wyświetlanie informacji emerytalnych. Profil CIE, ze względów technicznych, obejmie także inne przyporządkowane danemu zainteresowanemu zasoby systemu CIE, np. dane o logowaniu i historii operacji. Dopiero po założeniu profilu CIE osoba zyska status „zainteresowanego” </w:t>
      </w:r>
      <w:r w:rsidRPr="00346672">
        <w:rPr>
          <w:rFonts w:eastAsia="Times New Roman" w:cs="Times New Roman"/>
          <w:bCs/>
          <w:szCs w:val="24"/>
        </w:rPr>
        <w:lastRenderedPageBreak/>
        <w:t>(pkt 18). Należy podkreślić, że założenie profilu CIE i korzystanie z usług CIE będ</w:t>
      </w:r>
      <w:r w:rsidRPr="00346672" w:rsidDel="006B1D75">
        <w:rPr>
          <w:rFonts w:eastAsia="Times New Roman" w:cs="Times New Roman"/>
          <w:bCs/>
          <w:szCs w:val="24"/>
        </w:rPr>
        <w:t>zie</w:t>
      </w:r>
      <w:r w:rsidRPr="00346672">
        <w:rPr>
          <w:rFonts w:eastAsia="Times New Roman" w:cs="Times New Roman"/>
          <w:bCs/>
          <w:szCs w:val="24"/>
        </w:rPr>
        <w:t xml:space="preserve"> nieodpłatne i dobrowolne (art. 5 ust. 3). </w:t>
      </w:r>
    </w:p>
    <w:p w14:paraId="63376919" w14:textId="0D712859"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Informacjami emerytalnymi będą nie tylko dane identyfikujące zainteresowanego, ale przede wszystkim dane dotyczące oszczędności emerytalnych zainteresowanego gromadzonych w ZUS, KRUS, IKE, IKZE, PPE, PPK lub OFE (pkt 5). Poszczególne formy oszczędzania określono mianem „produktu emerytalnego” (pkt 13). Na potrzeby projektowanej ustawy przez produkt emerytalny należy rozumieć nie tylko produkty zarządzane przez instytucje rynku finansowego (tzw. drugi i trzeci filar), ale także oszczędności emerytalne w powszechnym systemie zabezpieczenia społecznego (ZUS) i rolniczym systemie zabezpieczenia społecznego (KRUS). Ze względu na odrębne zasady określania wysokości świadczeń system CIE nie obejmie świadczeń w systemach mundurowych i związanych z przejściem w stan spoczynku przez sędziów i prokuratorów. W konsekwencji te rodzaje zabezpieczenia emerytalnego nie będą także objęte definicją „produktu emerytalnego”. Definicja informacji emerytalnej wymienia także aktywa, które służą budowie oszczędności emerytalnych, np. jednostki uczestnictwa w funduszu inwestycyjnym lub papiery wartościowe. Z uwagi na różnorodność aktywów, które służą budowie oszczędności emerytalnych, w definicji informacji emerytalnej zastosowano otwarte wyliczenie, obejmujące także „inne instrumenty finansowe”. Ta kategoria obejmuje szeroki wachlarz instrumentów finansowych niebędących papierami wartościowymi, dostępnych w szczególności w ofercie produktów emerytalnych udostępnionych przez podmioty prowadzące działalność maklerską np. certyfikaty strukturyzowane lub tytuły uczestnictwa funduszy zagranicznych dostępne w produktach IKE i IKZE. Definicja informacji emerytalnej obejmuje także „inne środki służące wyliczeniu przyszłych świadczeń emerytalnych”. W tej kategorii zmieszczą się np. zapisy w KRUS, które nie są typowymi produktami emerytalnymi. Dzięki takiej konstrukcji definicja „informacji emerytalnych” obejmie wszystkie aktywa, zarówno już dopuszczone, jak i te, które będą mogły być dopuszczone w przyszłości.</w:t>
      </w:r>
    </w:p>
    <w:p w14:paraId="5FC7DEBD" w14:textId="3CB355E4" w:rsidR="00F17612" w:rsidRPr="00346672" w:rsidRDefault="00F17612" w:rsidP="009D6708">
      <w:pPr>
        <w:widowControl/>
        <w:spacing w:before="120"/>
        <w:jc w:val="both"/>
        <w:rPr>
          <w:rFonts w:eastAsia="Times New Roman" w:cs="Times New Roman"/>
          <w:szCs w:val="24"/>
        </w:rPr>
      </w:pPr>
      <w:r w:rsidRPr="00EE2D23">
        <w:rPr>
          <w:rFonts w:eastAsia="Times New Roman" w:cs="Times New Roman"/>
          <w:szCs w:val="24"/>
        </w:rPr>
        <w:t>Część przepisów ustawy, zwłaszcza dotyczących organizacji CIE, dotyczy tzw. podmiotów obowiązanych. Podmiotami obowiązanymi w rozumieniu projektowanej ustawy są instytucje wykonujące działalność w drugim i trzecim filarze, tzn. instytucje finansowe prowadzące IKE lub IKZE, zarządzający PPE</w:t>
      </w:r>
      <w:r w:rsidRPr="00932782">
        <w:rPr>
          <w:rFonts w:eastAsia="Times New Roman" w:cs="Times New Roman"/>
          <w:szCs w:val="24"/>
        </w:rPr>
        <w:t xml:space="preserve"> oraz powszechne towarzystwa em</w:t>
      </w:r>
      <w:r w:rsidR="00932782">
        <w:rPr>
          <w:rFonts w:eastAsia="Times New Roman" w:cs="Times New Roman"/>
          <w:szCs w:val="24"/>
        </w:rPr>
        <w:t>erytalne zarządzające OFE (art. </w:t>
      </w:r>
      <w:r w:rsidRPr="00932782">
        <w:rPr>
          <w:rFonts w:eastAsia="Times New Roman" w:cs="Times New Roman"/>
          <w:szCs w:val="24"/>
        </w:rPr>
        <w:t>2 pkt 9). Mając na uwadze podmioty wykonujące działalność w zakresie PPK przekazują</w:t>
      </w:r>
      <w:r w:rsidR="00A05899" w:rsidRPr="00932782">
        <w:rPr>
          <w:rFonts w:eastAsia="Times New Roman" w:cs="Times New Roman"/>
          <w:szCs w:val="24"/>
        </w:rPr>
        <w:t>ce</w:t>
      </w:r>
      <w:r w:rsidRPr="00932782">
        <w:rPr>
          <w:rFonts w:eastAsia="Times New Roman" w:cs="Times New Roman"/>
          <w:szCs w:val="24"/>
        </w:rPr>
        <w:t xml:space="preserve"> już informacje do ewidencji PPK, podmioty te zdefiniowano odrębnie (pkt 10).</w:t>
      </w:r>
    </w:p>
    <w:p w14:paraId="11B8DFC4"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lastRenderedPageBreak/>
        <w:t>W pkt 6 został zawarty skrót nazwy spółki zależnej PFR S.A. – PFR Portal PPK sp. z o.o.: „PFR Portal”. Pozostałe definicje w słowniczku mają charakter techniczny lub są podyktowane względami redakcyjnymi.</w:t>
      </w:r>
    </w:p>
    <w:p w14:paraId="7C6D1347" w14:textId="60B4A087" w:rsidR="00F17612" w:rsidRPr="00346672" w:rsidRDefault="00F17612" w:rsidP="009D6708">
      <w:pPr>
        <w:keepNext/>
        <w:widowControl/>
        <w:spacing w:before="120"/>
        <w:jc w:val="both"/>
        <w:rPr>
          <w:rFonts w:eastAsia="Times New Roman" w:cs="Times New Roman"/>
          <w:b/>
          <w:bCs/>
          <w:szCs w:val="24"/>
        </w:rPr>
      </w:pPr>
      <w:r w:rsidRPr="00346672">
        <w:rPr>
          <w:rFonts w:eastAsia="Times New Roman" w:cs="Times New Roman"/>
          <w:b/>
          <w:bCs/>
          <w:szCs w:val="24"/>
        </w:rPr>
        <w:t>Art. 3. Zadania PFR Portal PPK sp. z o.o.</w:t>
      </w:r>
    </w:p>
    <w:p w14:paraId="7F898A05" w14:textId="113164EE"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Zakładana konstrukcja CIE</w:t>
      </w:r>
      <w:r w:rsidR="00346672">
        <w:rPr>
          <w:rFonts w:eastAsia="Times New Roman" w:cs="Times New Roman"/>
          <w:bCs/>
          <w:szCs w:val="24"/>
        </w:rPr>
        <w:t xml:space="preserve"> </w:t>
      </w:r>
      <w:r w:rsidRPr="00346672">
        <w:rPr>
          <w:rFonts w:eastAsia="Times New Roman" w:cs="Times New Roman"/>
          <w:bCs/>
          <w:szCs w:val="24"/>
        </w:rPr>
        <w:t xml:space="preserve">przewiduje ścisłą współpracę i podział zadań między: </w:t>
      </w:r>
    </w:p>
    <w:p w14:paraId="5A80CC23" w14:textId="77777777" w:rsidR="00F17612" w:rsidRPr="00346672" w:rsidRDefault="00F17612" w:rsidP="009D6708">
      <w:pPr>
        <w:widowControl/>
        <w:numPr>
          <w:ilvl w:val="0"/>
          <w:numId w:val="3"/>
        </w:numPr>
        <w:autoSpaceDE/>
        <w:autoSpaceDN/>
        <w:adjustRightInd/>
        <w:ind w:left="357" w:hanging="357"/>
        <w:jc w:val="both"/>
        <w:rPr>
          <w:rFonts w:eastAsia="Times New Roman" w:cs="Times New Roman"/>
          <w:bCs/>
          <w:szCs w:val="24"/>
        </w:rPr>
      </w:pPr>
      <w:r w:rsidRPr="00346672">
        <w:rPr>
          <w:rFonts w:eastAsia="Times New Roman" w:cs="Times New Roman"/>
          <w:bCs/>
          <w:szCs w:val="24"/>
        </w:rPr>
        <w:t>PFR Portal PPK sp.</w:t>
      </w:r>
      <w:r w:rsidRPr="00346672" w:rsidDel="006B1D75">
        <w:rPr>
          <w:rFonts w:eastAsia="Times New Roman" w:cs="Times New Roman"/>
          <w:bCs/>
          <w:szCs w:val="24"/>
        </w:rPr>
        <w:t xml:space="preserve"> z </w:t>
      </w:r>
      <w:r w:rsidRPr="00346672">
        <w:rPr>
          <w:rFonts w:eastAsia="Times New Roman" w:cs="Times New Roman"/>
          <w:bCs/>
          <w:szCs w:val="24"/>
        </w:rPr>
        <w:t xml:space="preserve">o.o. (zwaną w ustawie „PFR Portal”, art. 3), </w:t>
      </w:r>
    </w:p>
    <w:p w14:paraId="1A245154" w14:textId="77777777" w:rsidR="00F17612" w:rsidRPr="00346672" w:rsidRDefault="00F17612" w:rsidP="009D6708">
      <w:pPr>
        <w:widowControl/>
        <w:numPr>
          <w:ilvl w:val="0"/>
          <w:numId w:val="3"/>
        </w:numPr>
        <w:autoSpaceDE/>
        <w:autoSpaceDN/>
        <w:adjustRightInd/>
        <w:ind w:left="357" w:hanging="357"/>
        <w:jc w:val="both"/>
        <w:rPr>
          <w:rFonts w:eastAsia="Times New Roman" w:cs="Times New Roman"/>
          <w:bCs/>
          <w:szCs w:val="24"/>
        </w:rPr>
      </w:pPr>
      <w:r w:rsidRPr="00346672">
        <w:rPr>
          <w:rFonts w:eastAsia="Times New Roman" w:cs="Times New Roman"/>
          <w:bCs/>
          <w:szCs w:val="24"/>
        </w:rPr>
        <w:t>ministra właściwego do spraw informatyzacji (art. 4 us</w:t>
      </w:r>
      <w:r w:rsidRPr="00346672" w:rsidDel="006B1D75">
        <w:rPr>
          <w:rFonts w:eastAsia="Times New Roman" w:cs="Times New Roman"/>
          <w:bCs/>
          <w:szCs w:val="24"/>
        </w:rPr>
        <w:t xml:space="preserve">t. </w:t>
      </w:r>
      <w:r w:rsidRPr="00346672">
        <w:rPr>
          <w:rFonts w:eastAsia="Times New Roman" w:cs="Times New Roman"/>
          <w:bCs/>
          <w:szCs w:val="24"/>
        </w:rPr>
        <w:t xml:space="preserve">1), </w:t>
      </w:r>
    </w:p>
    <w:p w14:paraId="7E50CB98" w14:textId="77777777" w:rsidR="00F17612" w:rsidRPr="00346672" w:rsidRDefault="00F17612" w:rsidP="009D6708">
      <w:pPr>
        <w:widowControl/>
        <w:numPr>
          <w:ilvl w:val="0"/>
          <w:numId w:val="3"/>
        </w:numPr>
        <w:autoSpaceDE/>
        <w:autoSpaceDN/>
        <w:adjustRightInd/>
        <w:ind w:left="357" w:hanging="357"/>
        <w:jc w:val="both"/>
        <w:rPr>
          <w:rFonts w:eastAsia="Times New Roman" w:cs="Times New Roman"/>
          <w:bCs/>
          <w:szCs w:val="24"/>
        </w:rPr>
      </w:pPr>
      <w:r w:rsidRPr="00346672">
        <w:rPr>
          <w:rFonts w:eastAsia="Times New Roman" w:cs="Times New Roman"/>
          <w:bCs/>
          <w:szCs w:val="24"/>
        </w:rPr>
        <w:t>ZUS i KRUS oraz podmioty obowiązane (art. 4 ust. 2).</w:t>
      </w:r>
    </w:p>
    <w:p w14:paraId="7C9F7C61"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W pierwszej kolejności należy zwrócić uwagę, że PFR Portal będzie odpowiedzialny za kompletowanie, porządkowanie i organizowanie informacji emerytalnych i świadczenie usług elektronicznych (tzw. </w:t>
      </w:r>
      <w:proofErr w:type="spellStart"/>
      <w:r w:rsidRPr="00346672">
        <w:rPr>
          <w:rFonts w:eastAsia="Times New Roman" w:cs="Times New Roman"/>
          <w:bCs/>
          <w:i/>
          <w:szCs w:val="24"/>
        </w:rPr>
        <w:t>back</w:t>
      </w:r>
      <w:proofErr w:type="spellEnd"/>
      <w:r w:rsidRPr="00346672">
        <w:rPr>
          <w:rFonts w:eastAsia="Times New Roman" w:cs="Times New Roman"/>
          <w:bCs/>
          <w:i/>
          <w:szCs w:val="24"/>
        </w:rPr>
        <w:t xml:space="preserve"> end, </w:t>
      </w:r>
      <w:r w:rsidRPr="00346672">
        <w:rPr>
          <w:rFonts w:eastAsia="Times New Roman" w:cs="Times New Roman"/>
          <w:bCs/>
          <w:iCs/>
          <w:szCs w:val="24"/>
        </w:rPr>
        <w:t>zob. art. 7 i art. 8</w:t>
      </w:r>
      <w:r w:rsidRPr="00346672">
        <w:rPr>
          <w:rFonts w:eastAsia="Times New Roman" w:cs="Times New Roman"/>
          <w:bCs/>
          <w:szCs w:val="24"/>
        </w:rPr>
        <w:t>). Usługi elektroniczne nie będą zatem dostarczane bezpośrednio do zainteresowanych, ale za pośrednictwem systemu teleinformatycznego ministra właściwego do spraw informatyzacji na stronie internetowej</w:t>
      </w:r>
      <w:r w:rsidRPr="00346672" w:rsidDel="006B1D75">
        <w:rPr>
          <w:rFonts w:eastAsia="Times New Roman" w:cs="Times New Roman"/>
          <w:bCs/>
          <w:szCs w:val="24"/>
        </w:rPr>
        <w:t xml:space="preserve"> </w:t>
      </w:r>
      <w:r w:rsidRPr="00346672">
        <w:rPr>
          <w:rFonts w:eastAsia="Times New Roman" w:cs="Times New Roman"/>
          <w:bCs/>
          <w:szCs w:val="24"/>
        </w:rPr>
        <w:t xml:space="preserve">gov.pl albo w publicznej aplikacji mobilnej (zob. art. 4 ust. 1– tzw. </w:t>
      </w:r>
      <w:r w:rsidRPr="00346672">
        <w:rPr>
          <w:rFonts w:eastAsia="Times New Roman" w:cs="Times New Roman"/>
          <w:bCs/>
          <w:i/>
          <w:iCs/>
          <w:szCs w:val="24"/>
        </w:rPr>
        <w:t>front end</w:t>
      </w:r>
      <w:r w:rsidRPr="00346672">
        <w:rPr>
          <w:rFonts w:eastAsia="Times New Roman" w:cs="Times New Roman"/>
          <w:bCs/>
          <w:szCs w:val="24"/>
        </w:rPr>
        <w:t xml:space="preserve">). </w:t>
      </w:r>
    </w:p>
    <w:p w14:paraId="0D738050" w14:textId="5C58ED88"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Podstawowym zadaniem PFR Portal jest zapewnienie funkcjonowania systemu teleinformatycznego służącego do gromadzenia informacji emerytalnych oraz świadczenia usług elektronicznych w ramach CIE (art. 3 ust. 1). Szczegółowe zadania PFR Portal i standardy prowadzenia systemu CIE określa projektowany przepis art. 3 ust. 2. W myśl tego przepisu na PFR Portal będą spoczywały obowiązki zapewnienia ochrony przed nieuprawnionym dostępem do danych zgromadzonych w CIE, integralności danych zgromadzonych w CIE oraz zapewnienia podmiotom obowiązanym dostępu do systemu CIE, w zakresie niezbędnym do wykonywania przez te podmioty obowiązków wynikających z przepisów ustawy, a także przeciwdziałania uszkodzeniom systemu CIE (art. 3 ust. 2 pkt 1</w:t>
      </w:r>
      <w:r w:rsidR="00346672">
        <w:rPr>
          <w:rFonts w:eastAsia="Times New Roman" w:cs="Times New Roman"/>
          <w:bCs/>
          <w:szCs w:val="24"/>
        </w:rPr>
        <w:t>–</w:t>
      </w:r>
      <w:r w:rsidRPr="00346672">
        <w:rPr>
          <w:rFonts w:eastAsia="Times New Roman" w:cs="Times New Roman"/>
          <w:bCs/>
          <w:szCs w:val="24"/>
        </w:rPr>
        <w:t>4). PFR Portal określi także zasady bezpieczeństwa przetwarzania danych, w tym danych osobowych</w:t>
      </w:r>
      <w:r w:rsidR="00F6161F">
        <w:rPr>
          <w:rFonts w:eastAsia="Times New Roman" w:cs="Times New Roman"/>
          <w:bCs/>
          <w:szCs w:val="24"/>
        </w:rPr>
        <w:t>,</w:t>
      </w:r>
      <w:r w:rsidRPr="00346672">
        <w:rPr>
          <w:rFonts w:eastAsia="Times New Roman" w:cs="Times New Roman"/>
          <w:bCs/>
          <w:szCs w:val="24"/>
        </w:rPr>
        <w:t xml:space="preserve"> oraz zapewni poprawność danych i rozliczalność działań dokonywanych na tych danych (art. 3 ust. 2 pkt 5 i 6)</w:t>
      </w:r>
      <w:r w:rsidR="00F6161F">
        <w:rPr>
          <w:rFonts w:eastAsia="Times New Roman" w:cs="Times New Roman"/>
          <w:bCs/>
          <w:szCs w:val="24"/>
        </w:rPr>
        <w:t>.</w:t>
      </w:r>
      <w:r w:rsidRPr="00346672">
        <w:rPr>
          <w:rFonts w:eastAsia="Times New Roman" w:cs="Times New Roman"/>
          <w:bCs/>
          <w:szCs w:val="24"/>
        </w:rPr>
        <w:t xml:space="preserve"> Wymienione obowiązki oznaczają, że PFR Portal będzie zobowiązany zapewnić szeroko rozumiane bezpieczeństwo systemu CIE, w tym rozliczalność działań dokonywanych na danych zgromadzonych w systemie CIE (art. 3 ust. 2 pkt 6).</w:t>
      </w:r>
      <w:r w:rsidRPr="00346672">
        <w:rPr>
          <w:rFonts w:cs="Times New Roman"/>
          <w:szCs w:val="24"/>
        </w:rPr>
        <w:t xml:space="preserve"> To na Portalu PPK będą spoczywały także obowiązki zapewn</w:t>
      </w:r>
      <w:r w:rsidR="00F6161F">
        <w:rPr>
          <w:rFonts w:cs="Times New Roman"/>
          <w:szCs w:val="24"/>
        </w:rPr>
        <w:t>ien</w:t>
      </w:r>
      <w:r w:rsidRPr="00346672">
        <w:rPr>
          <w:rFonts w:cs="Times New Roman"/>
          <w:szCs w:val="24"/>
        </w:rPr>
        <w:t>ia spójności przetwarzanych w systemie CIE danych przekazanych przez ZUS, KRUS i podmioty obowiązane oraz określenie zasad zgłaszania naruszenia ochrony danych osobowych zgromadzonych w systemie CIE (art. 3 ust. 2 pkt 7 i 8).</w:t>
      </w:r>
    </w:p>
    <w:p w14:paraId="230E4645" w14:textId="263EA8C8" w:rsidR="00F17612" w:rsidRPr="00346672" w:rsidRDefault="00F17612" w:rsidP="009D6708">
      <w:pPr>
        <w:widowControl/>
        <w:spacing w:before="120"/>
        <w:jc w:val="both"/>
        <w:rPr>
          <w:rFonts w:eastAsia="Calibri" w:cs="Times New Roman"/>
          <w:b/>
          <w:szCs w:val="24"/>
          <w:lang w:eastAsia="en-US"/>
        </w:rPr>
      </w:pPr>
      <w:r w:rsidRPr="00346672">
        <w:rPr>
          <w:rFonts w:eastAsia="Times New Roman" w:cs="Times New Roman"/>
          <w:bCs/>
          <w:szCs w:val="24"/>
        </w:rPr>
        <w:lastRenderedPageBreak/>
        <w:t>Bardzo ważnym zadaniem PFR Portal będzie umożliwienie przekazywania danych z ZUS, KRUS i podmiotów obowiązanych do systemu CIE oraz pobieranie danych z ewidencji PPK (art. 3 ust. 3). W zakresie systemu CIE PFR Portal będzie także przyznawał i zarządzał dostępem do usług elektronicznych świadczonych za pomocą syst</w:t>
      </w:r>
      <w:r w:rsidRPr="00346672" w:rsidDel="006B1D75">
        <w:rPr>
          <w:rFonts w:eastAsia="Times New Roman" w:cs="Times New Roman"/>
          <w:bCs/>
          <w:szCs w:val="24"/>
        </w:rPr>
        <w:t>emu</w:t>
      </w:r>
      <w:r w:rsidRPr="00346672">
        <w:rPr>
          <w:rFonts w:eastAsia="Times New Roman" w:cs="Times New Roman"/>
          <w:bCs/>
          <w:szCs w:val="24"/>
        </w:rPr>
        <w:t xml:space="preserve"> CIE, po uwierzytelnieniu zainteresowanych zgodnie z ustawą (art. 3 ust. 4). W celu zapewnienia identyfikacji osób uzyskujących dostęp do informacji emerytalnych korzystanie z systemu CIE będzie wymagało bezpiecznego uwierzytelnienia (art. 3 ust. 5). W celu zapewnienia bezpiecznego i łatwo dostępnego dla zainteresowanych mechanizmu uwierzytelnienia za pośrednictwem publicznej aplikacji mobilnej i rządowej strony internetowej gov.pl system CIE zostanie podłączony do węzła krajowego identyfikacji elektronicznej. Projekt przewiduje wymóg użycia środka identyfikacji elektronicznej,</w:t>
      </w:r>
      <w:r w:rsidRPr="00346672">
        <w:rPr>
          <w:rFonts w:cs="Times New Roman"/>
          <w:szCs w:val="24"/>
        </w:rPr>
        <w:t xml:space="preserve"> </w:t>
      </w:r>
      <w:r w:rsidRPr="00346672">
        <w:rPr>
          <w:rFonts w:eastAsia="Times New Roman" w:cs="Times New Roman"/>
          <w:bCs/>
          <w:szCs w:val="24"/>
        </w:rPr>
        <w:t>zapewniającego co najmniej średni poziom bezpieczeństwa, o którym mowa w art. 8 ust. 2 lit. b rozporządzenia Parlamentu Europejskiego i Rady (UE) nr 910/2014 z dnia 23 lipca 2014 r. w sprawie identyfikacji elektronicznej i usług zaufania w odniesieniu do transakcji elektronicznych na rynku wewnętrznym oraz uchylające</w:t>
      </w:r>
      <w:r w:rsidR="00B23B2C">
        <w:rPr>
          <w:rFonts w:eastAsia="Times New Roman" w:cs="Times New Roman"/>
          <w:bCs/>
          <w:szCs w:val="24"/>
        </w:rPr>
        <w:t>go</w:t>
      </w:r>
      <w:r w:rsidRPr="00346672">
        <w:rPr>
          <w:rFonts w:eastAsia="Times New Roman" w:cs="Times New Roman"/>
          <w:bCs/>
          <w:szCs w:val="24"/>
        </w:rPr>
        <w:t xml:space="preserve"> dyrektywę 1999/93/WE (Dz. Urz. UE L 257 z 28.08.2014, str. 73) (art. 3 ust. 5).</w:t>
      </w:r>
    </w:p>
    <w:p w14:paraId="75AA8A4C" w14:textId="635648DE"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4, art. 17 i art. 51 pkt 1 Zadania ministra właściwego do spraw informatyzacji, zadania ZUS, KRUS oraz zadania podmiotów obowiązanych</w:t>
      </w:r>
    </w:p>
    <w:p w14:paraId="2A887F85" w14:textId="6A4CAFE4"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W myśl projektowanego art. 4 ust. 1 minister właściwy do spraw informatyzacji będzie odpowiedzialny za stworzenie i obsługę tzw. </w:t>
      </w:r>
      <w:r w:rsidRPr="00346672">
        <w:rPr>
          <w:rFonts w:eastAsia="Times New Roman" w:cs="Times New Roman"/>
          <w:bCs/>
          <w:i/>
          <w:iCs/>
          <w:szCs w:val="24"/>
        </w:rPr>
        <w:t>front endu</w:t>
      </w:r>
      <w:r w:rsidRPr="00346672">
        <w:rPr>
          <w:rFonts w:eastAsia="Times New Roman" w:cs="Times New Roman"/>
          <w:bCs/>
          <w:szCs w:val="24"/>
        </w:rPr>
        <w:t xml:space="preserve"> systemu CIE, czyli zapewnienie dostępu do systemu CIE dla zainteresowanych. Minister zapewni zainteresowanym, </w:t>
      </w:r>
      <w:r w:rsidR="00E21022">
        <w:rPr>
          <w:rFonts w:eastAsia="Times New Roman" w:cs="Times New Roman"/>
          <w:bCs/>
          <w:szCs w:val="24"/>
        </w:rPr>
        <w:t>za</w:t>
      </w:r>
      <w:r w:rsidRPr="00346672">
        <w:rPr>
          <w:rFonts w:eastAsia="Times New Roman" w:cs="Times New Roman"/>
          <w:bCs/>
          <w:szCs w:val="24"/>
        </w:rPr>
        <w:t xml:space="preserve"> pomoc</w:t>
      </w:r>
      <w:r w:rsidR="00E21022">
        <w:rPr>
          <w:rFonts w:eastAsia="Times New Roman" w:cs="Times New Roman"/>
          <w:bCs/>
          <w:szCs w:val="24"/>
        </w:rPr>
        <w:t>ą</w:t>
      </w:r>
      <w:r w:rsidRPr="00346672">
        <w:rPr>
          <w:rFonts w:eastAsia="Times New Roman" w:cs="Times New Roman"/>
          <w:bCs/>
          <w:szCs w:val="24"/>
        </w:rPr>
        <w:t xml:space="preserve"> systemów teleinformatycznych</w:t>
      </w:r>
      <w:r w:rsidR="00E21022">
        <w:rPr>
          <w:rFonts w:eastAsia="Times New Roman" w:cs="Times New Roman"/>
          <w:bCs/>
          <w:szCs w:val="24"/>
        </w:rPr>
        <w:t>,</w:t>
      </w:r>
      <w:r w:rsidRPr="00346672">
        <w:rPr>
          <w:rFonts w:eastAsia="Times New Roman" w:cs="Times New Roman"/>
          <w:bCs/>
          <w:szCs w:val="24"/>
          <w:shd w:val="clear" w:color="auto" w:fill="FFFFFF"/>
        </w:rPr>
        <w:t xml:space="preserve"> dostęp do</w:t>
      </w:r>
      <w:r w:rsidRPr="00346672">
        <w:rPr>
          <w:rFonts w:eastAsia="Times New Roman" w:cs="Times New Roman"/>
          <w:bCs/>
          <w:szCs w:val="24"/>
        </w:rPr>
        <w:t>:</w:t>
      </w:r>
    </w:p>
    <w:p w14:paraId="5190D92C" w14:textId="77777777" w:rsidR="00F17612" w:rsidRPr="00346672" w:rsidRDefault="00F17612" w:rsidP="00346672">
      <w:pPr>
        <w:widowControl/>
        <w:autoSpaceDE/>
        <w:autoSpaceDN/>
        <w:adjustRightInd/>
        <w:ind w:left="510" w:hanging="510"/>
        <w:jc w:val="both"/>
        <w:rPr>
          <w:rFonts w:eastAsia="Times New Roman" w:cs="Times New Roman"/>
          <w:bCs/>
          <w:szCs w:val="24"/>
          <w:shd w:val="clear" w:color="auto" w:fill="FFFFFF"/>
        </w:rPr>
      </w:pPr>
      <w:r w:rsidRPr="00346672">
        <w:rPr>
          <w:rFonts w:eastAsia="Times New Roman" w:cs="Times New Roman"/>
          <w:bCs/>
          <w:szCs w:val="24"/>
          <w:shd w:val="clear" w:color="auto" w:fill="FFFFFF"/>
        </w:rPr>
        <w:t>1)</w:t>
      </w:r>
      <w:r w:rsidRPr="00346672">
        <w:rPr>
          <w:rFonts w:eastAsia="Times New Roman" w:cs="Times New Roman"/>
          <w:bCs/>
          <w:szCs w:val="24"/>
          <w:shd w:val="clear" w:color="auto" w:fill="FFFFFF"/>
        </w:rPr>
        <w:tab/>
        <w:t>profilu CIE;</w:t>
      </w:r>
    </w:p>
    <w:p w14:paraId="3CE84E3E" w14:textId="77777777" w:rsidR="00F17612" w:rsidRPr="00346672" w:rsidRDefault="00F17612" w:rsidP="00346672">
      <w:pPr>
        <w:widowControl/>
        <w:autoSpaceDE/>
        <w:autoSpaceDN/>
        <w:adjustRightInd/>
        <w:ind w:left="510" w:hanging="510"/>
        <w:jc w:val="both"/>
        <w:rPr>
          <w:rFonts w:eastAsia="Times New Roman" w:cs="Times New Roman"/>
          <w:bCs/>
          <w:szCs w:val="24"/>
          <w:shd w:val="clear" w:color="auto" w:fill="FFFFFF"/>
        </w:rPr>
      </w:pPr>
      <w:r w:rsidRPr="00346672">
        <w:rPr>
          <w:rFonts w:eastAsia="Times New Roman" w:cs="Times New Roman"/>
          <w:bCs/>
          <w:szCs w:val="24"/>
          <w:shd w:val="clear" w:color="auto" w:fill="FFFFFF"/>
        </w:rPr>
        <w:t>2)</w:t>
      </w:r>
      <w:r w:rsidRPr="00346672">
        <w:rPr>
          <w:rFonts w:eastAsia="Times New Roman" w:cs="Times New Roman"/>
          <w:bCs/>
          <w:szCs w:val="24"/>
          <w:shd w:val="clear" w:color="auto" w:fill="FFFFFF"/>
        </w:rPr>
        <w:tab/>
        <w:t>usług elektronicznych świadczonych za pomocą systemu CIE.</w:t>
      </w:r>
    </w:p>
    <w:p w14:paraId="370E7186" w14:textId="03D81EEC" w:rsidR="00F17612" w:rsidRPr="00346672" w:rsidRDefault="00F17612" w:rsidP="009D6708">
      <w:pPr>
        <w:widowControl/>
        <w:spacing w:before="120"/>
        <w:jc w:val="both"/>
        <w:rPr>
          <w:rFonts w:eastAsia="Times New Roman" w:cs="Times New Roman"/>
          <w:szCs w:val="24"/>
        </w:rPr>
      </w:pPr>
      <w:r w:rsidRPr="00346672">
        <w:rPr>
          <w:rFonts w:eastAsia="Times New Roman" w:cs="Times New Roman"/>
          <w:szCs w:val="24"/>
        </w:rPr>
        <w:t>Zgodnie z art. 4 ust. 2 ZUS, KRUS i podmioty obowiązane będą zobowiązane przede wszystkim do przekazywania PFR</w:t>
      </w:r>
      <w:r w:rsidRPr="00346672">
        <w:rPr>
          <w:rFonts w:eastAsia="Calibri" w:cs="Times New Roman"/>
          <w:szCs w:val="24"/>
          <w:lang w:eastAsia="en-US"/>
        </w:rPr>
        <w:t xml:space="preserve"> </w:t>
      </w:r>
      <w:r w:rsidRPr="00346672">
        <w:rPr>
          <w:rFonts w:eastAsia="Times New Roman" w:cs="Times New Roman"/>
          <w:szCs w:val="24"/>
        </w:rPr>
        <w:t xml:space="preserve">Portal posiadanych przez siebie danych i informacji emerytalnych dotyczących zainteresowanych. Ponadto </w:t>
      </w:r>
      <w:r w:rsidRPr="00346672">
        <w:rPr>
          <w:rFonts w:eastAsia="Calibri" w:cs="Times New Roman"/>
          <w:szCs w:val="24"/>
          <w:lang w:eastAsia="en-US"/>
        </w:rPr>
        <w:t xml:space="preserve">ZUS, KRUS i podmioty </w:t>
      </w:r>
      <w:r w:rsidR="00261D61" w:rsidRPr="00346672">
        <w:rPr>
          <w:rFonts w:eastAsia="Times New Roman" w:cs="Times New Roman"/>
          <w:szCs w:val="24"/>
        </w:rPr>
        <w:t>obowiązane</w:t>
      </w:r>
      <w:r w:rsidR="00261D61" w:rsidRPr="00346672">
        <w:rPr>
          <w:rFonts w:eastAsia="Calibri" w:cs="Times New Roman"/>
          <w:szCs w:val="24"/>
          <w:lang w:eastAsia="en-US"/>
        </w:rPr>
        <w:t xml:space="preserve"> </w:t>
      </w:r>
      <w:r w:rsidRPr="00346672">
        <w:rPr>
          <w:rFonts w:eastAsia="Calibri" w:cs="Times New Roman"/>
          <w:szCs w:val="24"/>
          <w:lang w:eastAsia="en-US"/>
        </w:rPr>
        <w:t>będą obowiązane do przekazywania PFR Portal danych w sposób sprawny, gwarantujący ochronę danych osobowych przed niedozwolonym przetwarzaniem, w szczególności przed ich zniszczeniem, utratą, modyfikacją, ujawnieniem lub dostępem do nich, uwzględniający ryzyko wiążące się z ich przekazywaniem (art. 4).</w:t>
      </w:r>
    </w:p>
    <w:p w14:paraId="4025E2B8" w14:textId="3B80B2EF"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Wymagania techniczne i organizacyjne przekazywania danych i informacji, a także szczegółowy sposób i tryb przekazywania danych i informacji</w:t>
      </w:r>
      <w:r w:rsidR="00261D61">
        <w:rPr>
          <w:rFonts w:eastAsia="Times New Roman" w:cs="Times New Roman"/>
          <w:bCs/>
          <w:szCs w:val="24"/>
        </w:rPr>
        <w:t>,</w:t>
      </w:r>
      <w:r w:rsidR="00346672">
        <w:rPr>
          <w:rFonts w:eastAsia="Times New Roman" w:cs="Times New Roman"/>
          <w:bCs/>
          <w:szCs w:val="24"/>
        </w:rPr>
        <w:t xml:space="preserve"> </w:t>
      </w:r>
      <w:r w:rsidRPr="00346672">
        <w:rPr>
          <w:rFonts w:eastAsia="Times New Roman" w:cs="Times New Roman"/>
          <w:bCs/>
          <w:szCs w:val="24"/>
        </w:rPr>
        <w:t xml:space="preserve">mając na względzie potrzebę </w:t>
      </w:r>
      <w:r w:rsidRPr="00346672">
        <w:rPr>
          <w:rFonts w:eastAsia="Times New Roman" w:cs="Times New Roman"/>
          <w:bCs/>
          <w:szCs w:val="24"/>
        </w:rPr>
        <w:lastRenderedPageBreak/>
        <w:t>zapewnienia bezpieczeństwa danych i informacji przetwarzanych w systemie CIE</w:t>
      </w:r>
      <w:r w:rsidR="00261D61">
        <w:rPr>
          <w:rFonts w:eastAsia="Times New Roman" w:cs="Times New Roman"/>
          <w:bCs/>
          <w:szCs w:val="24"/>
        </w:rPr>
        <w:t>,</w:t>
      </w:r>
      <w:r w:rsidRPr="00346672">
        <w:rPr>
          <w:rFonts w:eastAsia="Times New Roman" w:cs="Times New Roman"/>
          <w:bCs/>
          <w:szCs w:val="24"/>
        </w:rPr>
        <w:t xml:space="preserve"> zostaną określone w rozporządzeniu ministra właściwego do spraw informatyzacji (art. 4 ust. 3). Zgodnie z projektowanym art. 51 pkt 1 upoważnienie do wydania rozporządzenia wejdzie w życie w terminie 6 miesięcy od dnia ogłoszenia ustawy.</w:t>
      </w:r>
    </w:p>
    <w:p w14:paraId="087779CC" w14:textId="28482F53" w:rsidR="00F17612" w:rsidRPr="00346672" w:rsidRDefault="00F17612" w:rsidP="009D6708">
      <w:pPr>
        <w:widowControl/>
        <w:spacing w:before="120"/>
        <w:jc w:val="both"/>
        <w:rPr>
          <w:rFonts w:eastAsia="MS Mincho" w:cs="Times New Roman"/>
          <w:szCs w:val="24"/>
        </w:rPr>
      </w:pPr>
      <w:r w:rsidRPr="00346672">
        <w:rPr>
          <w:rFonts w:eastAsia="MS Mincho" w:cs="Times New Roman"/>
          <w:szCs w:val="24"/>
        </w:rPr>
        <w:t>Podmioty obowiązane będą ponosiły koszty dokonania przez siebie czynności określonych w art. 11</w:t>
      </w:r>
      <w:r w:rsidR="00346672">
        <w:rPr>
          <w:rFonts w:eastAsia="MS Mincho" w:cs="Times New Roman"/>
          <w:szCs w:val="24"/>
        </w:rPr>
        <w:t>–</w:t>
      </w:r>
      <w:r w:rsidRPr="00346672">
        <w:rPr>
          <w:rFonts w:eastAsia="MS Mincho" w:cs="Times New Roman"/>
          <w:szCs w:val="24"/>
        </w:rPr>
        <w:t>16 (art. 17). Natomiast nie będą partycypować w kosztach utworzenia, utrzymania i rozwoju systemu CIE przez PFR Portal.</w:t>
      </w:r>
    </w:p>
    <w:p w14:paraId="6A884F7D" w14:textId="2CBFD892"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5.</w:t>
      </w:r>
      <w:r w:rsidR="00F26740">
        <w:rPr>
          <w:rFonts w:eastAsia="Times New Roman" w:cs="Times New Roman"/>
          <w:b/>
          <w:bCs/>
          <w:szCs w:val="24"/>
        </w:rPr>
        <w:t xml:space="preserve"> </w:t>
      </w:r>
      <w:r w:rsidRPr="00346672">
        <w:rPr>
          <w:rFonts w:eastAsia="Times New Roman" w:cs="Times New Roman"/>
          <w:b/>
          <w:bCs/>
          <w:szCs w:val="24"/>
        </w:rPr>
        <w:t xml:space="preserve">Profil CIE </w:t>
      </w:r>
    </w:p>
    <w:p w14:paraId="0A5E5A16" w14:textId="62D64CC3"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Warunk</w:t>
      </w:r>
      <w:r w:rsidRPr="00346672" w:rsidDel="006B1D75">
        <w:rPr>
          <w:rFonts w:eastAsia="Times New Roman" w:cs="Times New Roman"/>
          <w:bCs/>
          <w:szCs w:val="24"/>
        </w:rPr>
        <w:t>iem</w:t>
      </w:r>
      <w:r w:rsidRPr="00346672">
        <w:rPr>
          <w:rFonts w:eastAsia="Times New Roman" w:cs="Times New Roman"/>
          <w:bCs/>
          <w:szCs w:val="24"/>
        </w:rPr>
        <w:t xml:space="preserve"> skorzystania z usług elektronicznych świadczonych w systemie CIE będzie założenie profilu CIE (art. 5 ust. 1). Zarówno założenie profilu CIE, jak i</w:t>
      </w:r>
      <w:r w:rsidRPr="00346672" w:rsidDel="006B1D75">
        <w:rPr>
          <w:rFonts w:eastAsia="Times New Roman" w:cs="Times New Roman"/>
          <w:bCs/>
          <w:szCs w:val="24"/>
        </w:rPr>
        <w:t xml:space="preserve"> </w:t>
      </w:r>
      <w:r w:rsidRPr="00346672">
        <w:rPr>
          <w:rFonts w:eastAsia="Times New Roman" w:cs="Times New Roman"/>
          <w:bCs/>
          <w:szCs w:val="24"/>
        </w:rPr>
        <w:t>korzystanie z usłu</w:t>
      </w:r>
      <w:r w:rsidRPr="00346672" w:rsidDel="006B1D75">
        <w:rPr>
          <w:rFonts w:eastAsia="Times New Roman" w:cs="Times New Roman"/>
          <w:bCs/>
          <w:szCs w:val="24"/>
        </w:rPr>
        <w:t xml:space="preserve">g </w:t>
      </w:r>
      <w:r w:rsidRPr="00346672">
        <w:rPr>
          <w:rFonts w:eastAsia="Times New Roman" w:cs="Times New Roman"/>
          <w:bCs/>
          <w:szCs w:val="24"/>
        </w:rPr>
        <w:t>elektronicznych będzie wymagało uwierzytelnienia za pomocą tzw. węzła krajowego (art. 3 ust. 5). To oznacza, że zainteresowany będzie musiał zostać uwierzytelniony (zalogować się) w systemie teleinformatycznym zarządzanym przez ministra właściwego do spraw informatyzacji, za pośrednictwem węzła krajowego identyfikacji elektronicznej. Założenie profilu CIE i korzystanie z usług świadczonych w systemie CIE będzie dobrowolne i nieodpłatne (art. 5 ust. 3). Przed założeniem profilu CIE zainteresowany jest informowany o podstawowych zasadach działania CIE, w tym skutkach założenia profilu, pochodzeniu i okresie przetwarzania informacji emerytalnych, oraz o możliwości zamknięcia profilu CIE w każdym czasie (art. 5 ust. 4). Zainteresowany</w:t>
      </w:r>
      <w:r w:rsidRPr="00346672" w:rsidDel="006B1D75">
        <w:rPr>
          <w:rFonts w:eastAsia="Times New Roman" w:cs="Times New Roman"/>
          <w:bCs/>
          <w:szCs w:val="24"/>
        </w:rPr>
        <w:t xml:space="preserve"> </w:t>
      </w:r>
      <w:r w:rsidRPr="00346672">
        <w:rPr>
          <w:rFonts w:eastAsia="Times New Roman" w:cs="Times New Roman"/>
          <w:bCs/>
          <w:szCs w:val="24"/>
        </w:rPr>
        <w:t xml:space="preserve">będzie mógł także w dowolnym czasie usunąć swój profil CIE (art. 5 ust. 5). </w:t>
      </w:r>
    </w:p>
    <w:p w14:paraId="60B2B224" w14:textId="6601CB5B"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6.</w:t>
      </w:r>
      <w:r w:rsidR="00F26740">
        <w:rPr>
          <w:rFonts w:eastAsia="Times New Roman" w:cs="Times New Roman"/>
          <w:b/>
          <w:bCs/>
          <w:szCs w:val="24"/>
        </w:rPr>
        <w:t xml:space="preserve"> </w:t>
      </w:r>
      <w:r w:rsidRPr="00346672">
        <w:rPr>
          <w:rFonts w:eastAsia="Times New Roman" w:cs="Times New Roman"/>
          <w:b/>
          <w:bCs/>
          <w:szCs w:val="24"/>
        </w:rPr>
        <w:t>Dane przetwarzane w CIE</w:t>
      </w:r>
    </w:p>
    <w:p w14:paraId="4268F91A" w14:textId="26321B14"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Przepis art. 6 określa dane, które będą mogły być przetwarzane w systemie CIE. Należy podkreślić, że wszystkie dane w systemie CIE będą przetwarzane w ściśle określonych celach, przede wszystkim w celu skompletowania danych, które dotyczą ubezpieczonych w ZUS i KRUS oraz posiadaczy produktów emerytalnych. Zebranie takich danych jest niezbędne, ponieważ dopiero odpowiedni zestaw danych umożliwi dostęp do możliwie kompletnej wiedzy o oszczędnościach emerytalnych danej osoby. Te dane będą wykorzystywane w celu przygotowania i świadcz</w:t>
      </w:r>
      <w:r w:rsidR="00317516">
        <w:rPr>
          <w:rFonts w:eastAsia="Times New Roman" w:cs="Times New Roman"/>
          <w:bCs/>
          <w:szCs w:val="24"/>
        </w:rPr>
        <w:t>e</w:t>
      </w:r>
      <w:r w:rsidRPr="00346672">
        <w:rPr>
          <w:rFonts w:eastAsia="Times New Roman" w:cs="Times New Roman"/>
          <w:bCs/>
          <w:szCs w:val="24"/>
        </w:rPr>
        <w:t>n</w:t>
      </w:r>
      <w:r w:rsidR="00317516">
        <w:rPr>
          <w:rFonts w:eastAsia="Times New Roman" w:cs="Times New Roman"/>
          <w:bCs/>
          <w:szCs w:val="24"/>
        </w:rPr>
        <w:t>i</w:t>
      </w:r>
      <w:r w:rsidRPr="00346672">
        <w:rPr>
          <w:rFonts w:eastAsia="Times New Roman" w:cs="Times New Roman"/>
          <w:bCs/>
          <w:szCs w:val="24"/>
        </w:rPr>
        <w:t xml:space="preserve">a zainteresowanym usługi elektronicznej. Należy podkreślić, że projektowana ustawa nie wprowadzi obowiązku zbierania nowych danych. W CIE będą przetwarzane tylko te dane, które </w:t>
      </w:r>
      <w:r w:rsidRPr="00346672" w:rsidDel="006B1D75">
        <w:rPr>
          <w:rFonts w:eastAsia="Times New Roman" w:cs="Times New Roman"/>
          <w:bCs/>
          <w:szCs w:val="24"/>
        </w:rPr>
        <w:t>ZUS</w:t>
      </w:r>
      <w:r w:rsidRPr="00346672">
        <w:rPr>
          <w:rFonts w:eastAsia="Times New Roman" w:cs="Times New Roman"/>
          <w:bCs/>
          <w:szCs w:val="24"/>
        </w:rPr>
        <w:t>, KRUS i podmioty obowiązane gromadzą i przetwarzają na podstawie już obowiązujących przepisów.</w:t>
      </w:r>
    </w:p>
    <w:p w14:paraId="5029351C" w14:textId="2D4917E5"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lastRenderedPageBreak/>
        <w:t>Poszczególne jednostki redakcyjne</w:t>
      </w:r>
      <w:r w:rsidR="00346672">
        <w:rPr>
          <w:rFonts w:eastAsia="Times New Roman" w:cs="Times New Roman"/>
          <w:bCs/>
          <w:szCs w:val="24"/>
        </w:rPr>
        <w:t xml:space="preserve"> </w:t>
      </w:r>
      <w:r w:rsidRPr="00346672">
        <w:rPr>
          <w:rFonts w:eastAsia="Times New Roman" w:cs="Times New Roman"/>
          <w:bCs/>
          <w:szCs w:val="24"/>
        </w:rPr>
        <w:t>w art. 6 określają następujące dane:</w:t>
      </w:r>
    </w:p>
    <w:p w14:paraId="57E744C5" w14:textId="070BB8C8" w:rsidR="00F17612" w:rsidRPr="00346672" w:rsidRDefault="00F17612" w:rsidP="00346672">
      <w:pPr>
        <w:widowControl/>
        <w:numPr>
          <w:ilvl w:val="0"/>
          <w:numId w:val="21"/>
        </w:numPr>
        <w:autoSpaceDE/>
        <w:autoSpaceDN/>
        <w:adjustRightInd/>
        <w:ind w:left="425" w:hanging="425"/>
        <w:jc w:val="both"/>
        <w:rPr>
          <w:rFonts w:eastAsia="Times New Roman" w:cs="Times New Roman"/>
          <w:bCs/>
          <w:szCs w:val="24"/>
        </w:rPr>
      </w:pPr>
      <w:r w:rsidRPr="00346672">
        <w:rPr>
          <w:rFonts w:eastAsia="Times New Roman" w:cs="Times New Roman"/>
          <w:bCs/>
          <w:szCs w:val="24"/>
        </w:rPr>
        <w:t xml:space="preserve">ust. 1 – wskazuje dane zainteresowanych, które przetwarza PFR Portal. W odniesieniu do tych osób PFR Portal będzie przetwarzał informacje o imieniu (imionach), nazwisku i numerze PESEL </w:t>
      </w:r>
      <w:r w:rsidR="00605462">
        <w:rPr>
          <w:rFonts w:eastAsia="Times New Roman" w:cs="Times New Roman"/>
          <w:bCs/>
          <w:szCs w:val="24"/>
        </w:rPr>
        <w:t>oraz</w:t>
      </w:r>
      <w:r w:rsidRPr="00346672">
        <w:rPr>
          <w:rFonts w:eastAsia="Times New Roman" w:cs="Times New Roman"/>
          <w:bCs/>
          <w:szCs w:val="24"/>
        </w:rPr>
        <w:t xml:space="preserve"> seriach, numerach, datach ważności dokumentów tożsamości</w:t>
      </w:r>
      <w:r w:rsidR="00605462">
        <w:rPr>
          <w:rFonts w:eastAsia="Times New Roman" w:cs="Times New Roman"/>
          <w:bCs/>
          <w:szCs w:val="24"/>
        </w:rPr>
        <w:t>,</w:t>
      </w:r>
      <w:r w:rsidRPr="00346672">
        <w:rPr>
          <w:rFonts w:eastAsia="Times New Roman" w:cs="Times New Roman"/>
          <w:bCs/>
          <w:szCs w:val="24"/>
        </w:rPr>
        <w:t xml:space="preserve"> </w:t>
      </w:r>
      <w:r w:rsidR="00605462">
        <w:rPr>
          <w:rFonts w:eastAsia="Times New Roman" w:cs="Times New Roman"/>
          <w:bCs/>
          <w:szCs w:val="24"/>
        </w:rPr>
        <w:t>a</w:t>
      </w:r>
      <w:r w:rsidRPr="00346672">
        <w:rPr>
          <w:rFonts w:eastAsia="Times New Roman" w:cs="Times New Roman"/>
          <w:bCs/>
          <w:szCs w:val="24"/>
        </w:rPr>
        <w:t xml:space="preserve"> zatem, aby skompletować informacje dotyczące konkretnej osoby, najbardziej optymalnym rozwiązaniem jest utworzenie kompletu jej danych</w:t>
      </w:r>
      <w:r w:rsidR="00605462">
        <w:rPr>
          <w:rFonts w:eastAsia="Times New Roman" w:cs="Times New Roman"/>
          <w:bCs/>
          <w:szCs w:val="24"/>
        </w:rPr>
        <w:t>.</w:t>
      </w:r>
      <w:r w:rsidRPr="00346672">
        <w:rPr>
          <w:rFonts w:eastAsia="Times New Roman" w:cs="Times New Roman"/>
          <w:bCs/>
          <w:szCs w:val="24"/>
        </w:rPr>
        <w:t xml:space="preserve"> Te dane PFR Portal otrzyma dopiero po utworzeniu przez zainteresowanego profilu CIE;</w:t>
      </w:r>
    </w:p>
    <w:p w14:paraId="5E460BFC" w14:textId="06F23E9D" w:rsidR="00F17612" w:rsidRPr="00346672" w:rsidRDefault="00F17612" w:rsidP="00346672">
      <w:pPr>
        <w:widowControl/>
        <w:numPr>
          <w:ilvl w:val="0"/>
          <w:numId w:val="21"/>
        </w:numPr>
        <w:autoSpaceDE/>
        <w:autoSpaceDN/>
        <w:adjustRightInd/>
        <w:ind w:left="425" w:hanging="425"/>
        <w:jc w:val="both"/>
        <w:rPr>
          <w:rFonts w:eastAsia="Times New Roman" w:cs="Times New Roman"/>
          <w:bCs/>
          <w:szCs w:val="24"/>
        </w:rPr>
      </w:pPr>
      <w:r w:rsidRPr="00346672">
        <w:rPr>
          <w:rFonts w:eastAsia="Times New Roman" w:cs="Times New Roman"/>
          <w:bCs/>
          <w:szCs w:val="24"/>
        </w:rPr>
        <w:t>ust. 2 – tylko w odniesieniu do zainteresowanych (osób, które zakładając profil CIE</w:t>
      </w:r>
      <w:r w:rsidR="00605462">
        <w:rPr>
          <w:rFonts w:eastAsia="Times New Roman" w:cs="Times New Roman"/>
          <w:bCs/>
          <w:szCs w:val="24"/>
        </w:rPr>
        <w:t>,</w:t>
      </w:r>
      <w:r w:rsidRPr="00346672">
        <w:rPr>
          <w:rFonts w:eastAsia="Times New Roman" w:cs="Times New Roman"/>
          <w:bCs/>
          <w:szCs w:val="24"/>
        </w:rPr>
        <w:t xml:space="preserve"> wyraziły zamiar korzystania z systemu CIE) będą przetwarzane poszerzone dane osobowe, które PFR Portal otrzyma od ZUS, KRUS i podmiotów obowiązanych. Te dane będą służyły do świadczenia usług elektronicznych. Cz</w:t>
      </w:r>
      <w:r w:rsidR="00605462">
        <w:rPr>
          <w:rFonts w:eastAsia="Times New Roman" w:cs="Times New Roman"/>
          <w:bCs/>
          <w:szCs w:val="24"/>
        </w:rPr>
        <w:t>ę</w:t>
      </w:r>
      <w:r w:rsidRPr="00346672">
        <w:rPr>
          <w:rFonts w:eastAsia="Times New Roman" w:cs="Times New Roman"/>
          <w:bCs/>
          <w:szCs w:val="24"/>
        </w:rPr>
        <w:t>ść usług wymaga np. informacji o płci, która wpływa na np. wiek emerytalny. Dane o adresach mają umożliwić sprawną komunikację z zainteresowanymi. W CIE będą przetwarzane także dane o osobach uprawnionych do środków emerytalnych pozostałych po śmierci oszczędzającego. W celu poinformowania tych osób o tym, że przysługują jej środki po zmarłym – konieczne jest otrzymanie podstawowych danych tej osoby;</w:t>
      </w:r>
    </w:p>
    <w:p w14:paraId="4046BB42" w14:textId="77777777" w:rsidR="00F17612" w:rsidRPr="00346672" w:rsidRDefault="00F17612" w:rsidP="00346672">
      <w:pPr>
        <w:widowControl/>
        <w:numPr>
          <w:ilvl w:val="0"/>
          <w:numId w:val="21"/>
        </w:numPr>
        <w:autoSpaceDE/>
        <w:autoSpaceDN/>
        <w:adjustRightInd/>
        <w:ind w:left="425" w:hanging="425"/>
        <w:jc w:val="both"/>
        <w:rPr>
          <w:rFonts w:eastAsia="Times New Roman" w:cs="Times New Roman"/>
          <w:bCs/>
          <w:szCs w:val="24"/>
        </w:rPr>
      </w:pPr>
      <w:r w:rsidRPr="00346672">
        <w:rPr>
          <w:rFonts w:eastAsia="Times New Roman" w:cs="Times New Roman"/>
          <w:bCs/>
          <w:szCs w:val="24"/>
        </w:rPr>
        <w:t>ust. 3 – przepis ten określa dane dotyczące oszczędności emerytalnych zgromadzonych w ZUS i KRUS oraz dane dotyczące tych oszczędności. Na potrzeby wykonywania usług elektronicznych ZUS udostępni dane z: kont ubezpieczonych, subkont ubezpieczonych, kont płatników składek, informacji o stanie kont. KRUS przekaże informacje z ewidencji okresów podlegania ubezpieczeniu i opłacania składek. Mając na uwadze, że publiczny system ubezpieczeń społecznych jest najważniejszy i ma najszerszy zasięg, dostęp do informacji gromadzonych przez ZUS i KRUS jest niezbędny;</w:t>
      </w:r>
    </w:p>
    <w:p w14:paraId="748A9E5A" w14:textId="1D667320" w:rsidR="00F17612" w:rsidRPr="00346672" w:rsidRDefault="00F17612" w:rsidP="00346672">
      <w:pPr>
        <w:widowControl/>
        <w:numPr>
          <w:ilvl w:val="0"/>
          <w:numId w:val="21"/>
        </w:numPr>
        <w:autoSpaceDE/>
        <w:autoSpaceDN/>
        <w:adjustRightInd/>
        <w:ind w:left="425" w:hanging="425"/>
        <w:jc w:val="both"/>
        <w:rPr>
          <w:rFonts w:eastAsia="Times New Roman" w:cs="Times New Roman"/>
          <w:bCs/>
          <w:szCs w:val="24"/>
        </w:rPr>
      </w:pPr>
      <w:r w:rsidRPr="00346672">
        <w:rPr>
          <w:rFonts w:eastAsia="Times New Roman" w:cs="Times New Roman"/>
          <w:bCs/>
          <w:szCs w:val="24"/>
        </w:rPr>
        <w:t xml:space="preserve">ust. 4 </w:t>
      </w:r>
      <w:r w:rsidR="00346672">
        <w:rPr>
          <w:rFonts w:eastAsia="Times New Roman" w:cs="Times New Roman"/>
          <w:bCs/>
          <w:szCs w:val="24"/>
        </w:rPr>
        <w:t>–</w:t>
      </w:r>
      <w:r w:rsidRPr="00346672">
        <w:rPr>
          <w:rFonts w:eastAsia="Times New Roman" w:cs="Times New Roman"/>
          <w:bCs/>
          <w:szCs w:val="24"/>
        </w:rPr>
        <w:t xml:space="preserve"> od podmiotów obowiązanych oraz z ewidencji PPK, poza danymi identyfikującymi, pracodawców i samych podmiotów obowiązanych oraz podmiotów wykonujących działalność w zakresie PPK d</w:t>
      </w:r>
      <w:r w:rsidRPr="00346672" w:rsidDel="006B1D75">
        <w:rPr>
          <w:rFonts w:eastAsia="Times New Roman" w:cs="Times New Roman"/>
          <w:bCs/>
          <w:szCs w:val="24"/>
        </w:rPr>
        <w:t xml:space="preserve">o </w:t>
      </w:r>
      <w:r w:rsidRPr="00346672">
        <w:rPr>
          <w:rFonts w:eastAsia="Times New Roman" w:cs="Times New Roman"/>
          <w:bCs/>
          <w:szCs w:val="24"/>
        </w:rPr>
        <w:t>systemu CIE będą przekazane informacje dotyczące produktów emerytalnych zarządzanych w ramach IKE, IKZE, PPE, PPK i OFE (np. nazwa, data utworzenia, data rozpoczęcia oszczędzania przez zainteresowanego), informacje o wartości zgromadzonych środków emerytalnych (salda), wraz z informacją o jej wysokości</w:t>
      </w:r>
      <w:r w:rsidR="0069624C">
        <w:rPr>
          <w:rFonts w:eastAsia="Times New Roman" w:cs="Times New Roman"/>
          <w:bCs/>
          <w:szCs w:val="24"/>
        </w:rPr>
        <w:t xml:space="preserve"> </w:t>
      </w:r>
      <w:r w:rsidRPr="00346672">
        <w:rPr>
          <w:rFonts w:eastAsia="Times New Roman" w:cs="Times New Roman"/>
          <w:bCs/>
          <w:szCs w:val="24"/>
        </w:rPr>
        <w:t>w trakcie okresu gromadzenia tych środków oraz wartości oraz termin</w:t>
      </w:r>
      <w:r w:rsidR="0069624C">
        <w:rPr>
          <w:rFonts w:eastAsia="Times New Roman" w:cs="Times New Roman"/>
          <w:bCs/>
          <w:szCs w:val="24"/>
        </w:rPr>
        <w:t>ach</w:t>
      </w:r>
      <w:r w:rsidRPr="00346672">
        <w:rPr>
          <w:rFonts w:eastAsia="Times New Roman" w:cs="Times New Roman"/>
          <w:bCs/>
          <w:szCs w:val="24"/>
        </w:rPr>
        <w:t xml:space="preserve"> wpłat, wypłat i zwrotów oraz innych operacji dokonywanych na rachunku lub rejestrze produktu emerytalnego, a także dane o osobac</w:t>
      </w:r>
      <w:r w:rsidRPr="00346672" w:rsidDel="006B1D75">
        <w:rPr>
          <w:rFonts w:eastAsia="Times New Roman" w:cs="Times New Roman"/>
          <w:bCs/>
          <w:szCs w:val="24"/>
        </w:rPr>
        <w:t xml:space="preserve">h </w:t>
      </w:r>
      <w:r w:rsidRPr="00346672">
        <w:rPr>
          <w:rFonts w:eastAsia="Times New Roman" w:cs="Times New Roman"/>
          <w:bCs/>
          <w:szCs w:val="24"/>
        </w:rPr>
        <w:t xml:space="preserve">uprawnionych do otrzymania środków emerytalnych po śmierci zainteresowanego. W celu zaoferowania zaawansowanych usług, </w:t>
      </w:r>
      <w:r w:rsidRPr="00346672">
        <w:rPr>
          <w:rFonts w:eastAsia="Times New Roman" w:cs="Times New Roman"/>
          <w:bCs/>
          <w:szCs w:val="24"/>
        </w:rPr>
        <w:lastRenderedPageBreak/>
        <w:t xml:space="preserve">jak np. „kalkulatory” emerytalne, </w:t>
      </w:r>
      <w:r w:rsidR="0069624C" w:rsidRPr="00346672">
        <w:rPr>
          <w:rFonts w:eastAsia="Times New Roman" w:cs="Times New Roman"/>
          <w:bCs/>
          <w:szCs w:val="24"/>
        </w:rPr>
        <w:t xml:space="preserve">będą </w:t>
      </w:r>
      <w:r w:rsidRPr="00346672">
        <w:rPr>
          <w:rFonts w:eastAsia="Times New Roman" w:cs="Times New Roman"/>
          <w:bCs/>
          <w:szCs w:val="24"/>
        </w:rPr>
        <w:t>pozyskiwane także dane historyczne dotyczące przebiegu ubezpieczeń społecznych i gromadzenia środków emerytalnych. Wszystkie dane będą mogły być przetwarzane tylko w zakresie niezbędnym do wykonania danej usługi elektronicznej. Pozyskanie tych danych pozwoli na szybkie wyświetlenie informacji emerytalnych niezwłocznie po założeniu profilu CIE.</w:t>
      </w:r>
    </w:p>
    <w:p w14:paraId="04E9D890" w14:textId="04CAD3E4" w:rsidR="00F17612" w:rsidRPr="00346672" w:rsidRDefault="00F17612" w:rsidP="009D6708">
      <w:pPr>
        <w:widowControl/>
        <w:spacing w:before="120"/>
        <w:jc w:val="both"/>
        <w:rPr>
          <w:rFonts w:eastAsia="Times New Roman" w:cs="Times New Roman"/>
          <w:szCs w:val="24"/>
        </w:rPr>
      </w:pPr>
      <w:r w:rsidRPr="00346672">
        <w:rPr>
          <w:rFonts w:eastAsia="Times New Roman" w:cs="Times New Roman"/>
          <w:szCs w:val="24"/>
        </w:rPr>
        <w:t xml:space="preserve">Mając na uwadze, że dane z CIE będą mogły być udostępniane także wybranym organom państwa, m.in. sądom i prokuraturom (zob. art. 23 ust. 3 i 4), w przepisie art. 6 ust. 5 przewidziano, że PFR Portal będzie przetwarzał dane w CIE także na potrzeby postępowań właściwych organów prowadzonych na podstawie ustaw oraz sporządzania raportu, o którym mowa w art. 21 ust. 1. PFR Portal będzie nieodpłatnie udostępniał ministrowi właściwemu do spraw instytucji finansowych, PFR S.A., </w:t>
      </w:r>
      <w:r w:rsidRPr="00346672">
        <w:rPr>
          <w:rFonts w:cs="Times New Roman"/>
          <w:szCs w:val="24"/>
          <w:lang w:eastAsia="en-US"/>
        </w:rPr>
        <w:t>Narodowemu Bankowi Polskiemu i Komisji Nadzoru Finansowego (KNF)</w:t>
      </w:r>
      <w:r w:rsidRPr="00346672">
        <w:rPr>
          <w:rFonts w:eastAsia="Times New Roman" w:cs="Times New Roman"/>
          <w:szCs w:val="24"/>
        </w:rPr>
        <w:t xml:space="preserve"> dane dotyczące informacji emerytalnych </w:t>
      </w:r>
      <w:r w:rsidRPr="00346672">
        <w:rPr>
          <w:rFonts w:eastAsia="Calibri" w:cs="Times New Roman"/>
          <w:szCs w:val="24"/>
          <w:lang w:eastAsia="en-US"/>
        </w:rPr>
        <w:t xml:space="preserve">oraz dane dotyczące korzystania przez zainteresowanych z systemu CIE, w tym dane o uwierzytelnieniu w systemie CIE i dane o korzystaniu z usług elektronicznych. Te dane będą udostępniane tym podmiotom tylko w </w:t>
      </w:r>
      <w:r w:rsidRPr="00346672">
        <w:rPr>
          <w:rFonts w:eastAsia="Times New Roman" w:cs="Times New Roman"/>
          <w:szCs w:val="24"/>
        </w:rPr>
        <w:t xml:space="preserve">celach analitycznych i statystycznych w formie uniemożliwiającej ich powiązanie ze zidentyfikowaną lub możliwą do zidentyfikowania osobą fizyczną (art. 6 ust. 6). Projektowane uregulowanie oznacza, że organy i podmioty, które otrzymają dane utworzone na podstawie zasobów CIE, nie będą miały dostępu do informacji dotyczących poszczególnych zainteresowanych. Otrzymane dane podmioty </w:t>
      </w:r>
      <w:r w:rsidR="0069624C" w:rsidRPr="00346672">
        <w:rPr>
          <w:rFonts w:eastAsia="Times New Roman" w:cs="Times New Roman"/>
          <w:szCs w:val="24"/>
        </w:rPr>
        <w:t xml:space="preserve">te </w:t>
      </w:r>
      <w:r w:rsidRPr="00346672">
        <w:rPr>
          <w:rFonts w:eastAsia="Times New Roman" w:cs="Times New Roman"/>
          <w:szCs w:val="24"/>
        </w:rPr>
        <w:t>będą mogły wykorzystać w szczególności do przygotowania opracowań analitycznych i statystycznych.</w:t>
      </w:r>
    </w:p>
    <w:p w14:paraId="1A25B527" w14:textId="34EDCA86"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7.</w:t>
      </w:r>
      <w:r w:rsidR="00F26740">
        <w:rPr>
          <w:rFonts w:eastAsia="Times New Roman" w:cs="Times New Roman"/>
          <w:b/>
          <w:bCs/>
          <w:szCs w:val="24"/>
        </w:rPr>
        <w:t xml:space="preserve"> </w:t>
      </w:r>
      <w:r w:rsidRPr="00346672">
        <w:rPr>
          <w:rFonts w:eastAsia="Times New Roman" w:cs="Times New Roman"/>
          <w:b/>
          <w:bCs/>
          <w:szCs w:val="24"/>
        </w:rPr>
        <w:t>Usługi elektroniczne świadczone za pomocą systemu CIE</w:t>
      </w:r>
    </w:p>
    <w:p w14:paraId="33A34C6C" w14:textId="495A538A"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Podstawowym celem utworzenia CIE jest zapewnienie łatwego dostępu do kompleksowej informacji o stanie oszczędności emerytalnych. Jest to funkcja szczególnie ważna, ponieważ te informacje są obecnie rozproszone. Również inne usługi, które zapewni CIE, obecnie często wymagają osobistej obecności w placówkach podmiotu obowiązanego lub korespondencji pocztowej. W związku z tym projektowana ustawa w art. 7 ust. 1 pkt 1 przewiduje, że system CIE zapewni zainteresowanym możliwość wyświetlania danych o posiadanych produktach emerytalnych oraz dostęp do informacji o środkach emerytalnych zapisanych lub zgromadzonych w ZUS, KRUS i podmiotach obowiązanych, a także produktac</w:t>
      </w:r>
      <w:r w:rsidRPr="00346672" w:rsidDel="006B1D75">
        <w:rPr>
          <w:rFonts w:eastAsia="Times New Roman" w:cs="Times New Roman"/>
          <w:bCs/>
          <w:szCs w:val="24"/>
        </w:rPr>
        <w:t xml:space="preserve">h </w:t>
      </w:r>
      <w:r w:rsidRPr="00346672">
        <w:rPr>
          <w:rFonts w:eastAsia="Times New Roman" w:cs="Times New Roman"/>
          <w:bCs/>
          <w:szCs w:val="24"/>
        </w:rPr>
        <w:t xml:space="preserve">emerytalnych. Poza tym zainteresowany będzie miał wgląd do wszystkich informacji przetwarzanych w systemie CIE </w:t>
      </w:r>
      <w:r w:rsidRPr="00346672" w:rsidDel="006B1D75">
        <w:rPr>
          <w:rFonts w:eastAsia="Times New Roman" w:cs="Times New Roman"/>
          <w:bCs/>
          <w:szCs w:val="24"/>
        </w:rPr>
        <w:t xml:space="preserve">na </w:t>
      </w:r>
      <w:r w:rsidRPr="00346672">
        <w:rPr>
          <w:rFonts w:eastAsia="Times New Roman" w:cs="Times New Roman"/>
          <w:bCs/>
          <w:szCs w:val="24"/>
        </w:rPr>
        <w:t>jego temat (art. 7 ust. 1 pkt 2). Za</w:t>
      </w:r>
      <w:r w:rsidR="00346672">
        <w:rPr>
          <w:rFonts w:eastAsia="Times New Roman" w:cs="Times New Roman"/>
          <w:bCs/>
          <w:szCs w:val="24"/>
        </w:rPr>
        <w:t xml:space="preserve"> </w:t>
      </w:r>
      <w:r w:rsidRPr="00346672">
        <w:rPr>
          <w:rFonts w:eastAsia="Times New Roman" w:cs="Times New Roman"/>
          <w:bCs/>
          <w:szCs w:val="24"/>
        </w:rPr>
        <w:t xml:space="preserve">pomocą systemu CIE zostaną udostępnione </w:t>
      </w:r>
      <w:r w:rsidRPr="00346672">
        <w:rPr>
          <w:rFonts w:eastAsia="Times New Roman" w:cs="Times New Roman"/>
          <w:bCs/>
          <w:szCs w:val="24"/>
        </w:rPr>
        <w:lastRenderedPageBreak/>
        <w:t>także informacje pochodzące od ministra właściwego do spraw zabezpieczenia społecznego, ministra właściwego do spraw rozwoju wsi, KNF, ZUS, PFR S.A. oraz Portal PPK.</w:t>
      </w:r>
    </w:p>
    <w:p w14:paraId="1AB78801" w14:textId="3F84C2F3"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Wraz z rozwojem systemu CIE będą mogły być świadczone także usługi elektroniczne wymienione w art. 7 ust. 2. W pierwszej kolejności należy wymienić usługę wyświetlania informacji o historii gromadzenia i aktualnym stanie oszczędności emerytalnych (pkt 1). Szczególnie użyteczna będzie usługa szacowania prognozowanych świadczeń emerytalnych w oparciu o dane o środkach emerytalnych lub scenariusze gromadzenia środków emerytalnych w przyszłości (pkt 2). Ta usługa ma kluczowe znaczenie dla podnoszenia świadomości ekonomicznej zainteresowanych. Dzięki wiarygodnym i bezstronnym „kalkulatorom” zainteresowani będą mogli być lepiej wyposażeni w wiedzę przed podjęciem decyzji o poszerzeniu swojego portfela produktów emerytalnych. Wykorzystując możliwości elektronizacji, za pomocą CIE będzie możliwe wskazanie osób uprawnianych do zgromadzonych w IKE, IKZE, PPE, OFE lub PPK środków emerytalnych po śmierci zainteresowanego (pkt 3). Bardzo wygodną i użyteczną usługą będzie możliwość wyrażenia zgody na udostępnienie podmiotom obowiązanym oraz podmiotom wykonującym działalność w zakresie PPK informacji o adresie do korespondencji, adresie poczty elektronicznej lub numerze telefonu kontaktowego (pkt 4). W przyszłości będzie możliwe także wyrażenie zgody na otrzymywanie korespondencji od podmiotów obowiązanych oraz podmiotów wykonujących działalność w zakresie PPK za pomocą CIE (pkt 5). Dzięki tej usłudze CIE będzie mogła być kanałem przekazywania informacji do zainteresowanych, zarówno wymaganych określonymi odrębnymi przepisami (pkt 5), jak i innych (pkt 6). Po śmierci zainteresowanego, za pomocą CIE, uprawnieni do otrzymania środków emerytalnych będą mogli zostać poinformowani o uprawnieniu do środków emerytalnych po zmarłym (pkt 7), bez informowania o wysokości środków emerytalnych. W tym celu CIE będzie wykorzystywać dane kontaktowe przekazane do CIE lub dane pobrane z rejestru danych kontaktowych (ust. 6).</w:t>
      </w:r>
      <w:r w:rsidRPr="00346672" w:rsidDel="006B1D75">
        <w:rPr>
          <w:rFonts w:eastAsia="Times New Roman" w:cs="Times New Roman"/>
          <w:bCs/>
          <w:szCs w:val="24"/>
        </w:rPr>
        <w:t xml:space="preserve"> </w:t>
      </w:r>
      <w:r w:rsidRPr="00346672">
        <w:rPr>
          <w:rFonts w:eastAsia="Times New Roman" w:cs="Times New Roman"/>
          <w:bCs/>
          <w:szCs w:val="24"/>
        </w:rPr>
        <w:t>Należy jednak zaznaczyć, że przepisy projektowanej ustawy nie zmieniają wymogów formy składania oświadczeń woli, które przewidują inne ustawy (art. 7 ust. 3). PFR Portal niezwłocznie i nieodpłatnie zamieszcza na profilu CIE zainteresowanego potwierdzenie dokonania przez tego zainteresowanego czynności za pomocą systemu CIE (art. 7 ust. 4), a także zapewni zainteresowanym możliwość zgłoszenia nieprawidłowego działania CIE (art. 7 ust. 5). Ten przepis ma na cel</w:t>
      </w:r>
      <w:r w:rsidRPr="00346672" w:rsidDel="006B1D75">
        <w:rPr>
          <w:rFonts w:eastAsia="Times New Roman" w:cs="Times New Roman"/>
          <w:bCs/>
          <w:szCs w:val="24"/>
        </w:rPr>
        <w:t xml:space="preserve">u </w:t>
      </w:r>
      <w:r w:rsidRPr="00346672">
        <w:rPr>
          <w:rFonts w:eastAsia="Times New Roman" w:cs="Times New Roman"/>
          <w:bCs/>
          <w:szCs w:val="24"/>
        </w:rPr>
        <w:t xml:space="preserve">poprawę działania CIE i zapewnienie dodatkowego kanału komunikacji z zainteresowanymi. </w:t>
      </w:r>
    </w:p>
    <w:p w14:paraId="0DE94DC2" w14:textId="0B4AEF9D"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lastRenderedPageBreak/>
        <w:t>Art. 8.</w:t>
      </w:r>
      <w:r w:rsidR="00F26740">
        <w:rPr>
          <w:rFonts w:eastAsia="Times New Roman" w:cs="Times New Roman"/>
          <w:b/>
          <w:bCs/>
          <w:szCs w:val="24"/>
        </w:rPr>
        <w:t xml:space="preserve"> </w:t>
      </w:r>
      <w:r w:rsidRPr="00346672">
        <w:rPr>
          <w:rFonts w:eastAsia="Times New Roman" w:cs="Times New Roman"/>
          <w:b/>
          <w:bCs/>
          <w:szCs w:val="24"/>
        </w:rPr>
        <w:t>Przekazywanie informacji i wniosków do systemu ZUS</w:t>
      </w:r>
    </w:p>
    <w:p w14:paraId="4A58B237"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System CIE będzie powiązany m.in. z Platformą Usług Elektronicznych ZUS (PUE ZUS). Powiązanie systemu CIE z PUE ZUS jest niezbędne do świadczenia usług elektronicznych za pomocą systemu CIE. W celu usprawnienia wymiany danych i kontaktu z ZUS, w myśl art. 8 ust. 1 i 2, za pośrednictwem systemu CIE będzie możliwe przekazanie do systemu PUE ZUS, na profil ubezpieczonego utworzony w PUE ZUS, następujących dokumentów złożonych przez zainteresowanego:</w:t>
      </w:r>
    </w:p>
    <w:p w14:paraId="47B9BE4C"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1)</w:t>
      </w:r>
      <w:r w:rsidRPr="00346672">
        <w:rPr>
          <w:rFonts w:eastAsia="Times New Roman" w:cs="Times New Roman"/>
          <w:bCs/>
          <w:szCs w:val="24"/>
        </w:rPr>
        <w:tab/>
        <w:t xml:space="preserve">informacji o wskazaniu lub zmianie osób uprawnionych do otrzymania środków zewidencjonowanych na subkoncie, o którym mowa w </w:t>
      </w:r>
      <w:r w:rsidRPr="00346672">
        <w:rPr>
          <w:rFonts w:cs="Times New Roman"/>
          <w:szCs w:val="24"/>
        </w:rPr>
        <w:t>art. 40a ust. 1</w:t>
      </w:r>
      <w:r w:rsidRPr="00346672">
        <w:rPr>
          <w:rFonts w:eastAsia="Times New Roman" w:cs="Times New Roman"/>
          <w:bCs/>
          <w:szCs w:val="24"/>
        </w:rPr>
        <w:t> ustawy z dnia 13 październ</w:t>
      </w:r>
      <w:r w:rsidRPr="00346672" w:rsidDel="006B1D75">
        <w:rPr>
          <w:rFonts w:eastAsia="Times New Roman" w:cs="Times New Roman"/>
          <w:bCs/>
          <w:szCs w:val="24"/>
        </w:rPr>
        <w:t>ika</w:t>
      </w:r>
      <w:r w:rsidRPr="00346672">
        <w:rPr>
          <w:rFonts w:eastAsia="Times New Roman" w:cs="Times New Roman"/>
          <w:bCs/>
          <w:szCs w:val="24"/>
        </w:rPr>
        <w:t xml:space="preserve"> 1998 r. o systemie ubezpieczeń społecznych;</w:t>
      </w:r>
    </w:p>
    <w:p w14:paraId="3BC64D0A" w14:textId="5FA8C04C"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2)</w:t>
      </w:r>
      <w:r w:rsidRPr="00346672">
        <w:rPr>
          <w:rFonts w:eastAsia="Times New Roman" w:cs="Times New Roman"/>
          <w:bCs/>
          <w:szCs w:val="24"/>
        </w:rPr>
        <w:tab/>
        <w:t xml:space="preserve">oświadczenia o stosunkach majątkowych istniejących między zainteresowanym a jego współmałżonkiem, o którym mowa w art. 39 </w:t>
      </w:r>
      <w:r w:rsidRPr="00346672">
        <w:rPr>
          <w:rFonts w:cs="Times New Roman"/>
          <w:szCs w:val="24"/>
        </w:rPr>
        <w:t>ust. 1b</w:t>
      </w:r>
      <w:r w:rsidR="00346672">
        <w:rPr>
          <w:rFonts w:cs="Times New Roman"/>
          <w:szCs w:val="24"/>
        </w:rPr>
        <w:t xml:space="preserve"> </w:t>
      </w:r>
      <w:r w:rsidRPr="00346672">
        <w:rPr>
          <w:rFonts w:eastAsia="Times New Roman" w:cs="Times New Roman"/>
          <w:bCs/>
          <w:szCs w:val="24"/>
        </w:rPr>
        <w:t>ustawy z dnia 13 października 1998 r. o systemie ubezpieczeń społecznych;</w:t>
      </w:r>
    </w:p>
    <w:p w14:paraId="418653E5" w14:textId="5CDF13D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3)</w:t>
      </w:r>
      <w:r w:rsidRPr="00346672">
        <w:rPr>
          <w:rFonts w:eastAsia="Times New Roman" w:cs="Times New Roman"/>
          <w:bCs/>
          <w:szCs w:val="24"/>
        </w:rPr>
        <w:tab/>
        <w:t>wniosku o zmianę danych identyfikacyjnych lub adresowych</w:t>
      </w:r>
      <w:r w:rsidR="00D138AE">
        <w:rPr>
          <w:rFonts w:eastAsia="Times New Roman" w:cs="Times New Roman"/>
          <w:bCs/>
          <w:szCs w:val="24"/>
        </w:rPr>
        <w:t>;</w:t>
      </w:r>
    </w:p>
    <w:p w14:paraId="594D5B2C"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4)</w:t>
      </w:r>
      <w:r w:rsidRPr="00346672">
        <w:rPr>
          <w:rFonts w:eastAsia="Times New Roman" w:cs="Times New Roman"/>
          <w:bCs/>
          <w:szCs w:val="24"/>
        </w:rPr>
        <w:tab/>
        <w:t>wniosku o wyjaśnienie nieprawidłowości w przekazaniu składek do otwartego funduszu emerytalnego;</w:t>
      </w:r>
    </w:p>
    <w:p w14:paraId="07AF7ECE"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5)</w:t>
      </w:r>
      <w:r w:rsidRPr="00346672">
        <w:rPr>
          <w:rFonts w:eastAsia="Times New Roman" w:cs="Times New Roman"/>
          <w:bCs/>
          <w:szCs w:val="24"/>
        </w:rPr>
        <w:tab/>
        <w:t xml:space="preserve">wniosku o wydanie zaświadczenia lub informacji z konta ubezpieczonego, o którym mowa w </w:t>
      </w:r>
      <w:r w:rsidRPr="00346672">
        <w:rPr>
          <w:rFonts w:cs="Times New Roman"/>
          <w:szCs w:val="24"/>
        </w:rPr>
        <w:t>art. 40 ust. 1</w:t>
      </w:r>
      <w:r w:rsidRPr="00346672">
        <w:rPr>
          <w:rFonts w:eastAsia="Times New Roman" w:cs="Times New Roman"/>
          <w:bCs/>
          <w:szCs w:val="24"/>
        </w:rPr>
        <w:t> ustawy z dnia 13 października 1998 r. o systemie ubezpieczeń społecznych.</w:t>
      </w:r>
    </w:p>
    <w:p w14:paraId="72A053D0" w14:textId="2FE3D443"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Jeżeli zainteresowany nie posiada profilu na PUE ZUS, założy ta</w:t>
      </w:r>
      <w:r w:rsidRPr="00346672" w:rsidDel="006B1D75">
        <w:rPr>
          <w:rFonts w:eastAsia="Times New Roman" w:cs="Times New Roman"/>
          <w:bCs/>
          <w:szCs w:val="24"/>
        </w:rPr>
        <w:t xml:space="preserve">ki </w:t>
      </w:r>
      <w:r w:rsidRPr="00346672">
        <w:rPr>
          <w:rFonts w:eastAsia="Times New Roman" w:cs="Times New Roman"/>
          <w:bCs/>
          <w:szCs w:val="24"/>
        </w:rPr>
        <w:t xml:space="preserve">profil (art. 8 ust. 2 </w:t>
      </w:r>
      <w:r w:rsidRPr="00B60B11">
        <w:rPr>
          <w:rFonts w:eastAsia="Times New Roman" w:cs="Times New Roman"/>
          <w:bCs/>
          <w:i/>
          <w:szCs w:val="24"/>
        </w:rPr>
        <w:t>in fine</w:t>
      </w:r>
      <w:r w:rsidRPr="00346672">
        <w:rPr>
          <w:rFonts w:eastAsia="Times New Roman" w:cs="Times New Roman"/>
          <w:bCs/>
          <w:szCs w:val="24"/>
        </w:rPr>
        <w:t xml:space="preserve">). Za pomocą systemu CIE </w:t>
      </w:r>
      <w:r w:rsidR="00D138AE" w:rsidRPr="00346672">
        <w:rPr>
          <w:rFonts w:eastAsia="Times New Roman" w:cs="Times New Roman"/>
          <w:bCs/>
          <w:szCs w:val="24"/>
        </w:rPr>
        <w:t xml:space="preserve">będzie </w:t>
      </w:r>
      <w:r w:rsidRPr="00346672">
        <w:rPr>
          <w:rFonts w:eastAsia="Times New Roman" w:cs="Times New Roman"/>
          <w:bCs/>
          <w:szCs w:val="24"/>
        </w:rPr>
        <w:t xml:space="preserve">możliwe samodzielne pobranie dokumentów potwierdzających jego dane zgromadzone w systemie teleinformatycznym ZUS (art. 8 ust. 3). </w:t>
      </w:r>
    </w:p>
    <w:p w14:paraId="0BBC4E7F" w14:textId="4030BF85"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9.</w:t>
      </w:r>
      <w:r w:rsidR="00E76D53">
        <w:rPr>
          <w:rFonts w:eastAsia="Times New Roman" w:cs="Times New Roman"/>
          <w:b/>
          <w:bCs/>
          <w:szCs w:val="24"/>
        </w:rPr>
        <w:t xml:space="preserve"> </w:t>
      </w:r>
      <w:r w:rsidRPr="00346672">
        <w:rPr>
          <w:rFonts w:eastAsia="Times New Roman" w:cs="Times New Roman"/>
          <w:b/>
          <w:bCs/>
          <w:szCs w:val="24"/>
        </w:rPr>
        <w:t>Dostęp do informacji emerytalnych za pomocą systemu CIE</w:t>
      </w:r>
    </w:p>
    <w:p w14:paraId="521C2265" w14:textId="24097C28"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Podstawową zasadą funkcjonowania CIE jest gromadzenie informacji emerytaln</w:t>
      </w:r>
      <w:r w:rsidRPr="00346672" w:rsidDel="006B1D75">
        <w:rPr>
          <w:rFonts w:eastAsia="Times New Roman" w:cs="Times New Roman"/>
          <w:bCs/>
          <w:szCs w:val="24"/>
        </w:rPr>
        <w:t>ych</w:t>
      </w:r>
      <w:r w:rsidRPr="00346672">
        <w:rPr>
          <w:rFonts w:eastAsia="Times New Roman" w:cs="Times New Roman"/>
          <w:bCs/>
          <w:szCs w:val="24"/>
        </w:rPr>
        <w:t xml:space="preserve"> tylko w odniesieniu do zainteresowanych. Z kolei zainteresowanemu </w:t>
      </w:r>
      <w:r w:rsidR="00D138AE" w:rsidRPr="00346672">
        <w:rPr>
          <w:rFonts w:eastAsia="Times New Roman" w:cs="Times New Roman"/>
          <w:bCs/>
          <w:szCs w:val="24"/>
        </w:rPr>
        <w:t xml:space="preserve">będą </w:t>
      </w:r>
      <w:r w:rsidRPr="00346672">
        <w:rPr>
          <w:rFonts w:eastAsia="Times New Roman" w:cs="Times New Roman"/>
          <w:bCs/>
          <w:szCs w:val="24"/>
        </w:rPr>
        <w:t xml:space="preserve">udostępniane wyłącznie informacje emerytalne, które danego zainteresowanego dotyczą (art. 9 ust. 1). Od powyższej zasady projekt ustawy przewiduje tylko dwa wyjątki. Po pierwsze PFR Portal za pomocą CIE będzie udostępniał informacje dotyczące gromadzenia i zarządzania środkami emerytalnymi oraz inne informacje związane z funkcjonowaniem systemu zabezpieczenia społecznego skierowane do nieoznaczonego odbiorcy lub grup odbiorców, w tym ogłoszenia i komunikaty dotyczące informacji emerytalnych, przekazane przez organy władzy publicznej, ZUS i KRUS </w:t>
      </w:r>
      <w:r w:rsidRPr="00346672">
        <w:rPr>
          <w:rFonts w:eastAsia="Times New Roman" w:cs="Times New Roman"/>
          <w:bCs/>
          <w:szCs w:val="24"/>
        </w:rPr>
        <w:lastRenderedPageBreak/>
        <w:t>(art. 9 ust. 2). Drugi wyjątek to wyświetlanie na stronie internetowej lub w aplikacji mobilnej wykazu podmiotów ob</w:t>
      </w:r>
      <w:r w:rsidR="00D138AE">
        <w:rPr>
          <w:rFonts w:eastAsia="Times New Roman" w:cs="Times New Roman"/>
          <w:bCs/>
          <w:szCs w:val="24"/>
        </w:rPr>
        <w:t>o</w:t>
      </w:r>
      <w:r w:rsidRPr="00346672">
        <w:rPr>
          <w:rFonts w:eastAsia="Times New Roman" w:cs="Times New Roman"/>
          <w:bCs/>
          <w:szCs w:val="24"/>
        </w:rPr>
        <w:t>wiązanych (art. 9 ust. 3).</w:t>
      </w:r>
    </w:p>
    <w:p w14:paraId="1C6068BE" w14:textId="74816746"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Portal PPK będzie także informował upraw</w:t>
      </w:r>
      <w:r w:rsidR="00D138AE">
        <w:rPr>
          <w:rFonts w:eastAsia="Times New Roman" w:cs="Times New Roman"/>
          <w:bCs/>
          <w:szCs w:val="24"/>
        </w:rPr>
        <w:t>n</w:t>
      </w:r>
      <w:r w:rsidRPr="00346672">
        <w:rPr>
          <w:rFonts w:eastAsia="Times New Roman" w:cs="Times New Roman"/>
          <w:bCs/>
          <w:szCs w:val="24"/>
        </w:rPr>
        <w:t>ionych po śmierci zainteresowanego o przypadających im środkach emerytalnych. Informacja będzie przekazywana na dane kontaktowe uprawnionych pobrane z rejestru danych kontaktowych lub na dane zgromadzone o osobach uprawnionych w systemie CIE (art. 9 ust. 4).</w:t>
      </w:r>
    </w:p>
    <w:p w14:paraId="399EF1A7" w14:textId="37BD073D" w:rsidR="00F17612" w:rsidRPr="00346672" w:rsidRDefault="00F17612" w:rsidP="009D6708">
      <w:pPr>
        <w:keepNext/>
        <w:widowControl/>
        <w:spacing w:before="120"/>
        <w:jc w:val="both"/>
        <w:rPr>
          <w:rFonts w:eastAsia="Times New Roman" w:cs="Times New Roman"/>
          <w:b/>
          <w:bCs/>
          <w:szCs w:val="24"/>
        </w:rPr>
      </w:pPr>
      <w:r w:rsidRPr="00346672">
        <w:rPr>
          <w:rFonts w:eastAsia="Times New Roman" w:cs="Times New Roman"/>
          <w:b/>
          <w:bCs/>
          <w:szCs w:val="24"/>
        </w:rPr>
        <w:t>Art. 10.</w:t>
      </w:r>
      <w:r w:rsidR="00E76D53">
        <w:rPr>
          <w:rFonts w:eastAsia="Times New Roman" w:cs="Times New Roman"/>
          <w:b/>
          <w:bCs/>
          <w:szCs w:val="24"/>
        </w:rPr>
        <w:t xml:space="preserve"> </w:t>
      </w:r>
      <w:r w:rsidRPr="00346672">
        <w:rPr>
          <w:rFonts w:eastAsia="Times New Roman" w:cs="Times New Roman"/>
          <w:b/>
          <w:bCs/>
          <w:szCs w:val="24"/>
        </w:rPr>
        <w:t>Przekazywanie danych przez ZUS i KRUS do CIE</w:t>
      </w:r>
    </w:p>
    <w:p w14:paraId="21A96917"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Funkcjonowanie CIE wymaga komunikacji systemów teleinformatycznych różn</w:t>
      </w:r>
      <w:r w:rsidRPr="00346672" w:rsidDel="006B1D75">
        <w:rPr>
          <w:rFonts w:eastAsia="Times New Roman" w:cs="Times New Roman"/>
          <w:bCs/>
          <w:szCs w:val="24"/>
        </w:rPr>
        <w:t>ych</w:t>
      </w:r>
      <w:r w:rsidRPr="00346672">
        <w:rPr>
          <w:rFonts w:eastAsia="Times New Roman" w:cs="Times New Roman"/>
          <w:bCs/>
          <w:szCs w:val="24"/>
        </w:rPr>
        <w:t xml:space="preserve"> instytucji z systemem CIE. ZUS i KRUS przekażą do systemu CIE dane z kont ubezpieczonych, o których mowa w art. 6 ust. 2 i 3. Przekazanie nastąpi w drodze teletransmisji po otrzymaniu z systemu CIE imienia (imion) i nazwiska zainteresowanego oraz jego numeru PESEL, serii i numeru dowodu osobistego lub serii i numeru paszportu (art. 10 ust. 1). </w:t>
      </w:r>
    </w:p>
    <w:p w14:paraId="7B314D86" w14:textId="75BBA77A"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Biorąc pod uwagę, że system CIE będzie budowany</w:t>
      </w:r>
      <w:r w:rsidRPr="00346672" w:rsidDel="006B1D75">
        <w:rPr>
          <w:rFonts w:eastAsia="Times New Roman" w:cs="Times New Roman"/>
          <w:bCs/>
          <w:szCs w:val="24"/>
        </w:rPr>
        <w:t xml:space="preserve"> </w:t>
      </w:r>
      <w:r w:rsidRPr="00346672">
        <w:rPr>
          <w:rFonts w:eastAsia="Times New Roman" w:cs="Times New Roman"/>
          <w:bCs/>
          <w:szCs w:val="24"/>
        </w:rPr>
        <w:t>etapami, terminy, szczegółowe warunki techniczne i zakres informacji przekazywanych do systemu CIE w konkretnym terminie (tj. w konkretnym pliku lub operacji przekazania plików) zostaną uzgodnione między PFR Portal i ZUS oraz KRUS (art. 10 ust. 2). Przekazanie operacji jest czynnością ściśle techniczną, która może wymagać szczegółowych ustaleń jej warunków. Mając na względzie złożoność tworzonego systemu oraz fakt, że warunki techniczne mogą się zmieniać, celowe jest pozostawienie ich na poziomie uzgodnień między PFR Portal i</w:t>
      </w:r>
      <w:r w:rsidR="00346672">
        <w:rPr>
          <w:rFonts w:eastAsia="Times New Roman" w:cs="Times New Roman"/>
          <w:bCs/>
          <w:szCs w:val="24"/>
        </w:rPr>
        <w:t xml:space="preserve"> </w:t>
      </w:r>
      <w:r w:rsidRPr="00346672">
        <w:rPr>
          <w:rFonts w:eastAsia="Times New Roman" w:cs="Times New Roman"/>
          <w:bCs/>
          <w:szCs w:val="24"/>
        </w:rPr>
        <w:t>ZUS oraz KRUS. Ustalenie tych warunków w formie porozumienia zapewni możliwość ich elastycznego dostosowania do aktualnej sytuacji. Z uwagi na ściśle techniczny charakter tych uzgodnień, który nie wpływa na prawa i obowiązki zainteresowanych, określeni</w:t>
      </w:r>
      <w:r w:rsidR="00C67B15">
        <w:rPr>
          <w:rFonts w:eastAsia="Times New Roman" w:cs="Times New Roman"/>
          <w:bCs/>
          <w:szCs w:val="24"/>
        </w:rPr>
        <w:t>e</w:t>
      </w:r>
      <w:r w:rsidRPr="00346672">
        <w:rPr>
          <w:rFonts w:eastAsia="Times New Roman" w:cs="Times New Roman"/>
          <w:bCs/>
          <w:szCs w:val="24"/>
        </w:rPr>
        <w:t xml:space="preserve"> tych warunków w formie rozporządzenia też nie jest konieczne.</w:t>
      </w:r>
    </w:p>
    <w:p w14:paraId="2D781A66" w14:textId="7C9CE1CE"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11 i art. 48 ust. 1 i 2</w:t>
      </w:r>
      <w:r w:rsidR="00E76D53">
        <w:rPr>
          <w:rFonts w:eastAsia="Times New Roman" w:cs="Times New Roman"/>
          <w:b/>
          <w:bCs/>
          <w:szCs w:val="24"/>
        </w:rPr>
        <w:t xml:space="preserve"> </w:t>
      </w:r>
      <w:r w:rsidRPr="00346672">
        <w:rPr>
          <w:rFonts w:eastAsia="Times New Roman" w:cs="Times New Roman"/>
          <w:b/>
          <w:bCs/>
          <w:szCs w:val="24"/>
        </w:rPr>
        <w:t>Przygotowanie do przekazywania danych</w:t>
      </w:r>
    </w:p>
    <w:p w14:paraId="73997353" w14:textId="013B4AF0"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Podmioty obowiązane, które zamierzaj</w:t>
      </w:r>
      <w:r w:rsidRPr="00346672" w:rsidDel="006B1D75">
        <w:rPr>
          <w:rFonts w:eastAsia="Times New Roman" w:cs="Times New Roman"/>
          <w:bCs/>
          <w:szCs w:val="24"/>
        </w:rPr>
        <w:t xml:space="preserve">ą </w:t>
      </w:r>
      <w:r w:rsidRPr="00346672">
        <w:rPr>
          <w:rFonts w:eastAsia="Times New Roman" w:cs="Times New Roman"/>
          <w:bCs/>
          <w:szCs w:val="24"/>
        </w:rPr>
        <w:t>rozpoczęcie działalności po zbudowaniu systemu CIE, będą zobowiązane zgłosić gotowość do przekazywania danych przed pozyskaniem pierwszego klienta, np. otwarcia pierwszego rachunku lub zawarcia pierwszej umowy (art. 11 ust. 1 i art. 48 ust. 3). Dzięki takiemu rozwiązaniu dane od nowych podmiotów będą przekazywane praktycznie na bieżąco. Natomiast inne podmioty, tj. istniejące wcześniej, będą zobowiązane zgłosić gotowość przekazania danych w termin</w:t>
      </w:r>
      <w:r w:rsidRPr="00346672" w:rsidDel="006B1D75">
        <w:rPr>
          <w:rFonts w:eastAsia="Times New Roman" w:cs="Times New Roman"/>
          <w:bCs/>
          <w:szCs w:val="24"/>
        </w:rPr>
        <w:t xml:space="preserve">ie </w:t>
      </w:r>
      <w:r w:rsidRPr="00346672">
        <w:rPr>
          <w:rFonts w:eastAsia="Times New Roman" w:cs="Times New Roman"/>
          <w:bCs/>
          <w:szCs w:val="24"/>
        </w:rPr>
        <w:t xml:space="preserve">określonym w komunikacie ministra właściwego do spraw informatyzacji (art. 48 ust. 1 pkt 2 lit. c). Szczegółowe informacje </w:t>
      </w:r>
      <w:r w:rsidRPr="00346672">
        <w:rPr>
          <w:rFonts w:eastAsia="Times New Roman" w:cs="Times New Roman"/>
          <w:bCs/>
          <w:szCs w:val="24"/>
        </w:rPr>
        <w:lastRenderedPageBreak/>
        <w:t>techniczne, które umożliwią przygotowanie do przekazywania danych</w:t>
      </w:r>
      <w:r w:rsidR="00177868">
        <w:rPr>
          <w:rFonts w:eastAsia="Times New Roman" w:cs="Times New Roman"/>
          <w:bCs/>
          <w:szCs w:val="24"/>
        </w:rPr>
        <w:t>,</w:t>
      </w:r>
      <w:r w:rsidRPr="00346672">
        <w:rPr>
          <w:rFonts w:eastAsia="Times New Roman" w:cs="Times New Roman"/>
          <w:bCs/>
          <w:szCs w:val="24"/>
        </w:rPr>
        <w:t xml:space="preserve"> określi PFR Portal (art. 11 ust. 2). Mając na uwadze, że przekazanie danych to najważniejszy obowiązek podmiotów obowiązanych, w projektowanym art. 11 ust. 3 przewidziano procedurę wydania przez ministra właściwego do spraw informatyzacji decyzji nakazującej zgłoszenie gotowości do przekazania danych. Minister właściwy do spraw informatyzacji będzie zatem uprawniony do wskazania podmiotowi obowiązanemu terminu przygotowania się do przekazywania danych, nie dłuższego niż 3 miesiące. Decyzja ministra będzie miała rygor natychmiastowej wykonalności. Jeżeli podmiot nie wykona decyzji, to będzie narażony na karę administracyjną w wysokoś</w:t>
      </w:r>
      <w:r w:rsidRPr="00346672" w:rsidDel="006B1D75">
        <w:rPr>
          <w:rFonts w:eastAsia="Times New Roman" w:cs="Times New Roman"/>
          <w:bCs/>
          <w:szCs w:val="24"/>
        </w:rPr>
        <w:t xml:space="preserve">ci </w:t>
      </w:r>
      <w:r w:rsidRPr="00346672">
        <w:rPr>
          <w:rFonts w:eastAsia="Times New Roman" w:cs="Times New Roman"/>
          <w:bCs/>
          <w:szCs w:val="24"/>
        </w:rPr>
        <w:t>100 000 zł</w:t>
      </w:r>
      <w:r w:rsidRPr="00346672" w:rsidDel="006B1D75">
        <w:rPr>
          <w:rFonts w:eastAsia="Times New Roman" w:cs="Times New Roman"/>
          <w:bCs/>
          <w:szCs w:val="24"/>
        </w:rPr>
        <w:t xml:space="preserve"> za</w:t>
      </w:r>
      <w:r w:rsidRPr="00346672">
        <w:rPr>
          <w:rFonts w:eastAsia="Times New Roman" w:cs="Times New Roman"/>
          <w:bCs/>
          <w:szCs w:val="24"/>
        </w:rPr>
        <w:t xml:space="preserve"> każdy rozpoczęty miesiąc opóźnienia (art. 31).</w:t>
      </w:r>
    </w:p>
    <w:p w14:paraId="60EA20CD"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Powyższy tryb nie będzie</w:t>
      </w:r>
      <w:r w:rsidRPr="00346672" w:rsidDel="006B1D75">
        <w:rPr>
          <w:rFonts w:eastAsia="Times New Roman" w:cs="Times New Roman"/>
          <w:bCs/>
          <w:szCs w:val="24"/>
        </w:rPr>
        <w:t xml:space="preserve"> </w:t>
      </w:r>
      <w:r w:rsidRPr="00346672">
        <w:rPr>
          <w:rFonts w:eastAsia="Times New Roman" w:cs="Times New Roman"/>
          <w:bCs/>
          <w:szCs w:val="24"/>
        </w:rPr>
        <w:t>dotyczył podmiotów wykonujących działalność w zakresie PPK. Dane dotyczące PPK będą bowiem pobierane z ewidencji PPK (art. 15 ust. 5).</w:t>
      </w:r>
    </w:p>
    <w:p w14:paraId="10F936D0" w14:textId="2CDC52AF"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12.</w:t>
      </w:r>
      <w:r w:rsidR="00E76D53">
        <w:rPr>
          <w:rFonts w:eastAsia="Times New Roman" w:cs="Times New Roman"/>
          <w:b/>
          <w:bCs/>
          <w:szCs w:val="24"/>
        </w:rPr>
        <w:t xml:space="preserve"> </w:t>
      </w:r>
      <w:r w:rsidRPr="00346672">
        <w:rPr>
          <w:rFonts w:eastAsia="Times New Roman" w:cs="Times New Roman"/>
          <w:b/>
          <w:bCs/>
          <w:szCs w:val="24"/>
        </w:rPr>
        <w:t>Zakodowane identyfikatory posiadaczy produktów emerytalnych</w:t>
      </w:r>
    </w:p>
    <w:p w14:paraId="43B870FA" w14:textId="421E43D5"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Projektowany przepis art. 12 określa sposób tworzenia zakodowanych identyfikatorów posiadaczy produktów emerytalnych, które będą wykorzystywane do gromadzenia informacji emerytalnych dotyczących poszczególnych zainteresowanych. W tym celu, zanim PFR Portal zwróci się do podmiotów obowiązanych o przekazanie</w:t>
      </w:r>
      <w:r w:rsidRPr="00346672" w:rsidDel="006B1D75">
        <w:rPr>
          <w:rFonts w:eastAsia="Times New Roman" w:cs="Times New Roman"/>
          <w:bCs/>
          <w:szCs w:val="24"/>
        </w:rPr>
        <w:t xml:space="preserve"> </w:t>
      </w:r>
      <w:r w:rsidRPr="00346672">
        <w:rPr>
          <w:rFonts w:eastAsia="Times New Roman" w:cs="Times New Roman"/>
          <w:bCs/>
          <w:szCs w:val="24"/>
        </w:rPr>
        <w:t>danych, przekaże podmiotom obowiązanym mechanizm tworzenia zakodowanych identyfikatorów posiadaczy produktów emerytalnych. Do utworzenia identyfikatorów będą wykorzystane</w:t>
      </w:r>
      <w:r w:rsidR="00926AB6">
        <w:rPr>
          <w:rFonts w:eastAsia="Times New Roman" w:cs="Times New Roman"/>
          <w:bCs/>
          <w:szCs w:val="24"/>
        </w:rPr>
        <w:t>:</w:t>
      </w:r>
      <w:r w:rsidRPr="00346672">
        <w:rPr>
          <w:rFonts w:eastAsia="Times New Roman" w:cs="Times New Roman"/>
          <w:bCs/>
          <w:szCs w:val="24"/>
        </w:rPr>
        <w:t xml:space="preserve"> numery PESEL, numery i serie dowodów osobistych i numery i serie paszportów oraz numery i serie dokumentów potwierdzających tożsamość i obywatelstwo cudzoziemców (art. 12 ust. 1 i 2). Podmioty obowiązane będą przekazywały każdego dnia aktualny zbiór identyfikatorów osób, dla których prowadzą produkty emerytalne (art. 12 ust. 2 i 3). Po zalogowaniu zainteresowanego w systemie CIE (tj. zalogowaniu do profilu CIE) PFR Portal otrzyma od ministra właściwego do spraw informatyzacji dane zainteresowanych (art. 13). Następnie, wykorzystując zakodowane identyfikatory tych zainteresowan</w:t>
      </w:r>
      <w:r w:rsidR="00926AB6">
        <w:rPr>
          <w:rFonts w:eastAsia="Times New Roman" w:cs="Times New Roman"/>
          <w:bCs/>
          <w:szCs w:val="24"/>
        </w:rPr>
        <w:t>ych</w:t>
      </w:r>
      <w:r w:rsidRPr="00346672">
        <w:rPr>
          <w:rFonts w:eastAsia="Times New Roman" w:cs="Times New Roman"/>
          <w:bCs/>
          <w:szCs w:val="24"/>
        </w:rPr>
        <w:t xml:space="preserve">, PFR Portal skieruje żądanie przekazania informacji emerytalnych do podmiotu obowiązanego, który zgłosił prowadzenie produktu emerytalnego dla tej osoby (art. 12 ust. 2). W ten sposób PFR Portal będzie na bieżąco dysponował wskazaniami zainteresowanych (osób, które utworzyły profil CIE), którzy posiadają produkty emerytalne u danego podmiotu obowiązanego. </w:t>
      </w:r>
    </w:p>
    <w:p w14:paraId="15D2EF21" w14:textId="4559C0BE"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W celu zapewnienia unikalności identyfikatorów PFR Portal utworzy i będzie prowadził zbiór identyfikatorów posiadaczy produktów emerytalnych (art. 12 ust. 4). Dzięki porównaniu tych identyfikatorów z identyfikatorami zainteresowanych PFR Portal będzie mógł żądać od danego </w:t>
      </w:r>
      <w:r w:rsidRPr="00346672">
        <w:rPr>
          <w:rFonts w:eastAsia="Times New Roman" w:cs="Times New Roman"/>
          <w:bCs/>
          <w:szCs w:val="24"/>
        </w:rPr>
        <w:lastRenderedPageBreak/>
        <w:t>podmiotu obowiązanego przekazania informacji emerytalnych tylko w odniesieniu do osoby</w:t>
      </w:r>
      <w:r w:rsidR="00926AB6">
        <w:rPr>
          <w:rFonts w:eastAsia="Times New Roman" w:cs="Times New Roman"/>
          <w:bCs/>
          <w:szCs w:val="24"/>
        </w:rPr>
        <w:t>,</w:t>
      </w:r>
      <w:r w:rsidRPr="00346672">
        <w:rPr>
          <w:rFonts w:eastAsia="Times New Roman" w:cs="Times New Roman"/>
          <w:bCs/>
          <w:szCs w:val="24"/>
        </w:rPr>
        <w:t xml:space="preserve"> dla której ten podmiot prowadzi produkt emerytalny (zob. </w:t>
      </w:r>
      <w:r w:rsidR="00926AB6">
        <w:rPr>
          <w:rFonts w:eastAsia="Times New Roman" w:cs="Times New Roman"/>
          <w:bCs/>
          <w:szCs w:val="24"/>
        </w:rPr>
        <w:t xml:space="preserve">art. </w:t>
      </w:r>
      <w:r w:rsidRPr="00346672">
        <w:rPr>
          <w:rFonts w:eastAsia="Times New Roman" w:cs="Times New Roman"/>
          <w:bCs/>
          <w:szCs w:val="24"/>
        </w:rPr>
        <w:t>14 ust. 1). To rozwiązanie wykluczy zbędny przepływ danych, a same dane będą chronione prze</w:t>
      </w:r>
      <w:r w:rsidR="00406D64">
        <w:rPr>
          <w:rFonts w:eastAsia="Times New Roman" w:cs="Times New Roman"/>
          <w:bCs/>
          <w:szCs w:val="24"/>
        </w:rPr>
        <w:t>d</w:t>
      </w:r>
      <w:r w:rsidRPr="00346672">
        <w:rPr>
          <w:rFonts w:eastAsia="Times New Roman" w:cs="Times New Roman"/>
          <w:bCs/>
          <w:szCs w:val="24"/>
        </w:rPr>
        <w:t xml:space="preserve"> dostęp</w:t>
      </w:r>
      <w:r w:rsidRPr="00346672" w:rsidDel="006B1D75">
        <w:rPr>
          <w:rFonts w:eastAsia="Times New Roman" w:cs="Times New Roman"/>
          <w:bCs/>
          <w:szCs w:val="24"/>
        </w:rPr>
        <w:t>em</w:t>
      </w:r>
      <w:r w:rsidRPr="00346672">
        <w:rPr>
          <w:rFonts w:eastAsia="Times New Roman" w:cs="Times New Roman"/>
          <w:bCs/>
          <w:szCs w:val="24"/>
        </w:rPr>
        <w:t xml:space="preserve"> osób nieuprawnionych</w:t>
      </w:r>
      <w:r w:rsidRPr="00346672" w:rsidDel="006B1D75">
        <w:rPr>
          <w:rFonts w:eastAsia="Times New Roman" w:cs="Times New Roman"/>
          <w:bCs/>
          <w:szCs w:val="24"/>
        </w:rPr>
        <w:t>.</w:t>
      </w:r>
    </w:p>
    <w:p w14:paraId="582C8354" w14:textId="7A79D66D"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13.</w:t>
      </w:r>
      <w:r w:rsidR="00E76D53">
        <w:rPr>
          <w:rFonts w:eastAsia="Times New Roman" w:cs="Times New Roman"/>
          <w:b/>
          <w:bCs/>
          <w:szCs w:val="24"/>
        </w:rPr>
        <w:t xml:space="preserve"> </w:t>
      </w:r>
      <w:r w:rsidRPr="00346672">
        <w:rPr>
          <w:rFonts w:eastAsia="Times New Roman" w:cs="Times New Roman"/>
          <w:b/>
          <w:bCs/>
          <w:szCs w:val="24"/>
        </w:rPr>
        <w:t>Przekazanie podstawowych danych z rejestrów publicznych</w:t>
      </w:r>
    </w:p>
    <w:p w14:paraId="3EB70C27" w14:textId="5EFFB43E"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Minister właściwy do spraw informatyzacji, po uwierzytelnieniu zainteresowanego w węźle krajowym, przekaże PFR Portal z właściwych rejestrów publicznych dane dotyczące tego zainteresowanego i jego dokumentów, które są określone w art. 6 ust. 1 (art. 13 ust. 1). Mając na uwadze, że różne podmiot</w:t>
      </w:r>
      <w:r w:rsidRPr="00346672" w:rsidDel="006B1D75">
        <w:rPr>
          <w:rFonts w:eastAsia="Times New Roman" w:cs="Times New Roman"/>
          <w:bCs/>
          <w:szCs w:val="24"/>
        </w:rPr>
        <w:t xml:space="preserve">y </w:t>
      </w:r>
      <w:r w:rsidRPr="00346672">
        <w:rPr>
          <w:rFonts w:eastAsia="Times New Roman" w:cs="Times New Roman"/>
          <w:bCs/>
          <w:szCs w:val="24"/>
        </w:rPr>
        <w:t>obowiązane mogą posługiwać się różnymi identyfikatorami, PFR Portal, dzięki temu rozwiązaniu, będzie mógł utworzyć zakodowane identyfikatory każdego zainteresowanego (art. 13 ust. 2).</w:t>
      </w:r>
      <w:r w:rsidRPr="00346672" w:rsidDel="006B1D75">
        <w:rPr>
          <w:rFonts w:eastAsia="Times New Roman" w:cs="Times New Roman"/>
          <w:bCs/>
          <w:szCs w:val="24"/>
        </w:rPr>
        <w:t xml:space="preserve"> </w:t>
      </w:r>
      <w:r w:rsidRPr="00346672">
        <w:rPr>
          <w:rFonts w:eastAsia="Times New Roman" w:cs="Times New Roman"/>
          <w:bCs/>
          <w:szCs w:val="24"/>
        </w:rPr>
        <w:t>Należy podkreślić, że PFR Portal nie będzie przeprowadzał wyżej opisanej procedury wobec wszystkich posiadaczy produktów emerytalnych, a tylko wobec zainteresowanych.</w:t>
      </w:r>
      <w:r w:rsidRPr="00346672">
        <w:rPr>
          <w:rFonts w:eastAsia="Calibri" w:cs="Times New Roman"/>
          <w:szCs w:val="24"/>
          <w:lang w:eastAsia="en-US"/>
        </w:rPr>
        <w:t xml:space="preserve"> </w:t>
      </w:r>
      <w:r w:rsidRPr="00346672">
        <w:rPr>
          <w:rFonts w:eastAsia="Times New Roman" w:cs="Times New Roman"/>
          <w:bCs/>
          <w:szCs w:val="24"/>
        </w:rPr>
        <w:t>Na podstawie przekazanych informacji PFR Portal stworzy i będzie prowadzić zakodowany zbiór identyf</w:t>
      </w:r>
      <w:r w:rsidR="00BC64E6">
        <w:rPr>
          <w:rFonts w:eastAsia="Times New Roman" w:cs="Times New Roman"/>
          <w:bCs/>
          <w:szCs w:val="24"/>
        </w:rPr>
        <w:t>ikatorów zainteresowanych (art. </w:t>
      </w:r>
      <w:r w:rsidRPr="00346672">
        <w:rPr>
          <w:rFonts w:eastAsia="Times New Roman" w:cs="Times New Roman"/>
          <w:bCs/>
          <w:szCs w:val="24"/>
        </w:rPr>
        <w:t xml:space="preserve">13 ust. 2). </w:t>
      </w:r>
    </w:p>
    <w:p w14:paraId="0F59F775" w14:textId="148174D2"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14 i art. 15.</w:t>
      </w:r>
      <w:r w:rsidR="00E76D53">
        <w:rPr>
          <w:rFonts w:eastAsia="Times New Roman" w:cs="Times New Roman"/>
          <w:b/>
          <w:bCs/>
          <w:szCs w:val="24"/>
        </w:rPr>
        <w:t xml:space="preserve"> </w:t>
      </w:r>
      <w:r w:rsidRPr="00346672">
        <w:rPr>
          <w:rFonts w:eastAsia="Times New Roman" w:cs="Times New Roman"/>
          <w:b/>
          <w:bCs/>
          <w:szCs w:val="24"/>
        </w:rPr>
        <w:t>Przekazywanie informacji emerytalnych do CIE</w:t>
      </w:r>
    </w:p>
    <w:p w14:paraId="0976FB54" w14:textId="32918012"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Projektowany przepis art. 14 określa ramy prawne najważniejszego obowiązku podmiotów obowiązanych związanego z funkcjonowaniem CIE, czyli przekazywania informacji emerytalnych. Ten obowiązek nie obejmie instytucji zarządzających PPK, które przekazują informacje do ewidencji PPK. W związku z tym PFR Portal – na potrzeby CIE – pobierze te informacje z ewidencji PPK (art. 15 ust. 5). Podmiot obowiązany będzie mógł przekazać informacje emerytalne także za pośrednictwem podmiotu trzeciego, najczęściej tzw. agenta transferowanego (art. 14 ust. 2).</w:t>
      </w:r>
    </w:p>
    <w:p w14:paraId="3494855B"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PFR Portal będzie występował do podmiotów obowiązanych o przekazanie informacji emerytalnych tylko osób, które zalogowały się do profilu CIE (art. 14 ust. 1). Każde wystąpienie o przekazanie danych będz</w:t>
      </w:r>
      <w:r w:rsidRPr="00346672" w:rsidDel="006B1D75">
        <w:rPr>
          <w:rFonts w:eastAsia="Times New Roman" w:cs="Times New Roman"/>
          <w:bCs/>
          <w:szCs w:val="24"/>
        </w:rPr>
        <w:t xml:space="preserve">ie </w:t>
      </w:r>
      <w:r w:rsidRPr="00346672">
        <w:rPr>
          <w:rFonts w:eastAsia="Times New Roman" w:cs="Times New Roman"/>
          <w:bCs/>
          <w:szCs w:val="24"/>
        </w:rPr>
        <w:t>oparte o zakodowane identyfikatory zainteresowanych i będzie kierowane tylko do podmiotu obowiązanego, który wcześniej zgłosił prowadzenie produktu emerytalne</w:t>
      </w:r>
      <w:r w:rsidRPr="00346672" w:rsidDel="006B1D75">
        <w:rPr>
          <w:rFonts w:eastAsia="Times New Roman" w:cs="Times New Roman"/>
          <w:bCs/>
          <w:szCs w:val="24"/>
        </w:rPr>
        <w:t xml:space="preserve">go </w:t>
      </w:r>
      <w:r w:rsidRPr="00346672">
        <w:rPr>
          <w:rFonts w:eastAsia="Times New Roman" w:cs="Times New Roman"/>
          <w:bCs/>
          <w:szCs w:val="24"/>
        </w:rPr>
        <w:t>danej osoby (tj. przekazał do PFR Portal odpowiedni zakodowany identyfikator – art. 14 ust. 1 w zw. z art. 12 ust. 2).</w:t>
      </w:r>
    </w:p>
    <w:p w14:paraId="40CCC49B"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Obowiązek przekazywania informacji emerytalnych ustaje (art. 14 ust. 3), gdy nastąpi najwcześniejsze z następujących zdarzeń:</w:t>
      </w:r>
    </w:p>
    <w:p w14:paraId="0A9F5244" w14:textId="77777777" w:rsidR="00F17612" w:rsidRPr="00346672" w:rsidRDefault="00F17612" w:rsidP="009D6708">
      <w:pPr>
        <w:widowControl/>
        <w:ind w:left="425" w:hanging="425"/>
        <w:jc w:val="both"/>
        <w:rPr>
          <w:rFonts w:eastAsia="Times New Roman" w:cs="Times New Roman"/>
          <w:bCs/>
          <w:szCs w:val="24"/>
        </w:rPr>
      </w:pPr>
      <w:r w:rsidRPr="00346672">
        <w:rPr>
          <w:rFonts w:eastAsia="Times New Roman" w:cs="Times New Roman"/>
          <w:bCs/>
          <w:szCs w:val="24"/>
        </w:rPr>
        <w:lastRenderedPageBreak/>
        <w:t>1)</w:t>
      </w:r>
      <w:r w:rsidRPr="00346672">
        <w:rPr>
          <w:rFonts w:eastAsia="Times New Roman" w:cs="Times New Roman"/>
          <w:bCs/>
          <w:szCs w:val="24"/>
        </w:rPr>
        <w:tab/>
        <w:t>zamknięcie profilu CIE przez zainteresowanego;</w:t>
      </w:r>
    </w:p>
    <w:p w14:paraId="1D23BA05" w14:textId="77777777" w:rsidR="00F17612" w:rsidRPr="00346672" w:rsidRDefault="00F17612" w:rsidP="009D6708">
      <w:pPr>
        <w:widowControl/>
        <w:ind w:left="425" w:hanging="425"/>
        <w:jc w:val="both"/>
        <w:rPr>
          <w:rFonts w:eastAsia="Times New Roman" w:cs="Times New Roman"/>
          <w:bCs/>
          <w:szCs w:val="24"/>
        </w:rPr>
      </w:pPr>
      <w:r w:rsidRPr="00346672">
        <w:rPr>
          <w:rFonts w:eastAsia="Times New Roman" w:cs="Times New Roman"/>
          <w:bCs/>
          <w:szCs w:val="24"/>
        </w:rPr>
        <w:t>2)</w:t>
      </w:r>
      <w:r w:rsidRPr="00346672">
        <w:rPr>
          <w:rFonts w:eastAsia="Times New Roman" w:cs="Times New Roman"/>
          <w:bCs/>
          <w:szCs w:val="24"/>
        </w:rPr>
        <w:tab/>
        <w:t>zakończenie prowadzenia produktów emerytalnych dla tego zainteresowanego i przekazanie zgromadzonych środków emerytalnych do ZUS, innego podmiotu obowiązanego lub osobie uprawnionej do środków emerytalnych zgromadzonych przez zmarłego albo</w:t>
      </w:r>
    </w:p>
    <w:p w14:paraId="7EA417F2" w14:textId="77777777" w:rsidR="00F17612" w:rsidRPr="00346672" w:rsidRDefault="00F17612" w:rsidP="009D6708">
      <w:pPr>
        <w:widowControl/>
        <w:ind w:left="425" w:hanging="425"/>
        <w:jc w:val="both"/>
        <w:rPr>
          <w:rFonts w:eastAsia="Calibri" w:cs="Times New Roman"/>
          <w:szCs w:val="24"/>
          <w:lang w:eastAsia="en-US"/>
        </w:rPr>
      </w:pPr>
      <w:r w:rsidRPr="00346672">
        <w:rPr>
          <w:rFonts w:eastAsia="Times New Roman" w:cs="Times New Roman"/>
          <w:bCs/>
          <w:szCs w:val="24"/>
        </w:rPr>
        <w:t>3)</w:t>
      </w:r>
      <w:r w:rsidRPr="00346672">
        <w:rPr>
          <w:rFonts w:eastAsia="Times New Roman" w:cs="Times New Roman"/>
          <w:bCs/>
          <w:szCs w:val="24"/>
        </w:rPr>
        <w:tab/>
        <w:t>po 30 dniach od dnia otrzymania od ministra właściwego do spraw informatyzacji informacji o zgonie albo znalezieniu zwłok zainteresowanego.</w:t>
      </w:r>
    </w:p>
    <w:p w14:paraId="78379FB6" w14:textId="31914B18"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Podmiot obowiązany będzie </w:t>
      </w:r>
      <w:bookmarkStart w:id="0" w:name="_GoBack"/>
      <w:bookmarkEnd w:id="0"/>
      <w:r w:rsidRPr="00346672">
        <w:rPr>
          <w:rFonts w:eastAsia="Times New Roman" w:cs="Times New Roman"/>
          <w:bCs/>
          <w:szCs w:val="24"/>
        </w:rPr>
        <w:t xml:space="preserve">zobowiązany przekazywać informacje emerytalne w drodze teletransmisji. Każdorazowo </w:t>
      </w:r>
      <w:r w:rsidR="00BC64E6" w:rsidRPr="00346672">
        <w:rPr>
          <w:rFonts w:eastAsia="Times New Roman" w:cs="Times New Roman"/>
          <w:bCs/>
          <w:szCs w:val="24"/>
        </w:rPr>
        <w:t xml:space="preserve">będą </w:t>
      </w:r>
      <w:r w:rsidRPr="00346672">
        <w:rPr>
          <w:rFonts w:eastAsia="Times New Roman" w:cs="Times New Roman"/>
          <w:bCs/>
          <w:szCs w:val="24"/>
        </w:rPr>
        <w:t xml:space="preserve">przekazywane tylko nowe dane. Pierwsze przekazanie nastąpi nie później niż w dniu następującym </w:t>
      </w:r>
      <w:r w:rsidR="00BC64E6">
        <w:rPr>
          <w:rFonts w:eastAsia="Times New Roman" w:cs="Times New Roman"/>
          <w:bCs/>
          <w:szCs w:val="24"/>
        </w:rPr>
        <w:t>po</w:t>
      </w:r>
      <w:r w:rsidRPr="00346672">
        <w:rPr>
          <w:rFonts w:eastAsia="Times New Roman" w:cs="Times New Roman"/>
          <w:bCs/>
          <w:szCs w:val="24"/>
        </w:rPr>
        <w:t xml:space="preserve"> dniu, w którym podmiot obowiązany otrzymał  od PFR Portal zakodowany identyfikator danego zainteresowanego. PFR Portal, np. ze względów technicznych, będzie mógł jednak wyznaczyć dłuższy termin na przekazanie informacji emerytalnych (art. 15 ust. 1 pkt 1). Następnie, zgodnie z art. 15 ust. 1 pkt 2, informacje emerytalne będą przekazywane nie rzadziej niż co 7 dni. Podmioty obowiązane będą przekazywały dane w pakietach (z uwagi na ruch w sieci np. w nocy). W związku z tym szczegółowe wymogi dotyczące każdorazowego przekazania danych PFR Portal określi w informacji kierowanej do każdego podmiotu obowiązanego w formie specyfikacji technicznej (art. 15 ust. 3). To uznana i najprostsza metoda przekazywania znacznych zbiorów danych. Przekazywanie pojedynczych danych w czasie świadczenia usługi byłoby nie tylko znacznie bardziej energochłonne, ale także zawodne, np. z uwagi na różne obciążenie systemów w ciągu dnia. Jedynie informacje emerytaln</w:t>
      </w:r>
      <w:r w:rsidRPr="00346672" w:rsidDel="006B1D75">
        <w:rPr>
          <w:rFonts w:eastAsia="Times New Roman" w:cs="Times New Roman"/>
          <w:bCs/>
          <w:szCs w:val="24"/>
        </w:rPr>
        <w:t>e o</w:t>
      </w:r>
      <w:r w:rsidRPr="00346672">
        <w:rPr>
          <w:rFonts w:eastAsia="Times New Roman" w:cs="Times New Roman"/>
          <w:bCs/>
          <w:szCs w:val="24"/>
        </w:rPr>
        <w:t xml:space="preserve"> wartości zgromadzonych środków emerytalnych, z uwagi na ich zmienność, np. wskutek zmian kursu papierów wartościowych, będą przekazywane według stanu</w:t>
      </w:r>
      <w:r w:rsidRPr="00346672" w:rsidDel="006B1D75">
        <w:rPr>
          <w:rFonts w:eastAsia="Times New Roman" w:cs="Times New Roman"/>
          <w:bCs/>
          <w:szCs w:val="24"/>
        </w:rPr>
        <w:t xml:space="preserve"> na</w:t>
      </w:r>
      <w:r w:rsidRPr="00346672">
        <w:rPr>
          <w:rFonts w:eastAsia="Times New Roman" w:cs="Times New Roman"/>
          <w:bCs/>
          <w:szCs w:val="24"/>
        </w:rPr>
        <w:t xml:space="preserve"> koniec każdego miesiąca przypadającego przed dniem założenia profilu CIE. Konkretny czas przekazania tych danych określi PFR Por</w:t>
      </w:r>
      <w:r w:rsidRPr="00346672" w:rsidDel="006B1D75">
        <w:rPr>
          <w:rFonts w:eastAsia="Times New Roman" w:cs="Times New Roman"/>
          <w:bCs/>
          <w:szCs w:val="24"/>
        </w:rPr>
        <w:t>tal</w:t>
      </w:r>
      <w:r w:rsidRPr="00346672">
        <w:rPr>
          <w:rFonts w:eastAsia="Times New Roman" w:cs="Times New Roman"/>
          <w:bCs/>
          <w:szCs w:val="24"/>
        </w:rPr>
        <w:t xml:space="preserve"> (art. 15 ust. 2). Oczywiście wymogi określone przez PFR Portal będą musiały być zgodne m.in. z przepisami rozporządzenia wydanego na podstawie art. 4 ust. 3.</w:t>
      </w:r>
    </w:p>
    <w:p w14:paraId="08F7129D" w14:textId="34FA1429"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Na wypadek</w:t>
      </w:r>
      <w:r w:rsidRPr="00346672" w:rsidDel="006B1D75">
        <w:rPr>
          <w:rFonts w:eastAsia="Times New Roman" w:cs="Times New Roman"/>
          <w:bCs/>
          <w:szCs w:val="24"/>
        </w:rPr>
        <w:t xml:space="preserve"> </w:t>
      </w:r>
      <w:r w:rsidRPr="00346672">
        <w:rPr>
          <w:rFonts w:eastAsia="Times New Roman" w:cs="Times New Roman"/>
          <w:bCs/>
          <w:szCs w:val="24"/>
        </w:rPr>
        <w:t xml:space="preserve">niewykonania obowiązku przekazania informacji przez podmioty obowiązane projekt przewiduje nakazanie przekazania informacji w drodze decyzji administracyjnej (art. 15 ust. 4) i pod rygorem administracyjnej kary pieniężnej (art. 31 pkt 2). </w:t>
      </w:r>
    </w:p>
    <w:p w14:paraId="0991D081" w14:textId="768835DD"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16.</w:t>
      </w:r>
      <w:r w:rsidR="00E76D53">
        <w:rPr>
          <w:rFonts w:eastAsia="Times New Roman" w:cs="Times New Roman"/>
          <w:b/>
          <w:bCs/>
          <w:szCs w:val="24"/>
        </w:rPr>
        <w:t xml:space="preserve"> </w:t>
      </w:r>
      <w:r w:rsidRPr="00346672">
        <w:rPr>
          <w:rFonts w:eastAsia="Times New Roman" w:cs="Times New Roman"/>
          <w:b/>
          <w:bCs/>
          <w:szCs w:val="24"/>
        </w:rPr>
        <w:t xml:space="preserve">Zachowanie zgodności danych z danymi w rejestrach publicznych </w:t>
      </w:r>
    </w:p>
    <w:p w14:paraId="39F89292" w14:textId="2FC43354"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W celu zachowania spójności i jednoznaczności danych zgromadzonych w systemie CIE minister właściwy do spraw informatyzacji przekaże PFR Portal także informacje o zmianie w </w:t>
      </w:r>
      <w:r w:rsidRPr="00346672">
        <w:rPr>
          <w:rFonts w:eastAsia="Times New Roman" w:cs="Times New Roman"/>
          <w:bCs/>
          <w:szCs w:val="24"/>
        </w:rPr>
        <w:lastRenderedPageBreak/>
        <w:t xml:space="preserve">rejestrze PESEL danych dotyczących zainteresowanego, w tym informację o zgonie lub znalezieniu zwłok zainteresowanego (art. 16 ust. 1). Informacja o śmierci zainteresowanego umożliwi zamknięcie profilu zainteresowanego i zwolnienie podmiotu obowiązanego z obowiązku przekazywania informacji emerytalnych do CIE. </w:t>
      </w:r>
    </w:p>
    <w:p w14:paraId="101BBD3D" w14:textId="150ED30F" w:rsidR="00F17612" w:rsidRPr="00346672" w:rsidDel="006B1D75" w:rsidRDefault="00F17612" w:rsidP="009D6708">
      <w:pPr>
        <w:widowControl/>
        <w:spacing w:before="120"/>
        <w:jc w:val="both"/>
        <w:rPr>
          <w:rFonts w:eastAsia="Times New Roman" w:cs="Times New Roman"/>
          <w:szCs w:val="24"/>
        </w:rPr>
      </w:pPr>
      <w:r w:rsidRPr="00346672">
        <w:rPr>
          <w:rFonts w:eastAsia="Times New Roman" w:cs="Times New Roman"/>
          <w:szCs w:val="24"/>
        </w:rPr>
        <w:t xml:space="preserve">Powyższe aktualizacje umożliwią nie tylko zapewnienie aktualności danych w CIE, ale także zaktualizowanie danych zgromadzonych przez podmioty obowiązane. PFR Portal przekaże podmiotom obowiązanym tylko aktualizację tych danych, które wcześniej od nich otrzymał, czyli dane tego samego rodzaju, które już otrzymał od podmiotów obowiązanych (art. 16 ust. 2). Z kolei podmioty obowiązane i podmioty wykonujące działalność w zakresie PPK będą uprawnione do aktualizacji zgormadzonych przez siebie danych odpowiednio </w:t>
      </w:r>
      <w:r w:rsidR="00D10237">
        <w:rPr>
          <w:rFonts w:eastAsia="Times New Roman" w:cs="Times New Roman"/>
          <w:szCs w:val="24"/>
        </w:rPr>
        <w:t>za</w:t>
      </w:r>
      <w:r w:rsidR="00D10237" w:rsidRPr="00346672">
        <w:rPr>
          <w:rFonts w:eastAsia="Times New Roman" w:cs="Times New Roman"/>
          <w:szCs w:val="24"/>
        </w:rPr>
        <w:t xml:space="preserve"> </w:t>
      </w:r>
      <w:r w:rsidRPr="00346672">
        <w:rPr>
          <w:rFonts w:eastAsia="Times New Roman" w:cs="Times New Roman"/>
          <w:szCs w:val="24"/>
        </w:rPr>
        <w:t>pomoc</w:t>
      </w:r>
      <w:r w:rsidR="00D10237">
        <w:rPr>
          <w:rFonts w:eastAsia="Times New Roman" w:cs="Times New Roman"/>
          <w:szCs w:val="24"/>
        </w:rPr>
        <w:t>ą</w:t>
      </w:r>
      <w:r w:rsidRPr="00346672">
        <w:rPr>
          <w:rFonts w:eastAsia="Times New Roman" w:cs="Times New Roman"/>
          <w:szCs w:val="24"/>
        </w:rPr>
        <w:t xml:space="preserve"> danych otrzymanych z systemu CIE albo z ewidencji PPK (art. 16 ust. 3).</w:t>
      </w:r>
    </w:p>
    <w:p w14:paraId="13378A9B" w14:textId="705FD755"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18.</w:t>
      </w:r>
      <w:r w:rsidR="00E76D53">
        <w:rPr>
          <w:rFonts w:eastAsia="Times New Roman" w:cs="Times New Roman"/>
          <w:b/>
          <w:bCs/>
          <w:szCs w:val="24"/>
        </w:rPr>
        <w:t xml:space="preserve"> </w:t>
      </w:r>
      <w:r w:rsidRPr="00346672">
        <w:rPr>
          <w:rFonts w:eastAsia="Times New Roman" w:cs="Times New Roman"/>
          <w:b/>
          <w:bCs/>
          <w:szCs w:val="24"/>
        </w:rPr>
        <w:t>Rejestr zainteresowanych, zbiory zakodowanych identyfikatorów i ewidencje prowadzone w systemie CIE</w:t>
      </w:r>
    </w:p>
    <w:p w14:paraId="54CD0DAF" w14:textId="5D98CE90"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Przepis art. 18 ust. 1 projektowanej ustawy przewiduje, że PFR Portal będzie prowadził rejestr zainteresowanych, w którym znajdą </w:t>
      </w:r>
      <w:r w:rsidR="000C73D9">
        <w:rPr>
          <w:rFonts w:eastAsia="Times New Roman" w:cs="Times New Roman"/>
          <w:bCs/>
          <w:szCs w:val="24"/>
        </w:rPr>
        <w:t xml:space="preserve">się </w:t>
      </w:r>
      <w:r w:rsidRPr="00346672">
        <w:rPr>
          <w:rFonts w:eastAsia="Times New Roman" w:cs="Times New Roman"/>
          <w:bCs/>
          <w:szCs w:val="24"/>
        </w:rPr>
        <w:t>tylko podstawowe dane identyfikacyjne: imię (imiona) i nazwisko, numer PESEL, seri</w:t>
      </w:r>
      <w:r w:rsidR="000C73D9">
        <w:rPr>
          <w:rFonts w:eastAsia="Times New Roman" w:cs="Times New Roman"/>
          <w:bCs/>
          <w:szCs w:val="24"/>
        </w:rPr>
        <w:t>a</w:t>
      </w:r>
      <w:r w:rsidRPr="00346672">
        <w:rPr>
          <w:rFonts w:eastAsia="Times New Roman" w:cs="Times New Roman"/>
          <w:bCs/>
          <w:szCs w:val="24"/>
        </w:rPr>
        <w:t>, numer i data ważności dowodów osobistych i paszportów, a w przypadku cudzoziemców – także innych dowodów tożsamości (tzn. dane z art. 6 ust. 1 – art. 18 ust. 1 pkt 1). Rejestr zainteresowanych będz</w:t>
      </w:r>
      <w:r w:rsidRPr="00346672" w:rsidDel="006B1D75">
        <w:rPr>
          <w:rFonts w:eastAsia="Times New Roman" w:cs="Times New Roman"/>
          <w:bCs/>
          <w:szCs w:val="24"/>
        </w:rPr>
        <w:t xml:space="preserve">ie </w:t>
      </w:r>
      <w:r w:rsidRPr="00346672">
        <w:rPr>
          <w:rFonts w:eastAsia="Times New Roman" w:cs="Times New Roman"/>
          <w:bCs/>
          <w:szCs w:val="24"/>
        </w:rPr>
        <w:t xml:space="preserve">służył weryfikacji i utrzymywaniu aktualności danych o zainteresowanych. </w:t>
      </w:r>
    </w:p>
    <w:p w14:paraId="5992E750" w14:textId="7D286182"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W celu świadczenia usług elektronicznych PFR Portal będzie prowadził także ewidencje</w:t>
      </w:r>
      <w:r w:rsidR="000C73D9">
        <w:rPr>
          <w:rFonts w:eastAsia="Times New Roman" w:cs="Times New Roman"/>
          <w:bCs/>
          <w:szCs w:val="24"/>
        </w:rPr>
        <w:t xml:space="preserve"> </w:t>
      </w:r>
      <w:r w:rsidRPr="00346672">
        <w:rPr>
          <w:rFonts w:eastAsia="Times New Roman" w:cs="Times New Roman"/>
          <w:bCs/>
          <w:szCs w:val="24"/>
        </w:rPr>
        <w:t>(art. 18 ust. 1 pkt 2):</w:t>
      </w:r>
    </w:p>
    <w:p w14:paraId="73C0C1C0" w14:textId="77777777" w:rsidR="00F17612" w:rsidRPr="00346672" w:rsidRDefault="00F17612" w:rsidP="009D6708">
      <w:pPr>
        <w:widowControl/>
        <w:ind w:left="425" w:hanging="425"/>
        <w:jc w:val="both"/>
        <w:rPr>
          <w:rFonts w:eastAsia="Times New Roman" w:cs="Times New Roman"/>
          <w:bCs/>
          <w:szCs w:val="24"/>
        </w:rPr>
      </w:pPr>
      <w:r w:rsidRPr="00346672">
        <w:rPr>
          <w:rFonts w:eastAsia="Times New Roman" w:cs="Times New Roman"/>
          <w:bCs/>
          <w:szCs w:val="24"/>
        </w:rPr>
        <w:t>1)</w:t>
      </w:r>
      <w:r w:rsidRPr="00346672">
        <w:rPr>
          <w:rFonts w:eastAsia="Times New Roman" w:cs="Times New Roman"/>
          <w:bCs/>
          <w:szCs w:val="24"/>
        </w:rPr>
        <w:tab/>
        <w:t>indywidualnych kont emerytalnych;</w:t>
      </w:r>
    </w:p>
    <w:p w14:paraId="44D5CCD9" w14:textId="28D9657F" w:rsidR="00F17612" w:rsidRPr="00346672" w:rsidRDefault="000C73D9" w:rsidP="009D6708">
      <w:pPr>
        <w:widowControl/>
        <w:ind w:left="425" w:hanging="425"/>
        <w:jc w:val="both"/>
        <w:rPr>
          <w:rFonts w:eastAsia="Times New Roman" w:cs="Times New Roman"/>
          <w:bCs/>
          <w:szCs w:val="24"/>
        </w:rPr>
      </w:pPr>
      <w:r>
        <w:rPr>
          <w:rFonts w:eastAsia="Times New Roman" w:cs="Times New Roman"/>
          <w:bCs/>
          <w:szCs w:val="24"/>
        </w:rPr>
        <w:t>2</w:t>
      </w:r>
      <w:r w:rsidR="00F17612" w:rsidRPr="00346672">
        <w:rPr>
          <w:rFonts w:eastAsia="Times New Roman" w:cs="Times New Roman"/>
          <w:bCs/>
          <w:szCs w:val="24"/>
        </w:rPr>
        <w:t>)</w:t>
      </w:r>
      <w:r w:rsidR="00F17612" w:rsidRPr="00346672">
        <w:rPr>
          <w:rFonts w:eastAsia="Times New Roman" w:cs="Times New Roman"/>
          <w:bCs/>
          <w:szCs w:val="24"/>
        </w:rPr>
        <w:tab/>
        <w:t>indywidualnych kont zabezpieczenia emerytalnego;</w:t>
      </w:r>
    </w:p>
    <w:p w14:paraId="59208276" w14:textId="16F6D644" w:rsidR="00F17612" w:rsidRPr="00346672" w:rsidRDefault="000C73D9" w:rsidP="009D6708">
      <w:pPr>
        <w:widowControl/>
        <w:ind w:left="425" w:hanging="425"/>
        <w:jc w:val="both"/>
        <w:rPr>
          <w:rFonts w:eastAsia="Times New Roman" w:cs="Times New Roman"/>
          <w:bCs/>
          <w:szCs w:val="24"/>
        </w:rPr>
      </w:pPr>
      <w:r>
        <w:rPr>
          <w:rFonts w:eastAsia="Times New Roman" w:cs="Times New Roman"/>
          <w:bCs/>
          <w:szCs w:val="24"/>
        </w:rPr>
        <w:t>3</w:t>
      </w:r>
      <w:r w:rsidR="00F17612" w:rsidRPr="00346672">
        <w:rPr>
          <w:rFonts w:eastAsia="Times New Roman" w:cs="Times New Roman"/>
          <w:bCs/>
          <w:szCs w:val="24"/>
        </w:rPr>
        <w:t>)</w:t>
      </w:r>
      <w:r w:rsidR="00F17612" w:rsidRPr="00346672">
        <w:rPr>
          <w:rFonts w:eastAsia="Times New Roman" w:cs="Times New Roman"/>
          <w:bCs/>
          <w:szCs w:val="24"/>
        </w:rPr>
        <w:tab/>
        <w:t>rachunków PPE;</w:t>
      </w:r>
    </w:p>
    <w:p w14:paraId="4F39DCB5" w14:textId="1049B276" w:rsidR="00F17612" w:rsidRPr="00346672" w:rsidRDefault="000C73D9" w:rsidP="009D6708">
      <w:pPr>
        <w:widowControl/>
        <w:ind w:left="425" w:hanging="425"/>
        <w:jc w:val="both"/>
        <w:rPr>
          <w:rFonts w:eastAsia="Times New Roman" w:cs="Times New Roman"/>
          <w:bCs/>
          <w:szCs w:val="24"/>
        </w:rPr>
      </w:pPr>
      <w:r>
        <w:rPr>
          <w:rFonts w:eastAsia="Times New Roman" w:cs="Times New Roman"/>
          <w:bCs/>
          <w:szCs w:val="24"/>
        </w:rPr>
        <w:t>4</w:t>
      </w:r>
      <w:r w:rsidR="00F17612" w:rsidRPr="00346672">
        <w:rPr>
          <w:rFonts w:eastAsia="Times New Roman" w:cs="Times New Roman"/>
          <w:bCs/>
          <w:szCs w:val="24"/>
        </w:rPr>
        <w:t>)</w:t>
      </w:r>
      <w:r w:rsidR="00F17612" w:rsidRPr="00346672">
        <w:rPr>
          <w:rFonts w:eastAsia="Times New Roman" w:cs="Times New Roman"/>
          <w:bCs/>
          <w:szCs w:val="24"/>
        </w:rPr>
        <w:tab/>
        <w:t xml:space="preserve">rachunków członków otwartych funduszy emerytalnych. </w:t>
      </w:r>
    </w:p>
    <w:p w14:paraId="79D4DE8C" w14:textId="45FB6685"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W każdej z ewidencji będą gromadzone dane dotyczące zainteresowanego i gromadzonych przez niego środków emerytalnych (tj. dane wymienione w art. 6 ust. 2 i 4). Gromadzenie tych informacji w systemie CIE jest warunkiem sprawnego i szybkiego świadczenia usług elektronicznych dla zainteresowanych. Własne ewidencje nie mogą być zastąpione każdorazowym pobieraniem danych od podmiotów obowiązanych, ponieważ byłoby to znacznie bardziej czasochłonne i zawodne. Zebranie informacji o produktach emerytalnych zanim zainteresowany założy profil CIE jest niezbędne do funkcjonowania systemu CIE w </w:t>
      </w:r>
      <w:r w:rsidRPr="00346672">
        <w:rPr>
          <w:rFonts w:eastAsia="Times New Roman" w:cs="Times New Roman"/>
          <w:bCs/>
          <w:szCs w:val="24"/>
        </w:rPr>
        <w:lastRenderedPageBreak/>
        <w:t>kształcie, który będzie łatwy w obsłudze i przyjazny dla użytkowników. Brak takiego mechanizmu wymagałby kierowania do podmiotów obowiązanych zapytań o wszystkich potencjalnych posiadaczach produktów emerytalnych, aby w kolejnym kroku odebrać od odpowiednich podmiotów zbiory informacji emerytalnych dotyczących ich klientów. W ten sposób każdy podmiot, bezzasadnie, otrzymałby dane także osób, z którymi nie wiąże go jakakolwiek relacja. Dlatego mechanizm przekazywania danych od podmiotów do PFR Portal jest bezpieczniejszy z punktu widzenia ochrony danych osobowych, ponieważ ogranicza przepływ danych do podmiotów niemających tytułu do ich otrzymania. Wobec takich osób obowiązki związane z ochroną danych osobowych będą wykonane w trybie projektowanego art. 23.</w:t>
      </w:r>
    </w:p>
    <w:p w14:paraId="766A960B" w14:textId="0D682426" w:rsidR="00F17612" w:rsidRPr="00346672" w:rsidRDefault="00F17612" w:rsidP="009D6708">
      <w:pPr>
        <w:widowControl/>
        <w:spacing w:before="120"/>
        <w:jc w:val="both"/>
        <w:rPr>
          <w:rFonts w:eastAsia="Calibri" w:cs="Times New Roman"/>
          <w:b/>
          <w:szCs w:val="24"/>
          <w:lang w:eastAsia="en-US"/>
        </w:rPr>
      </w:pPr>
      <w:r w:rsidRPr="00346672">
        <w:rPr>
          <w:rFonts w:eastAsia="Times New Roman" w:cs="Times New Roman"/>
          <w:bCs/>
          <w:szCs w:val="24"/>
        </w:rPr>
        <w:t>Aby zapewnić spójność i prawidłowość zgromadzonych danych, w myśl projektowanego art. 18 ust. 2, podmiot obowiązany będzie zobowiązany do współpracy z PFR Portal w celu wyjaśnienia ewentualnych różnic między danymi zgromadzonymi przez podmiot obowiązany a danymi zgromadzonymi w rejestrze i ewidencjach.</w:t>
      </w:r>
    </w:p>
    <w:p w14:paraId="720B277E" w14:textId="62F677DD"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19 i art. 20.</w:t>
      </w:r>
      <w:r w:rsidR="006850E3">
        <w:rPr>
          <w:rFonts w:eastAsia="Times New Roman" w:cs="Times New Roman"/>
          <w:b/>
          <w:bCs/>
          <w:szCs w:val="24"/>
        </w:rPr>
        <w:t xml:space="preserve"> </w:t>
      </w:r>
      <w:r w:rsidRPr="00346672">
        <w:rPr>
          <w:rFonts w:eastAsia="Times New Roman" w:cs="Times New Roman"/>
          <w:b/>
          <w:bCs/>
          <w:szCs w:val="24"/>
        </w:rPr>
        <w:t xml:space="preserve">Zlecenie podmiotom trzecim czynności z zakresu utworzenia, rozwoju i utrzymania systemu CIE </w:t>
      </w:r>
    </w:p>
    <w:p w14:paraId="30F70496" w14:textId="77777777" w:rsidR="00F17612" w:rsidRPr="00346672" w:rsidRDefault="00F17612" w:rsidP="009D6708">
      <w:pPr>
        <w:widowControl/>
        <w:spacing w:before="120"/>
        <w:jc w:val="both"/>
        <w:rPr>
          <w:rFonts w:eastAsia="Times New Roman" w:cs="Times New Roman"/>
          <w:szCs w:val="24"/>
        </w:rPr>
      </w:pPr>
      <w:r w:rsidRPr="00346672">
        <w:rPr>
          <w:rFonts w:eastAsia="Times New Roman" w:cs="Times New Roman"/>
          <w:szCs w:val="24"/>
        </w:rPr>
        <w:t>Projektowany przepis art. 19 ust. 1 przewiduje możliwość zlecania przez PFR Portal wykonywania czynności z zakresu utworzenia, rozwoju lub utrzymania systemu CIE wyspecjalizowanym przedsiębiorcom, którzy dają rękojmię należytego wywiązywania się z obowiązków określonych w ustawie, przede wszystkim obowiązku zachowania tajemnicy. Zgodnie z art. 19 ust. 2, przedsiębiorcy wykonujący obsługę techniczną będą zobowiązani do odpowiedniego zabezpieczenia danych gromadzonych i przetwarzanych w systemie CIE. W odniesieniu do danych osobowych PFR Portal będzie zawierał umowy o powierzenie przetwarzania danych osobowych (art. 19 ust. 3). Te wymogi mają na celu zapewnienie bezpieczeństwa przetwarzania danych, w szczególności zachowania ich w tajemnicy. Analogiczne wymogi będą dotyczyły podwykonawców i dalszych podwykonawców, którzy będą na rzecz PFR Portal wykonywali zadania związane z utworzeniem, utrzymaniem lub rozwojem systemu CIE (art. 19 ust. 4).</w:t>
      </w:r>
    </w:p>
    <w:p w14:paraId="0F77B30E" w14:textId="733C9A70" w:rsidR="00F17612" w:rsidRPr="00346672" w:rsidRDefault="00F17612" w:rsidP="009D6708">
      <w:pPr>
        <w:widowControl/>
        <w:spacing w:before="120"/>
        <w:jc w:val="both"/>
        <w:rPr>
          <w:rFonts w:eastAsia="Times New Roman" w:cs="Times New Roman"/>
          <w:szCs w:val="24"/>
        </w:rPr>
      </w:pPr>
      <w:r w:rsidRPr="00346672">
        <w:rPr>
          <w:rFonts w:eastAsia="Times New Roman" w:cs="Times New Roman"/>
          <w:szCs w:val="24"/>
        </w:rPr>
        <w:t>Wybór wykonawcy, któremu ma być udzielone zlecenie wykonania czynności z zakresu utworzenia, utrzymania lub rozwoju systemu CIE</w:t>
      </w:r>
      <w:r w:rsidR="00F53795">
        <w:rPr>
          <w:rFonts w:eastAsia="Times New Roman" w:cs="Times New Roman"/>
          <w:szCs w:val="24"/>
        </w:rPr>
        <w:t>,</w:t>
      </w:r>
      <w:r w:rsidRPr="00346672">
        <w:rPr>
          <w:rFonts w:eastAsia="Times New Roman" w:cs="Times New Roman"/>
          <w:szCs w:val="24"/>
        </w:rPr>
        <w:t xml:space="preserve"> będzie wymagał zawiadomienia ministra właściwego do spraw informatyzacji (art. 20). Ten przepis ma na celu zapewnienie ministrowi tej ważnej informacji o podmiotach zaangażowanych w funkcjonowanie systemu CIE, co </w:t>
      </w:r>
      <w:r w:rsidRPr="00346672">
        <w:rPr>
          <w:rFonts w:eastAsia="Times New Roman" w:cs="Times New Roman"/>
          <w:szCs w:val="24"/>
        </w:rPr>
        <w:lastRenderedPageBreak/>
        <w:t>pozwoli ministrowi na sprawowanie nadzoru nad przestrzeganiem ustawy w tym zakresie. Dodatkowo wybór wykonawcy, któremu ma być udzielone zlecenie wykonania czynności z zakresu utworzenia, utrzymania lub rozwoju systemu CIE</w:t>
      </w:r>
      <w:r w:rsidR="00812349">
        <w:rPr>
          <w:rFonts w:eastAsia="Times New Roman" w:cs="Times New Roman"/>
          <w:szCs w:val="24"/>
        </w:rPr>
        <w:t>,</w:t>
      </w:r>
      <w:r w:rsidRPr="00346672">
        <w:rPr>
          <w:rFonts w:eastAsia="Times New Roman" w:cs="Times New Roman"/>
          <w:szCs w:val="24"/>
        </w:rPr>
        <w:t xml:space="preserve"> odbędzie się zgodnie z przepisami prawa zamówień publicznych.</w:t>
      </w:r>
    </w:p>
    <w:p w14:paraId="7E1CDB47" w14:textId="604C529C"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21 i art. 49.</w:t>
      </w:r>
      <w:r w:rsidR="006850E3">
        <w:rPr>
          <w:rFonts w:eastAsia="Times New Roman" w:cs="Times New Roman"/>
          <w:b/>
          <w:bCs/>
          <w:szCs w:val="24"/>
        </w:rPr>
        <w:t xml:space="preserve"> </w:t>
      </w:r>
      <w:r w:rsidRPr="00346672">
        <w:rPr>
          <w:rFonts w:eastAsia="Times New Roman" w:cs="Times New Roman"/>
          <w:b/>
          <w:bCs/>
          <w:szCs w:val="24"/>
        </w:rPr>
        <w:t>Raport z funkcjonowania CIE</w:t>
      </w:r>
    </w:p>
    <w:p w14:paraId="34151FAA" w14:textId="77777777" w:rsidR="00F17612" w:rsidRPr="009D6708" w:rsidRDefault="00F17612" w:rsidP="009D6708">
      <w:pPr>
        <w:pStyle w:val="ARTartustawynprozporzdzenia"/>
        <w:ind w:firstLine="0"/>
        <w:rPr>
          <w:rFonts w:ascii="Times New Roman" w:hAnsi="Times New Roman" w:cs="Times New Roman"/>
          <w:szCs w:val="24"/>
        </w:rPr>
      </w:pPr>
      <w:r w:rsidRPr="009D6708">
        <w:rPr>
          <w:rFonts w:ascii="Times New Roman" w:eastAsia="Times New Roman" w:hAnsi="Times New Roman" w:cs="Times New Roman"/>
          <w:bCs/>
          <w:szCs w:val="24"/>
        </w:rPr>
        <w:t xml:space="preserve">W myśl art. 21 ust. 1 PFR Portal będzie corocznie sporządzał raport o funkcjonowaniu CIE, który będzie uwzględniał w szczególności dane statystyczne dotyczące korzystania z systemu CIE przez zainteresowanych. Raport będzie przekazywany ministrowi właściwemu do spraw informatyzacji do 30 kwietnia każdego roku (art. 21 ust. 2). W myśl art. 49 </w:t>
      </w:r>
      <w:r w:rsidRPr="009D6708">
        <w:rPr>
          <w:rFonts w:ascii="Times New Roman" w:hAnsi="Times New Roman" w:cs="Times New Roman"/>
          <w:szCs w:val="24"/>
        </w:rPr>
        <w:t>PFR Portal będzie zobowiązany przesłać pierwszy raport po upływie pierwszego pełnego roku kalendarzowego udostępniania usług elektronicznych, o których mowa w art. 7 ust. 1.</w:t>
      </w:r>
    </w:p>
    <w:p w14:paraId="296C93C0" w14:textId="1F247DFD"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22.</w:t>
      </w:r>
      <w:r w:rsidR="006850E3">
        <w:rPr>
          <w:rFonts w:eastAsia="Times New Roman" w:cs="Times New Roman"/>
          <w:b/>
          <w:bCs/>
          <w:szCs w:val="24"/>
        </w:rPr>
        <w:t xml:space="preserve"> </w:t>
      </w:r>
      <w:r w:rsidRPr="00346672">
        <w:rPr>
          <w:rFonts w:eastAsia="Times New Roman" w:cs="Times New Roman"/>
          <w:b/>
          <w:bCs/>
          <w:szCs w:val="24"/>
        </w:rPr>
        <w:t>Ochrona danych osobowych przetwarzanych w CIE</w:t>
      </w:r>
    </w:p>
    <w:p w14:paraId="456D022B" w14:textId="5DCCDD81" w:rsidR="00F17612" w:rsidRPr="00346672" w:rsidRDefault="00F17612" w:rsidP="009D6708">
      <w:pPr>
        <w:widowControl/>
        <w:spacing w:before="120"/>
        <w:jc w:val="both"/>
        <w:rPr>
          <w:rFonts w:eastAsia="Calibri" w:cs="Times New Roman"/>
          <w:szCs w:val="24"/>
          <w:lang w:eastAsia="en-US"/>
        </w:rPr>
      </w:pPr>
      <w:r w:rsidRPr="00346672">
        <w:rPr>
          <w:rFonts w:eastAsia="Times New Roman" w:cs="Times New Roman"/>
          <w:bCs/>
          <w:szCs w:val="24"/>
        </w:rPr>
        <w:t xml:space="preserve">W systemie CIE </w:t>
      </w:r>
      <w:r w:rsidR="00712E25" w:rsidRPr="00346672">
        <w:rPr>
          <w:rFonts w:eastAsia="Times New Roman" w:cs="Times New Roman"/>
          <w:bCs/>
          <w:szCs w:val="24"/>
        </w:rPr>
        <w:t xml:space="preserve">będą </w:t>
      </w:r>
      <w:r w:rsidRPr="00346672">
        <w:rPr>
          <w:rFonts w:eastAsia="Times New Roman" w:cs="Times New Roman"/>
          <w:bCs/>
          <w:szCs w:val="24"/>
        </w:rPr>
        <w:t>przetwarzane dane osobowe. W związku z tym</w:t>
      </w:r>
      <w:r w:rsidR="00346672">
        <w:rPr>
          <w:rFonts w:eastAsia="Times New Roman" w:cs="Times New Roman"/>
          <w:bCs/>
          <w:szCs w:val="24"/>
        </w:rPr>
        <w:t xml:space="preserve"> </w:t>
      </w:r>
      <w:r w:rsidRPr="00346672">
        <w:rPr>
          <w:rFonts w:eastAsia="Times New Roman" w:cs="Times New Roman"/>
          <w:bCs/>
          <w:szCs w:val="24"/>
        </w:rPr>
        <w:t xml:space="preserve">w projektowanej ustawie </w:t>
      </w:r>
      <w:r w:rsidR="00712E25" w:rsidRPr="00346672">
        <w:rPr>
          <w:rFonts w:eastAsia="Times New Roman" w:cs="Times New Roman"/>
          <w:bCs/>
          <w:szCs w:val="24"/>
        </w:rPr>
        <w:t xml:space="preserve">został </w:t>
      </w:r>
      <w:r w:rsidRPr="00346672">
        <w:rPr>
          <w:rFonts w:eastAsia="Times New Roman" w:cs="Times New Roman"/>
          <w:bCs/>
          <w:szCs w:val="24"/>
        </w:rPr>
        <w:t>zamiesz</w:t>
      </w:r>
      <w:r w:rsidR="00712E25">
        <w:rPr>
          <w:rFonts w:eastAsia="Times New Roman" w:cs="Times New Roman"/>
          <w:bCs/>
          <w:szCs w:val="24"/>
        </w:rPr>
        <w:t>cz</w:t>
      </w:r>
      <w:r w:rsidRPr="00346672">
        <w:rPr>
          <w:rFonts w:eastAsia="Times New Roman" w:cs="Times New Roman"/>
          <w:bCs/>
          <w:szCs w:val="24"/>
        </w:rPr>
        <w:t>ony szereg postanowień dotyczących ochrony tych danych. Przede wszystkim</w:t>
      </w:r>
      <w:r w:rsidRPr="00346672" w:rsidDel="007004F8">
        <w:rPr>
          <w:rFonts w:eastAsia="Times New Roman" w:cs="Times New Roman"/>
          <w:bCs/>
          <w:szCs w:val="24"/>
        </w:rPr>
        <w:t>, w</w:t>
      </w:r>
      <w:r w:rsidRPr="00346672">
        <w:rPr>
          <w:rFonts w:eastAsia="Times New Roman" w:cs="Times New Roman"/>
          <w:bCs/>
          <w:szCs w:val="24"/>
        </w:rPr>
        <w:t xml:space="preserve"> myśl art. 22 ust. 1, PFR Portal będzie administratorem danych osobowych przetwarzanych w systemie CIE w</w:t>
      </w:r>
      <w:r w:rsidRPr="00346672" w:rsidDel="007004F8">
        <w:rPr>
          <w:rFonts w:eastAsia="Times New Roman" w:cs="Times New Roman"/>
          <w:bCs/>
          <w:szCs w:val="24"/>
        </w:rPr>
        <w:t xml:space="preserve"> </w:t>
      </w:r>
      <w:r w:rsidRPr="00346672">
        <w:rPr>
          <w:rFonts w:eastAsia="Times New Roman" w:cs="Times New Roman"/>
          <w:bCs/>
          <w:szCs w:val="24"/>
        </w:rPr>
        <w:t xml:space="preserve">rozumieniu art. 4 pkt 7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346672">
        <w:rPr>
          <w:rFonts w:eastAsia="Times New Roman" w:cs="Times New Roman"/>
          <w:bCs/>
          <w:szCs w:val="24"/>
        </w:rPr>
        <w:t>późn</w:t>
      </w:r>
      <w:proofErr w:type="spellEnd"/>
      <w:r w:rsidRPr="00346672">
        <w:rPr>
          <w:rFonts w:eastAsia="Times New Roman" w:cs="Times New Roman"/>
          <w:bCs/>
          <w:szCs w:val="24"/>
        </w:rPr>
        <w:t>. zm.)</w:t>
      </w:r>
      <w:r w:rsidR="00346672">
        <w:rPr>
          <w:rFonts w:eastAsia="Times New Roman" w:cs="Times New Roman"/>
          <w:bCs/>
          <w:szCs w:val="24"/>
        </w:rPr>
        <w:t xml:space="preserve"> </w:t>
      </w:r>
      <w:r w:rsidRPr="00346672">
        <w:rPr>
          <w:rFonts w:eastAsia="Times New Roman" w:cs="Times New Roman"/>
          <w:bCs/>
          <w:szCs w:val="24"/>
        </w:rPr>
        <w:t xml:space="preserve">(RODO). </w:t>
      </w:r>
    </w:p>
    <w:p w14:paraId="01F90829"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Podstawową zasadą przetwarzania danych osobowych w systemie CIE będzie przetwarzanie danych adekwatnie, w sposób stosowny i ograniczony, wyłącznie w zakresie niezbędnym do świadczenia usług elektronicznych określon</w:t>
      </w:r>
      <w:r w:rsidRPr="00346672" w:rsidDel="007004F8">
        <w:rPr>
          <w:rFonts w:eastAsia="Times New Roman" w:cs="Times New Roman"/>
          <w:bCs/>
          <w:szCs w:val="24"/>
        </w:rPr>
        <w:t>ych</w:t>
      </w:r>
      <w:r w:rsidRPr="00346672">
        <w:rPr>
          <w:rFonts w:eastAsia="Times New Roman" w:cs="Times New Roman"/>
          <w:bCs/>
          <w:szCs w:val="24"/>
        </w:rPr>
        <w:t xml:space="preserve"> w ustawie (art. 22 ust. 2)</w:t>
      </w:r>
      <w:r w:rsidRPr="00346672" w:rsidDel="007004F8">
        <w:rPr>
          <w:rFonts w:eastAsia="Times New Roman" w:cs="Times New Roman"/>
          <w:bCs/>
          <w:szCs w:val="24"/>
        </w:rPr>
        <w:t xml:space="preserve">. </w:t>
      </w:r>
      <w:r w:rsidRPr="00346672">
        <w:rPr>
          <w:rFonts w:eastAsia="Times New Roman" w:cs="Times New Roman"/>
          <w:bCs/>
          <w:szCs w:val="24"/>
        </w:rPr>
        <w:t xml:space="preserve">Ponadto w myśl art. 22 ust. 3 PFR Portal będzie przetwarzał otrzymane dane tylko przez czas niezbędny do wykonania usługi elektronicznej. Ta zasada, z oczywistych względów, nie będzie miała zastosowania do danych, które PFR Portal będzie gromadził w celu zapewnienia funkcjonowania CIE w rejestrze zainteresowanych i prowadzonych przez siebie ewidencjach, tzn. ewidencji rachunków członków funduszy emerytalnych, ewidencji IKE, ewidencji IKZE, ewidencji rachunków PPE. Przepisy RODO będą w ten sposób wykonywane zarówno wobec zainteresowanych, jak i wobec innych osób. Dane osobowe będą mogły być przetwarzane tylko przez osoby, które otrzymają stosowne upoważnienie (art. 22 ust. 4). </w:t>
      </w:r>
    </w:p>
    <w:p w14:paraId="49BACCE2"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lastRenderedPageBreak/>
        <w:t>Dane osobowe zostaną usunięte z systemu CIE niezwłocznie po zamknięciu profilu CIE albo po upływie 30 dni od otrzymania informacji o zgonie lub znalezieniu zwłok zainteresowanego (art. 22 ust. 5). Natomiast dane ściśle techniczne, dotyczące uwierzytelnienia w systemie CIE, i dane dotyczące czynności dokonanych za pomocą profilu CIE będą przechowywane do końca 6. roku kalendarzowego po roku, w którym zainteresowany zamknął profil,</w:t>
      </w:r>
      <w:r w:rsidRPr="00346672" w:rsidDel="007004F8">
        <w:rPr>
          <w:rFonts w:eastAsia="Times New Roman" w:cs="Times New Roman"/>
          <w:bCs/>
          <w:szCs w:val="24"/>
        </w:rPr>
        <w:t xml:space="preserve"> </w:t>
      </w:r>
      <w:r w:rsidRPr="00346672">
        <w:rPr>
          <w:rFonts w:eastAsia="Times New Roman" w:cs="Times New Roman"/>
          <w:bCs/>
          <w:szCs w:val="24"/>
        </w:rPr>
        <w:t>zmarł albo znaleziono jego zwłoki (art. 22 ust. 6 pkt 1). Taki okres jest podyktowany koniecznością zapewniania możliwości dochodzenia ewentualnych roszczeń związanych z przetwarzaniem danych w systemie CIE. Z kolei bezterminowo PFR Portal będzie przechowywał wyłącznie zbiór zakodowanych identyfikatorów posiadaczy produktów emerytalnych. Przechowywanie tych zanonimizowanych danych jest niezbędne do zapewnienia, że dane identyfikatory nie będą wykorzystywane ponownie (tj. pozostaną unikalne), co umożliwi zachowanie spójności gromadzonych danych (art. 22 ust. 6 pkt 2).</w:t>
      </w:r>
    </w:p>
    <w:p w14:paraId="1E52D897" w14:textId="70C5B653" w:rsidR="00F17612" w:rsidRPr="00346672" w:rsidRDefault="00F17612" w:rsidP="009D6708">
      <w:pPr>
        <w:widowControl/>
        <w:spacing w:before="240"/>
        <w:jc w:val="both"/>
        <w:rPr>
          <w:rFonts w:eastAsia="Times New Roman" w:cs="Times New Roman"/>
          <w:b/>
          <w:bCs/>
          <w:szCs w:val="24"/>
        </w:rPr>
      </w:pPr>
      <w:r w:rsidRPr="00346672">
        <w:rPr>
          <w:rFonts w:eastAsia="Times New Roman" w:cs="Times New Roman"/>
          <w:b/>
          <w:bCs/>
          <w:szCs w:val="24"/>
        </w:rPr>
        <w:t>Ar</w:t>
      </w:r>
      <w:r w:rsidRPr="00346672" w:rsidDel="007004F8">
        <w:rPr>
          <w:rFonts w:eastAsia="Times New Roman" w:cs="Times New Roman"/>
          <w:b/>
          <w:bCs/>
          <w:szCs w:val="24"/>
        </w:rPr>
        <w:t xml:space="preserve">t. </w:t>
      </w:r>
      <w:r w:rsidRPr="00346672">
        <w:rPr>
          <w:rFonts w:eastAsia="Times New Roman" w:cs="Times New Roman"/>
          <w:b/>
          <w:bCs/>
          <w:szCs w:val="24"/>
        </w:rPr>
        <w:t>23.</w:t>
      </w:r>
      <w:r w:rsidR="006850E3">
        <w:rPr>
          <w:rFonts w:eastAsia="Times New Roman" w:cs="Times New Roman"/>
          <w:b/>
          <w:bCs/>
          <w:szCs w:val="24"/>
        </w:rPr>
        <w:t xml:space="preserve"> </w:t>
      </w:r>
      <w:r w:rsidRPr="00346672">
        <w:rPr>
          <w:rFonts w:eastAsia="Times New Roman" w:cs="Times New Roman"/>
          <w:b/>
          <w:bCs/>
          <w:szCs w:val="24"/>
        </w:rPr>
        <w:t>Obowiązek zachowania tajemnicy</w:t>
      </w:r>
    </w:p>
    <w:p w14:paraId="6B4BE535" w14:textId="08A39C62"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W myśl art. 23 ust. 1 projektowanej ustawy wszelkie informacje uzyskane w związku z obsługą CIE przez PFR Portal mają podlegać obowiązkowi zachowania tajemnicy. Do zachowania tajemnicy zostanie zobowiązany szeroki krąg podmiotów i osób, które będą zaangażowane w budowę i obsługę systemu CIE, przede wszystkim osoby sprawujące funkcje kierownicze, pracownicy i współpracownicy PFR Portal lub przedsiębiorców, którym zostaną zlecone czynności z zakresu utworzenia, rozwoju lub obsługi systemu CIE, a także osoby, którym informacje zostaną przekazane zgodnie z ustawą (art. 23 ust. 1, 2 i 7). Osoba przekazująca informacje zgodnie z ustawą nie będzie ponosiła odpowiedzialności za szkody wyrządzone przez inne osoby, które tak</w:t>
      </w:r>
      <w:r w:rsidR="00FE6E5A">
        <w:rPr>
          <w:rFonts w:eastAsia="Times New Roman" w:cs="Times New Roman"/>
          <w:bCs/>
          <w:szCs w:val="24"/>
        </w:rPr>
        <w:t>ie</w:t>
      </w:r>
      <w:r w:rsidRPr="00346672">
        <w:rPr>
          <w:rFonts w:eastAsia="Times New Roman" w:cs="Times New Roman"/>
          <w:bCs/>
          <w:szCs w:val="24"/>
        </w:rPr>
        <w:t xml:space="preserve"> informacje otrzymały (art. 23 ust. 8). </w:t>
      </w:r>
    </w:p>
    <w:p w14:paraId="59A4FF9D" w14:textId="19B6F04F"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Podobnie jak to ma miejsce w odniesieniu do innych tajemnic zawodowych, informacje objęte tajemnicą będą musiały być przekazane uprawnionym organom na potrzeby prowadzonych przez nich postępowań albo w ramach przysługujących im uprawnień ustawowych. Dotyczy to udostepnienia informacji sądom, prokuratorom, ZUS, KRUS lub KAS, komornikom, administracyjnym organom egzekucyjnym i Policji (art. 23 ust. 3). Podobnie informacje inne niż informacje emerytalne będą m</w:t>
      </w:r>
      <w:r w:rsidR="00FE6E5A">
        <w:rPr>
          <w:rFonts w:eastAsia="Times New Roman" w:cs="Times New Roman"/>
          <w:bCs/>
          <w:szCs w:val="24"/>
        </w:rPr>
        <w:t>o</w:t>
      </w:r>
      <w:r w:rsidRPr="00346672">
        <w:rPr>
          <w:rFonts w:eastAsia="Times New Roman" w:cs="Times New Roman"/>
          <w:bCs/>
          <w:szCs w:val="24"/>
        </w:rPr>
        <w:t>gły być udostępniane ministrowi właściwemu do spraw informatyzacji, KNF, Prezesowi UOKiK i Prezesowi UODO (art. 23 ust. 4). Naruszenia tajemnicy nie będzie stanowiło przekazanie informacji za zgodą osoby</w:t>
      </w:r>
      <w:r w:rsidR="00632A85">
        <w:rPr>
          <w:rFonts w:eastAsia="Times New Roman" w:cs="Times New Roman"/>
          <w:bCs/>
          <w:szCs w:val="24"/>
        </w:rPr>
        <w:t>,</w:t>
      </w:r>
      <w:r w:rsidRPr="00346672">
        <w:rPr>
          <w:rFonts w:eastAsia="Times New Roman" w:cs="Times New Roman"/>
          <w:bCs/>
          <w:szCs w:val="24"/>
        </w:rPr>
        <w:t xml:space="preserve"> której informacja dotyczy, przedsiębiorcom wykonującym czynności na rzecz PFR Portal w zakresie utworzenia, rozwoju lub obsługi CIE, na potrzeby zawiadomienia o przestępstwie oraz w wykonaniu </w:t>
      </w:r>
      <w:r w:rsidRPr="00346672">
        <w:rPr>
          <w:rFonts w:eastAsia="Times New Roman" w:cs="Times New Roman"/>
          <w:bCs/>
          <w:szCs w:val="24"/>
        </w:rPr>
        <w:lastRenderedPageBreak/>
        <w:t>przepisów prawa, w tym samej ustawy o CIE (art. 23 ust. 5). Te regulacje nie odbiegają od regulacji dotyczących np. tajemnicy banko</w:t>
      </w:r>
      <w:r w:rsidRPr="00346672" w:rsidDel="007004F8">
        <w:rPr>
          <w:rFonts w:eastAsia="Times New Roman" w:cs="Times New Roman"/>
          <w:bCs/>
          <w:szCs w:val="24"/>
        </w:rPr>
        <w:t>wej</w:t>
      </w:r>
      <w:r w:rsidRPr="00346672">
        <w:rPr>
          <w:rFonts w:eastAsia="Times New Roman" w:cs="Times New Roman"/>
          <w:bCs/>
          <w:szCs w:val="24"/>
        </w:rPr>
        <w:t xml:space="preserve"> lub tajemnicy ubezpieczeniowej.</w:t>
      </w:r>
    </w:p>
    <w:p w14:paraId="29EF1077" w14:textId="77E6E2FC"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W projektowanym art. 23 ust. 6 przewiduje się, że obowiązek zachowania tajemnicy będzie nieograniczony w czasie. Z uwagi </w:t>
      </w:r>
      <w:r w:rsidR="009139C6">
        <w:rPr>
          <w:rFonts w:eastAsia="Times New Roman" w:cs="Times New Roman"/>
          <w:bCs/>
          <w:szCs w:val="24"/>
        </w:rPr>
        <w:t xml:space="preserve">na </w:t>
      </w:r>
      <w:r w:rsidRPr="00346672">
        <w:rPr>
          <w:rFonts w:eastAsia="Times New Roman" w:cs="Times New Roman"/>
          <w:bCs/>
          <w:szCs w:val="24"/>
        </w:rPr>
        <w:t>to, że do systemu CIE będą trafiały dane podlegające r</w:t>
      </w:r>
      <w:r w:rsidR="009139C6">
        <w:rPr>
          <w:rFonts w:eastAsia="Times New Roman" w:cs="Times New Roman"/>
          <w:bCs/>
          <w:szCs w:val="24"/>
        </w:rPr>
        <w:t>ó</w:t>
      </w:r>
      <w:r w:rsidRPr="00346672">
        <w:rPr>
          <w:rFonts w:eastAsia="Times New Roman" w:cs="Times New Roman"/>
          <w:bCs/>
          <w:szCs w:val="24"/>
        </w:rPr>
        <w:t>żnym ustawom, do zachowania tajemnicy będą miały zastosowanie przepisy tych ustaw dotyczące tajemnic zawodowych</w:t>
      </w:r>
      <w:r w:rsidR="00632A85">
        <w:rPr>
          <w:rFonts w:eastAsia="Times New Roman" w:cs="Times New Roman"/>
          <w:bCs/>
          <w:szCs w:val="24"/>
        </w:rPr>
        <w:t>,</w:t>
      </w:r>
      <w:r w:rsidRPr="00346672">
        <w:rPr>
          <w:rFonts w:eastAsia="Times New Roman" w:cs="Times New Roman"/>
          <w:bCs/>
          <w:szCs w:val="24"/>
        </w:rPr>
        <w:t xml:space="preserve"> tj. ustawy z dnia 27 maja 2004 r. o funduszach inwestycyjnych i zarządzaniu alternatywnymi funduszami inwestycyjnymi (</w:t>
      </w:r>
      <w:r w:rsidRPr="00346672">
        <w:rPr>
          <w:rFonts w:cs="Times New Roman"/>
          <w:szCs w:val="24"/>
        </w:rPr>
        <w:t xml:space="preserve">Dz. U. z 2022 r. poz. 1523, z </w:t>
      </w:r>
      <w:proofErr w:type="spellStart"/>
      <w:r w:rsidRPr="00346672">
        <w:rPr>
          <w:rFonts w:cs="Times New Roman"/>
          <w:szCs w:val="24"/>
        </w:rPr>
        <w:t>późn</w:t>
      </w:r>
      <w:proofErr w:type="spellEnd"/>
      <w:r w:rsidRPr="00346672">
        <w:rPr>
          <w:rFonts w:cs="Times New Roman"/>
          <w:szCs w:val="24"/>
        </w:rPr>
        <w:t>. zm.)</w:t>
      </w:r>
      <w:r w:rsidRPr="00346672">
        <w:rPr>
          <w:rFonts w:eastAsia="Times New Roman" w:cs="Times New Roman"/>
          <w:bCs/>
          <w:szCs w:val="24"/>
        </w:rPr>
        <w:t>, ustawy</w:t>
      </w:r>
      <w:r w:rsidRPr="00346672">
        <w:rPr>
          <w:rFonts w:cs="Times New Roman"/>
          <w:szCs w:val="24"/>
        </w:rPr>
        <w:t xml:space="preserve"> </w:t>
      </w:r>
      <w:r w:rsidRPr="00346672">
        <w:rPr>
          <w:rFonts w:eastAsia="Times New Roman" w:cs="Times New Roman"/>
          <w:bCs/>
          <w:szCs w:val="24"/>
        </w:rPr>
        <w:t xml:space="preserve">z dnia 28 sierpnia 1997 r. o organizacji i funkcjonowaniu funduszy emerytalnych (Dz. U. z 2022 r. poz. 2342 i 2640) oraz ustawy z dnia 11 września 2015 r. o działalności ubezpieczeniowej i reasekuracyjnej (Dz. U. z 2022 r. poz. 2283 i 2640) (art. 23 ust. 9). </w:t>
      </w:r>
    </w:p>
    <w:p w14:paraId="53576452" w14:textId="0E76B06E"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24.</w:t>
      </w:r>
      <w:r w:rsidR="006850E3">
        <w:rPr>
          <w:rFonts w:eastAsia="Times New Roman" w:cs="Times New Roman"/>
          <w:b/>
          <w:bCs/>
          <w:szCs w:val="24"/>
        </w:rPr>
        <w:t xml:space="preserve"> </w:t>
      </w:r>
      <w:r w:rsidRPr="00346672">
        <w:rPr>
          <w:rFonts w:eastAsia="Times New Roman" w:cs="Times New Roman"/>
          <w:b/>
          <w:bCs/>
          <w:szCs w:val="24"/>
        </w:rPr>
        <w:t>Nadzór ministra właściwego do spraw informatyzacji</w:t>
      </w:r>
    </w:p>
    <w:p w14:paraId="5AB07561" w14:textId="4F6141DB"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Nadzór nad funkcjonowaniem CIE i przestrzeganiem projektowanej ustawy będzie sprawował minister właściwy do spraw informatyzacji (art. 24 ust. 1). Przede wszystkim nadzorem będzie objęty PFR Portal, przedsiębiorcy działający na jego zlecenie, podmioty obowiązane, podmioty wykonujące działalność w zakresie PPK oraz podmioty przekazujące informacje emerytalne do systemu CIE na ich zlecenie (agenci transferowi). </w:t>
      </w:r>
    </w:p>
    <w:p w14:paraId="3E93F10A" w14:textId="4FEBCAEF"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Minister właściwy do spraw informatyzacji w ramach uprawnień nadzorczych będzie wyposażony w typowe środki i uprawnienia. Przede wszystkim, w myśl projektowanego art. 24 ust. 2 pkt 1, będzie uprawniony do przeprowadzania kontroli podmiotów nadzorowanych. Ponadto minister będzie uprawniony do wzywania do usunięcia naruszenia prawa i nakładania kar umownych (art. 24 ust. 2 pkt 2 i 3). Minister właściwy do spraw informatyzacji będzie mógł także żądać wyjaśnień, informacji, danych dotyczących funkcjonowania systemu CIE (art. 24 ust. 2 pkt 4). Minister</w:t>
      </w:r>
      <w:r w:rsidR="006844E2">
        <w:rPr>
          <w:rFonts w:eastAsia="Times New Roman" w:cs="Times New Roman"/>
          <w:bCs/>
          <w:szCs w:val="24"/>
        </w:rPr>
        <w:t>,</w:t>
      </w:r>
      <w:r w:rsidRPr="00346672">
        <w:rPr>
          <w:rFonts w:eastAsia="Times New Roman" w:cs="Times New Roman"/>
          <w:bCs/>
          <w:szCs w:val="24"/>
        </w:rPr>
        <w:t xml:space="preserve"> wykonując swoje uprawnienia</w:t>
      </w:r>
      <w:r w:rsidR="006844E2">
        <w:rPr>
          <w:rFonts w:eastAsia="Times New Roman" w:cs="Times New Roman"/>
          <w:bCs/>
          <w:szCs w:val="24"/>
        </w:rPr>
        <w:t>,</w:t>
      </w:r>
      <w:r w:rsidRPr="00346672">
        <w:rPr>
          <w:rFonts w:eastAsia="Times New Roman" w:cs="Times New Roman"/>
          <w:bCs/>
          <w:szCs w:val="24"/>
        </w:rPr>
        <w:t xml:space="preserve"> będzie zobowiązany do współpracy z innymi właściwymi organami i jednostkami publicznymi (</w:t>
      </w:r>
      <w:r w:rsidRPr="00346672">
        <w:rPr>
          <w:rFonts w:cs="Times New Roman"/>
          <w:szCs w:val="24"/>
        </w:rPr>
        <w:t>ministrem właściwym do spraw zabezpieczenia społecznego, ministrem właściwym do spraw instytucji finansowych, ministrem właściwym do spraw rozwoju wsi, KNF, Prezesem ZUS i Prezesem KRUS oraz Prezesem UODO)</w:t>
      </w:r>
      <w:r w:rsidRPr="00346672">
        <w:rPr>
          <w:rFonts w:eastAsia="Times New Roman" w:cs="Times New Roman"/>
          <w:bCs/>
          <w:szCs w:val="24"/>
        </w:rPr>
        <w:t xml:space="preserve"> (art. 24 ust. 2 pkt 5). Takie kompetencje są typowe dla polskiego systemu prawnego, a zarazem niezbędne do skutecznego sprawowania nadzoru. </w:t>
      </w:r>
    </w:p>
    <w:p w14:paraId="4C92EE90" w14:textId="7F7EA2B8" w:rsidR="00F17612" w:rsidRPr="00346672" w:rsidRDefault="00F17612" w:rsidP="009D6708">
      <w:pPr>
        <w:widowControl/>
        <w:spacing w:before="120"/>
        <w:jc w:val="both"/>
        <w:rPr>
          <w:rFonts w:eastAsia="Calibri" w:cs="Times New Roman"/>
          <w:szCs w:val="24"/>
          <w:lang w:eastAsia="en-US"/>
        </w:rPr>
      </w:pPr>
      <w:r w:rsidRPr="00346672">
        <w:rPr>
          <w:rFonts w:eastAsia="Times New Roman" w:cs="Times New Roman"/>
          <w:bCs/>
          <w:szCs w:val="24"/>
        </w:rPr>
        <w:t xml:space="preserve">Przepisy projektowanej ustawy nie będą naruszały uprawnień Prezesa UODO wynikających z ustawy </w:t>
      </w:r>
      <w:r w:rsidR="006844E2">
        <w:rPr>
          <w:rFonts w:eastAsia="Times New Roman" w:cs="Times New Roman"/>
          <w:bCs/>
          <w:szCs w:val="24"/>
        </w:rPr>
        <w:t xml:space="preserve">z dnia 10 maja 2018 r. </w:t>
      </w:r>
      <w:r w:rsidRPr="00346672">
        <w:rPr>
          <w:rFonts w:eastAsia="Times New Roman" w:cs="Times New Roman"/>
          <w:bCs/>
          <w:szCs w:val="24"/>
        </w:rPr>
        <w:t xml:space="preserve">o ochronie danych osobowych (art. 24 ust. 3). Do kontroli </w:t>
      </w:r>
      <w:r w:rsidRPr="00346672">
        <w:rPr>
          <w:rFonts w:eastAsia="Times New Roman" w:cs="Times New Roman"/>
          <w:bCs/>
          <w:szCs w:val="24"/>
        </w:rPr>
        <w:lastRenderedPageBreak/>
        <w:t xml:space="preserve">przedsiębiorców będą miały zastosowanie przepisy ustawy </w:t>
      </w:r>
      <w:r w:rsidR="006844E2">
        <w:rPr>
          <w:rFonts w:eastAsia="Times New Roman" w:cs="Times New Roman"/>
          <w:bCs/>
          <w:szCs w:val="24"/>
        </w:rPr>
        <w:t xml:space="preserve">z dnia 6 marca 2018 r. </w:t>
      </w:r>
      <w:r w:rsidRPr="00346672">
        <w:rPr>
          <w:rFonts w:eastAsia="Times New Roman" w:cs="Times New Roman"/>
          <w:bCs/>
          <w:szCs w:val="24"/>
        </w:rPr>
        <w:t>– Prawo przedsiębiorców (art. 24 ust. 4).</w:t>
      </w:r>
    </w:p>
    <w:p w14:paraId="3BD6F3AA" w14:textId="3FA3F9A3"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25 i art. 26.</w:t>
      </w:r>
      <w:r w:rsidR="006850E3">
        <w:rPr>
          <w:rFonts w:eastAsia="Times New Roman" w:cs="Times New Roman"/>
          <w:b/>
          <w:bCs/>
          <w:szCs w:val="24"/>
        </w:rPr>
        <w:t xml:space="preserve"> </w:t>
      </w:r>
      <w:r w:rsidRPr="00346672">
        <w:rPr>
          <w:rFonts w:eastAsia="Times New Roman" w:cs="Times New Roman"/>
          <w:b/>
          <w:bCs/>
          <w:szCs w:val="24"/>
        </w:rPr>
        <w:t>Wezwanie do usunięcia naruszenia ustawy i zawiadomienie o podejrzeniu naruszenia prawa innych właściwych organów</w:t>
      </w:r>
    </w:p>
    <w:p w14:paraId="404E8312"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W celu zachowania proporcjonalności podejmowanych działań, w szczególności nakładania kar, zgodnie z projektowanym art. 25 ust. 1, minister właściwy do spraw informatyzacji został wyposażony w uprawnienie do wzywania do usunięcia naruszenia ustawy w wyznaczonym terminie. </w:t>
      </w:r>
    </w:p>
    <w:p w14:paraId="1F0719DD"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Zgodnie z projektowanym art. 25 ust. 2, wezwania do usunięcia naruszenia ustawy nie przewiduje się w przypadkach, w których przepisy projektowanej ustawy przewidują już szczególne decyzje nakazujące określone czynności albo ściśle określony termin wykonania obowiązku (art. 11 ust. 3, art. 15 ust. 4 i art. 48 ust. 1 pkt 2 lit. c).</w:t>
      </w:r>
    </w:p>
    <w:p w14:paraId="6E780255" w14:textId="77777777" w:rsidR="00F17612" w:rsidRPr="00346672" w:rsidRDefault="00F17612" w:rsidP="009D6708">
      <w:pPr>
        <w:widowControl/>
        <w:spacing w:before="120"/>
        <w:jc w:val="both"/>
        <w:rPr>
          <w:rFonts w:eastAsia="Times New Roman" w:cs="Times New Roman"/>
          <w:b/>
          <w:bCs/>
          <w:szCs w:val="24"/>
        </w:rPr>
      </w:pPr>
      <w:r w:rsidRPr="00346672">
        <w:rPr>
          <w:rFonts w:eastAsia="Times New Roman" w:cs="Times New Roman"/>
          <w:bCs/>
          <w:szCs w:val="24"/>
        </w:rPr>
        <w:t>Jeżeli w przypadku podejrzenia naruszenia prawa minister właściwy do spraw informatyzacji uzna się za niewłaściwy, na mocy projektowanego art. 26, będzie zobowiązany do zawiadomienia o podejrzeniu naruszenia prawa inny właściwy organ.</w:t>
      </w:r>
    </w:p>
    <w:p w14:paraId="0CFE68EC" w14:textId="22DB5391"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27.</w:t>
      </w:r>
      <w:r w:rsidR="006850E3">
        <w:rPr>
          <w:rFonts w:eastAsia="Times New Roman" w:cs="Times New Roman"/>
          <w:b/>
          <w:bCs/>
          <w:szCs w:val="24"/>
        </w:rPr>
        <w:t xml:space="preserve"> </w:t>
      </w:r>
      <w:r w:rsidRPr="00346672">
        <w:rPr>
          <w:rFonts w:eastAsia="Times New Roman" w:cs="Times New Roman"/>
          <w:b/>
          <w:bCs/>
          <w:szCs w:val="24"/>
        </w:rPr>
        <w:t>Żądanie wyjaśnień przez ministra właściwego do spraw informatyzacji</w:t>
      </w:r>
    </w:p>
    <w:p w14:paraId="170BEAE5" w14:textId="183C40E6"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Kolejną kompetencją ministra właściwego do spraw informatyzacji będzie przewidziane w projektowanym art. 27 ust. 1 ustawy uprawni</w:t>
      </w:r>
      <w:r w:rsidR="00971A3E">
        <w:rPr>
          <w:rFonts w:eastAsia="Times New Roman" w:cs="Times New Roman"/>
          <w:bCs/>
          <w:szCs w:val="24"/>
        </w:rPr>
        <w:t>enie</w:t>
      </w:r>
      <w:r w:rsidRPr="00346672">
        <w:rPr>
          <w:rFonts w:eastAsia="Times New Roman" w:cs="Times New Roman"/>
          <w:bCs/>
          <w:szCs w:val="24"/>
        </w:rPr>
        <w:t xml:space="preserve"> do żądania wyjaśnień, informacji i danych dotyczących funkcjonowania CIE. Minister będzie mógł żądać ich tylko w zakresie niezbędnym do sprawowania nadzoru. Adresatami żądania będą mogły być wszystkie podmioty zaangażowane w funkcjonowanie CIE, tj. ZUS, KRUS, PFR Portal, PFR S.A., podmioty obowiązane, </w:t>
      </w:r>
      <w:r w:rsidRPr="00346672">
        <w:rPr>
          <w:rFonts w:cs="Times New Roman"/>
          <w:szCs w:val="24"/>
        </w:rPr>
        <w:t>podmioty wykonujące działalność w zakresie PPK, agenci transferowi,</w:t>
      </w:r>
      <w:r w:rsidR="00346672">
        <w:rPr>
          <w:rFonts w:cs="Times New Roman"/>
          <w:szCs w:val="24"/>
        </w:rPr>
        <w:t xml:space="preserve"> </w:t>
      </w:r>
      <w:r w:rsidRPr="00346672">
        <w:rPr>
          <w:rFonts w:eastAsia="Times New Roman" w:cs="Times New Roman"/>
          <w:bCs/>
          <w:szCs w:val="24"/>
        </w:rPr>
        <w:t xml:space="preserve">podwykonawcy i dalsi podwykonawcy PFR Portalu. Udzielając wyjaśnień, informacji i przekazując dane, </w:t>
      </w:r>
      <w:r w:rsidR="00971A3E" w:rsidRPr="00346672">
        <w:rPr>
          <w:rFonts w:eastAsia="Times New Roman" w:cs="Times New Roman"/>
          <w:bCs/>
          <w:szCs w:val="24"/>
        </w:rPr>
        <w:t xml:space="preserve">będą </w:t>
      </w:r>
      <w:r w:rsidR="000C09D6" w:rsidRPr="00346672">
        <w:rPr>
          <w:rFonts w:eastAsia="Times New Roman" w:cs="Times New Roman"/>
          <w:bCs/>
          <w:szCs w:val="24"/>
        </w:rPr>
        <w:t xml:space="preserve">jednak </w:t>
      </w:r>
      <w:r w:rsidRPr="00346672">
        <w:rPr>
          <w:rFonts w:eastAsia="Times New Roman" w:cs="Times New Roman"/>
          <w:bCs/>
          <w:szCs w:val="24"/>
        </w:rPr>
        <w:t xml:space="preserve">zobowiązani w każdym przypadku przestrzegać przepisów o ochronie informacji niejawnych i innych tajemnic prawnie chronionych. Dodatkowo w art. 27 ust. 2 </w:t>
      </w:r>
      <w:r w:rsidRPr="00346672">
        <w:rPr>
          <w:rFonts w:eastAsia="Times New Roman" w:cs="Times New Roman"/>
          <w:bCs/>
          <w:i/>
          <w:iCs/>
          <w:szCs w:val="24"/>
        </w:rPr>
        <w:t>in fine</w:t>
      </w:r>
      <w:r w:rsidRPr="00346672">
        <w:rPr>
          <w:rFonts w:eastAsia="Times New Roman" w:cs="Times New Roman"/>
          <w:bCs/>
          <w:szCs w:val="24"/>
        </w:rPr>
        <w:t xml:space="preserve"> przewiduje się, że minister będzie mógł żądać, a adresaci żądania przekazać lub udostępnić tylko informacje i dokumenty bezpośrednio związane z funkcjonowaniem CIE. </w:t>
      </w:r>
    </w:p>
    <w:p w14:paraId="3F3F1FC5" w14:textId="7089784F"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28, art. 29 i art. 50.</w:t>
      </w:r>
      <w:r w:rsidR="006850E3">
        <w:rPr>
          <w:rFonts w:eastAsia="Times New Roman" w:cs="Times New Roman"/>
          <w:b/>
          <w:bCs/>
          <w:szCs w:val="24"/>
        </w:rPr>
        <w:t xml:space="preserve"> </w:t>
      </w:r>
      <w:r w:rsidRPr="00346672">
        <w:rPr>
          <w:rFonts w:eastAsia="Times New Roman" w:cs="Times New Roman"/>
          <w:b/>
          <w:bCs/>
          <w:szCs w:val="24"/>
        </w:rPr>
        <w:t>Finansowanie budowy, utrzymania i rozwoju CIE</w:t>
      </w:r>
    </w:p>
    <w:p w14:paraId="73B29477" w14:textId="77777777" w:rsidR="00F17612" w:rsidRPr="00346672" w:rsidRDefault="00F17612" w:rsidP="009D6708">
      <w:pPr>
        <w:widowControl/>
        <w:spacing w:before="120"/>
        <w:jc w:val="both"/>
        <w:rPr>
          <w:rFonts w:eastAsia="MS Mincho" w:cs="Times New Roman"/>
          <w:bCs/>
          <w:szCs w:val="24"/>
        </w:rPr>
      </w:pPr>
      <w:r w:rsidRPr="00346672">
        <w:rPr>
          <w:rFonts w:eastAsia="Times New Roman" w:cs="Times New Roman"/>
          <w:bCs/>
          <w:szCs w:val="24"/>
        </w:rPr>
        <w:t xml:space="preserve">Przepisy art. 28 i art. 29 określają podstawy prawne finansowania budowy, utrzymania i rozwoju CIE, tj. zadania określonego w art. 3 ust. 1 projektowanej ustawy. W tym celu minister </w:t>
      </w:r>
      <w:r w:rsidRPr="00346672">
        <w:rPr>
          <w:rFonts w:eastAsia="MS Mincho" w:cs="Times New Roman"/>
          <w:bCs/>
          <w:szCs w:val="24"/>
        </w:rPr>
        <w:lastRenderedPageBreak/>
        <w:t xml:space="preserve">właściwy do spraw informatyzacji na podstawie umowy przekaże środki na pokrycie wynagrodzenia oraz kosztów poniesionych przez PFR Portal (art. 28 ust. 2). Umowa będzie zawierała w szczególności: </w:t>
      </w:r>
    </w:p>
    <w:p w14:paraId="24F69982"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1)</w:t>
      </w:r>
      <w:r w:rsidRPr="00346672">
        <w:rPr>
          <w:rFonts w:eastAsia="Times New Roman" w:cs="Times New Roman"/>
          <w:bCs/>
          <w:szCs w:val="24"/>
        </w:rPr>
        <w:tab/>
        <w:t>szczegółowe wskazanie usług utrzymania i zarządzania systemem CIE;</w:t>
      </w:r>
    </w:p>
    <w:p w14:paraId="236BE8DE" w14:textId="77777777" w:rsidR="00F17612" w:rsidRPr="00346672" w:rsidRDefault="00F17612" w:rsidP="00346672">
      <w:pPr>
        <w:widowControl/>
        <w:tabs>
          <w:tab w:val="left" w:pos="6096"/>
        </w:tabs>
        <w:autoSpaceDE/>
        <w:autoSpaceDN/>
        <w:adjustRightInd/>
        <w:ind w:left="510" w:hanging="510"/>
        <w:jc w:val="both"/>
        <w:rPr>
          <w:rFonts w:eastAsia="Times New Roman" w:cs="Times New Roman"/>
          <w:bCs/>
          <w:szCs w:val="24"/>
        </w:rPr>
      </w:pPr>
      <w:r w:rsidRPr="00346672">
        <w:rPr>
          <w:rFonts w:eastAsia="Times New Roman" w:cs="Times New Roman"/>
          <w:bCs/>
          <w:szCs w:val="24"/>
        </w:rPr>
        <w:t>2)</w:t>
      </w:r>
      <w:r w:rsidRPr="00346672">
        <w:rPr>
          <w:rFonts w:eastAsia="Times New Roman" w:cs="Times New Roman"/>
          <w:bCs/>
          <w:szCs w:val="24"/>
        </w:rPr>
        <w:tab/>
        <w:t>wysokość lub zasady wyliczenia wysokości wynagrodzenia przysługującego PFR Portal, uwzględniającego warunki rynkowe, w tym zmiany siły nabywczej pieniądza;</w:t>
      </w:r>
    </w:p>
    <w:p w14:paraId="7DD161EA"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3)</w:t>
      </w:r>
      <w:r w:rsidRPr="00346672">
        <w:rPr>
          <w:rFonts w:eastAsia="Times New Roman" w:cs="Times New Roman"/>
          <w:bCs/>
          <w:szCs w:val="24"/>
        </w:rPr>
        <w:tab/>
        <w:t>wysokość, termin i zasady pokrycia wydatków poniesionych na utworzenie systemu CIE;</w:t>
      </w:r>
    </w:p>
    <w:p w14:paraId="64A642F8" w14:textId="77777777" w:rsidR="00F17612" w:rsidRPr="00346672" w:rsidRDefault="00F17612" w:rsidP="00346672">
      <w:pPr>
        <w:widowControl/>
        <w:autoSpaceDE/>
        <w:autoSpaceDN/>
        <w:adjustRightInd/>
        <w:ind w:left="510" w:hanging="510"/>
        <w:jc w:val="both"/>
        <w:rPr>
          <w:rFonts w:eastAsia="Times New Roman" w:cs="Times New Roman"/>
          <w:bCs/>
          <w:szCs w:val="24"/>
        </w:rPr>
      </w:pPr>
      <w:r w:rsidRPr="00346672">
        <w:rPr>
          <w:rFonts w:eastAsia="Times New Roman" w:cs="Times New Roman"/>
          <w:bCs/>
          <w:szCs w:val="24"/>
        </w:rPr>
        <w:t>4)</w:t>
      </w:r>
      <w:r w:rsidRPr="00346672">
        <w:rPr>
          <w:rFonts w:eastAsia="Times New Roman" w:cs="Times New Roman"/>
          <w:bCs/>
          <w:szCs w:val="24"/>
        </w:rPr>
        <w:tab/>
        <w:t>uregulowanie warunków przeniesienia praw autorskich do systemu CIE na rzecz ministra właściwego do spraw informatyzacji.</w:t>
      </w:r>
    </w:p>
    <w:p w14:paraId="596412C3" w14:textId="4191EB7A" w:rsidR="00F17612" w:rsidRPr="00346672" w:rsidRDefault="00F17612" w:rsidP="009D6708">
      <w:pPr>
        <w:widowControl/>
        <w:spacing w:before="120"/>
        <w:jc w:val="both"/>
        <w:rPr>
          <w:rFonts w:eastAsia="MS Mincho" w:cs="Times New Roman"/>
          <w:bCs/>
          <w:szCs w:val="24"/>
        </w:rPr>
      </w:pPr>
      <w:r w:rsidRPr="00346672">
        <w:rPr>
          <w:rFonts w:eastAsia="Times New Roman" w:cs="Times New Roman"/>
          <w:bCs/>
          <w:szCs w:val="24"/>
        </w:rPr>
        <w:t xml:space="preserve">PFR Portal </w:t>
      </w:r>
      <w:r w:rsidR="00401FB8" w:rsidRPr="00346672">
        <w:rPr>
          <w:rFonts w:eastAsia="Times New Roman" w:cs="Times New Roman"/>
          <w:bCs/>
          <w:szCs w:val="24"/>
        </w:rPr>
        <w:t xml:space="preserve">będzie </w:t>
      </w:r>
      <w:r w:rsidRPr="00346672">
        <w:rPr>
          <w:rFonts w:eastAsia="Times New Roman" w:cs="Times New Roman"/>
          <w:bCs/>
          <w:szCs w:val="24"/>
        </w:rPr>
        <w:t>zobowiązany przy tym do prowadzenia wyodrębnionej ewidencji księgowej dotyczącej systemu CIE, zgodnie z zasadami wynikającymi z ustawy z dnia 29 września 1994 r. o rachunkowości (Dz. U. z 2023 r. poz. 120 i 295) w sposób umożliwiający identyfikację poszczególnych operacji księgowych (art. 28 ust. 3). Ten wymóg pozwoli skutecznie nadzorować prawidłowość wydatkowania środków przekazanych przez ministra.</w:t>
      </w:r>
      <w:r w:rsidRPr="00346672">
        <w:rPr>
          <w:rFonts w:eastAsia="MS Mincho" w:cs="Times New Roman"/>
          <w:bCs/>
          <w:szCs w:val="24"/>
        </w:rPr>
        <w:t xml:space="preserve"> Z uwagi na fakt, że przygotowania do utworzenia CIE nastąpiły przed wejściem w życie ustawy, art. 28 ust. 4 projektowanej ustawy dopuszcza pokrycie przez ministra także wydatków poniesionych przed dniem wejścia w życie ustawy.</w:t>
      </w:r>
    </w:p>
    <w:p w14:paraId="6F30A78A" w14:textId="77777777" w:rsidR="00F17612" w:rsidRPr="00346672" w:rsidRDefault="00F17612" w:rsidP="009D6708">
      <w:pPr>
        <w:widowControl/>
        <w:spacing w:before="120"/>
        <w:jc w:val="both"/>
        <w:rPr>
          <w:rFonts w:eastAsia="Times New Roman" w:cs="Times New Roman"/>
          <w:bCs/>
          <w:szCs w:val="24"/>
        </w:rPr>
      </w:pPr>
      <w:r w:rsidRPr="00346672">
        <w:rPr>
          <w:rFonts w:eastAsia="MS Mincho" w:cs="Times New Roman"/>
          <w:bCs/>
          <w:szCs w:val="24"/>
        </w:rPr>
        <w:t>Inaczej niż PFR Portal, ZUS i KRUS pokryją koszty udziału w systemie CIE ze środków własnych (art. 29).</w:t>
      </w:r>
    </w:p>
    <w:p w14:paraId="38985E22" w14:textId="77777777" w:rsidR="00F17612" w:rsidRPr="00346672" w:rsidRDefault="00F17612" w:rsidP="009D6708">
      <w:pPr>
        <w:widowControl/>
        <w:spacing w:before="120"/>
        <w:jc w:val="both"/>
        <w:rPr>
          <w:rFonts w:eastAsia="MS Mincho" w:cs="Times New Roman"/>
          <w:bCs/>
          <w:szCs w:val="24"/>
        </w:rPr>
      </w:pPr>
      <w:r w:rsidRPr="00346672">
        <w:rPr>
          <w:rFonts w:eastAsia="MS Mincho" w:cs="Times New Roman"/>
          <w:bCs/>
          <w:szCs w:val="24"/>
        </w:rPr>
        <w:t xml:space="preserve">W projektowanym art. 50 przewiduje się, że w </w:t>
      </w:r>
      <w:r w:rsidRPr="00346672">
        <w:rPr>
          <w:rFonts w:eastAsia="MS Mincho" w:cs="Times New Roman"/>
          <w:szCs w:val="24"/>
        </w:rPr>
        <w:t xml:space="preserve">latach 2023–2032 maksymalny limit wydatków budżetu państwa będących skutkiem finansowym ustawy wyniesie 209 500 000 zł. </w:t>
      </w:r>
      <w:r w:rsidRPr="00346672">
        <w:rPr>
          <w:rFonts w:eastAsia="MS Mincho" w:cs="Times New Roman"/>
          <w:bCs/>
          <w:szCs w:val="24"/>
        </w:rPr>
        <w:t>W przypadku przekroczenia lub zagrożenia przekroczenia przyjętego na dany rok budżetowy maksymalnego limitu wydatków, o którym mowa w ust. 1, zostanie zastosowany mechanizm korygujący, polegający na ograniczeniu wydatków PFR Portal na budowę, utrzymanie i rozwój systemu CIE,</w:t>
      </w:r>
      <w:r w:rsidRPr="00346672">
        <w:rPr>
          <w:rFonts w:cs="Times New Roman"/>
          <w:szCs w:val="24"/>
        </w:rPr>
        <w:t xml:space="preserve"> </w:t>
      </w:r>
      <w:r w:rsidRPr="00346672">
        <w:rPr>
          <w:rFonts w:eastAsia="MS Mincho" w:cs="Times New Roman"/>
          <w:bCs/>
          <w:szCs w:val="24"/>
        </w:rPr>
        <w:t>a także ograniczenie wydatków na działania o charakterze informacyjnym, edukacyjnym oraz promocyjnym. W art. 50 ust. 3 przewidziano, że organem właściwym do monitorowania wykorzystania limitu wydatków będzie minister właściwy do spraw informatyzacji.</w:t>
      </w:r>
    </w:p>
    <w:p w14:paraId="486001B6" w14:textId="15C8BCC5"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30</w:t>
      </w:r>
      <w:r w:rsidR="00346672">
        <w:rPr>
          <w:rFonts w:eastAsia="Times New Roman" w:cs="Times New Roman"/>
          <w:b/>
          <w:bCs/>
          <w:szCs w:val="24"/>
        </w:rPr>
        <w:t>–</w:t>
      </w:r>
      <w:r w:rsidRPr="00346672">
        <w:rPr>
          <w:rFonts w:eastAsia="Times New Roman" w:cs="Times New Roman"/>
          <w:b/>
          <w:bCs/>
          <w:szCs w:val="24"/>
        </w:rPr>
        <w:t>33.</w:t>
      </w:r>
      <w:r w:rsidR="006850E3">
        <w:rPr>
          <w:rFonts w:eastAsia="Times New Roman" w:cs="Times New Roman"/>
          <w:b/>
          <w:bCs/>
          <w:szCs w:val="24"/>
        </w:rPr>
        <w:t xml:space="preserve"> </w:t>
      </w:r>
      <w:r w:rsidRPr="00346672">
        <w:rPr>
          <w:rFonts w:eastAsia="Times New Roman" w:cs="Times New Roman"/>
          <w:b/>
          <w:bCs/>
          <w:szCs w:val="24"/>
        </w:rPr>
        <w:t>Administracyjne kary pieniężne</w:t>
      </w:r>
    </w:p>
    <w:p w14:paraId="262E8846" w14:textId="21B97FC8"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Przepisy art. 30</w:t>
      </w:r>
      <w:r w:rsidR="00346672">
        <w:rPr>
          <w:rFonts w:eastAsia="Times New Roman" w:cs="Times New Roman"/>
          <w:bCs/>
          <w:szCs w:val="24"/>
        </w:rPr>
        <w:t>–</w:t>
      </w:r>
      <w:r w:rsidRPr="00346672">
        <w:rPr>
          <w:rFonts w:eastAsia="Times New Roman" w:cs="Times New Roman"/>
          <w:bCs/>
          <w:szCs w:val="24"/>
        </w:rPr>
        <w:t xml:space="preserve">33 projektowanej ustawy przewidują nakładanie administracyjnych kar pieniężnych przez ministra właściwego do spraw informatyzacji. </w:t>
      </w:r>
    </w:p>
    <w:p w14:paraId="622EA125" w14:textId="45EC0E0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lastRenderedPageBreak/>
        <w:t>Nieusunięcie w terminie naruszenia ustawy, innego niż szczególnie uregulowane w projektowanej ustawie, będzie podlegało karze administracyjnej określonej w wysokości 50 tys. zł. (art. 30 ust. 1). Taka kara będzie mogła być nakładana ponownie po upływie 30 dni od dnia niewykonania poprzedniej decyzji (art. 30 ust. 2).</w:t>
      </w:r>
    </w:p>
    <w:p w14:paraId="31E8FFBA" w14:textId="3E621075"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W projektowanym art. 31 przewiduje się karę pieniężną w wysokości do 100 tys. zł. za każdy rozpoczęty miesiąc szczególnie doniosłych naruszeń ustawy. Te naruszenia w istocie uniemożliwiają bowiem włączenie podmiotu obowiązanego w system informacji emerytalnej. Stąd wyższa kara administracyjna została przewidziana za: niezgłoszenie gotowości do przekazania danych do systemu CIE, wbrew decyzji nakazującej ministra (pkt 1 i 3)</w:t>
      </w:r>
      <w:r w:rsidR="00090A8F">
        <w:rPr>
          <w:rFonts w:eastAsia="Times New Roman" w:cs="Times New Roman"/>
          <w:bCs/>
          <w:szCs w:val="24"/>
        </w:rPr>
        <w:t>,</w:t>
      </w:r>
      <w:r w:rsidRPr="00346672">
        <w:rPr>
          <w:rFonts w:eastAsia="Times New Roman" w:cs="Times New Roman"/>
          <w:bCs/>
          <w:szCs w:val="24"/>
        </w:rPr>
        <w:t xml:space="preserve"> oraz nieprzekazanie w terminie informacji emerytalnych do systemu CIE (pkt 2). </w:t>
      </w:r>
    </w:p>
    <w:p w14:paraId="52A76301" w14:textId="1D0E4418"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Zgodnie z zasadą proporcjonalności, w art. 32 przewiduje się, że </w:t>
      </w:r>
      <w:r w:rsidR="005C3E85">
        <w:rPr>
          <w:rFonts w:eastAsia="Times New Roman" w:cs="Times New Roman"/>
          <w:bCs/>
          <w:szCs w:val="24"/>
        </w:rPr>
        <w:t xml:space="preserve">minister </w:t>
      </w:r>
      <w:r w:rsidR="005C3E85" w:rsidRPr="00346672">
        <w:rPr>
          <w:rFonts w:eastAsia="Times New Roman" w:cs="Times New Roman"/>
          <w:bCs/>
          <w:szCs w:val="24"/>
        </w:rPr>
        <w:t>właściw</w:t>
      </w:r>
      <w:r w:rsidR="005C3E85">
        <w:rPr>
          <w:rFonts w:eastAsia="Times New Roman" w:cs="Times New Roman"/>
          <w:bCs/>
          <w:szCs w:val="24"/>
        </w:rPr>
        <w:t>y</w:t>
      </w:r>
      <w:r w:rsidR="005C3E85" w:rsidRPr="00346672">
        <w:rPr>
          <w:rFonts w:eastAsia="Times New Roman" w:cs="Times New Roman"/>
          <w:bCs/>
          <w:szCs w:val="24"/>
        </w:rPr>
        <w:t xml:space="preserve"> do spraw informatyzacji</w:t>
      </w:r>
      <w:r w:rsidR="005C3E85">
        <w:rPr>
          <w:rFonts w:eastAsia="Times New Roman" w:cs="Times New Roman"/>
          <w:bCs/>
          <w:szCs w:val="24"/>
        </w:rPr>
        <w:t>,</w:t>
      </w:r>
      <w:r w:rsidR="005C3E85" w:rsidRPr="00346672">
        <w:rPr>
          <w:rFonts w:eastAsia="Times New Roman" w:cs="Times New Roman"/>
          <w:bCs/>
          <w:szCs w:val="24"/>
        </w:rPr>
        <w:t xml:space="preserve"> </w:t>
      </w:r>
      <w:r w:rsidRPr="00346672">
        <w:rPr>
          <w:rFonts w:eastAsia="Times New Roman" w:cs="Times New Roman"/>
          <w:bCs/>
          <w:szCs w:val="24"/>
        </w:rPr>
        <w:t xml:space="preserve">nakładając administracyjne kary pieniężne, będzie kierował się wagą i skalą naruszeń ustawy oraz okolicznościami, w których doszło do naruszenia. Przepis art. 33 stanowi, że środki z kar pieniężnych będą stanowiły dochody budżetu państwa. Kara pieniężna powinna być uiszczona w terminie 14 dni od dnia doręczenia ostatecznej decyzji, a koszty związane z uiszczeniem kar </w:t>
      </w:r>
      <w:r w:rsidR="005C3E85" w:rsidRPr="00346672">
        <w:rPr>
          <w:rFonts w:eastAsia="Times New Roman" w:cs="Times New Roman"/>
          <w:bCs/>
          <w:szCs w:val="24"/>
        </w:rPr>
        <w:t xml:space="preserve">będzie </w:t>
      </w:r>
      <w:r w:rsidRPr="00346672">
        <w:rPr>
          <w:rFonts w:eastAsia="Times New Roman" w:cs="Times New Roman"/>
          <w:bCs/>
          <w:szCs w:val="24"/>
        </w:rPr>
        <w:t>zobowiązany ponieść wpłacający.</w:t>
      </w:r>
    </w:p>
    <w:p w14:paraId="7A8DEE6F" w14:textId="44C84E8C"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34</w:t>
      </w:r>
      <w:r w:rsidR="00346672">
        <w:rPr>
          <w:rFonts w:eastAsia="Times New Roman" w:cs="Times New Roman"/>
          <w:b/>
          <w:bCs/>
          <w:szCs w:val="24"/>
        </w:rPr>
        <w:t>–</w:t>
      </w:r>
      <w:r w:rsidRPr="00346672">
        <w:rPr>
          <w:rFonts w:eastAsia="Times New Roman" w:cs="Times New Roman"/>
          <w:b/>
          <w:bCs/>
          <w:szCs w:val="24"/>
        </w:rPr>
        <w:t>47.</w:t>
      </w:r>
      <w:r w:rsidR="006850E3">
        <w:rPr>
          <w:rFonts w:eastAsia="Times New Roman" w:cs="Times New Roman"/>
          <w:b/>
          <w:bCs/>
          <w:szCs w:val="24"/>
        </w:rPr>
        <w:t xml:space="preserve"> </w:t>
      </w:r>
      <w:r w:rsidRPr="00346672">
        <w:rPr>
          <w:rFonts w:eastAsia="Times New Roman" w:cs="Times New Roman"/>
          <w:b/>
          <w:bCs/>
          <w:szCs w:val="24"/>
        </w:rPr>
        <w:t>Zmiany innych ustaw</w:t>
      </w:r>
    </w:p>
    <w:p w14:paraId="320106B2"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Zmiany innych ustaw przewidziane w projektowanej ustawie o CIE można podzielić na trzy główne grupy. </w:t>
      </w:r>
    </w:p>
    <w:p w14:paraId="6C6AA391" w14:textId="77777777" w:rsidR="00F17612" w:rsidRPr="00346672" w:rsidRDefault="00F17612" w:rsidP="009D6708">
      <w:pPr>
        <w:widowControl/>
        <w:spacing w:before="120"/>
        <w:jc w:val="both"/>
        <w:rPr>
          <w:rFonts w:eastAsia="Times New Roman" w:cs="Times New Roman"/>
          <w:szCs w:val="24"/>
        </w:rPr>
      </w:pPr>
      <w:r w:rsidRPr="00346672">
        <w:rPr>
          <w:rFonts w:eastAsia="Times New Roman" w:cs="Times New Roman"/>
          <w:szCs w:val="24"/>
        </w:rPr>
        <w:t xml:space="preserve">Do pierwszej grupy należą zmiany dostosowujące przepisy dotyczące sposobu i zakresu działania podmiotów obowiązanych do ustawy o CIE. Te przepisy wprowadzają przede wszystkim obowiązki udostępniania informacji za pomocą CIE, umożliwią wyznaczanie uprawnionych do otrzymania środków emerytalnych po śmierci zainteresowanego oraz uzupełniają przepisy dotyczące tajemnicy zawodowej (art. 34 (OFE), art. 38 (IKE/IKZE), art. 39 (PPE), art. 40 (fundusze inwestycyjne), art. 41 (obrót instrumentami finansowymi), art. 44 (ubezpieczyciele), art. 45 (PPK). </w:t>
      </w:r>
    </w:p>
    <w:p w14:paraId="5211E7C3" w14:textId="5BE91D6B"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Druga grupa zmian dotyczy ZUS (art. 36). Zmiany w ustawie</w:t>
      </w:r>
      <w:r w:rsidRPr="00346672">
        <w:rPr>
          <w:rFonts w:cs="Times New Roman"/>
          <w:szCs w:val="24"/>
        </w:rPr>
        <w:t xml:space="preserve"> </w:t>
      </w:r>
      <w:r w:rsidRPr="00346672">
        <w:rPr>
          <w:rFonts w:eastAsia="Times New Roman" w:cs="Times New Roman"/>
          <w:bCs/>
          <w:szCs w:val="24"/>
        </w:rPr>
        <w:t xml:space="preserve">z dnia 13 października 1998 r. o systemie ubezpieczeń społecznych (Dz. U. z 2022 r. poz. 1009, z </w:t>
      </w:r>
      <w:proofErr w:type="spellStart"/>
      <w:r w:rsidRPr="00346672">
        <w:rPr>
          <w:rFonts w:eastAsia="Times New Roman" w:cs="Times New Roman"/>
          <w:bCs/>
          <w:szCs w:val="24"/>
        </w:rPr>
        <w:t>późn</w:t>
      </w:r>
      <w:proofErr w:type="spellEnd"/>
      <w:r w:rsidRPr="00346672">
        <w:rPr>
          <w:rFonts w:eastAsia="Times New Roman" w:cs="Times New Roman"/>
          <w:bCs/>
          <w:szCs w:val="24"/>
        </w:rPr>
        <w:t xml:space="preserve">. zm.) dotyczą przede wszystkim treści informacji o tzw. hipotetycznej emeryturze. Zgodnie z projektem, informacja o hipotetycznej emeryturze będzie trafiała do znacznie szerszego kręgu ubezpieczonych, ponieważ znosi się ograniczenie, że jest przekazywana tylko ubezpieczonym, którzy w </w:t>
      </w:r>
      <w:r w:rsidRPr="00346672">
        <w:rPr>
          <w:rFonts w:eastAsia="Times New Roman" w:cs="Times New Roman"/>
          <w:bCs/>
          <w:szCs w:val="24"/>
        </w:rPr>
        <w:lastRenderedPageBreak/>
        <w:t xml:space="preserve">poprzednim roku ukończyli 35 lat (uchylenie art. 50 ust. 1b ustawy </w:t>
      </w:r>
      <w:r w:rsidR="00774513" w:rsidRPr="00346672">
        <w:rPr>
          <w:rFonts w:eastAsia="Times New Roman" w:cs="Times New Roman"/>
          <w:bCs/>
          <w:szCs w:val="24"/>
        </w:rPr>
        <w:t xml:space="preserve">z dnia 13 października 1998 r. </w:t>
      </w:r>
      <w:r w:rsidRPr="00346672">
        <w:rPr>
          <w:rFonts w:eastAsia="Times New Roman" w:cs="Times New Roman"/>
          <w:bCs/>
          <w:szCs w:val="24"/>
        </w:rPr>
        <w:t>o systemie ubezpieczeń społecznych). W nowy sposób zostanie określona wysokość hipotetycznej emerytury. W projektowanym nowym brzmieniu art. 50 ust. 1c proponuje się uwzględnienie subkonta w informacji dotyczącej hipotetycznej emerytury w wieku emerytalnym, obliczanej wg stanu konta i subkonta, oraz uwzględnienie kwoty składek, środków, odsetek za zwłokę i opłaty prolongacyjnej ogółem w informacji opartej o założenie dalszych wpłat składek w dotychczasowej wielkości. Ponadto proponuje się uwzględnienie także prognozy zdyskontowanej wysokości przyszłych waloryzacji emerytur (art. 50 ust. 3). Te zmiany mają na celu przekazywanie ubezpieczonym prognoz, które pełniej będą oddawały możliwy scenariusz przebiegu ubezpieczenia i wysokości emerytur. Powyższa propozycja wpisuje się zatem w jeden z celów przyświecających budowie CIE, tzn. zapewnienie możliwie wiarygodnej informacji przyszłym emerytom. Przepis art. 50 ust. 1c ma na celu uzupełnienie katalogu podmiotów, którym ZUS udostępnia dane z kont ubezpieczonych o PFR Portal, ale tylko w zakresie niezbędnym do prowadzenia CIE. Ten przepis uzupełnia zatem przepisy projektowanej ustawy.</w:t>
      </w:r>
    </w:p>
    <w:p w14:paraId="13F507DF" w14:textId="08CF8E9E"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Trzecia grupa zmian </w:t>
      </w:r>
      <w:r w:rsidR="00B71B4C">
        <w:rPr>
          <w:rFonts w:eastAsia="Times New Roman" w:cs="Times New Roman"/>
          <w:bCs/>
          <w:szCs w:val="24"/>
        </w:rPr>
        <w:t>obejmuje</w:t>
      </w:r>
      <w:r w:rsidR="00B71B4C" w:rsidRPr="00346672">
        <w:rPr>
          <w:rFonts w:eastAsia="Times New Roman" w:cs="Times New Roman"/>
          <w:bCs/>
          <w:szCs w:val="24"/>
        </w:rPr>
        <w:t xml:space="preserve"> </w:t>
      </w:r>
      <w:r w:rsidRPr="00346672">
        <w:rPr>
          <w:rFonts w:eastAsia="Times New Roman" w:cs="Times New Roman"/>
          <w:bCs/>
          <w:szCs w:val="24"/>
        </w:rPr>
        <w:t>uzupełnieni</w:t>
      </w:r>
      <w:r w:rsidR="00B71B4C">
        <w:rPr>
          <w:rFonts w:eastAsia="Times New Roman" w:cs="Times New Roman"/>
          <w:bCs/>
          <w:szCs w:val="24"/>
        </w:rPr>
        <w:t>e</w:t>
      </w:r>
      <w:r w:rsidRPr="00346672">
        <w:rPr>
          <w:rFonts w:eastAsia="Times New Roman" w:cs="Times New Roman"/>
          <w:bCs/>
          <w:szCs w:val="24"/>
        </w:rPr>
        <w:t xml:space="preserve"> przepis</w:t>
      </w:r>
      <w:r w:rsidR="00B71B4C">
        <w:rPr>
          <w:rFonts w:eastAsia="Times New Roman" w:cs="Times New Roman"/>
          <w:bCs/>
          <w:szCs w:val="24"/>
        </w:rPr>
        <w:t>ów</w:t>
      </w:r>
      <w:r w:rsidRPr="00346672">
        <w:rPr>
          <w:rFonts w:eastAsia="Times New Roman" w:cs="Times New Roman"/>
          <w:bCs/>
          <w:szCs w:val="24"/>
        </w:rPr>
        <w:t xml:space="preserve"> dotycząc</w:t>
      </w:r>
      <w:r w:rsidR="00B71B4C">
        <w:rPr>
          <w:rFonts w:eastAsia="Times New Roman" w:cs="Times New Roman"/>
          <w:bCs/>
          <w:szCs w:val="24"/>
        </w:rPr>
        <w:t>ych</w:t>
      </w:r>
      <w:r w:rsidRPr="00346672">
        <w:rPr>
          <w:rFonts w:eastAsia="Times New Roman" w:cs="Times New Roman"/>
          <w:bCs/>
          <w:szCs w:val="24"/>
        </w:rPr>
        <w:t xml:space="preserve"> nadzoru nad rynkiem ubezpieczeniowym i emerytalnym (art. 37) oraz dostosowani</w:t>
      </w:r>
      <w:r w:rsidR="00697BBA">
        <w:rPr>
          <w:rFonts w:eastAsia="Times New Roman" w:cs="Times New Roman"/>
          <w:bCs/>
          <w:szCs w:val="24"/>
        </w:rPr>
        <w:t>e</w:t>
      </w:r>
      <w:r w:rsidRPr="00346672">
        <w:rPr>
          <w:rFonts w:eastAsia="Times New Roman" w:cs="Times New Roman"/>
          <w:bCs/>
          <w:szCs w:val="24"/>
        </w:rPr>
        <w:t xml:space="preserve"> przepisów dotyczących rejestrów publicznych, tzn. Rejestru Dowodów Osobistych (art. 42), rejestru PESEL (art. 43) i Rejestr</w:t>
      </w:r>
      <w:r w:rsidR="00774513">
        <w:rPr>
          <w:rFonts w:eastAsia="Times New Roman" w:cs="Times New Roman"/>
          <w:bCs/>
          <w:szCs w:val="24"/>
        </w:rPr>
        <w:t>u</w:t>
      </w:r>
      <w:r w:rsidRPr="00346672">
        <w:rPr>
          <w:rFonts w:eastAsia="Times New Roman" w:cs="Times New Roman"/>
          <w:bCs/>
          <w:szCs w:val="24"/>
        </w:rPr>
        <w:t xml:space="preserve"> Dokumentów Paszportowych</w:t>
      </w:r>
      <w:r w:rsidR="00774513" w:rsidRPr="00774513">
        <w:rPr>
          <w:rFonts w:eastAsia="Times New Roman" w:cs="Times New Roman"/>
          <w:bCs/>
          <w:szCs w:val="24"/>
        </w:rPr>
        <w:t xml:space="preserve"> </w:t>
      </w:r>
      <w:r w:rsidR="00774513">
        <w:rPr>
          <w:rFonts w:eastAsia="Times New Roman" w:cs="Times New Roman"/>
          <w:bCs/>
          <w:szCs w:val="24"/>
        </w:rPr>
        <w:t>(</w:t>
      </w:r>
      <w:r w:rsidR="00774513" w:rsidRPr="00346672">
        <w:rPr>
          <w:rFonts w:eastAsia="Times New Roman" w:cs="Times New Roman"/>
          <w:bCs/>
          <w:szCs w:val="24"/>
        </w:rPr>
        <w:t>art. 47</w:t>
      </w:r>
      <w:r w:rsidRPr="00346672">
        <w:rPr>
          <w:rFonts w:eastAsia="Times New Roman" w:cs="Times New Roman"/>
          <w:bCs/>
          <w:szCs w:val="24"/>
        </w:rPr>
        <w:t>).</w:t>
      </w:r>
    </w:p>
    <w:p w14:paraId="3A3BBC4C"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 xml:space="preserve">Pozostałe zmiany innych ustaw mają charakter uzupełniający i wynikają ze zmian merytorycznych, np. zmiana ustawy z dnia 4 lipca 2019 r. o systemie instytucji rozwoju (Dz. U. z 2022 r. poz. 2183, z </w:t>
      </w:r>
      <w:proofErr w:type="spellStart"/>
      <w:r w:rsidRPr="00346672">
        <w:rPr>
          <w:rFonts w:eastAsia="Times New Roman" w:cs="Times New Roman"/>
          <w:bCs/>
          <w:szCs w:val="24"/>
        </w:rPr>
        <w:t>późn</w:t>
      </w:r>
      <w:proofErr w:type="spellEnd"/>
      <w:r w:rsidRPr="00346672">
        <w:rPr>
          <w:rFonts w:eastAsia="Times New Roman" w:cs="Times New Roman"/>
          <w:bCs/>
          <w:szCs w:val="24"/>
        </w:rPr>
        <w:t>. zm.), która uzupełnia katalog zadań PFR S.A. (art. 46).</w:t>
      </w:r>
    </w:p>
    <w:p w14:paraId="20B371A0" w14:textId="31A5E132"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48.</w:t>
      </w:r>
      <w:r w:rsidR="006850E3">
        <w:rPr>
          <w:rFonts w:eastAsia="Times New Roman" w:cs="Times New Roman"/>
          <w:b/>
          <w:bCs/>
          <w:szCs w:val="24"/>
        </w:rPr>
        <w:t xml:space="preserve"> </w:t>
      </w:r>
      <w:r w:rsidRPr="00346672">
        <w:rPr>
          <w:rFonts w:eastAsia="Times New Roman" w:cs="Times New Roman"/>
          <w:b/>
          <w:bCs/>
          <w:szCs w:val="24"/>
        </w:rPr>
        <w:t>Harmonogram uruchomienia CIE</w:t>
      </w:r>
    </w:p>
    <w:p w14:paraId="1F1ABB94" w14:textId="77777777" w:rsidR="00F17612" w:rsidRPr="00346672" w:rsidRDefault="00F17612" w:rsidP="009D6708">
      <w:pPr>
        <w:widowControl/>
        <w:spacing w:before="120"/>
        <w:jc w:val="both"/>
        <w:rPr>
          <w:rFonts w:eastAsia="Times New Roman" w:cs="Times New Roman"/>
          <w:bCs/>
          <w:szCs w:val="24"/>
        </w:rPr>
      </w:pPr>
      <w:r w:rsidRPr="00346672">
        <w:rPr>
          <w:rFonts w:eastAsia="Times New Roman" w:cs="Times New Roman"/>
          <w:bCs/>
          <w:szCs w:val="24"/>
        </w:rPr>
        <w:t>Przepis art. 48 upoważnia ministra właściwego do spraw informatyzacji do wydania komunikatu, w którym zostaną określone terminy najważniejszych etapów budowy i uruchomienia CIE, tzn.:</w:t>
      </w:r>
    </w:p>
    <w:p w14:paraId="5F9AD5EF" w14:textId="77777777" w:rsidR="00F17612" w:rsidRPr="00346672" w:rsidRDefault="00F17612" w:rsidP="00346672">
      <w:pPr>
        <w:widowControl/>
        <w:numPr>
          <w:ilvl w:val="0"/>
          <w:numId w:val="24"/>
        </w:numPr>
        <w:suppressAutoHyphens/>
        <w:autoSpaceDE/>
        <w:autoSpaceDN/>
        <w:adjustRightInd/>
        <w:ind w:left="567" w:hanging="567"/>
        <w:jc w:val="both"/>
        <w:rPr>
          <w:rFonts w:eastAsia="Times New Roman" w:cs="Times New Roman"/>
          <w:szCs w:val="24"/>
        </w:rPr>
      </w:pPr>
      <w:r w:rsidRPr="00346672">
        <w:rPr>
          <w:rFonts w:eastAsia="Times New Roman" w:cs="Times New Roman"/>
          <w:szCs w:val="24"/>
        </w:rPr>
        <w:t>osiągnięcia gotowości technicznej systemu CIE do odebrania danych od podmiotów obowiązanych i z ewidencji PPK;</w:t>
      </w:r>
    </w:p>
    <w:p w14:paraId="520E225E" w14:textId="779822EA" w:rsidR="00F17612" w:rsidRPr="00346672" w:rsidRDefault="00F17612" w:rsidP="00346672">
      <w:pPr>
        <w:widowControl/>
        <w:numPr>
          <w:ilvl w:val="0"/>
          <w:numId w:val="24"/>
        </w:numPr>
        <w:suppressAutoHyphens/>
        <w:autoSpaceDE/>
        <w:autoSpaceDN/>
        <w:adjustRightInd/>
        <w:ind w:left="567" w:hanging="567"/>
        <w:jc w:val="both"/>
        <w:rPr>
          <w:rFonts w:eastAsia="Times New Roman" w:cs="Times New Roman"/>
          <w:szCs w:val="24"/>
        </w:rPr>
      </w:pPr>
      <w:r w:rsidRPr="00346672">
        <w:rPr>
          <w:rFonts w:eastAsia="Times New Roman" w:cs="Times New Roman"/>
          <w:szCs w:val="24"/>
        </w:rPr>
        <w:t>zgłoszenia gotowości do przekazania danych w drodze teletransmisji do systemu CIE przez ZUS, KRUS i podmioty obowiązane, które już świa</w:t>
      </w:r>
      <w:r w:rsidR="00662F35">
        <w:rPr>
          <w:rFonts w:eastAsia="Times New Roman" w:cs="Times New Roman"/>
          <w:szCs w:val="24"/>
        </w:rPr>
        <w:t>dczą usługi klientom (zob. art. </w:t>
      </w:r>
      <w:r w:rsidRPr="00346672">
        <w:rPr>
          <w:rFonts w:eastAsia="Times New Roman" w:cs="Times New Roman"/>
          <w:szCs w:val="24"/>
        </w:rPr>
        <w:t>11 ust.</w:t>
      </w:r>
      <w:r w:rsidR="00346672">
        <w:rPr>
          <w:rFonts w:eastAsia="Times New Roman" w:cs="Times New Roman"/>
          <w:szCs w:val="24"/>
        </w:rPr>
        <w:t xml:space="preserve"> </w:t>
      </w:r>
      <w:r w:rsidRPr="00346672">
        <w:rPr>
          <w:rFonts w:eastAsia="Times New Roman" w:cs="Times New Roman"/>
          <w:szCs w:val="24"/>
        </w:rPr>
        <w:t>1)</w:t>
      </w:r>
      <w:r w:rsidR="00913579">
        <w:rPr>
          <w:rFonts w:eastAsia="Times New Roman" w:cs="Times New Roman"/>
          <w:szCs w:val="24"/>
        </w:rPr>
        <w:t>;</w:t>
      </w:r>
      <w:r w:rsidRPr="00346672">
        <w:rPr>
          <w:rFonts w:eastAsia="Times New Roman" w:cs="Times New Roman"/>
          <w:szCs w:val="24"/>
        </w:rPr>
        <w:t xml:space="preserve"> </w:t>
      </w:r>
    </w:p>
    <w:p w14:paraId="0349433F" w14:textId="77777777" w:rsidR="00F17612" w:rsidRPr="00346672" w:rsidRDefault="00F17612" w:rsidP="00346672">
      <w:pPr>
        <w:widowControl/>
        <w:numPr>
          <w:ilvl w:val="0"/>
          <w:numId w:val="24"/>
        </w:numPr>
        <w:suppressAutoHyphens/>
        <w:autoSpaceDE/>
        <w:autoSpaceDN/>
        <w:adjustRightInd/>
        <w:ind w:left="567" w:hanging="567"/>
        <w:jc w:val="both"/>
        <w:rPr>
          <w:rFonts w:eastAsia="Times New Roman" w:cs="Times New Roman"/>
          <w:szCs w:val="24"/>
        </w:rPr>
      </w:pPr>
      <w:r w:rsidRPr="00346672">
        <w:rPr>
          <w:rFonts w:eastAsia="Times New Roman" w:cs="Times New Roman"/>
          <w:szCs w:val="24"/>
        </w:rPr>
        <w:t>udostępnienia zainteresowanym za pomocą CIE:</w:t>
      </w:r>
    </w:p>
    <w:p w14:paraId="2CA58C39" w14:textId="77777777" w:rsidR="00F17612" w:rsidRPr="00346672" w:rsidRDefault="00F17612" w:rsidP="00346672">
      <w:pPr>
        <w:widowControl/>
        <w:suppressAutoHyphens/>
        <w:ind w:left="1134" w:hanging="425"/>
        <w:jc w:val="both"/>
        <w:rPr>
          <w:rFonts w:eastAsia="Times New Roman" w:cs="Times New Roman"/>
          <w:szCs w:val="24"/>
        </w:rPr>
      </w:pPr>
      <w:r w:rsidRPr="00346672">
        <w:rPr>
          <w:rFonts w:eastAsia="Times New Roman" w:cs="Times New Roman"/>
          <w:szCs w:val="24"/>
        </w:rPr>
        <w:lastRenderedPageBreak/>
        <w:t>a)</w:t>
      </w:r>
      <w:r w:rsidRPr="00346672">
        <w:rPr>
          <w:rFonts w:eastAsia="Times New Roman" w:cs="Times New Roman"/>
          <w:szCs w:val="24"/>
        </w:rPr>
        <w:tab/>
        <w:t>usług elektronicznych, które będą udostępnione wraz z udostepnieniem CIE zainteresowanym (tzn. usług wymienionych w art. 7 ust. 1);</w:t>
      </w:r>
    </w:p>
    <w:p w14:paraId="6601335C" w14:textId="77777777" w:rsidR="00F17612" w:rsidRPr="00346672" w:rsidRDefault="00F17612" w:rsidP="00346672">
      <w:pPr>
        <w:widowControl/>
        <w:suppressAutoHyphens/>
        <w:ind w:left="1134" w:hanging="425"/>
        <w:jc w:val="both"/>
        <w:rPr>
          <w:rFonts w:eastAsia="Times New Roman" w:cs="Times New Roman"/>
          <w:szCs w:val="24"/>
        </w:rPr>
      </w:pPr>
      <w:r w:rsidRPr="00346672">
        <w:rPr>
          <w:rFonts w:eastAsia="Times New Roman" w:cs="Times New Roman"/>
          <w:szCs w:val="24"/>
        </w:rPr>
        <w:t>b)</w:t>
      </w:r>
      <w:r w:rsidRPr="00346672">
        <w:rPr>
          <w:rFonts w:eastAsia="Times New Roman" w:cs="Times New Roman"/>
          <w:szCs w:val="24"/>
        </w:rPr>
        <w:tab/>
        <w:t>poszczególnych usług elektronicznych, które będą udostępnione na późniejszych etapach rozwoju CIE (tzn. usług wymienionych w art. 7 ust. 2);</w:t>
      </w:r>
    </w:p>
    <w:p w14:paraId="571C3A4B" w14:textId="700DE9FF" w:rsidR="00F17612" w:rsidRPr="00346672" w:rsidRDefault="00F17612" w:rsidP="00346672">
      <w:pPr>
        <w:widowControl/>
        <w:numPr>
          <w:ilvl w:val="0"/>
          <w:numId w:val="24"/>
        </w:numPr>
        <w:suppressAutoHyphens/>
        <w:autoSpaceDE/>
        <w:autoSpaceDN/>
        <w:adjustRightInd/>
        <w:ind w:left="567" w:hanging="567"/>
        <w:jc w:val="both"/>
        <w:rPr>
          <w:rFonts w:eastAsia="Times New Roman" w:cs="Times New Roman"/>
          <w:szCs w:val="24"/>
        </w:rPr>
      </w:pPr>
      <w:r w:rsidRPr="00346672">
        <w:rPr>
          <w:rFonts w:eastAsia="Times New Roman" w:cs="Times New Roman"/>
          <w:szCs w:val="24"/>
        </w:rPr>
        <w:t xml:space="preserve">umożliwienia zainteresowanym przekazywania informacji, oświadczeń i wniosków w systemie teleinformatycznym ZUS, o którym mowa w art. 8 ust. 1 (tj. na platformę </w:t>
      </w:r>
      <w:r w:rsidR="00662F35">
        <w:rPr>
          <w:rFonts w:eastAsia="Times New Roman" w:cs="Times New Roman"/>
          <w:szCs w:val="24"/>
        </w:rPr>
        <w:br/>
      </w:r>
      <w:r w:rsidRPr="00346672">
        <w:rPr>
          <w:rFonts w:eastAsia="Times New Roman" w:cs="Times New Roman"/>
          <w:szCs w:val="24"/>
        </w:rPr>
        <w:t>ZUS-PUE);</w:t>
      </w:r>
    </w:p>
    <w:p w14:paraId="70F54255" w14:textId="77777777" w:rsidR="00F17612" w:rsidRPr="00346672" w:rsidRDefault="00F17612" w:rsidP="00346672">
      <w:pPr>
        <w:widowControl/>
        <w:numPr>
          <w:ilvl w:val="0"/>
          <w:numId w:val="24"/>
        </w:numPr>
        <w:suppressAutoHyphens/>
        <w:autoSpaceDE/>
        <w:autoSpaceDN/>
        <w:adjustRightInd/>
        <w:ind w:left="567" w:hanging="567"/>
        <w:jc w:val="both"/>
        <w:rPr>
          <w:rFonts w:eastAsia="Times New Roman" w:cs="Times New Roman"/>
          <w:szCs w:val="24"/>
        </w:rPr>
      </w:pPr>
      <w:r w:rsidRPr="00346672">
        <w:rPr>
          <w:rFonts w:eastAsia="Times New Roman" w:cs="Times New Roman"/>
          <w:szCs w:val="24"/>
        </w:rPr>
        <w:t>przekazania po raz pierwszy podmiotom obowiązanym i podmiotom wykonującym działalność w zakresie PPK przez PFR Portal danych, o których mowa w art. 16 ust. 3.</w:t>
      </w:r>
    </w:p>
    <w:p w14:paraId="0BFEB716" w14:textId="52F2F717" w:rsidR="00F17612" w:rsidRPr="00346672" w:rsidRDefault="00F17612" w:rsidP="009D6708">
      <w:pPr>
        <w:widowControl/>
        <w:suppressAutoHyphens/>
        <w:spacing w:before="120"/>
        <w:jc w:val="both"/>
        <w:rPr>
          <w:rFonts w:eastAsia="Times New Roman" w:cs="Times New Roman"/>
          <w:szCs w:val="24"/>
        </w:rPr>
      </w:pPr>
      <w:r w:rsidRPr="00346672">
        <w:rPr>
          <w:rFonts w:eastAsia="Times New Roman" w:cs="Times New Roman"/>
          <w:szCs w:val="24"/>
        </w:rPr>
        <w:t>Ze względu na dużą złożoność systemu CIE nie jest możliwe ścisłe określenie w projektowanej ustawie konkretnych dat. Stąd proponuje się powierzenie określenia tych dat ministrowi, który będzie nadzorował budowę i funkcjonowanie CIE. Proponuje się jednak wyznaczanie tylko dat granicznych. Zgodnie z projektowanym art. 48 ust. 2 pkt 1, PFR Portal będzie obowiązany osiągnąć gotowość techniczną systemu CIE do odebrania danych od podmiotów obowiązanych i z ewidencji PPK, a ZUS i KRUS zgłosić gotowość techniczną do podłączenia do systemu CIE w terminie nie krótszym niż 12 miesięcy od dnia wejścia w życie projektowanej ustawy</w:t>
      </w:r>
      <w:r w:rsidRPr="00346672">
        <w:rPr>
          <w:rFonts w:cs="Times New Roman"/>
          <w:szCs w:val="24"/>
        </w:rPr>
        <w:t xml:space="preserve"> i nie </w:t>
      </w:r>
      <w:r w:rsidRPr="00346672">
        <w:rPr>
          <w:rFonts w:eastAsia="Times New Roman" w:cs="Times New Roman"/>
          <w:szCs w:val="24"/>
        </w:rPr>
        <w:t>dłuższym niż 24 miesiące od dnia wejścia w życie ustawy (art. 48 ust. 2 pkt 1). Z kolei podmioty obowiązane funkcjonujące przed dniem ogłoszenia komunikatu ministra będą zobowiązane do zgłoszenia gotowości technicznej do przekazania danych do CIE po upływie 6 miesięcy od dnia wejścia w życie ustawy, ale przed 24 miesiącami od dnia wejścia w życie niniejszej ustawy. Te podmioty obowiązane będą również przygotowywały się do przekazania danych w trybie art. 11 projektowanej ustawy (art. 48 ust. 2 pkt 2). Natomiast udostępnienie usług elektronicznych, o których mowa w art. 7 ust. 1</w:t>
      </w:r>
      <w:r w:rsidR="00960488">
        <w:rPr>
          <w:rFonts w:eastAsia="Times New Roman" w:cs="Times New Roman"/>
          <w:szCs w:val="24"/>
        </w:rPr>
        <w:t>,</w:t>
      </w:r>
      <w:r w:rsidRPr="00346672">
        <w:rPr>
          <w:rFonts w:eastAsia="Times New Roman" w:cs="Times New Roman"/>
          <w:szCs w:val="24"/>
        </w:rPr>
        <w:t xml:space="preserve"> powinno nastąpić w terminie nie </w:t>
      </w:r>
      <w:r w:rsidRPr="00346672">
        <w:rPr>
          <w:rFonts w:cs="Times New Roman"/>
          <w:szCs w:val="24"/>
        </w:rPr>
        <w:t>dłuższym niż 24 miesiące od dnia wejścia w życie ustawy</w:t>
      </w:r>
      <w:r w:rsidRPr="00346672">
        <w:rPr>
          <w:rFonts w:eastAsia="Times New Roman" w:cs="Times New Roman"/>
          <w:szCs w:val="24"/>
        </w:rPr>
        <w:t xml:space="preserve"> (art. 48 ust. 2 pkt 3).</w:t>
      </w:r>
    </w:p>
    <w:p w14:paraId="45C27260" w14:textId="6D5DAD77" w:rsidR="00F17612" w:rsidRPr="00346672" w:rsidRDefault="00F17612" w:rsidP="009D6708">
      <w:pPr>
        <w:keepNext/>
        <w:widowControl/>
        <w:spacing w:before="240"/>
        <w:jc w:val="both"/>
        <w:rPr>
          <w:rFonts w:eastAsia="Times New Roman" w:cs="Times New Roman"/>
          <w:b/>
          <w:bCs/>
          <w:szCs w:val="24"/>
        </w:rPr>
      </w:pPr>
      <w:r w:rsidRPr="00346672">
        <w:rPr>
          <w:rFonts w:eastAsia="Times New Roman" w:cs="Times New Roman"/>
          <w:b/>
          <w:bCs/>
          <w:szCs w:val="24"/>
        </w:rPr>
        <w:t>Art. 51.</w:t>
      </w:r>
      <w:r w:rsidR="006850E3">
        <w:rPr>
          <w:rFonts w:eastAsia="Times New Roman" w:cs="Times New Roman"/>
          <w:b/>
          <w:bCs/>
          <w:szCs w:val="24"/>
        </w:rPr>
        <w:t xml:space="preserve"> </w:t>
      </w:r>
      <w:r w:rsidRPr="00346672">
        <w:rPr>
          <w:rFonts w:eastAsia="Times New Roman" w:cs="Times New Roman"/>
          <w:b/>
          <w:bCs/>
          <w:szCs w:val="24"/>
        </w:rPr>
        <w:t>Wejście w życie ustawy</w:t>
      </w:r>
      <w:r w:rsidRPr="00346672">
        <w:rPr>
          <w:rFonts w:eastAsia="MS Mincho" w:cs="Times New Roman"/>
          <w:bCs/>
          <w:szCs w:val="24"/>
        </w:rPr>
        <w:t xml:space="preserve"> </w:t>
      </w:r>
    </w:p>
    <w:p w14:paraId="4FAAAD3B" w14:textId="77777777" w:rsidR="00F17612" w:rsidRPr="00346672" w:rsidRDefault="00F17612" w:rsidP="009D6708">
      <w:pPr>
        <w:widowControl/>
        <w:spacing w:before="120"/>
        <w:jc w:val="both"/>
        <w:rPr>
          <w:rFonts w:eastAsia="MS Mincho" w:cs="Times New Roman"/>
          <w:bCs/>
          <w:szCs w:val="24"/>
        </w:rPr>
      </w:pPr>
      <w:r w:rsidRPr="00346672">
        <w:rPr>
          <w:rFonts w:eastAsia="MS Mincho" w:cs="Times New Roman"/>
          <w:bCs/>
          <w:szCs w:val="24"/>
        </w:rPr>
        <w:t xml:space="preserve">Przewiduje się, że ustawa powinna wejść w życie po upływie 14 dni od dnia ogłoszenia. Powyższe jest zgodne z zasadą demokratycznego państwa prawnego oraz z art. 4 ust. 2 ustawy z dnia 20 lipca 2000 r. o ogłaszaniu aktów normatywnych i niektórych innych aktów prawnych (Dz. U. z 2019 r. poz. 1461). </w:t>
      </w:r>
    </w:p>
    <w:p w14:paraId="61C4A0E6" w14:textId="6BFF374A" w:rsidR="00F17612" w:rsidRPr="00346672" w:rsidRDefault="00F17612" w:rsidP="009D6708">
      <w:pPr>
        <w:widowControl/>
        <w:spacing w:before="120"/>
        <w:jc w:val="both"/>
        <w:rPr>
          <w:rFonts w:eastAsia="MS Mincho" w:cs="Times New Roman"/>
          <w:bCs/>
          <w:szCs w:val="24"/>
        </w:rPr>
      </w:pPr>
      <w:r w:rsidRPr="00346672">
        <w:rPr>
          <w:rFonts w:eastAsia="MS Mincho" w:cs="Times New Roman"/>
          <w:bCs/>
          <w:szCs w:val="24"/>
        </w:rPr>
        <w:t>Upoważnienie dla ministra właściwego do spraw informatyzacji do wydania rozporządzenia określonego w art. 4 ust. 3 projektowanej ustawy (dotyczące</w:t>
      </w:r>
      <w:r w:rsidR="00662F35">
        <w:rPr>
          <w:rFonts w:eastAsia="MS Mincho" w:cs="Times New Roman"/>
          <w:bCs/>
          <w:szCs w:val="24"/>
        </w:rPr>
        <w:t>go m.in. wymagań technicznych i </w:t>
      </w:r>
      <w:r w:rsidRPr="00346672">
        <w:rPr>
          <w:rFonts w:eastAsia="MS Mincho" w:cs="Times New Roman"/>
          <w:bCs/>
          <w:szCs w:val="24"/>
        </w:rPr>
        <w:t xml:space="preserve">organizacyjnych przekazywania danych i informacji do CIE) wejdzie w życie po upływie </w:t>
      </w:r>
      <w:r w:rsidRPr="00346672">
        <w:rPr>
          <w:rFonts w:eastAsia="MS Mincho" w:cs="Times New Roman"/>
          <w:bCs/>
          <w:szCs w:val="24"/>
        </w:rPr>
        <w:lastRenderedPageBreak/>
        <w:t>6</w:t>
      </w:r>
      <w:r w:rsidR="00662F35">
        <w:rPr>
          <w:rFonts w:eastAsia="MS Mincho" w:cs="Times New Roman"/>
          <w:bCs/>
          <w:szCs w:val="24"/>
        </w:rPr>
        <w:t> </w:t>
      </w:r>
      <w:r w:rsidRPr="00346672">
        <w:rPr>
          <w:rFonts w:eastAsia="MS Mincho" w:cs="Times New Roman"/>
          <w:bCs/>
          <w:szCs w:val="24"/>
        </w:rPr>
        <w:t xml:space="preserve">miesięcy od dnia ogłoszenia ustawy. Taki termin jest podyktowany koniecznością ukończenia prac nad szczegółowymi rozwiązaniami technicznymi planowanego systemu teleinformatycznego. </w:t>
      </w:r>
    </w:p>
    <w:p w14:paraId="4F5D8A0B" w14:textId="77777777" w:rsidR="00F17612" w:rsidRPr="00346672" w:rsidRDefault="00F17612" w:rsidP="009D6708">
      <w:pPr>
        <w:widowControl/>
        <w:spacing w:before="120"/>
        <w:jc w:val="both"/>
        <w:rPr>
          <w:rFonts w:eastAsia="MS Mincho" w:cs="Times New Roman"/>
          <w:bCs/>
          <w:szCs w:val="24"/>
        </w:rPr>
      </w:pPr>
      <w:r w:rsidRPr="00346672">
        <w:rPr>
          <w:rFonts w:eastAsia="MS Mincho" w:cs="Times New Roman"/>
          <w:bCs/>
          <w:szCs w:val="24"/>
        </w:rPr>
        <w:t>Przepisy dotyczące zmian w PUE ZUS wejdą w życie po upływie 12 miesięcy od dnia wejścia w życie ustawy (art. 51 pkt 2). Przygotowanie zmian w ZUS-PUE także wymaga złożonych prac koncepcyjnych i technicznych, co oznacza, że niezwłoczne wejście w życie tych przepisów nie jest możliwe.</w:t>
      </w:r>
    </w:p>
    <w:p w14:paraId="5285B6D0" w14:textId="77777777" w:rsidR="00F17612" w:rsidRPr="00346672" w:rsidRDefault="00F17612" w:rsidP="009D6708">
      <w:pPr>
        <w:widowControl/>
        <w:suppressAutoHyphens/>
        <w:spacing w:before="120"/>
        <w:jc w:val="both"/>
        <w:rPr>
          <w:rFonts w:eastAsia="Times New Roman" w:cs="Times New Roman"/>
          <w:szCs w:val="24"/>
        </w:rPr>
      </w:pPr>
      <w:r w:rsidRPr="00346672">
        <w:rPr>
          <w:rFonts w:eastAsia="Times New Roman" w:cs="Times New Roman"/>
          <w:szCs w:val="24"/>
        </w:rPr>
        <w:t>OSR projektu nie był oceniany w trybie § 32 uchwały nr 190 Rady Ministrów z dnia 29</w:t>
      </w:r>
      <w:r w:rsidRPr="00346672">
        <w:rPr>
          <w:rFonts w:eastAsia="Calibri" w:cs="Times New Roman"/>
          <w:szCs w:val="24"/>
          <w:lang w:eastAsia="en-US"/>
        </w:rPr>
        <w:t> </w:t>
      </w:r>
      <w:r w:rsidRPr="00346672">
        <w:rPr>
          <w:rFonts w:eastAsia="Times New Roman" w:cs="Times New Roman"/>
          <w:szCs w:val="24"/>
        </w:rPr>
        <w:t>października 2013 r. – Regulamin pracy Rady Ministrów (M</w:t>
      </w:r>
      <w:r w:rsidRPr="00346672">
        <w:rPr>
          <w:rFonts w:eastAsia="Times New Roman" w:cs="Times New Roman"/>
          <w:bCs/>
          <w:szCs w:val="24"/>
        </w:rPr>
        <w:t>.P. z 2022 r. poz. 348).</w:t>
      </w:r>
    </w:p>
    <w:p w14:paraId="6EC33C33" w14:textId="77777777" w:rsidR="00F17612" w:rsidRPr="00346672" w:rsidRDefault="00F17612" w:rsidP="009D6708">
      <w:pPr>
        <w:widowControl/>
        <w:suppressAutoHyphens/>
        <w:spacing w:before="120"/>
        <w:jc w:val="both"/>
        <w:rPr>
          <w:rFonts w:eastAsia="Times New Roman" w:cs="Times New Roman"/>
          <w:bCs/>
          <w:szCs w:val="24"/>
        </w:rPr>
      </w:pPr>
      <w:r w:rsidRPr="00346672">
        <w:rPr>
          <w:rFonts w:eastAsia="Times New Roman" w:cs="Times New Roman"/>
          <w:bCs/>
          <w:szCs w:val="24"/>
        </w:rPr>
        <w:t>Projektowana regulacja nie zawiera przepisów technicznych w rozumieniu rozporządzenia Rady Ministrów z dnia 23 grudnia 2002 r. w sprawie sposobu funkcjonowania krajowego systemu notyfikacji norm i aktów prawnych (Dz. U. poz. 2039, z </w:t>
      </w:r>
      <w:proofErr w:type="spellStart"/>
      <w:r w:rsidRPr="00346672">
        <w:rPr>
          <w:rFonts w:eastAsia="Times New Roman" w:cs="Times New Roman"/>
          <w:bCs/>
          <w:szCs w:val="24"/>
        </w:rPr>
        <w:t>późn</w:t>
      </w:r>
      <w:proofErr w:type="spellEnd"/>
      <w:r w:rsidRPr="00346672">
        <w:rPr>
          <w:rFonts w:eastAsia="Times New Roman" w:cs="Times New Roman"/>
          <w:bCs/>
          <w:szCs w:val="24"/>
        </w:rPr>
        <w:t>. zm.) i nie podlega notyfikacji Komisji Europejskiej.</w:t>
      </w:r>
    </w:p>
    <w:p w14:paraId="52E96D48" w14:textId="34AFAF15" w:rsidR="00F17612" w:rsidRPr="00346672" w:rsidRDefault="00F17612" w:rsidP="009D6708">
      <w:pPr>
        <w:widowControl/>
        <w:suppressAutoHyphens/>
        <w:spacing w:before="120"/>
        <w:jc w:val="both"/>
        <w:rPr>
          <w:rFonts w:eastAsia="Times New Roman" w:cs="Times New Roman"/>
          <w:bCs/>
          <w:szCs w:val="24"/>
        </w:rPr>
      </w:pPr>
      <w:r w:rsidRPr="00346672">
        <w:rPr>
          <w:rFonts w:eastAsia="Times New Roman" w:cs="Times New Roman"/>
          <w:bCs/>
          <w:szCs w:val="24"/>
        </w:rPr>
        <w:t>Projektowana regulacja nie będzie wymagała notyfikacji Komisji Europejskiej w trybie ustawy z dnia 30 kwietnia 2004 r. o postępowaniu w sprawach dot</w:t>
      </w:r>
      <w:r w:rsidR="00662F35">
        <w:rPr>
          <w:rFonts w:eastAsia="Times New Roman" w:cs="Times New Roman"/>
          <w:bCs/>
          <w:szCs w:val="24"/>
        </w:rPr>
        <w:t>yczących pomocy publicznej (Dz. </w:t>
      </w:r>
      <w:r w:rsidRPr="00346672">
        <w:rPr>
          <w:rFonts w:eastAsia="Times New Roman" w:cs="Times New Roman"/>
          <w:bCs/>
          <w:szCs w:val="24"/>
        </w:rPr>
        <w:t>U. z 2021 r. poz. 743).</w:t>
      </w:r>
    </w:p>
    <w:p w14:paraId="60124DA1" w14:textId="77777777" w:rsidR="00F17612" w:rsidRPr="00346672" w:rsidRDefault="00F17612" w:rsidP="009D6708">
      <w:pPr>
        <w:widowControl/>
        <w:suppressAutoHyphens/>
        <w:spacing w:before="120"/>
        <w:jc w:val="both"/>
        <w:rPr>
          <w:rFonts w:eastAsia="Times New Roman" w:cs="Times New Roman"/>
          <w:bCs/>
          <w:szCs w:val="24"/>
        </w:rPr>
      </w:pPr>
      <w:r w:rsidRPr="00346672">
        <w:rPr>
          <w:rFonts w:eastAsia="Times New Roman" w:cs="Times New Roman"/>
          <w:bCs/>
          <w:szCs w:val="24"/>
        </w:rPr>
        <w:t>Projekt ustawy nie jest sprzeczny z prawem Unii Europejskiej.</w:t>
      </w:r>
    </w:p>
    <w:p w14:paraId="3938F799" w14:textId="77777777" w:rsidR="00F17612" w:rsidRPr="00346672" w:rsidRDefault="00F17612" w:rsidP="009D6708">
      <w:pPr>
        <w:widowControl/>
        <w:suppressAutoHyphens/>
        <w:spacing w:before="120"/>
        <w:jc w:val="both"/>
        <w:rPr>
          <w:rFonts w:eastAsia="Times New Roman" w:cs="Times New Roman"/>
          <w:bCs/>
          <w:szCs w:val="24"/>
        </w:rPr>
      </w:pPr>
      <w:r w:rsidRPr="00346672">
        <w:rPr>
          <w:rFonts w:eastAsia="Times New Roman" w:cs="Times New Roman"/>
          <w:bCs/>
          <w:szCs w:val="24"/>
        </w:rPr>
        <w:t>Projekt ustawy nie wymaga przedłożenia instytucjom i organom Unii Europejskiej, w tym Europejskiemu Bankowi Centralnemu, w celu uzyskania opinii, dokonania powiadomienia, konsultacji albo uzgodnienia.</w:t>
      </w:r>
    </w:p>
    <w:p w14:paraId="0C8A3199" w14:textId="46663971" w:rsidR="00BF022C" w:rsidRPr="00346672" w:rsidRDefault="00F17612" w:rsidP="009D6708">
      <w:pPr>
        <w:widowControl/>
        <w:suppressAutoHyphens/>
        <w:spacing w:before="120"/>
        <w:jc w:val="both"/>
        <w:rPr>
          <w:rFonts w:cs="Times New Roman"/>
          <w:szCs w:val="24"/>
        </w:rPr>
      </w:pPr>
      <w:r w:rsidRPr="00346672">
        <w:rPr>
          <w:rFonts w:eastAsia="Times New Roman" w:cs="Times New Roman"/>
          <w:bCs/>
          <w:szCs w:val="24"/>
        </w:rPr>
        <w:t>Projekt został udostępniony w Biuletynie Informacji Publicznej na stronie internetowej Rządowego Centrum Legislacji</w:t>
      </w:r>
      <w:r w:rsidR="0015068F">
        <w:rPr>
          <w:rFonts w:eastAsia="Times New Roman" w:cs="Times New Roman"/>
          <w:bCs/>
          <w:szCs w:val="24"/>
        </w:rPr>
        <w:t>,</w:t>
      </w:r>
      <w:r w:rsidRPr="00346672">
        <w:rPr>
          <w:rFonts w:eastAsia="Times New Roman" w:cs="Times New Roman"/>
          <w:bCs/>
          <w:szCs w:val="24"/>
        </w:rPr>
        <w:t xml:space="preserve"> w zakładce </w:t>
      </w:r>
      <w:r w:rsidR="0015068F">
        <w:rPr>
          <w:rFonts w:eastAsia="Times New Roman" w:cs="Times New Roman"/>
          <w:bCs/>
          <w:szCs w:val="24"/>
        </w:rPr>
        <w:t>„</w:t>
      </w:r>
      <w:r w:rsidRPr="00346672">
        <w:rPr>
          <w:rFonts w:eastAsia="Times New Roman" w:cs="Times New Roman"/>
          <w:bCs/>
          <w:szCs w:val="24"/>
        </w:rPr>
        <w:t>Rządowy Proces Legislacyjny</w:t>
      </w:r>
      <w:r w:rsidR="0015068F">
        <w:rPr>
          <w:rFonts w:eastAsia="Times New Roman" w:cs="Times New Roman"/>
          <w:bCs/>
          <w:szCs w:val="24"/>
        </w:rPr>
        <w:t>”</w:t>
      </w:r>
      <w:r w:rsidR="00662F35">
        <w:rPr>
          <w:rFonts w:eastAsia="Times New Roman" w:cs="Times New Roman"/>
          <w:bCs/>
          <w:szCs w:val="24"/>
        </w:rPr>
        <w:t>,</w:t>
      </w:r>
      <w:r w:rsidRPr="00346672">
        <w:rPr>
          <w:rFonts w:eastAsia="Times New Roman" w:cs="Times New Roman"/>
          <w:bCs/>
          <w:szCs w:val="24"/>
        </w:rPr>
        <w:t xml:space="preserve"> zgodnie z § 52 uchwały nr 190 Rady Ministrów z dnia 29 października 2013 r. – Regulamin pracy Rady Ministrów</w:t>
      </w:r>
      <w:r w:rsidR="00B26703">
        <w:rPr>
          <w:rFonts w:eastAsia="Times New Roman" w:cs="Times New Roman"/>
          <w:bCs/>
          <w:szCs w:val="24"/>
        </w:rPr>
        <w:t>,</w:t>
      </w:r>
      <w:r w:rsidRPr="00346672">
        <w:rPr>
          <w:rFonts w:eastAsia="Times New Roman" w:cs="Times New Roman"/>
          <w:bCs/>
          <w:szCs w:val="24"/>
        </w:rPr>
        <w:t xml:space="preserve"> oraz stosownie do wymogów art. 5 ustawy z dnia 7 lipca 2005 r. o działalności lobbingowej w procesie stanowienia prawa (Dz. U. z 2017 r. poz. 248) w Biuletynie Informacji Publicznej Ministra Cyfryzacji.</w:t>
      </w:r>
    </w:p>
    <w:sectPr w:rsidR="00BF022C" w:rsidRPr="00346672" w:rsidSect="001E493B">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9095E5" w14:textId="77777777" w:rsidR="00CA6B72" w:rsidRDefault="00CA6B72" w:rsidP="001E493B">
      <w:pPr>
        <w:spacing w:line="240" w:lineRule="auto"/>
      </w:pPr>
      <w:r>
        <w:separator/>
      </w:r>
    </w:p>
  </w:endnote>
  <w:endnote w:type="continuationSeparator" w:id="0">
    <w:p w14:paraId="6E7F6DF4" w14:textId="77777777" w:rsidR="00CA6B72" w:rsidRDefault="00CA6B72" w:rsidP="001E49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5810937"/>
      <w:docPartObj>
        <w:docPartGallery w:val="Page Numbers (Bottom of Page)"/>
        <w:docPartUnique/>
      </w:docPartObj>
    </w:sdtPr>
    <w:sdtEndPr>
      <w:rPr>
        <w:rFonts w:ascii="Times New Roman" w:hAnsi="Times New Roman"/>
      </w:rPr>
    </w:sdtEndPr>
    <w:sdtContent>
      <w:p w14:paraId="52558D4A" w14:textId="7AA278B3" w:rsidR="001E493B" w:rsidRPr="001E493B" w:rsidRDefault="001E493B">
        <w:pPr>
          <w:pStyle w:val="Stopka"/>
          <w:jc w:val="center"/>
          <w:rPr>
            <w:rFonts w:ascii="Times New Roman" w:hAnsi="Times New Roman"/>
          </w:rPr>
        </w:pPr>
        <w:r w:rsidRPr="001E493B">
          <w:rPr>
            <w:rFonts w:ascii="Times New Roman" w:hAnsi="Times New Roman"/>
          </w:rPr>
          <w:fldChar w:fldCharType="begin"/>
        </w:r>
        <w:r w:rsidRPr="001E493B">
          <w:rPr>
            <w:rFonts w:ascii="Times New Roman" w:hAnsi="Times New Roman"/>
          </w:rPr>
          <w:instrText>PAGE   \* MERGEFORMAT</w:instrText>
        </w:r>
        <w:r w:rsidRPr="001E493B">
          <w:rPr>
            <w:rFonts w:ascii="Times New Roman" w:hAnsi="Times New Roman"/>
          </w:rPr>
          <w:fldChar w:fldCharType="separate"/>
        </w:r>
        <w:r w:rsidR="007D182B">
          <w:rPr>
            <w:rFonts w:ascii="Times New Roman" w:hAnsi="Times New Roman"/>
            <w:noProof/>
          </w:rPr>
          <w:t>28</w:t>
        </w:r>
        <w:r w:rsidRPr="001E493B">
          <w:rPr>
            <w:rFonts w:ascii="Times New Roman" w:hAnsi="Times New Roman"/>
          </w:rPr>
          <w:fldChar w:fldCharType="end"/>
        </w:r>
      </w:p>
    </w:sdtContent>
  </w:sdt>
  <w:p w14:paraId="371A375C" w14:textId="77777777" w:rsidR="001E493B" w:rsidRDefault="001E49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4AAF91" w14:textId="77777777" w:rsidR="00CA6B72" w:rsidRDefault="00CA6B72" w:rsidP="001E493B">
      <w:pPr>
        <w:spacing w:line="240" w:lineRule="auto"/>
      </w:pPr>
      <w:r>
        <w:separator/>
      </w:r>
    </w:p>
  </w:footnote>
  <w:footnote w:type="continuationSeparator" w:id="0">
    <w:p w14:paraId="496A2300" w14:textId="77777777" w:rsidR="00CA6B72" w:rsidRDefault="00CA6B72" w:rsidP="001E493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A0614"/>
    <w:multiLevelType w:val="hybridMultilevel"/>
    <w:tmpl w:val="B9F8F15E"/>
    <w:lvl w:ilvl="0" w:tplc="D1DECCF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4EE4F79"/>
    <w:multiLevelType w:val="hybridMultilevel"/>
    <w:tmpl w:val="5E823C9E"/>
    <w:lvl w:ilvl="0" w:tplc="0415000F">
      <w:start w:val="1"/>
      <w:numFmt w:val="decimal"/>
      <w:lvlText w:val="%1."/>
      <w:lvlJc w:val="left"/>
      <w:pPr>
        <w:ind w:left="72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91B141F"/>
    <w:multiLevelType w:val="hybridMultilevel"/>
    <w:tmpl w:val="37E47F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9E2B58"/>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036221B"/>
    <w:multiLevelType w:val="hybridMultilevel"/>
    <w:tmpl w:val="800CDFC6"/>
    <w:lvl w:ilvl="0" w:tplc="288629DE">
      <w:start w:val="1"/>
      <w:numFmt w:val="decimal"/>
      <w:lvlText w:val="%1)"/>
      <w:lvlJc w:val="left"/>
      <w:pPr>
        <w:ind w:left="555" w:hanging="555"/>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14292349"/>
    <w:multiLevelType w:val="hybridMultilevel"/>
    <w:tmpl w:val="F1FC0650"/>
    <w:lvl w:ilvl="0" w:tplc="0415000F">
      <w:start w:val="1"/>
      <w:numFmt w:val="decimal"/>
      <w:lvlText w:val="%1."/>
      <w:lvlJc w:val="left"/>
      <w:pPr>
        <w:tabs>
          <w:tab w:val="num" w:pos="1047"/>
        </w:tabs>
        <w:ind w:left="1047" w:hanging="360"/>
      </w:pPr>
    </w:lvl>
    <w:lvl w:ilvl="1" w:tplc="2610BC42">
      <w:start w:val="1"/>
      <w:numFmt w:val="bullet"/>
      <w:lvlText w:val=""/>
      <w:lvlJc w:val="left"/>
      <w:pPr>
        <w:tabs>
          <w:tab w:val="num" w:pos="1767"/>
        </w:tabs>
        <w:ind w:left="1767" w:hanging="360"/>
      </w:pPr>
      <w:rPr>
        <w:rFonts w:ascii="Symbol" w:hAnsi="Symbol" w:hint="default"/>
      </w:r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6" w15:restartNumberingAfterBreak="0">
    <w:nsid w:val="18DF6A71"/>
    <w:multiLevelType w:val="multilevel"/>
    <w:tmpl w:val="6B004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F16F75"/>
    <w:multiLevelType w:val="hybridMultilevel"/>
    <w:tmpl w:val="E1B0D60E"/>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FA23D91"/>
    <w:multiLevelType w:val="hybridMultilevel"/>
    <w:tmpl w:val="29A04C7E"/>
    <w:lvl w:ilvl="0" w:tplc="A31018B0">
      <w:start w:val="1"/>
      <w:numFmt w:val="decimal"/>
      <w:lvlText w:val="%1."/>
      <w:lvlJc w:val="left"/>
      <w:pPr>
        <w:tabs>
          <w:tab w:val="num" w:pos="357"/>
        </w:tabs>
      </w:pPr>
      <w:rPr>
        <w:rFonts w:cs="Times New Roman" w:hint="default"/>
      </w:rPr>
    </w:lvl>
    <w:lvl w:ilvl="1" w:tplc="4D263FF8">
      <w:start w:val="1"/>
      <w:numFmt w:val="bullet"/>
      <w:lvlText w:val=""/>
      <w:lvlJc w:val="left"/>
      <w:pPr>
        <w:tabs>
          <w:tab w:val="num" w:pos="1440"/>
        </w:tabs>
        <w:ind w:left="1440" w:hanging="360"/>
      </w:pPr>
      <w:rPr>
        <w:rFonts w:ascii="Wingdings" w:hAnsi="Wingdings"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FEE2A02"/>
    <w:multiLevelType w:val="multilevel"/>
    <w:tmpl w:val="3EE2E83E"/>
    <w:lvl w:ilvl="0">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1CD007E"/>
    <w:multiLevelType w:val="hybridMultilevel"/>
    <w:tmpl w:val="FC0C11C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1" w15:restartNumberingAfterBreak="0">
    <w:nsid w:val="22DF723B"/>
    <w:multiLevelType w:val="multilevel"/>
    <w:tmpl w:val="42ECDCCE"/>
    <w:lvl w:ilvl="0">
      <w:start w:val="1"/>
      <w:numFmt w:val="decimal"/>
      <w:lvlText w:val="%1."/>
      <w:lvlJc w:val="left"/>
      <w:pPr>
        <w:tabs>
          <w:tab w:val="num" w:pos="1047"/>
        </w:tabs>
        <w:ind w:left="1047" w:hanging="360"/>
      </w:pPr>
    </w:lvl>
    <w:lvl w:ilvl="1">
      <w:start w:val="1"/>
      <w:numFmt w:val="decimal"/>
      <w:lvlText w:val="%2."/>
      <w:lvlJc w:val="left"/>
      <w:pPr>
        <w:tabs>
          <w:tab w:val="num" w:pos="1767"/>
        </w:tabs>
        <w:ind w:left="1767" w:hanging="360"/>
      </w:pPr>
    </w:lvl>
    <w:lvl w:ilvl="2">
      <w:start w:val="1"/>
      <w:numFmt w:val="decimal"/>
      <w:lvlText w:val="%3."/>
      <w:lvlJc w:val="left"/>
      <w:pPr>
        <w:tabs>
          <w:tab w:val="num" w:pos="2487"/>
        </w:tabs>
        <w:ind w:left="2487" w:hanging="360"/>
      </w:pPr>
    </w:lvl>
    <w:lvl w:ilvl="3">
      <w:start w:val="1"/>
      <w:numFmt w:val="decimal"/>
      <w:lvlText w:val="%4."/>
      <w:lvlJc w:val="left"/>
      <w:pPr>
        <w:tabs>
          <w:tab w:val="num" w:pos="3207"/>
        </w:tabs>
        <w:ind w:left="3207" w:hanging="360"/>
      </w:pPr>
    </w:lvl>
    <w:lvl w:ilvl="4">
      <w:start w:val="1"/>
      <w:numFmt w:val="decimal"/>
      <w:lvlText w:val="%5."/>
      <w:lvlJc w:val="left"/>
      <w:pPr>
        <w:tabs>
          <w:tab w:val="num" w:pos="3927"/>
        </w:tabs>
        <w:ind w:left="3927" w:hanging="360"/>
      </w:pPr>
    </w:lvl>
    <w:lvl w:ilvl="5">
      <w:start w:val="1"/>
      <w:numFmt w:val="decimal"/>
      <w:lvlText w:val="%6."/>
      <w:lvlJc w:val="left"/>
      <w:pPr>
        <w:tabs>
          <w:tab w:val="num" w:pos="4647"/>
        </w:tabs>
        <w:ind w:left="4647" w:hanging="360"/>
      </w:pPr>
    </w:lvl>
    <w:lvl w:ilvl="6">
      <w:start w:val="1"/>
      <w:numFmt w:val="decimal"/>
      <w:lvlText w:val="%7."/>
      <w:lvlJc w:val="left"/>
      <w:pPr>
        <w:tabs>
          <w:tab w:val="num" w:pos="5367"/>
        </w:tabs>
        <w:ind w:left="5367" w:hanging="360"/>
      </w:pPr>
    </w:lvl>
    <w:lvl w:ilvl="7">
      <w:start w:val="1"/>
      <w:numFmt w:val="decimal"/>
      <w:lvlText w:val="%8."/>
      <w:lvlJc w:val="left"/>
      <w:pPr>
        <w:tabs>
          <w:tab w:val="num" w:pos="6087"/>
        </w:tabs>
        <w:ind w:left="6087" w:hanging="360"/>
      </w:pPr>
    </w:lvl>
    <w:lvl w:ilvl="8">
      <w:start w:val="1"/>
      <w:numFmt w:val="decimal"/>
      <w:lvlText w:val="%9."/>
      <w:lvlJc w:val="left"/>
      <w:pPr>
        <w:tabs>
          <w:tab w:val="num" w:pos="6807"/>
        </w:tabs>
        <w:ind w:left="6807" w:hanging="360"/>
      </w:pPr>
    </w:lvl>
  </w:abstractNum>
  <w:abstractNum w:abstractNumId="12" w15:restartNumberingAfterBreak="0">
    <w:nsid w:val="25DD403E"/>
    <w:multiLevelType w:val="hybridMultilevel"/>
    <w:tmpl w:val="CEF888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4905C7"/>
    <w:multiLevelType w:val="hybridMultilevel"/>
    <w:tmpl w:val="12FA64F4"/>
    <w:lvl w:ilvl="0" w:tplc="8BCA5DC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15:restartNumberingAfterBreak="0">
    <w:nsid w:val="279D6C8D"/>
    <w:multiLevelType w:val="hybridMultilevel"/>
    <w:tmpl w:val="DD34BEF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ADC0029"/>
    <w:multiLevelType w:val="hybridMultilevel"/>
    <w:tmpl w:val="CEF888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E16370C"/>
    <w:multiLevelType w:val="hybridMultilevel"/>
    <w:tmpl w:val="07D4CB82"/>
    <w:lvl w:ilvl="0" w:tplc="04150011">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17" w15:restartNumberingAfterBreak="0">
    <w:nsid w:val="30FA11EE"/>
    <w:multiLevelType w:val="hybridMultilevel"/>
    <w:tmpl w:val="F30A6E54"/>
    <w:lvl w:ilvl="0" w:tplc="328EE8E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8" w15:restartNumberingAfterBreak="0">
    <w:nsid w:val="392A41E7"/>
    <w:multiLevelType w:val="hybridMultilevel"/>
    <w:tmpl w:val="E1B0D60E"/>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9634336"/>
    <w:multiLevelType w:val="hybridMultilevel"/>
    <w:tmpl w:val="E1B0D60E"/>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97A3ED7"/>
    <w:multiLevelType w:val="hybridMultilevel"/>
    <w:tmpl w:val="814259F6"/>
    <w:lvl w:ilvl="0" w:tplc="FE581D9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9B50BA9"/>
    <w:multiLevelType w:val="hybridMultilevel"/>
    <w:tmpl w:val="256A9BE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A8B1EDD"/>
    <w:multiLevelType w:val="hybridMultilevel"/>
    <w:tmpl w:val="95FA285E"/>
    <w:lvl w:ilvl="0" w:tplc="0415000F">
      <w:start w:val="1"/>
      <w:numFmt w:val="decimal"/>
      <w:lvlText w:val="%1."/>
      <w:lvlJc w:val="left"/>
      <w:pPr>
        <w:tabs>
          <w:tab w:val="num" w:pos="1047"/>
        </w:tabs>
        <w:ind w:left="1047" w:hanging="360"/>
      </w:pPr>
    </w:lvl>
    <w:lvl w:ilvl="1" w:tplc="04150019" w:tentative="1">
      <w:start w:val="1"/>
      <w:numFmt w:val="lowerLetter"/>
      <w:lvlText w:val="%2."/>
      <w:lvlJc w:val="left"/>
      <w:pPr>
        <w:tabs>
          <w:tab w:val="num" w:pos="1767"/>
        </w:tabs>
        <w:ind w:left="1767" w:hanging="360"/>
      </w:pPr>
    </w:lvl>
    <w:lvl w:ilvl="2" w:tplc="0415001B" w:tentative="1">
      <w:start w:val="1"/>
      <w:numFmt w:val="lowerRoman"/>
      <w:lvlText w:val="%3."/>
      <w:lvlJc w:val="right"/>
      <w:pPr>
        <w:tabs>
          <w:tab w:val="num" w:pos="2487"/>
        </w:tabs>
        <w:ind w:left="2487" w:hanging="180"/>
      </w:pPr>
    </w:lvl>
    <w:lvl w:ilvl="3" w:tplc="0415000F" w:tentative="1">
      <w:start w:val="1"/>
      <w:numFmt w:val="decimal"/>
      <w:lvlText w:val="%4."/>
      <w:lvlJc w:val="left"/>
      <w:pPr>
        <w:tabs>
          <w:tab w:val="num" w:pos="3207"/>
        </w:tabs>
        <w:ind w:left="3207" w:hanging="360"/>
      </w:pPr>
    </w:lvl>
    <w:lvl w:ilvl="4" w:tplc="04150019" w:tentative="1">
      <w:start w:val="1"/>
      <w:numFmt w:val="lowerLetter"/>
      <w:lvlText w:val="%5."/>
      <w:lvlJc w:val="left"/>
      <w:pPr>
        <w:tabs>
          <w:tab w:val="num" w:pos="3927"/>
        </w:tabs>
        <w:ind w:left="3927" w:hanging="360"/>
      </w:pPr>
    </w:lvl>
    <w:lvl w:ilvl="5" w:tplc="0415001B" w:tentative="1">
      <w:start w:val="1"/>
      <w:numFmt w:val="lowerRoman"/>
      <w:lvlText w:val="%6."/>
      <w:lvlJc w:val="right"/>
      <w:pPr>
        <w:tabs>
          <w:tab w:val="num" w:pos="4647"/>
        </w:tabs>
        <w:ind w:left="4647" w:hanging="180"/>
      </w:pPr>
    </w:lvl>
    <w:lvl w:ilvl="6" w:tplc="0415000F" w:tentative="1">
      <w:start w:val="1"/>
      <w:numFmt w:val="decimal"/>
      <w:lvlText w:val="%7."/>
      <w:lvlJc w:val="left"/>
      <w:pPr>
        <w:tabs>
          <w:tab w:val="num" w:pos="5367"/>
        </w:tabs>
        <w:ind w:left="5367" w:hanging="360"/>
      </w:pPr>
    </w:lvl>
    <w:lvl w:ilvl="7" w:tplc="04150019" w:tentative="1">
      <w:start w:val="1"/>
      <w:numFmt w:val="lowerLetter"/>
      <w:lvlText w:val="%8."/>
      <w:lvlJc w:val="left"/>
      <w:pPr>
        <w:tabs>
          <w:tab w:val="num" w:pos="6087"/>
        </w:tabs>
        <w:ind w:left="6087" w:hanging="360"/>
      </w:pPr>
    </w:lvl>
    <w:lvl w:ilvl="8" w:tplc="0415001B" w:tentative="1">
      <w:start w:val="1"/>
      <w:numFmt w:val="lowerRoman"/>
      <w:lvlText w:val="%9."/>
      <w:lvlJc w:val="right"/>
      <w:pPr>
        <w:tabs>
          <w:tab w:val="num" w:pos="6807"/>
        </w:tabs>
        <w:ind w:left="6807" w:hanging="180"/>
      </w:pPr>
    </w:lvl>
  </w:abstractNum>
  <w:abstractNum w:abstractNumId="23" w15:restartNumberingAfterBreak="0">
    <w:nsid w:val="3B65511A"/>
    <w:multiLevelType w:val="hybridMultilevel"/>
    <w:tmpl w:val="4CAA9CB6"/>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4" w15:restartNumberingAfterBreak="0">
    <w:nsid w:val="3C9A13E3"/>
    <w:multiLevelType w:val="hybridMultilevel"/>
    <w:tmpl w:val="6602DA90"/>
    <w:lvl w:ilvl="0" w:tplc="04150011">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6E5730E"/>
    <w:multiLevelType w:val="hybridMultilevel"/>
    <w:tmpl w:val="3C782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49BE361A"/>
    <w:multiLevelType w:val="hybridMultilevel"/>
    <w:tmpl w:val="3AE85FAA"/>
    <w:lvl w:ilvl="0" w:tplc="04150011">
      <w:start w:val="1"/>
      <w:numFmt w:val="decimal"/>
      <w:lvlText w:val="%1)"/>
      <w:lvlJc w:val="left"/>
      <w:pPr>
        <w:tabs>
          <w:tab w:val="num" w:pos="1047"/>
        </w:tabs>
        <w:ind w:left="1047" w:hanging="360"/>
      </w:pPr>
    </w:lvl>
    <w:lvl w:ilvl="1" w:tplc="04150019">
      <w:start w:val="1"/>
      <w:numFmt w:val="decimal"/>
      <w:lvlText w:val="%2."/>
      <w:lvlJc w:val="left"/>
      <w:pPr>
        <w:tabs>
          <w:tab w:val="num" w:pos="1767"/>
        </w:tabs>
        <w:ind w:left="1767" w:hanging="360"/>
      </w:pPr>
    </w:lvl>
    <w:lvl w:ilvl="2" w:tplc="0415001B">
      <w:start w:val="1"/>
      <w:numFmt w:val="decimal"/>
      <w:lvlText w:val="%3."/>
      <w:lvlJc w:val="left"/>
      <w:pPr>
        <w:tabs>
          <w:tab w:val="num" w:pos="2487"/>
        </w:tabs>
        <w:ind w:left="2487" w:hanging="360"/>
      </w:pPr>
    </w:lvl>
    <w:lvl w:ilvl="3" w:tplc="0415000F">
      <w:start w:val="1"/>
      <w:numFmt w:val="decimal"/>
      <w:lvlText w:val="%4."/>
      <w:lvlJc w:val="left"/>
      <w:pPr>
        <w:tabs>
          <w:tab w:val="num" w:pos="3207"/>
        </w:tabs>
        <w:ind w:left="3207" w:hanging="360"/>
      </w:pPr>
    </w:lvl>
    <w:lvl w:ilvl="4" w:tplc="04150019">
      <w:start w:val="1"/>
      <w:numFmt w:val="decimal"/>
      <w:lvlText w:val="%5."/>
      <w:lvlJc w:val="left"/>
      <w:pPr>
        <w:tabs>
          <w:tab w:val="num" w:pos="3927"/>
        </w:tabs>
        <w:ind w:left="3927" w:hanging="360"/>
      </w:pPr>
    </w:lvl>
    <w:lvl w:ilvl="5" w:tplc="0415001B">
      <w:start w:val="1"/>
      <w:numFmt w:val="decimal"/>
      <w:lvlText w:val="%6."/>
      <w:lvlJc w:val="left"/>
      <w:pPr>
        <w:tabs>
          <w:tab w:val="num" w:pos="4647"/>
        </w:tabs>
        <w:ind w:left="4647" w:hanging="360"/>
      </w:pPr>
    </w:lvl>
    <w:lvl w:ilvl="6" w:tplc="0415000F">
      <w:start w:val="1"/>
      <w:numFmt w:val="decimal"/>
      <w:lvlText w:val="%7."/>
      <w:lvlJc w:val="left"/>
      <w:pPr>
        <w:tabs>
          <w:tab w:val="num" w:pos="5367"/>
        </w:tabs>
        <w:ind w:left="5367" w:hanging="360"/>
      </w:pPr>
    </w:lvl>
    <w:lvl w:ilvl="7" w:tplc="04150019">
      <w:start w:val="1"/>
      <w:numFmt w:val="decimal"/>
      <w:lvlText w:val="%8."/>
      <w:lvlJc w:val="left"/>
      <w:pPr>
        <w:tabs>
          <w:tab w:val="num" w:pos="6087"/>
        </w:tabs>
        <w:ind w:left="6087" w:hanging="360"/>
      </w:pPr>
    </w:lvl>
    <w:lvl w:ilvl="8" w:tplc="0415001B">
      <w:start w:val="1"/>
      <w:numFmt w:val="decimal"/>
      <w:lvlText w:val="%9."/>
      <w:lvlJc w:val="left"/>
      <w:pPr>
        <w:tabs>
          <w:tab w:val="num" w:pos="6807"/>
        </w:tabs>
        <w:ind w:left="6807" w:hanging="360"/>
      </w:pPr>
    </w:lvl>
  </w:abstractNum>
  <w:abstractNum w:abstractNumId="27" w15:restartNumberingAfterBreak="0">
    <w:nsid w:val="4F523CF8"/>
    <w:multiLevelType w:val="hybridMultilevel"/>
    <w:tmpl w:val="635ACB72"/>
    <w:lvl w:ilvl="0" w:tplc="04150001">
      <w:start w:val="1"/>
      <w:numFmt w:val="bullet"/>
      <w:lvlText w:val=""/>
      <w:lvlJc w:val="left"/>
      <w:pPr>
        <w:ind w:left="530" w:hanging="360"/>
      </w:pPr>
      <w:rPr>
        <w:rFonts w:ascii="Symbol" w:hAnsi="Symbol" w:hint="default"/>
      </w:rPr>
    </w:lvl>
    <w:lvl w:ilvl="1" w:tplc="04150003" w:tentative="1">
      <w:start w:val="1"/>
      <w:numFmt w:val="bullet"/>
      <w:lvlText w:val="o"/>
      <w:lvlJc w:val="left"/>
      <w:pPr>
        <w:ind w:left="1250" w:hanging="360"/>
      </w:pPr>
      <w:rPr>
        <w:rFonts w:ascii="Courier New" w:hAnsi="Courier New" w:cs="Courier New" w:hint="default"/>
      </w:rPr>
    </w:lvl>
    <w:lvl w:ilvl="2" w:tplc="04150005" w:tentative="1">
      <w:start w:val="1"/>
      <w:numFmt w:val="bullet"/>
      <w:lvlText w:val=""/>
      <w:lvlJc w:val="left"/>
      <w:pPr>
        <w:ind w:left="1970" w:hanging="360"/>
      </w:pPr>
      <w:rPr>
        <w:rFonts w:ascii="Wingdings" w:hAnsi="Wingdings" w:hint="default"/>
      </w:rPr>
    </w:lvl>
    <w:lvl w:ilvl="3" w:tplc="04150001" w:tentative="1">
      <w:start w:val="1"/>
      <w:numFmt w:val="bullet"/>
      <w:lvlText w:val=""/>
      <w:lvlJc w:val="left"/>
      <w:pPr>
        <w:ind w:left="2690" w:hanging="360"/>
      </w:pPr>
      <w:rPr>
        <w:rFonts w:ascii="Symbol" w:hAnsi="Symbol" w:hint="default"/>
      </w:rPr>
    </w:lvl>
    <w:lvl w:ilvl="4" w:tplc="04150003" w:tentative="1">
      <w:start w:val="1"/>
      <w:numFmt w:val="bullet"/>
      <w:lvlText w:val="o"/>
      <w:lvlJc w:val="left"/>
      <w:pPr>
        <w:ind w:left="3410" w:hanging="360"/>
      </w:pPr>
      <w:rPr>
        <w:rFonts w:ascii="Courier New" w:hAnsi="Courier New" w:cs="Courier New" w:hint="default"/>
      </w:rPr>
    </w:lvl>
    <w:lvl w:ilvl="5" w:tplc="04150005" w:tentative="1">
      <w:start w:val="1"/>
      <w:numFmt w:val="bullet"/>
      <w:lvlText w:val=""/>
      <w:lvlJc w:val="left"/>
      <w:pPr>
        <w:ind w:left="4130" w:hanging="360"/>
      </w:pPr>
      <w:rPr>
        <w:rFonts w:ascii="Wingdings" w:hAnsi="Wingdings" w:hint="default"/>
      </w:rPr>
    </w:lvl>
    <w:lvl w:ilvl="6" w:tplc="04150001" w:tentative="1">
      <w:start w:val="1"/>
      <w:numFmt w:val="bullet"/>
      <w:lvlText w:val=""/>
      <w:lvlJc w:val="left"/>
      <w:pPr>
        <w:ind w:left="4850" w:hanging="360"/>
      </w:pPr>
      <w:rPr>
        <w:rFonts w:ascii="Symbol" w:hAnsi="Symbol" w:hint="default"/>
      </w:rPr>
    </w:lvl>
    <w:lvl w:ilvl="7" w:tplc="04150003" w:tentative="1">
      <w:start w:val="1"/>
      <w:numFmt w:val="bullet"/>
      <w:lvlText w:val="o"/>
      <w:lvlJc w:val="left"/>
      <w:pPr>
        <w:ind w:left="5570" w:hanging="360"/>
      </w:pPr>
      <w:rPr>
        <w:rFonts w:ascii="Courier New" w:hAnsi="Courier New" w:cs="Courier New" w:hint="default"/>
      </w:rPr>
    </w:lvl>
    <w:lvl w:ilvl="8" w:tplc="04150005" w:tentative="1">
      <w:start w:val="1"/>
      <w:numFmt w:val="bullet"/>
      <w:lvlText w:val=""/>
      <w:lvlJc w:val="left"/>
      <w:pPr>
        <w:ind w:left="6290" w:hanging="360"/>
      </w:pPr>
      <w:rPr>
        <w:rFonts w:ascii="Wingdings" w:hAnsi="Wingdings" w:hint="default"/>
      </w:rPr>
    </w:lvl>
  </w:abstractNum>
  <w:abstractNum w:abstractNumId="28" w15:restartNumberingAfterBreak="0">
    <w:nsid w:val="51461DEA"/>
    <w:multiLevelType w:val="hybridMultilevel"/>
    <w:tmpl w:val="80049DC2"/>
    <w:lvl w:ilvl="0" w:tplc="C79E83AC">
      <w:start w:val="1"/>
      <w:numFmt w:val="bullet"/>
      <w:lvlText w:val=""/>
      <w:lvlJc w:val="left"/>
      <w:pPr>
        <w:tabs>
          <w:tab w:val="num" w:pos="1077"/>
        </w:tabs>
        <w:ind w:left="1077" w:hanging="360"/>
      </w:pPr>
      <w:rPr>
        <w:rFonts w:ascii="Symbol" w:hAnsi="Symbol" w:hint="default"/>
      </w:rPr>
    </w:lvl>
    <w:lvl w:ilvl="1" w:tplc="04150003" w:tentative="1">
      <w:start w:val="1"/>
      <w:numFmt w:val="bullet"/>
      <w:lvlText w:val="o"/>
      <w:lvlJc w:val="left"/>
      <w:pPr>
        <w:tabs>
          <w:tab w:val="num" w:pos="1797"/>
        </w:tabs>
        <w:ind w:left="1797" w:hanging="360"/>
      </w:pPr>
      <w:rPr>
        <w:rFonts w:ascii="Courier New" w:hAnsi="Courier New" w:cs="Courier New" w:hint="default"/>
      </w:rPr>
    </w:lvl>
    <w:lvl w:ilvl="2" w:tplc="04150005" w:tentative="1">
      <w:start w:val="1"/>
      <w:numFmt w:val="bullet"/>
      <w:lvlText w:val=""/>
      <w:lvlJc w:val="left"/>
      <w:pPr>
        <w:tabs>
          <w:tab w:val="num" w:pos="2517"/>
        </w:tabs>
        <w:ind w:left="2517" w:hanging="360"/>
      </w:pPr>
      <w:rPr>
        <w:rFonts w:ascii="Wingdings" w:hAnsi="Wingdings" w:hint="default"/>
      </w:rPr>
    </w:lvl>
    <w:lvl w:ilvl="3" w:tplc="04150001" w:tentative="1">
      <w:start w:val="1"/>
      <w:numFmt w:val="bullet"/>
      <w:lvlText w:val=""/>
      <w:lvlJc w:val="left"/>
      <w:pPr>
        <w:tabs>
          <w:tab w:val="num" w:pos="3237"/>
        </w:tabs>
        <w:ind w:left="3237" w:hanging="360"/>
      </w:pPr>
      <w:rPr>
        <w:rFonts w:ascii="Symbol" w:hAnsi="Symbol" w:hint="default"/>
      </w:rPr>
    </w:lvl>
    <w:lvl w:ilvl="4" w:tplc="04150003" w:tentative="1">
      <w:start w:val="1"/>
      <w:numFmt w:val="bullet"/>
      <w:lvlText w:val="o"/>
      <w:lvlJc w:val="left"/>
      <w:pPr>
        <w:tabs>
          <w:tab w:val="num" w:pos="3957"/>
        </w:tabs>
        <w:ind w:left="3957" w:hanging="360"/>
      </w:pPr>
      <w:rPr>
        <w:rFonts w:ascii="Courier New" w:hAnsi="Courier New" w:cs="Courier New" w:hint="default"/>
      </w:rPr>
    </w:lvl>
    <w:lvl w:ilvl="5" w:tplc="04150005" w:tentative="1">
      <w:start w:val="1"/>
      <w:numFmt w:val="bullet"/>
      <w:lvlText w:val=""/>
      <w:lvlJc w:val="left"/>
      <w:pPr>
        <w:tabs>
          <w:tab w:val="num" w:pos="4677"/>
        </w:tabs>
        <w:ind w:left="4677" w:hanging="360"/>
      </w:pPr>
      <w:rPr>
        <w:rFonts w:ascii="Wingdings" w:hAnsi="Wingdings" w:hint="default"/>
      </w:rPr>
    </w:lvl>
    <w:lvl w:ilvl="6" w:tplc="04150001" w:tentative="1">
      <w:start w:val="1"/>
      <w:numFmt w:val="bullet"/>
      <w:lvlText w:val=""/>
      <w:lvlJc w:val="left"/>
      <w:pPr>
        <w:tabs>
          <w:tab w:val="num" w:pos="5397"/>
        </w:tabs>
        <w:ind w:left="5397" w:hanging="360"/>
      </w:pPr>
      <w:rPr>
        <w:rFonts w:ascii="Symbol" w:hAnsi="Symbol" w:hint="default"/>
      </w:rPr>
    </w:lvl>
    <w:lvl w:ilvl="7" w:tplc="04150003" w:tentative="1">
      <w:start w:val="1"/>
      <w:numFmt w:val="bullet"/>
      <w:lvlText w:val="o"/>
      <w:lvlJc w:val="left"/>
      <w:pPr>
        <w:tabs>
          <w:tab w:val="num" w:pos="6117"/>
        </w:tabs>
        <w:ind w:left="6117" w:hanging="360"/>
      </w:pPr>
      <w:rPr>
        <w:rFonts w:ascii="Courier New" w:hAnsi="Courier New" w:cs="Courier New" w:hint="default"/>
      </w:rPr>
    </w:lvl>
    <w:lvl w:ilvl="8" w:tplc="04150005" w:tentative="1">
      <w:start w:val="1"/>
      <w:numFmt w:val="bullet"/>
      <w:lvlText w:val=""/>
      <w:lvlJc w:val="left"/>
      <w:pPr>
        <w:tabs>
          <w:tab w:val="num" w:pos="6837"/>
        </w:tabs>
        <w:ind w:left="6837" w:hanging="360"/>
      </w:pPr>
      <w:rPr>
        <w:rFonts w:ascii="Wingdings" w:hAnsi="Wingdings" w:hint="default"/>
      </w:rPr>
    </w:lvl>
  </w:abstractNum>
  <w:abstractNum w:abstractNumId="29" w15:restartNumberingAfterBreak="0">
    <w:nsid w:val="52FD0168"/>
    <w:multiLevelType w:val="hybridMultilevel"/>
    <w:tmpl w:val="CA4C5876"/>
    <w:lvl w:ilvl="0" w:tplc="0E924308">
      <w:start w:val="1"/>
      <w:numFmt w:val="decimal"/>
      <w:lvlText w:val="%1)"/>
      <w:lvlJc w:val="left"/>
      <w:pPr>
        <w:ind w:left="720" w:hanging="360"/>
      </w:pPr>
    </w:lvl>
    <w:lvl w:ilvl="1" w:tplc="F58C8BAE">
      <w:start w:val="1"/>
      <w:numFmt w:val="lowerLetter"/>
      <w:lvlText w:val="%2."/>
      <w:lvlJc w:val="left"/>
      <w:pPr>
        <w:ind w:left="1440" w:hanging="360"/>
      </w:pPr>
    </w:lvl>
    <w:lvl w:ilvl="2" w:tplc="130284E0">
      <w:start w:val="1"/>
      <w:numFmt w:val="lowerRoman"/>
      <w:lvlText w:val="%3."/>
      <w:lvlJc w:val="right"/>
      <w:pPr>
        <w:ind w:left="2160" w:hanging="180"/>
      </w:pPr>
    </w:lvl>
    <w:lvl w:ilvl="3" w:tplc="09346058">
      <w:start w:val="1"/>
      <w:numFmt w:val="decimal"/>
      <w:lvlText w:val="%4."/>
      <w:lvlJc w:val="left"/>
      <w:pPr>
        <w:ind w:left="2880" w:hanging="360"/>
      </w:pPr>
    </w:lvl>
    <w:lvl w:ilvl="4" w:tplc="99E221AA">
      <w:start w:val="1"/>
      <w:numFmt w:val="lowerLetter"/>
      <w:lvlText w:val="%5."/>
      <w:lvlJc w:val="left"/>
      <w:pPr>
        <w:ind w:left="3600" w:hanging="360"/>
      </w:pPr>
    </w:lvl>
    <w:lvl w:ilvl="5" w:tplc="BA4CA3AC">
      <w:start w:val="1"/>
      <w:numFmt w:val="lowerRoman"/>
      <w:lvlText w:val="%6."/>
      <w:lvlJc w:val="right"/>
      <w:pPr>
        <w:ind w:left="4320" w:hanging="180"/>
      </w:pPr>
    </w:lvl>
    <w:lvl w:ilvl="6" w:tplc="69764C8A">
      <w:start w:val="1"/>
      <w:numFmt w:val="decimal"/>
      <w:lvlText w:val="%7."/>
      <w:lvlJc w:val="left"/>
      <w:pPr>
        <w:ind w:left="5040" w:hanging="360"/>
      </w:pPr>
    </w:lvl>
    <w:lvl w:ilvl="7" w:tplc="C56447D6">
      <w:start w:val="1"/>
      <w:numFmt w:val="lowerLetter"/>
      <w:lvlText w:val="%8."/>
      <w:lvlJc w:val="left"/>
      <w:pPr>
        <w:ind w:left="5760" w:hanging="360"/>
      </w:pPr>
    </w:lvl>
    <w:lvl w:ilvl="8" w:tplc="690C7E26">
      <w:start w:val="1"/>
      <w:numFmt w:val="lowerRoman"/>
      <w:lvlText w:val="%9."/>
      <w:lvlJc w:val="right"/>
      <w:pPr>
        <w:ind w:left="6480" w:hanging="180"/>
      </w:pPr>
    </w:lvl>
  </w:abstractNum>
  <w:abstractNum w:abstractNumId="30" w15:restartNumberingAfterBreak="0">
    <w:nsid w:val="59863083"/>
    <w:multiLevelType w:val="hybridMultilevel"/>
    <w:tmpl w:val="B28ADCD0"/>
    <w:lvl w:ilvl="0" w:tplc="69624922">
      <w:start w:val="1"/>
      <w:numFmt w:val="bullet"/>
      <w:lvlText w:val=""/>
      <w:lvlJc w:val="left"/>
      <w:pPr>
        <w:tabs>
          <w:tab w:val="num" w:pos="780"/>
        </w:tabs>
        <w:ind w:left="780" w:hanging="360"/>
      </w:pPr>
      <w:rPr>
        <w:rFonts w:ascii="Symbol" w:hAnsi="Symbol" w:hint="default"/>
      </w:rPr>
    </w:lvl>
    <w:lvl w:ilvl="1" w:tplc="04150003" w:tentative="1">
      <w:start w:val="1"/>
      <w:numFmt w:val="bullet"/>
      <w:lvlText w:val="o"/>
      <w:lvlJc w:val="left"/>
      <w:pPr>
        <w:tabs>
          <w:tab w:val="num" w:pos="1500"/>
        </w:tabs>
        <w:ind w:left="1500" w:hanging="360"/>
      </w:pPr>
      <w:rPr>
        <w:rFonts w:ascii="Courier New" w:hAnsi="Courier New" w:cs="Courier New" w:hint="default"/>
      </w:rPr>
    </w:lvl>
    <w:lvl w:ilvl="2" w:tplc="04150005" w:tentative="1">
      <w:start w:val="1"/>
      <w:numFmt w:val="bullet"/>
      <w:lvlText w:val=""/>
      <w:lvlJc w:val="left"/>
      <w:pPr>
        <w:tabs>
          <w:tab w:val="num" w:pos="2220"/>
        </w:tabs>
        <w:ind w:left="2220" w:hanging="360"/>
      </w:pPr>
      <w:rPr>
        <w:rFonts w:ascii="Wingdings" w:hAnsi="Wingdings" w:hint="default"/>
      </w:rPr>
    </w:lvl>
    <w:lvl w:ilvl="3" w:tplc="04150001" w:tentative="1">
      <w:start w:val="1"/>
      <w:numFmt w:val="bullet"/>
      <w:lvlText w:val=""/>
      <w:lvlJc w:val="left"/>
      <w:pPr>
        <w:tabs>
          <w:tab w:val="num" w:pos="2940"/>
        </w:tabs>
        <w:ind w:left="2940" w:hanging="360"/>
      </w:pPr>
      <w:rPr>
        <w:rFonts w:ascii="Symbol" w:hAnsi="Symbol" w:hint="default"/>
      </w:rPr>
    </w:lvl>
    <w:lvl w:ilvl="4" w:tplc="04150003" w:tentative="1">
      <w:start w:val="1"/>
      <w:numFmt w:val="bullet"/>
      <w:lvlText w:val="o"/>
      <w:lvlJc w:val="left"/>
      <w:pPr>
        <w:tabs>
          <w:tab w:val="num" w:pos="3660"/>
        </w:tabs>
        <w:ind w:left="3660" w:hanging="360"/>
      </w:pPr>
      <w:rPr>
        <w:rFonts w:ascii="Courier New" w:hAnsi="Courier New" w:cs="Courier New" w:hint="default"/>
      </w:rPr>
    </w:lvl>
    <w:lvl w:ilvl="5" w:tplc="04150005" w:tentative="1">
      <w:start w:val="1"/>
      <w:numFmt w:val="bullet"/>
      <w:lvlText w:val=""/>
      <w:lvlJc w:val="left"/>
      <w:pPr>
        <w:tabs>
          <w:tab w:val="num" w:pos="4380"/>
        </w:tabs>
        <w:ind w:left="4380" w:hanging="360"/>
      </w:pPr>
      <w:rPr>
        <w:rFonts w:ascii="Wingdings" w:hAnsi="Wingdings" w:hint="default"/>
      </w:rPr>
    </w:lvl>
    <w:lvl w:ilvl="6" w:tplc="04150001" w:tentative="1">
      <w:start w:val="1"/>
      <w:numFmt w:val="bullet"/>
      <w:lvlText w:val=""/>
      <w:lvlJc w:val="left"/>
      <w:pPr>
        <w:tabs>
          <w:tab w:val="num" w:pos="5100"/>
        </w:tabs>
        <w:ind w:left="5100" w:hanging="360"/>
      </w:pPr>
      <w:rPr>
        <w:rFonts w:ascii="Symbol" w:hAnsi="Symbol" w:hint="default"/>
      </w:rPr>
    </w:lvl>
    <w:lvl w:ilvl="7" w:tplc="04150003" w:tentative="1">
      <w:start w:val="1"/>
      <w:numFmt w:val="bullet"/>
      <w:lvlText w:val="o"/>
      <w:lvlJc w:val="left"/>
      <w:pPr>
        <w:tabs>
          <w:tab w:val="num" w:pos="5820"/>
        </w:tabs>
        <w:ind w:left="5820" w:hanging="360"/>
      </w:pPr>
      <w:rPr>
        <w:rFonts w:ascii="Courier New" w:hAnsi="Courier New" w:cs="Courier New" w:hint="default"/>
      </w:rPr>
    </w:lvl>
    <w:lvl w:ilvl="8" w:tplc="04150005" w:tentative="1">
      <w:start w:val="1"/>
      <w:numFmt w:val="bullet"/>
      <w:lvlText w:val=""/>
      <w:lvlJc w:val="left"/>
      <w:pPr>
        <w:tabs>
          <w:tab w:val="num" w:pos="6540"/>
        </w:tabs>
        <w:ind w:left="6540" w:hanging="360"/>
      </w:pPr>
      <w:rPr>
        <w:rFonts w:ascii="Wingdings" w:hAnsi="Wingdings" w:hint="default"/>
      </w:rPr>
    </w:lvl>
  </w:abstractNum>
  <w:abstractNum w:abstractNumId="31" w15:restartNumberingAfterBreak="0">
    <w:nsid w:val="5DBB20EB"/>
    <w:multiLevelType w:val="hybridMultilevel"/>
    <w:tmpl w:val="10E6B354"/>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60417BAC"/>
    <w:multiLevelType w:val="hybridMultilevel"/>
    <w:tmpl w:val="7ACED012"/>
    <w:lvl w:ilvl="0" w:tplc="69624922">
      <w:start w:val="1"/>
      <w:numFmt w:val="bullet"/>
      <w:lvlText w:val=""/>
      <w:lvlJc w:val="left"/>
      <w:pPr>
        <w:tabs>
          <w:tab w:val="num" w:pos="1140"/>
        </w:tabs>
        <w:ind w:left="1140" w:hanging="360"/>
      </w:pPr>
      <w:rPr>
        <w:rFonts w:ascii="Symbol" w:hAnsi="Symbol" w:hint="default"/>
      </w:rPr>
    </w:lvl>
    <w:lvl w:ilvl="1" w:tplc="04150003" w:tentative="1">
      <w:start w:val="1"/>
      <w:numFmt w:val="bullet"/>
      <w:lvlText w:val="o"/>
      <w:lvlJc w:val="left"/>
      <w:pPr>
        <w:tabs>
          <w:tab w:val="num" w:pos="1860"/>
        </w:tabs>
        <w:ind w:left="1860" w:hanging="360"/>
      </w:pPr>
      <w:rPr>
        <w:rFonts w:ascii="Courier New" w:hAnsi="Courier New" w:cs="Courier New" w:hint="default"/>
      </w:rPr>
    </w:lvl>
    <w:lvl w:ilvl="2" w:tplc="04150005" w:tentative="1">
      <w:start w:val="1"/>
      <w:numFmt w:val="bullet"/>
      <w:lvlText w:val=""/>
      <w:lvlJc w:val="left"/>
      <w:pPr>
        <w:tabs>
          <w:tab w:val="num" w:pos="2580"/>
        </w:tabs>
        <w:ind w:left="2580" w:hanging="360"/>
      </w:pPr>
      <w:rPr>
        <w:rFonts w:ascii="Wingdings" w:hAnsi="Wingdings" w:hint="default"/>
      </w:rPr>
    </w:lvl>
    <w:lvl w:ilvl="3" w:tplc="04150001" w:tentative="1">
      <w:start w:val="1"/>
      <w:numFmt w:val="bullet"/>
      <w:lvlText w:val=""/>
      <w:lvlJc w:val="left"/>
      <w:pPr>
        <w:tabs>
          <w:tab w:val="num" w:pos="3300"/>
        </w:tabs>
        <w:ind w:left="3300" w:hanging="360"/>
      </w:pPr>
      <w:rPr>
        <w:rFonts w:ascii="Symbol" w:hAnsi="Symbol" w:hint="default"/>
      </w:rPr>
    </w:lvl>
    <w:lvl w:ilvl="4" w:tplc="04150003" w:tentative="1">
      <w:start w:val="1"/>
      <w:numFmt w:val="bullet"/>
      <w:lvlText w:val="o"/>
      <w:lvlJc w:val="left"/>
      <w:pPr>
        <w:tabs>
          <w:tab w:val="num" w:pos="4020"/>
        </w:tabs>
        <w:ind w:left="4020" w:hanging="360"/>
      </w:pPr>
      <w:rPr>
        <w:rFonts w:ascii="Courier New" w:hAnsi="Courier New" w:cs="Courier New" w:hint="default"/>
      </w:rPr>
    </w:lvl>
    <w:lvl w:ilvl="5" w:tplc="04150005" w:tentative="1">
      <w:start w:val="1"/>
      <w:numFmt w:val="bullet"/>
      <w:lvlText w:val=""/>
      <w:lvlJc w:val="left"/>
      <w:pPr>
        <w:tabs>
          <w:tab w:val="num" w:pos="4740"/>
        </w:tabs>
        <w:ind w:left="4740" w:hanging="360"/>
      </w:pPr>
      <w:rPr>
        <w:rFonts w:ascii="Wingdings" w:hAnsi="Wingdings" w:hint="default"/>
      </w:rPr>
    </w:lvl>
    <w:lvl w:ilvl="6" w:tplc="04150001" w:tentative="1">
      <w:start w:val="1"/>
      <w:numFmt w:val="bullet"/>
      <w:lvlText w:val=""/>
      <w:lvlJc w:val="left"/>
      <w:pPr>
        <w:tabs>
          <w:tab w:val="num" w:pos="5460"/>
        </w:tabs>
        <w:ind w:left="5460" w:hanging="360"/>
      </w:pPr>
      <w:rPr>
        <w:rFonts w:ascii="Symbol" w:hAnsi="Symbol" w:hint="default"/>
      </w:rPr>
    </w:lvl>
    <w:lvl w:ilvl="7" w:tplc="04150003" w:tentative="1">
      <w:start w:val="1"/>
      <w:numFmt w:val="bullet"/>
      <w:lvlText w:val="o"/>
      <w:lvlJc w:val="left"/>
      <w:pPr>
        <w:tabs>
          <w:tab w:val="num" w:pos="6180"/>
        </w:tabs>
        <w:ind w:left="6180" w:hanging="360"/>
      </w:pPr>
      <w:rPr>
        <w:rFonts w:ascii="Courier New" w:hAnsi="Courier New" w:cs="Courier New" w:hint="default"/>
      </w:rPr>
    </w:lvl>
    <w:lvl w:ilvl="8" w:tplc="04150005" w:tentative="1">
      <w:start w:val="1"/>
      <w:numFmt w:val="bullet"/>
      <w:lvlText w:val=""/>
      <w:lvlJc w:val="left"/>
      <w:pPr>
        <w:tabs>
          <w:tab w:val="num" w:pos="6900"/>
        </w:tabs>
        <w:ind w:left="6900" w:hanging="360"/>
      </w:pPr>
      <w:rPr>
        <w:rFonts w:ascii="Wingdings" w:hAnsi="Wingdings" w:hint="default"/>
      </w:rPr>
    </w:lvl>
  </w:abstractNum>
  <w:abstractNum w:abstractNumId="33" w15:restartNumberingAfterBreak="0">
    <w:nsid w:val="61677F06"/>
    <w:multiLevelType w:val="hybridMultilevel"/>
    <w:tmpl w:val="D4E878F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 w15:restartNumberingAfterBreak="0">
    <w:nsid w:val="61DD2B62"/>
    <w:multiLevelType w:val="hybridMultilevel"/>
    <w:tmpl w:val="9CBC531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2C56F97"/>
    <w:multiLevelType w:val="hybridMultilevel"/>
    <w:tmpl w:val="07FCC908"/>
    <w:lvl w:ilvl="0" w:tplc="04150017">
      <w:start w:val="1"/>
      <w:numFmt w:val="lowerLetter"/>
      <w:lvlText w:val="%1)"/>
      <w:lvlJc w:val="left"/>
      <w:pPr>
        <w:ind w:left="780" w:hanging="360"/>
      </w:pPr>
    </w:lvl>
    <w:lvl w:ilvl="1" w:tplc="04150019" w:tentative="1">
      <w:start w:val="1"/>
      <w:numFmt w:val="lowerLetter"/>
      <w:lvlText w:val="%2."/>
      <w:lvlJc w:val="left"/>
      <w:pPr>
        <w:tabs>
          <w:tab w:val="num" w:pos="1860"/>
        </w:tabs>
        <w:ind w:left="1860" w:hanging="360"/>
      </w:pPr>
    </w:lvl>
    <w:lvl w:ilvl="2" w:tplc="0415001B" w:tentative="1">
      <w:start w:val="1"/>
      <w:numFmt w:val="lowerRoman"/>
      <w:lvlText w:val="%3."/>
      <w:lvlJc w:val="right"/>
      <w:pPr>
        <w:tabs>
          <w:tab w:val="num" w:pos="2580"/>
        </w:tabs>
        <w:ind w:left="2580" w:hanging="180"/>
      </w:pPr>
    </w:lvl>
    <w:lvl w:ilvl="3" w:tplc="0415000F" w:tentative="1">
      <w:start w:val="1"/>
      <w:numFmt w:val="decimal"/>
      <w:lvlText w:val="%4."/>
      <w:lvlJc w:val="left"/>
      <w:pPr>
        <w:tabs>
          <w:tab w:val="num" w:pos="3300"/>
        </w:tabs>
        <w:ind w:left="3300" w:hanging="360"/>
      </w:pPr>
    </w:lvl>
    <w:lvl w:ilvl="4" w:tplc="04150019" w:tentative="1">
      <w:start w:val="1"/>
      <w:numFmt w:val="lowerLetter"/>
      <w:lvlText w:val="%5."/>
      <w:lvlJc w:val="left"/>
      <w:pPr>
        <w:tabs>
          <w:tab w:val="num" w:pos="4020"/>
        </w:tabs>
        <w:ind w:left="4020" w:hanging="360"/>
      </w:pPr>
    </w:lvl>
    <w:lvl w:ilvl="5" w:tplc="0415001B" w:tentative="1">
      <w:start w:val="1"/>
      <w:numFmt w:val="lowerRoman"/>
      <w:lvlText w:val="%6."/>
      <w:lvlJc w:val="right"/>
      <w:pPr>
        <w:tabs>
          <w:tab w:val="num" w:pos="4740"/>
        </w:tabs>
        <w:ind w:left="4740" w:hanging="180"/>
      </w:pPr>
    </w:lvl>
    <w:lvl w:ilvl="6" w:tplc="0415000F" w:tentative="1">
      <w:start w:val="1"/>
      <w:numFmt w:val="decimal"/>
      <w:lvlText w:val="%7."/>
      <w:lvlJc w:val="left"/>
      <w:pPr>
        <w:tabs>
          <w:tab w:val="num" w:pos="5460"/>
        </w:tabs>
        <w:ind w:left="5460" w:hanging="360"/>
      </w:pPr>
    </w:lvl>
    <w:lvl w:ilvl="7" w:tplc="04150019" w:tentative="1">
      <w:start w:val="1"/>
      <w:numFmt w:val="lowerLetter"/>
      <w:lvlText w:val="%8."/>
      <w:lvlJc w:val="left"/>
      <w:pPr>
        <w:tabs>
          <w:tab w:val="num" w:pos="6180"/>
        </w:tabs>
        <w:ind w:left="6180" w:hanging="360"/>
      </w:pPr>
    </w:lvl>
    <w:lvl w:ilvl="8" w:tplc="0415001B" w:tentative="1">
      <w:start w:val="1"/>
      <w:numFmt w:val="lowerRoman"/>
      <w:lvlText w:val="%9."/>
      <w:lvlJc w:val="right"/>
      <w:pPr>
        <w:tabs>
          <w:tab w:val="num" w:pos="6900"/>
        </w:tabs>
        <w:ind w:left="6900" w:hanging="180"/>
      </w:pPr>
    </w:lvl>
  </w:abstractNum>
  <w:abstractNum w:abstractNumId="36" w15:restartNumberingAfterBreak="0">
    <w:nsid w:val="666B69D8"/>
    <w:multiLevelType w:val="hybridMultilevel"/>
    <w:tmpl w:val="C8A60AFE"/>
    <w:lvl w:ilvl="0" w:tplc="04150001">
      <w:start w:val="1"/>
      <w:numFmt w:val="bullet"/>
      <w:lvlText w:val=""/>
      <w:lvlJc w:val="left"/>
      <w:pPr>
        <w:ind w:left="530" w:hanging="360"/>
      </w:pPr>
      <w:rPr>
        <w:rFonts w:ascii="Symbol" w:hAnsi="Symbol" w:hint="default"/>
      </w:rPr>
    </w:lvl>
    <w:lvl w:ilvl="1" w:tplc="04150003" w:tentative="1">
      <w:start w:val="1"/>
      <w:numFmt w:val="bullet"/>
      <w:lvlText w:val="o"/>
      <w:lvlJc w:val="left"/>
      <w:pPr>
        <w:ind w:left="1250" w:hanging="360"/>
      </w:pPr>
      <w:rPr>
        <w:rFonts w:ascii="Courier New" w:hAnsi="Courier New" w:cs="Courier New" w:hint="default"/>
      </w:rPr>
    </w:lvl>
    <w:lvl w:ilvl="2" w:tplc="04150005" w:tentative="1">
      <w:start w:val="1"/>
      <w:numFmt w:val="bullet"/>
      <w:lvlText w:val=""/>
      <w:lvlJc w:val="left"/>
      <w:pPr>
        <w:ind w:left="1970" w:hanging="360"/>
      </w:pPr>
      <w:rPr>
        <w:rFonts w:ascii="Wingdings" w:hAnsi="Wingdings" w:hint="default"/>
      </w:rPr>
    </w:lvl>
    <w:lvl w:ilvl="3" w:tplc="04150001" w:tentative="1">
      <w:start w:val="1"/>
      <w:numFmt w:val="bullet"/>
      <w:lvlText w:val=""/>
      <w:lvlJc w:val="left"/>
      <w:pPr>
        <w:ind w:left="2690" w:hanging="360"/>
      </w:pPr>
      <w:rPr>
        <w:rFonts w:ascii="Symbol" w:hAnsi="Symbol" w:hint="default"/>
      </w:rPr>
    </w:lvl>
    <w:lvl w:ilvl="4" w:tplc="04150003" w:tentative="1">
      <w:start w:val="1"/>
      <w:numFmt w:val="bullet"/>
      <w:lvlText w:val="o"/>
      <w:lvlJc w:val="left"/>
      <w:pPr>
        <w:ind w:left="3410" w:hanging="360"/>
      </w:pPr>
      <w:rPr>
        <w:rFonts w:ascii="Courier New" w:hAnsi="Courier New" w:cs="Courier New" w:hint="default"/>
      </w:rPr>
    </w:lvl>
    <w:lvl w:ilvl="5" w:tplc="04150005" w:tentative="1">
      <w:start w:val="1"/>
      <w:numFmt w:val="bullet"/>
      <w:lvlText w:val=""/>
      <w:lvlJc w:val="left"/>
      <w:pPr>
        <w:ind w:left="4130" w:hanging="360"/>
      </w:pPr>
      <w:rPr>
        <w:rFonts w:ascii="Wingdings" w:hAnsi="Wingdings" w:hint="default"/>
      </w:rPr>
    </w:lvl>
    <w:lvl w:ilvl="6" w:tplc="04150001" w:tentative="1">
      <w:start w:val="1"/>
      <w:numFmt w:val="bullet"/>
      <w:lvlText w:val=""/>
      <w:lvlJc w:val="left"/>
      <w:pPr>
        <w:ind w:left="4850" w:hanging="360"/>
      </w:pPr>
      <w:rPr>
        <w:rFonts w:ascii="Symbol" w:hAnsi="Symbol" w:hint="default"/>
      </w:rPr>
    </w:lvl>
    <w:lvl w:ilvl="7" w:tplc="04150003" w:tentative="1">
      <w:start w:val="1"/>
      <w:numFmt w:val="bullet"/>
      <w:lvlText w:val="o"/>
      <w:lvlJc w:val="left"/>
      <w:pPr>
        <w:ind w:left="5570" w:hanging="360"/>
      </w:pPr>
      <w:rPr>
        <w:rFonts w:ascii="Courier New" w:hAnsi="Courier New" w:cs="Courier New" w:hint="default"/>
      </w:rPr>
    </w:lvl>
    <w:lvl w:ilvl="8" w:tplc="04150005" w:tentative="1">
      <w:start w:val="1"/>
      <w:numFmt w:val="bullet"/>
      <w:lvlText w:val=""/>
      <w:lvlJc w:val="left"/>
      <w:pPr>
        <w:ind w:left="6290" w:hanging="360"/>
      </w:pPr>
      <w:rPr>
        <w:rFonts w:ascii="Wingdings" w:hAnsi="Wingdings" w:hint="default"/>
      </w:rPr>
    </w:lvl>
  </w:abstractNum>
  <w:abstractNum w:abstractNumId="37" w15:restartNumberingAfterBreak="0">
    <w:nsid w:val="68A30928"/>
    <w:multiLevelType w:val="hybridMultilevel"/>
    <w:tmpl w:val="CEF888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FD0546"/>
    <w:multiLevelType w:val="hybridMultilevel"/>
    <w:tmpl w:val="EFCC1B3A"/>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76A265CD"/>
    <w:multiLevelType w:val="hybridMultilevel"/>
    <w:tmpl w:val="06BA604C"/>
    <w:lvl w:ilvl="0" w:tplc="97FAC630">
      <w:start w:val="1"/>
      <w:numFmt w:val="bullet"/>
      <w:lvlText w:val=""/>
      <w:lvlJc w:val="left"/>
      <w:pPr>
        <w:ind w:left="360" w:hanging="360"/>
      </w:pPr>
      <w:rPr>
        <w:rFonts w:ascii="Symbol" w:hAnsi="Symbol" w:hint="default"/>
      </w:rPr>
    </w:lvl>
    <w:lvl w:ilvl="1" w:tplc="04150011">
      <w:start w:val="1"/>
      <w:numFmt w:val="decimal"/>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6D218EF"/>
    <w:multiLevelType w:val="hybridMultilevel"/>
    <w:tmpl w:val="94D4FD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A4A3B54"/>
    <w:multiLevelType w:val="hybridMultilevel"/>
    <w:tmpl w:val="7A545726"/>
    <w:lvl w:ilvl="0" w:tplc="D1DECCF0">
      <w:start w:val="1"/>
      <w:numFmt w:val="decimal"/>
      <w:lvlText w:val="%1)"/>
      <w:lvlJc w:val="left"/>
      <w:pPr>
        <w:ind w:left="-69" w:hanging="360"/>
      </w:pPr>
      <w:rPr>
        <w:rFonts w:hint="default"/>
      </w:rPr>
    </w:lvl>
    <w:lvl w:ilvl="1" w:tplc="04150019" w:tentative="1">
      <w:start w:val="1"/>
      <w:numFmt w:val="lowerLetter"/>
      <w:lvlText w:val="%2."/>
      <w:lvlJc w:val="left"/>
      <w:pPr>
        <w:ind w:left="1011" w:hanging="360"/>
      </w:pPr>
    </w:lvl>
    <w:lvl w:ilvl="2" w:tplc="0415001B" w:tentative="1">
      <w:start w:val="1"/>
      <w:numFmt w:val="lowerRoman"/>
      <w:lvlText w:val="%3."/>
      <w:lvlJc w:val="right"/>
      <w:pPr>
        <w:ind w:left="1731" w:hanging="180"/>
      </w:pPr>
    </w:lvl>
    <w:lvl w:ilvl="3" w:tplc="0415000F" w:tentative="1">
      <w:start w:val="1"/>
      <w:numFmt w:val="decimal"/>
      <w:lvlText w:val="%4."/>
      <w:lvlJc w:val="left"/>
      <w:pPr>
        <w:ind w:left="2451" w:hanging="360"/>
      </w:pPr>
    </w:lvl>
    <w:lvl w:ilvl="4" w:tplc="04150019" w:tentative="1">
      <w:start w:val="1"/>
      <w:numFmt w:val="lowerLetter"/>
      <w:lvlText w:val="%5."/>
      <w:lvlJc w:val="left"/>
      <w:pPr>
        <w:ind w:left="3171" w:hanging="360"/>
      </w:pPr>
    </w:lvl>
    <w:lvl w:ilvl="5" w:tplc="0415001B" w:tentative="1">
      <w:start w:val="1"/>
      <w:numFmt w:val="lowerRoman"/>
      <w:lvlText w:val="%6."/>
      <w:lvlJc w:val="right"/>
      <w:pPr>
        <w:ind w:left="3891" w:hanging="180"/>
      </w:pPr>
    </w:lvl>
    <w:lvl w:ilvl="6" w:tplc="0415000F" w:tentative="1">
      <w:start w:val="1"/>
      <w:numFmt w:val="decimal"/>
      <w:lvlText w:val="%7."/>
      <w:lvlJc w:val="left"/>
      <w:pPr>
        <w:ind w:left="4611" w:hanging="360"/>
      </w:pPr>
    </w:lvl>
    <w:lvl w:ilvl="7" w:tplc="04150019" w:tentative="1">
      <w:start w:val="1"/>
      <w:numFmt w:val="lowerLetter"/>
      <w:lvlText w:val="%8."/>
      <w:lvlJc w:val="left"/>
      <w:pPr>
        <w:ind w:left="5331" w:hanging="360"/>
      </w:pPr>
    </w:lvl>
    <w:lvl w:ilvl="8" w:tplc="0415001B" w:tentative="1">
      <w:start w:val="1"/>
      <w:numFmt w:val="lowerRoman"/>
      <w:lvlText w:val="%9."/>
      <w:lvlJc w:val="right"/>
      <w:pPr>
        <w:ind w:left="6051" w:hanging="180"/>
      </w:pPr>
    </w:lvl>
  </w:abstractNum>
  <w:abstractNum w:abstractNumId="42" w15:restartNumberingAfterBreak="0">
    <w:nsid w:val="7B164B50"/>
    <w:multiLevelType w:val="hybridMultilevel"/>
    <w:tmpl w:val="16C045B8"/>
    <w:lvl w:ilvl="0" w:tplc="FF5892AC">
      <w:start w:val="1"/>
      <w:numFmt w:val="bullet"/>
      <w:lvlText w:val="-"/>
      <w:lvlJc w:val="left"/>
      <w:pPr>
        <w:tabs>
          <w:tab w:val="num" w:pos="1080"/>
        </w:tabs>
        <w:ind w:left="1080" w:hanging="360"/>
      </w:pPr>
      <w:rPr>
        <w:rFonts w:ascii="Times New Roman" w:hAnsi="Times New Roman" w:cs="Times New Roman" w:hint="default"/>
      </w:rPr>
    </w:lvl>
    <w:lvl w:ilvl="1" w:tplc="04150003" w:tentative="1">
      <w:start w:val="1"/>
      <w:numFmt w:val="bullet"/>
      <w:lvlText w:val="o"/>
      <w:lvlJc w:val="left"/>
      <w:pPr>
        <w:tabs>
          <w:tab w:val="num" w:pos="1800"/>
        </w:tabs>
        <w:ind w:left="1800" w:hanging="360"/>
      </w:pPr>
      <w:rPr>
        <w:rFonts w:ascii="Courier New" w:hAnsi="Courier New" w:cs="Courier New" w:hint="default"/>
      </w:rPr>
    </w:lvl>
    <w:lvl w:ilvl="2" w:tplc="04150005" w:tentative="1">
      <w:start w:val="1"/>
      <w:numFmt w:val="bullet"/>
      <w:lvlText w:val=""/>
      <w:lvlJc w:val="left"/>
      <w:pPr>
        <w:tabs>
          <w:tab w:val="num" w:pos="2520"/>
        </w:tabs>
        <w:ind w:left="2520" w:hanging="360"/>
      </w:pPr>
      <w:rPr>
        <w:rFonts w:ascii="Wingdings" w:hAnsi="Wingdings" w:hint="default"/>
      </w:rPr>
    </w:lvl>
    <w:lvl w:ilvl="3" w:tplc="04150001" w:tentative="1">
      <w:start w:val="1"/>
      <w:numFmt w:val="bullet"/>
      <w:lvlText w:val=""/>
      <w:lvlJc w:val="left"/>
      <w:pPr>
        <w:tabs>
          <w:tab w:val="num" w:pos="3240"/>
        </w:tabs>
        <w:ind w:left="3240" w:hanging="360"/>
      </w:pPr>
      <w:rPr>
        <w:rFonts w:ascii="Symbol" w:hAnsi="Symbol" w:hint="default"/>
      </w:rPr>
    </w:lvl>
    <w:lvl w:ilvl="4" w:tplc="04150003" w:tentative="1">
      <w:start w:val="1"/>
      <w:numFmt w:val="bullet"/>
      <w:lvlText w:val="o"/>
      <w:lvlJc w:val="left"/>
      <w:pPr>
        <w:tabs>
          <w:tab w:val="num" w:pos="3960"/>
        </w:tabs>
        <w:ind w:left="3960" w:hanging="360"/>
      </w:pPr>
      <w:rPr>
        <w:rFonts w:ascii="Courier New" w:hAnsi="Courier New" w:cs="Courier New" w:hint="default"/>
      </w:rPr>
    </w:lvl>
    <w:lvl w:ilvl="5" w:tplc="04150005" w:tentative="1">
      <w:start w:val="1"/>
      <w:numFmt w:val="bullet"/>
      <w:lvlText w:val=""/>
      <w:lvlJc w:val="left"/>
      <w:pPr>
        <w:tabs>
          <w:tab w:val="num" w:pos="4680"/>
        </w:tabs>
        <w:ind w:left="4680" w:hanging="360"/>
      </w:pPr>
      <w:rPr>
        <w:rFonts w:ascii="Wingdings" w:hAnsi="Wingdings" w:hint="default"/>
      </w:rPr>
    </w:lvl>
    <w:lvl w:ilvl="6" w:tplc="04150001" w:tentative="1">
      <w:start w:val="1"/>
      <w:numFmt w:val="bullet"/>
      <w:lvlText w:val=""/>
      <w:lvlJc w:val="left"/>
      <w:pPr>
        <w:tabs>
          <w:tab w:val="num" w:pos="5400"/>
        </w:tabs>
        <w:ind w:left="5400" w:hanging="360"/>
      </w:pPr>
      <w:rPr>
        <w:rFonts w:ascii="Symbol" w:hAnsi="Symbol" w:hint="default"/>
      </w:rPr>
    </w:lvl>
    <w:lvl w:ilvl="7" w:tplc="04150003" w:tentative="1">
      <w:start w:val="1"/>
      <w:numFmt w:val="bullet"/>
      <w:lvlText w:val="o"/>
      <w:lvlJc w:val="left"/>
      <w:pPr>
        <w:tabs>
          <w:tab w:val="num" w:pos="6120"/>
        </w:tabs>
        <w:ind w:left="6120" w:hanging="360"/>
      </w:pPr>
      <w:rPr>
        <w:rFonts w:ascii="Courier New" w:hAnsi="Courier New" w:cs="Courier New" w:hint="default"/>
      </w:rPr>
    </w:lvl>
    <w:lvl w:ilvl="8" w:tplc="04150005" w:tentative="1">
      <w:start w:val="1"/>
      <w:numFmt w:val="bullet"/>
      <w:lvlText w:val=""/>
      <w:lvlJc w:val="left"/>
      <w:pPr>
        <w:tabs>
          <w:tab w:val="num" w:pos="6840"/>
        </w:tabs>
        <w:ind w:left="6840" w:hanging="360"/>
      </w:pPr>
      <w:rPr>
        <w:rFonts w:ascii="Wingdings" w:hAnsi="Wingdings" w:hint="default"/>
      </w:rPr>
    </w:lvl>
  </w:abstractNum>
  <w:abstractNum w:abstractNumId="43" w15:restartNumberingAfterBreak="0">
    <w:nsid w:val="7CE2347D"/>
    <w:multiLevelType w:val="hybridMultilevel"/>
    <w:tmpl w:val="D54437CC"/>
    <w:lvl w:ilvl="0" w:tplc="0415000F">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4" w15:restartNumberingAfterBreak="0">
    <w:nsid w:val="7ECD40C4"/>
    <w:multiLevelType w:val="hybridMultilevel"/>
    <w:tmpl w:val="CA4C5876"/>
    <w:lvl w:ilvl="0" w:tplc="0E924308">
      <w:start w:val="1"/>
      <w:numFmt w:val="decimal"/>
      <w:lvlText w:val="%1)"/>
      <w:lvlJc w:val="left"/>
      <w:pPr>
        <w:ind w:left="720" w:hanging="360"/>
      </w:pPr>
    </w:lvl>
    <w:lvl w:ilvl="1" w:tplc="F58C8BAE">
      <w:start w:val="1"/>
      <w:numFmt w:val="lowerLetter"/>
      <w:lvlText w:val="%2."/>
      <w:lvlJc w:val="left"/>
      <w:pPr>
        <w:ind w:left="1440" w:hanging="360"/>
      </w:pPr>
    </w:lvl>
    <w:lvl w:ilvl="2" w:tplc="130284E0">
      <w:start w:val="1"/>
      <w:numFmt w:val="lowerRoman"/>
      <w:lvlText w:val="%3."/>
      <w:lvlJc w:val="right"/>
      <w:pPr>
        <w:ind w:left="2160" w:hanging="180"/>
      </w:pPr>
    </w:lvl>
    <w:lvl w:ilvl="3" w:tplc="09346058">
      <w:start w:val="1"/>
      <w:numFmt w:val="decimal"/>
      <w:lvlText w:val="%4."/>
      <w:lvlJc w:val="left"/>
      <w:pPr>
        <w:ind w:left="2880" w:hanging="360"/>
      </w:pPr>
    </w:lvl>
    <w:lvl w:ilvl="4" w:tplc="99E221AA">
      <w:start w:val="1"/>
      <w:numFmt w:val="lowerLetter"/>
      <w:lvlText w:val="%5."/>
      <w:lvlJc w:val="left"/>
      <w:pPr>
        <w:ind w:left="3600" w:hanging="360"/>
      </w:pPr>
    </w:lvl>
    <w:lvl w:ilvl="5" w:tplc="BA4CA3AC">
      <w:start w:val="1"/>
      <w:numFmt w:val="lowerRoman"/>
      <w:lvlText w:val="%6."/>
      <w:lvlJc w:val="right"/>
      <w:pPr>
        <w:ind w:left="4320" w:hanging="180"/>
      </w:pPr>
    </w:lvl>
    <w:lvl w:ilvl="6" w:tplc="69764C8A">
      <w:start w:val="1"/>
      <w:numFmt w:val="decimal"/>
      <w:lvlText w:val="%7."/>
      <w:lvlJc w:val="left"/>
      <w:pPr>
        <w:ind w:left="5040" w:hanging="360"/>
      </w:pPr>
    </w:lvl>
    <w:lvl w:ilvl="7" w:tplc="C56447D6">
      <w:start w:val="1"/>
      <w:numFmt w:val="lowerLetter"/>
      <w:lvlText w:val="%8."/>
      <w:lvlJc w:val="left"/>
      <w:pPr>
        <w:ind w:left="5760" w:hanging="360"/>
      </w:pPr>
    </w:lvl>
    <w:lvl w:ilvl="8" w:tplc="690C7E26">
      <w:start w:val="1"/>
      <w:numFmt w:val="lowerRoman"/>
      <w:lvlText w:val="%9."/>
      <w:lvlJc w:val="right"/>
      <w:pPr>
        <w:ind w:left="6480" w:hanging="180"/>
      </w:pPr>
    </w:lvl>
  </w:abstractNum>
  <w:num w:numId="1">
    <w:abstractNumId w:val="39"/>
  </w:num>
  <w:num w:numId="2">
    <w:abstractNumId w:val="13"/>
  </w:num>
  <w:num w:numId="3">
    <w:abstractNumId w:val="17"/>
  </w:num>
  <w:num w:numId="4">
    <w:abstractNumId w:val="4"/>
  </w:num>
  <w:num w:numId="5">
    <w:abstractNumId w:val="18"/>
  </w:num>
  <w:num w:numId="6">
    <w:abstractNumId w:val="33"/>
  </w:num>
  <w:num w:numId="7">
    <w:abstractNumId w:val="40"/>
  </w:num>
  <w:num w:numId="8">
    <w:abstractNumId w:val="21"/>
  </w:num>
  <w:num w:numId="9">
    <w:abstractNumId w:val="6"/>
  </w:num>
  <w:num w:numId="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4"/>
  </w:num>
  <w:num w:numId="12">
    <w:abstractNumId w:val="29"/>
  </w:num>
  <w:num w:numId="13">
    <w:abstractNumId w:val="19"/>
  </w:num>
  <w:num w:numId="14">
    <w:abstractNumId w:val="7"/>
  </w:num>
  <w:num w:numId="15">
    <w:abstractNumId w:val="37"/>
  </w:num>
  <w:num w:numId="16">
    <w:abstractNumId w:val="12"/>
  </w:num>
  <w:num w:numId="17">
    <w:abstractNumId w:val="15"/>
  </w:num>
  <w:num w:numId="18">
    <w:abstractNumId w:val="2"/>
  </w:num>
  <w:num w:numId="19">
    <w:abstractNumId w:val="43"/>
  </w:num>
  <w:num w:numId="20">
    <w:abstractNumId w:val="0"/>
  </w:num>
  <w:num w:numId="21">
    <w:abstractNumId w:val="41"/>
  </w:num>
  <w:num w:numId="22">
    <w:abstractNumId w:val="24"/>
  </w:num>
  <w:num w:numId="23">
    <w:abstractNumId w:val="16"/>
  </w:num>
  <w:num w:numId="24">
    <w:abstractNumId w:val="20"/>
  </w:num>
  <w:num w:numId="25">
    <w:abstractNumId w:val="8"/>
  </w:num>
  <w:num w:numId="26">
    <w:abstractNumId w:val="1"/>
  </w:num>
  <w:num w:numId="27">
    <w:abstractNumId w:val="34"/>
  </w:num>
  <w:num w:numId="28">
    <w:abstractNumId w:val="3"/>
  </w:num>
  <w:num w:numId="29">
    <w:abstractNumId w:val="14"/>
  </w:num>
  <w:num w:numId="30">
    <w:abstractNumId w:val="25"/>
  </w:num>
  <w:num w:numId="31">
    <w:abstractNumId w:val="9"/>
  </w:num>
  <w:num w:numId="32">
    <w:abstractNumId w:val="28"/>
  </w:num>
  <w:num w:numId="33">
    <w:abstractNumId w:val="23"/>
  </w:num>
  <w:num w:numId="34">
    <w:abstractNumId w:val="26"/>
  </w:num>
  <w:num w:numId="35">
    <w:abstractNumId w:val="5"/>
  </w:num>
  <w:num w:numId="36">
    <w:abstractNumId w:val="22"/>
  </w:num>
  <w:num w:numId="37">
    <w:abstractNumId w:val="35"/>
  </w:num>
  <w:num w:numId="38">
    <w:abstractNumId w:val="30"/>
  </w:num>
  <w:num w:numId="39">
    <w:abstractNumId w:val="32"/>
  </w:num>
  <w:num w:numId="40">
    <w:abstractNumId w:val="10"/>
  </w:num>
  <w:num w:numId="41">
    <w:abstractNumId w:val="38"/>
  </w:num>
  <w:num w:numId="42">
    <w:abstractNumId w:val="42"/>
  </w:num>
  <w:num w:numId="43">
    <w:abstractNumId w:val="31"/>
  </w:num>
  <w:num w:numId="44">
    <w:abstractNumId w:val="11"/>
  </w:num>
  <w:num w:numId="45">
    <w:abstractNumId w:val="27"/>
  </w:num>
  <w:num w:numId="46">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612"/>
    <w:rsid w:val="00005B78"/>
    <w:rsid w:val="000663C8"/>
    <w:rsid w:val="00090A8F"/>
    <w:rsid w:val="000B38EF"/>
    <w:rsid w:val="000C09D6"/>
    <w:rsid w:val="000C73D9"/>
    <w:rsid w:val="000E5A6E"/>
    <w:rsid w:val="0015068F"/>
    <w:rsid w:val="00177868"/>
    <w:rsid w:val="001E493B"/>
    <w:rsid w:val="00261D61"/>
    <w:rsid w:val="0029178E"/>
    <w:rsid w:val="002F2D3B"/>
    <w:rsid w:val="00317516"/>
    <w:rsid w:val="00346672"/>
    <w:rsid w:val="003620D3"/>
    <w:rsid w:val="003A007B"/>
    <w:rsid w:val="003B4A0B"/>
    <w:rsid w:val="00401FB8"/>
    <w:rsid w:val="00406D64"/>
    <w:rsid w:val="0041709C"/>
    <w:rsid w:val="00466021"/>
    <w:rsid w:val="00485B5F"/>
    <w:rsid w:val="004D46AE"/>
    <w:rsid w:val="004E0DD3"/>
    <w:rsid w:val="005059F4"/>
    <w:rsid w:val="005C3E85"/>
    <w:rsid w:val="005D62C4"/>
    <w:rsid w:val="005E4040"/>
    <w:rsid w:val="00601696"/>
    <w:rsid w:val="00605462"/>
    <w:rsid w:val="00632A85"/>
    <w:rsid w:val="00655092"/>
    <w:rsid w:val="00662F35"/>
    <w:rsid w:val="006844E2"/>
    <w:rsid w:val="006850E3"/>
    <w:rsid w:val="0069624C"/>
    <w:rsid w:val="00697BBA"/>
    <w:rsid w:val="00712E25"/>
    <w:rsid w:val="00731B66"/>
    <w:rsid w:val="00750DC0"/>
    <w:rsid w:val="0076151F"/>
    <w:rsid w:val="00774513"/>
    <w:rsid w:val="007C5F96"/>
    <w:rsid w:val="007D182B"/>
    <w:rsid w:val="00803C28"/>
    <w:rsid w:val="00812349"/>
    <w:rsid w:val="00830A68"/>
    <w:rsid w:val="00833EDE"/>
    <w:rsid w:val="00861FE8"/>
    <w:rsid w:val="0086411B"/>
    <w:rsid w:val="008827E6"/>
    <w:rsid w:val="008A6C6D"/>
    <w:rsid w:val="008B20CC"/>
    <w:rsid w:val="00913579"/>
    <w:rsid w:val="009139C6"/>
    <w:rsid w:val="00926AB6"/>
    <w:rsid w:val="00932782"/>
    <w:rsid w:val="0094353A"/>
    <w:rsid w:val="00960488"/>
    <w:rsid w:val="00964502"/>
    <w:rsid w:val="00971A3E"/>
    <w:rsid w:val="0099413A"/>
    <w:rsid w:val="00997866"/>
    <w:rsid w:val="009C5F2A"/>
    <w:rsid w:val="009D6708"/>
    <w:rsid w:val="009E38F8"/>
    <w:rsid w:val="00A05899"/>
    <w:rsid w:val="00B23B2C"/>
    <w:rsid w:val="00B26703"/>
    <w:rsid w:val="00B5501A"/>
    <w:rsid w:val="00B60B11"/>
    <w:rsid w:val="00B71B4C"/>
    <w:rsid w:val="00B93E05"/>
    <w:rsid w:val="00BB3297"/>
    <w:rsid w:val="00BC64E6"/>
    <w:rsid w:val="00BF022C"/>
    <w:rsid w:val="00C67B15"/>
    <w:rsid w:val="00CA6B72"/>
    <w:rsid w:val="00D02525"/>
    <w:rsid w:val="00D10237"/>
    <w:rsid w:val="00D1110E"/>
    <w:rsid w:val="00D138AE"/>
    <w:rsid w:val="00D405B0"/>
    <w:rsid w:val="00DA589E"/>
    <w:rsid w:val="00DD770F"/>
    <w:rsid w:val="00E21022"/>
    <w:rsid w:val="00E46673"/>
    <w:rsid w:val="00E76D53"/>
    <w:rsid w:val="00E977AC"/>
    <w:rsid w:val="00ED0784"/>
    <w:rsid w:val="00EE2D23"/>
    <w:rsid w:val="00F17612"/>
    <w:rsid w:val="00F26740"/>
    <w:rsid w:val="00F46E9F"/>
    <w:rsid w:val="00F53795"/>
    <w:rsid w:val="00F6161F"/>
    <w:rsid w:val="00FC4035"/>
    <w:rsid w:val="00FE6E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5CBA"/>
  <w15:chartTrackingRefBased/>
  <w15:docId w15:val="{31768802-932F-4CDB-A379-E98E12725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17612"/>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qFormat/>
    <w:rsid w:val="00F17612"/>
    <w:pPr>
      <w:keepNext/>
      <w:keepLines/>
      <w:suppressAutoHyphens/>
      <w:autoSpaceDE/>
      <w:autoSpaceDN/>
      <w:adjustRightInd/>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Nagwek2">
    <w:name w:val="heading 2"/>
    <w:basedOn w:val="Normalny"/>
    <w:next w:val="Normalny"/>
    <w:link w:val="Nagwek2Znak"/>
    <w:uiPriority w:val="99"/>
    <w:semiHidden/>
    <w:unhideWhenUsed/>
    <w:qFormat/>
    <w:rsid w:val="00F1761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nhideWhenUsed/>
    <w:qFormat/>
    <w:rsid w:val="00F17612"/>
    <w:pPr>
      <w:keepNext/>
      <w:keepLines/>
      <w:spacing w:before="200"/>
      <w:outlineLvl w:val="2"/>
    </w:pPr>
    <w:rPr>
      <w:rFonts w:asciiTheme="majorHAnsi" w:eastAsiaTheme="majorEastAsia" w:hAnsiTheme="majorHAnsi" w:cstheme="majorBidi"/>
      <w:b/>
      <w:b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17612"/>
    <w:rPr>
      <w:rFonts w:asciiTheme="majorHAnsi" w:eastAsiaTheme="majorEastAsia" w:hAnsiTheme="majorHAnsi" w:cstheme="majorBidi"/>
      <w:b/>
      <w:bCs/>
      <w:color w:val="2E74B5" w:themeColor="accent1" w:themeShade="BF"/>
      <w:kern w:val="1"/>
      <w:sz w:val="28"/>
      <w:szCs w:val="28"/>
      <w:lang w:eastAsia="ar-SA"/>
    </w:rPr>
  </w:style>
  <w:style w:type="character" w:customStyle="1" w:styleId="Nagwek2Znak">
    <w:name w:val="Nagłówek 2 Znak"/>
    <w:basedOn w:val="Domylnaczcionkaakapitu"/>
    <w:link w:val="Nagwek2"/>
    <w:uiPriority w:val="99"/>
    <w:semiHidden/>
    <w:rsid w:val="00F17612"/>
    <w:rPr>
      <w:rFonts w:asciiTheme="majorHAnsi" w:eastAsiaTheme="majorEastAsia" w:hAnsiTheme="majorHAnsi" w:cstheme="majorBidi"/>
      <w:color w:val="2E74B5" w:themeColor="accent1" w:themeShade="BF"/>
      <w:sz w:val="26"/>
      <w:szCs w:val="26"/>
      <w:lang w:eastAsia="pl-PL"/>
    </w:rPr>
  </w:style>
  <w:style w:type="character" w:customStyle="1" w:styleId="Nagwek3Znak">
    <w:name w:val="Nagłówek 3 Znak"/>
    <w:basedOn w:val="Domylnaczcionkaakapitu"/>
    <w:link w:val="Nagwek3"/>
    <w:rsid w:val="00F17612"/>
    <w:rPr>
      <w:rFonts w:asciiTheme="majorHAnsi" w:eastAsiaTheme="majorEastAsia" w:hAnsiTheme="majorHAnsi" w:cstheme="majorBidi"/>
      <w:b/>
      <w:bCs/>
      <w:color w:val="5B9BD5" w:themeColor="accent1"/>
      <w:sz w:val="24"/>
      <w:szCs w:val="20"/>
      <w:lang w:eastAsia="pl-PL"/>
    </w:rPr>
  </w:style>
  <w:style w:type="paragraph" w:customStyle="1" w:styleId="ZLITwPKTzmlitwpktartykuempunktem">
    <w:name w:val="Z/LIT_w_PKT – zm. lit. w pkt artykułem (punktem)"/>
    <w:basedOn w:val="LITlitera"/>
    <w:uiPriority w:val="32"/>
    <w:qFormat/>
    <w:rsid w:val="00F17612"/>
    <w:pPr>
      <w:ind w:left="1497"/>
    </w:pPr>
  </w:style>
  <w:style w:type="paragraph" w:customStyle="1" w:styleId="ZTIRwPKTzmtirwpktartykuempunktem">
    <w:name w:val="Z/TIR_w_PKT – zm. tir. w pkt artykułem (punktem)"/>
    <w:basedOn w:val="TIRtiret"/>
    <w:uiPriority w:val="33"/>
    <w:qFormat/>
    <w:rsid w:val="00F1761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17612"/>
    <w:pPr>
      <w:ind w:left="1021"/>
    </w:pPr>
  </w:style>
  <w:style w:type="paragraph" w:customStyle="1" w:styleId="2TIRpodwjnytiret">
    <w:name w:val="2TIR – podwójny tiret"/>
    <w:basedOn w:val="TIRtiret"/>
    <w:uiPriority w:val="73"/>
    <w:qFormat/>
    <w:rsid w:val="00F17612"/>
    <w:pPr>
      <w:ind w:left="1780"/>
    </w:pPr>
  </w:style>
  <w:style w:type="character" w:styleId="Odwoanieprzypisudolnego">
    <w:name w:val="footnote reference"/>
    <w:uiPriority w:val="99"/>
    <w:semiHidden/>
    <w:rsid w:val="00F17612"/>
    <w:rPr>
      <w:rFonts w:cs="Times New Roman"/>
      <w:vertAlign w:val="superscript"/>
    </w:rPr>
  </w:style>
  <w:style w:type="paragraph" w:styleId="Nagwek">
    <w:name w:val="header"/>
    <w:basedOn w:val="Normalny"/>
    <w:link w:val="NagwekZnak"/>
    <w:uiPriority w:val="99"/>
    <w:rsid w:val="00F1761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rsid w:val="00F17612"/>
    <w:rPr>
      <w:rFonts w:ascii="Times" w:eastAsia="Times New Roman" w:hAnsi="Times" w:cs="Times New Roman"/>
      <w:kern w:val="1"/>
      <w:sz w:val="24"/>
      <w:szCs w:val="24"/>
      <w:lang w:eastAsia="ar-SA"/>
    </w:rPr>
  </w:style>
  <w:style w:type="paragraph" w:styleId="Stopka">
    <w:name w:val="footer"/>
    <w:basedOn w:val="Normalny"/>
    <w:link w:val="StopkaZnak"/>
    <w:uiPriority w:val="99"/>
    <w:rsid w:val="00F17612"/>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basedOn w:val="Domylnaczcionkaakapitu"/>
    <w:link w:val="Stopka"/>
    <w:uiPriority w:val="99"/>
    <w:rsid w:val="00F17612"/>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F17612"/>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basedOn w:val="Domylnaczcionkaakapitu"/>
    <w:link w:val="Tekstdymka"/>
    <w:uiPriority w:val="99"/>
    <w:semiHidden/>
    <w:rsid w:val="00F17612"/>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F1761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17612"/>
    <w:pPr>
      <w:ind w:left="1497"/>
    </w:pPr>
  </w:style>
  <w:style w:type="paragraph" w:customStyle="1" w:styleId="ZTIRwLITzmtirwlitartykuempunktem">
    <w:name w:val="Z/TIR_w_LIT – zm. tir. w lit. artykułem (punktem)"/>
    <w:basedOn w:val="TIRtiret"/>
    <w:uiPriority w:val="33"/>
    <w:qFormat/>
    <w:rsid w:val="00F1761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17612"/>
  </w:style>
  <w:style w:type="paragraph" w:styleId="Bezodstpw">
    <w:name w:val="No Spacing"/>
    <w:uiPriority w:val="99"/>
    <w:rsid w:val="00F17612"/>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F17612"/>
    <w:pPr>
      <w:ind w:left="1020"/>
    </w:pPr>
  </w:style>
  <w:style w:type="paragraph" w:customStyle="1" w:styleId="ZARTzmartartykuempunktem">
    <w:name w:val="Z/ART(§) – zm. art. (§) artykułem (punktem)"/>
    <w:basedOn w:val="ARTartustawynprozporzdzenia"/>
    <w:uiPriority w:val="30"/>
    <w:qFormat/>
    <w:rsid w:val="00F1761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F17612"/>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17612"/>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1761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17612"/>
    <w:rPr>
      <w:bCs/>
    </w:rPr>
  </w:style>
  <w:style w:type="paragraph" w:customStyle="1" w:styleId="OZNRODZAKTUtznustawalubrozporzdzenieiorganwydajcy">
    <w:name w:val="OZN_RODZ_AKTU – tzn. ustawa lub rozporządzenie i organ wydający"/>
    <w:next w:val="DATAAKTUdatauchwalenialubwydaniaaktu"/>
    <w:uiPriority w:val="5"/>
    <w:qFormat/>
    <w:rsid w:val="00F1761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F17612"/>
    <w:pPr>
      <w:spacing w:before="0"/>
    </w:pPr>
    <w:rPr>
      <w:bCs/>
    </w:rPr>
  </w:style>
  <w:style w:type="paragraph" w:customStyle="1" w:styleId="PKTpunkt">
    <w:name w:val="PKT – punkt"/>
    <w:uiPriority w:val="13"/>
    <w:qFormat/>
    <w:rsid w:val="00F17612"/>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F17612"/>
    <w:pPr>
      <w:ind w:left="0" w:firstLine="0"/>
    </w:pPr>
  </w:style>
  <w:style w:type="paragraph" w:customStyle="1" w:styleId="LITlitera">
    <w:name w:val="LIT – litera"/>
    <w:basedOn w:val="PKTpunkt"/>
    <w:uiPriority w:val="14"/>
    <w:qFormat/>
    <w:rsid w:val="00F17612"/>
    <w:pPr>
      <w:ind w:left="986" w:hanging="476"/>
    </w:pPr>
  </w:style>
  <w:style w:type="paragraph" w:customStyle="1" w:styleId="CZWSPLITczwsplnaliter">
    <w:name w:val="CZ_WSP_LIT – część wspólna liter"/>
    <w:basedOn w:val="LITlitera"/>
    <w:next w:val="USTustnpkodeksu"/>
    <w:uiPriority w:val="17"/>
    <w:qFormat/>
    <w:rsid w:val="00F17612"/>
    <w:pPr>
      <w:ind w:left="510" w:firstLine="0"/>
    </w:pPr>
    <w:rPr>
      <w:szCs w:val="24"/>
    </w:rPr>
  </w:style>
  <w:style w:type="paragraph" w:customStyle="1" w:styleId="TIRtiret">
    <w:name w:val="TIR – tiret"/>
    <w:basedOn w:val="LITlitera"/>
    <w:uiPriority w:val="15"/>
    <w:qFormat/>
    <w:rsid w:val="00F17612"/>
    <w:pPr>
      <w:ind w:left="1384" w:hanging="397"/>
    </w:pPr>
  </w:style>
  <w:style w:type="paragraph" w:customStyle="1" w:styleId="CZWSPTIRczwsplnatiret">
    <w:name w:val="CZ_WSP_TIR – część wspólna tiret"/>
    <w:basedOn w:val="TIRtiret"/>
    <w:next w:val="USTustnpkodeksu"/>
    <w:uiPriority w:val="17"/>
    <w:qFormat/>
    <w:rsid w:val="00F17612"/>
    <w:pPr>
      <w:ind w:left="987" w:firstLine="0"/>
    </w:pPr>
  </w:style>
  <w:style w:type="paragraph" w:customStyle="1" w:styleId="CYTcytatnpprzysigi">
    <w:name w:val="CYT – cytat np. przysięgi"/>
    <w:basedOn w:val="USTustnpkodeksu"/>
    <w:next w:val="USTustnpkodeksu"/>
    <w:uiPriority w:val="18"/>
    <w:qFormat/>
    <w:rsid w:val="00F1761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17612"/>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F17612"/>
  </w:style>
  <w:style w:type="paragraph" w:customStyle="1" w:styleId="ZLITCZWSPTIRwLITzmczciwsptirwlitliter">
    <w:name w:val="Z_LIT/CZ_WSP_TIR_w_LIT – zm. części wsp. tir. w lit. literą"/>
    <w:basedOn w:val="CZWSPTIRczwsplnatiret"/>
    <w:next w:val="LITlitera"/>
    <w:uiPriority w:val="51"/>
    <w:qFormat/>
    <w:rsid w:val="00F17612"/>
    <w:pPr>
      <w:ind w:left="1463"/>
    </w:pPr>
  </w:style>
  <w:style w:type="paragraph" w:customStyle="1" w:styleId="ZLITTIRwLITzmtirwlitliter">
    <w:name w:val="Z_LIT/TIR_w_LIT – zm. tir. w lit. literą"/>
    <w:basedOn w:val="TIRtiret"/>
    <w:uiPriority w:val="49"/>
    <w:qFormat/>
    <w:rsid w:val="00F17612"/>
    <w:pPr>
      <w:ind w:left="1860"/>
    </w:pPr>
  </w:style>
  <w:style w:type="paragraph" w:customStyle="1" w:styleId="TYTDZOZNoznaczenietytuulubdziau">
    <w:name w:val="TYT(DZ)_OZN – oznaczenie tytułu lub działu"/>
    <w:next w:val="Normalny"/>
    <w:uiPriority w:val="9"/>
    <w:qFormat/>
    <w:rsid w:val="00F17612"/>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1761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1761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17612"/>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1761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17612"/>
    <w:pPr>
      <w:ind w:left="510"/>
    </w:pPr>
  </w:style>
  <w:style w:type="paragraph" w:customStyle="1" w:styleId="ZZLITzmianazmlit">
    <w:name w:val="ZZ/LIT – zmiana zm. lit."/>
    <w:basedOn w:val="ZZPKTzmianazmpkt"/>
    <w:uiPriority w:val="67"/>
    <w:qFormat/>
    <w:rsid w:val="00F17612"/>
    <w:pPr>
      <w:ind w:left="2370" w:hanging="476"/>
    </w:pPr>
  </w:style>
  <w:style w:type="paragraph" w:customStyle="1" w:styleId="ZZTIRzmianazmtir">
    <w:name w:val="ZZ/TIR – zmiana zm. tir."/>
    <w:basedOn w:val="ZZLITzmianazmlit"/>
    <w:uiPriority w:val="67"/>
    <w:qFormat/>
    <w:rsid w:val="00F1761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17612"/>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F17612"/>
    <w:pPr>
      <w:ind w:left="987"/>
    </w:pPr>
  </w:style>
  <w:style w:type="paragraph" w:customStyle="1" w:styleId="ZLITPKTzmpktliter">
    <w:name w:val="Z_LIT/PKT – zm. pkt literą"/>
    <w:basedOn w:val="PKTpunkt"/>
    <w:uiPriority w:val="47"/>
    <w:qFormat/>
    <w:rsid w:val="00F17612"/>
    <w:pPr>
      <w:ind w:left="1497"/>
    </w:pPr>
  </w:style>
  <w:style w:type="paragraph" w:customStyle="1" w:styleId="ZZCZWSPPKTzmianazmczciwsppkt">
    <w:name w:val="ZZ/CZ_WSP_PKT – zmiana. zm. części wsp. pkt"/>
    <w:basedOn w:val="ZZARTzmianazmart"/>
    <w:next w:val="ZPKTzmpktartykuempunktem"/>
    <w:uiPriority w:val="68"/>
    <w:qFormat/>
    <w:rsid w:val="00F17612"/>
    <w:pPr>
      <w:ind w:firstLine="0"/>
    </w:pPr>
  </w:style>
  <w:style w:type="paragraph" w:customStyle="1" w:styleId="ZLITLITzmlitliter">
    <w:name w:val="Z_LIT/LIT – zm. lit. literą"/>
    <w:basedOn w:val="LITlitera"/>
    <w:uiPriority w:val="48"/>
    <w:qFormat/>
    <w:rsid w:val="00F17612"/>
    <w:pPr>
      <w:ind w:left="1463"/>
    </w:pPr>
  </w:style>
  <w:style w:type="paragraph" w:customStyle="1" w:styleId="ZLITCZWSPPKTzmczciwsppktliter">
    <w:name w:val="Z_LIT/CZ_WSP_PKT – zm. części wsp. pkt literą"/>
    <w:basedOn w:val="CZWSPLITczwsplnaliter"/>
    <w:next w:val="LITlitera"/>
    <w:uiPriority w:val="50"/>
    <w:qFormat/>
    <w:rsid w:val="00F17612"/>
    <w:pPr>
      <w:ind w:left="987"/>
    </w:pPr>
  </w:style>
  <w:style w:type="paragraph" w:customStyle="1" w:styleId="ZLITTIRzmtirliter">
    <w:name w:val="Z_LIT/TIR – zm. tir. literą"/>
    <w:basedOn w:val="TIRtiret"/>
    <w:uiPriority w:val="49"/>
    <w:qFormat/>
    <w:rsid w:val="00F17612"/>
  </w:style>
  <w:style w:type="paragraph" w:customStyle="1" w:styleId="ZZCZWSPLITwPKTzmianazmczciwsplitwpkt">
    <w:name w:val="ZZ/CZ_WSP_LIT_w_PKT – zmiana zm. części wsp. lit. w pkt"/>
    <w:basedOn w:val="ZZLITwPKTzmianazmlitwpkt"/>
    <w:uiPriority w:val="69"/>
    <w:qFormat/>
    <w:rsid w:val="00F17612"/>
    <w:pPr>
      <w:ind w:left="2404" w:firstLine="0"/>
    </w:pPr>
  </w:style>
  <w:style w:type="paragraph" w:customStyle="1" w:styleId="ZLITLITwPKTzmlitwpktliter">
    <w:name w:val="Z_LIT/LIT_w_PKT – zm. lit. w pkt literą"/>
    <w:basedOn w:val="LITlitera"/>
    <w:uiPriority w:val="48"/>
    <w:qFormat/>
    <w:rsid w:val="00F17612"/>
    <w:pPr>
      <w:ind w:left="1973"/>
    </w:pPr>
  </w:style>
  <w:style w:type="paragraph" w:customStyle="1" w:styleId="ZLITCZWSPLITwPKTzmczciwsplitwpktliter">
    <w:name w:val="Z_LIT/CZ_WSP_LIT_w_PKT – zm. części wsp. lit. w pkt literą"/>
    <w:basedOn w:val="CZWSPLITczwsplnaliter"/>
    <w:next w:val="LITlitera"/>
    <w:uiPriority w:val="51"/>
    <w:qFormat/>
    <w:rsid w:val="00F17612"/>
    <w:pPr>
      <w:ind w:left="1497"/>
    </w:pPr>
  </w:style>
  <w:style w:type="paragraph" w:customStyle="1" w:styleId="ZLITTIRwPKTzmtirwpktliter">
    <w:name w:val="Z_LIT/TIR_w_PKT – zm. tir. w pkt literą"/>
    <w:basedOn w:val="TIRtiret"/>
    <w:uiPriority w:val="49"/>
    <w:qFormat/>
    <w:rsid w:val="00F17612"/>
    <w:pPr>
      <w:ind w:left="2370"/>
    </w:pPr>
  </w:style>
  <w:style w:type="paragraph" w:customStyle="1" w:styleId="ZLITCZWSPTIRwPKTzmczciwsptirwpktliter">
    <w:name w:val="Z_LIT/CZ_WSP_TIR_w_PKT – zm. części wsp. tir. w pkt literą"/>
    <w:basedOn w:val="CZWSPTIRczwsplnatiret"/>
    <w:next w:val="LITlitera"/>
    <w:uiPriority w:val="51"/>
    <w:qFormat/>
    <w:rsid w:val="00F17612"/>
    <w:pPr>
      <w:ind w:left="1973"/>
    </w:pPr>
  </w:style>
  <w:style w:type="paragraph" w:styleId="Tekstprzypisudolnego">
    <w:name w:val="footnote text"/>
    <w:basedOn w:val="Normalny"/>
    <w:link w:val="TekstprzypisudolnegoZnak"/>
    <w:uiPriority w:val="99"/>
    <w:qFormat/>
    <w:rsid w:val="00F17612"/>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rsid w:val="00F17612"/>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F17612"/>
    <w:pPr>
      <w:ind w:left="1859"/>
    </w:pPr>
  </w:style>
  <w:style w:type="paragraph" w:customStyle="1" w:styleId="ZTIRCZWSPPKTzmczciwsppkttiret">
    <w:name w:val="Z_TIR/CZ_WSP_PKT – zm. części wsp. pkt tiret"/>
    <w:basedOn w:val="CZWSPLITczwsplnaliter"/>
    <w:next w:val="TIRtiret"/>
    <w:uiPriority w:val="58"/>
    <w:qFormat/>
    <w:rsid w:val="00F17612"/>
    <w:pPr>
      <w:ind w:left="1383"/>
    </w:pPr>
  </w:style>
  <w:style w:type="paragraph" w:customStyle="1" w:styleId="ZTIRTIRzmtirtiret">
    <w:name w:val="Z_TIR/TIR – zm. tir. tiret"/>
    <w:basedOn w:val="TIRtiret"/>
    <w:uiPriority w:val="57"/>
    <w:qFormat/>
    <w:rsid w:val="00F17612"/>
    <w:pPr>
      <w:ind w:left="1780"/>
    </w:pPr>
  </w:style>
  <w:style w:type="paragraph" w:customStyle="1" w:styleId="ZZCZWSPTIRwPKTzmianazmczciwsptirwpkt">
    <w:name w:val="ZZ/CZ_WSP_TIR_w_PKT – zmiana zm. części wsp. tir. w pkt"/>
    <w:basedOn w:val="ZZTIRwPKTzmianazmtirwpkt"/>
    <w:uiPriority w:val="70"/>
    <w:qFormat/>
    <w:rsid w:val="00F17612"/>
    <w:pPr>
      <w:ind w:left="2880" w:firstLine="0"/>
    </w:pPr>
  </w:style>
  <w:style w:type="paragraph" w:customStyle="1" w:styleId="ZZTIRwLITzmianazmtirwlit">
    <w:name w:val="ZZ/TIR_w_LIT – zmiana zm. tir. w lit."/>
    <w:basedOn w:val="ZZTIRzmianazmtir"/>
    <w:uiPriority w:val="67"/>
    <w:qFormat/>
    <w:rsid w:val="00F17612"/>
    <w:pPr>
      <w:ind w:left="2767"/>
    </w:pPr>
  </w:style>
  <w:style w:type="paragraph" w:customStyle="1" w:styleId="ZTIRTIRwLITzmtirwlittiret">
    <w:name w:val="Z_TIR/TIR_w_LIT – zm. tir. w lit. tiret"/>
    <w:basedOn w:val="TIRtiret"/>
    <w:uiPriority w:val="57"/>
    <w:qFormat/>
    <w:rsid w:val="00F17612"/>
    <w:pPr>
      <w:ind w:left="2257"/>
    </w:pPr>
  </w:style>
  <w:style w:type="paragraph" w:customStyle="1" w:styleId="ZTIRCZWSPTIRwLITzmczciwsptirwlittiret">
    <w:name w:val="Z_TIR/CZ_WSP_TIR_w_LIT – zm. części wsp. tir. w lit. tiret"/>
    <w:basedOn w:val="CZWSPTIRczwsplnatiret"/>
    <w:next w:val="TIRtiret"/>
    <w:uiPriority w:val="60"/>
    <w:qFormat/>
    <w:rsid w:val="00F17612"/>
    <w:pPr>
      <w:ind w:left="1860"/>
    </w:pPr>
  </w:style>
  <w:style w:type="paragraph" w:customStyle="1" w:styleId="CZWSP2TIRczwsplnapodwjnychtiret">
    <w:name w:val="CZ_WSP_2TIR – część wspólna podwójnych tiret"/>
    <w:basedOn w:val="CZWSPTIRczwsplnatiret"/>
    <w:next w:val="TIRtiret"/>
    <w:uiPriority w:val="73"/>
    <w:qFormat/>
    <w:rsid w:val="00F17612"/>
    <w:pPr>
      <w:ind w:left="1780"/>
    </w:pPr>
  </w:style>
  <w:style w:type="paragraph" w:customStyle="1" w:styleId="Z2TIRzmpodwtirartykuempunktem">
    <w:name w:val="Z/2TIR – zm. podw. tir. artykułem (punktem)"/>
    <w:basedOn w:val="TIRtiret"/>
    <w:uiPriority w:val="73"/>
    <w:qFormat/>
    <w:rsid w:val="00F17612"/>
    <w:pPr>
      <w:ind w:left="907"/>
    </w:pPr>
  </w:style>
  <w:style w:type="paragraph" w:customStyle="1" w:styleId="ZZCZWSPTIRwLITzmianazmczciwsptirwlit">
    <w:name w:val="ZZ/CZ_WSP_TIR_w_LIT – zmiana zm. części wsp. tir. w lit."/>
    <w:basedOn w:val="ZZTIRwLITzmianazmtirwlit"/>
    <w:uiPriority w:val="70"/>
    <w:qFormat/>
    <w:rsid w:val="00F17612"/>
    <w:pPr>
      <w:ind w:left="2370" w:firstLine="0"/>
    </w:pPr>
  </w:style>
  <w:style w:type="paragraph" w:customStyle="1" w:styleId="ZLIT2TIRzmpodwtirliter">
    <w:name w:val="Z_LIT/2TIR – zm. podw. tir. literą"/>
    <w:basedOn w:val="TIRtiret"/>
    <w:uiPriority w:val="75"/>
    <w:qFormat/>
    <w:rsid w:val="00F17612"/>
  </w:style>
  <w:style w:type="paragraph" w:customStyle="1" w:styleId="ZTIR2TIRzmpodwtirtiret">
    <w:name w:val="Z_TIR/2TIR – zm. podw. tir. tiret"/>
    <w:basedOn w:val="TIRtiret"/>
    <w:uiPriority w:val="78"/>
    <w:qFormat/>
    <w:rsid w:val="00F1761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17612"/>
    <w:pPr>
      <w:ind w:left="1780"/>
    </w:pPr>
  </w:style>
  <w:style w:type="paragraph" w:customStyle="1" w:styleId="Z2TIRwPKTzmpodwtirwpktartykuempunktem">
    <w:name w:val="Z/2TIR_w_PKT – zm. podw. tir. w pkt artykułem (punktem)"/>
    <w:basedOn w:val="TIRtiret"/>
    <w:next w:val="ZPKTzmpktartykuempunktem"/>
    <w:uiPriority w:val="74"/>
    <w:qFormat/>
    <w:rsid w:val="00F17612"/>
    <w:pPr>
      <w:ind w:left="2291"/>
    </w:pPr>
  </w:style>
  <w:style w:type="paragraph" w:customStyle="1" w:styleId="ZTIRPKTzmpkttiret">
    <w:name w:val="Z_TIR/PKT – zm. pkt tiret"/>
    <w:basedOn w:val="PKTpunkt"/>
    <w:uiPriority w:val="56"/>
    <w:qFormat/>
    <w:rsid w:val="00F17612"/>
    <w:pPr>
      <w:ind w:left="1893"/>
    </w:pPr>
  </w:style>
  <w:style w:type="paragraph" w:customStyle="1" w:styleId="ZTIRLITwPKTzmlitwpkttiret">
    <w:name w:val="Z_TIR/LIT_w_PKT – zm. lit. w pkt tiret"/>
    <w:basedOn w:val="LITlitera"/>
    <w:uiPriority w:val="57"/>
    <w:qFormat/>
    <w:rsid w:val="00F17612"/>
    <w:pPr>
      <w:ind w:left="2336"/>
    </w:pPr>
  </w:style>
  <w:style w:type="paragraph" w:customStyle="1" w:styleId="ZTIRCZWSPLITwPKTzmczciwsplitwpkttiret">
    <w:name w:val="Z_TIR/CZ_WSP_LIT_w_PKT – zm. części wsp. lit. w pkt tiret"/>
    <w:basedOn w:val="CZWSPLITczwsplnaliter"/>
    <w:uiPriority w:val="59"/>
    <w:qFormat/>
    <w:rsid w:val="00F17612"/>
    <w:pPr>
      <w:ind w:left="1860"/>
    </w:pPr>
  </w:style>
  <w:style w:type="paragraph" w:customStyle="1" w:styleId="ZTIR2TIRwLITzmpodwtirwlittiret">
    <w:name w:val="Z_TIR/2TIR_w_LIT – zm. podw. tir. w lit. tiret"/>
    <w:basedOn w:val="TIRtiret"/>
    <w:uiPriority w:val="79"/>
    <w:qFormat/>
    <w:rsid w:val="00F1761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17612"/>
    <w:pPr>
      <w:ind w:left="2257"/>
    </w:pPr>
  </w:style>
  <w:style w:type="paragraph" w:customStyle="1" w:styleId="ZTIR2TIRwTIRzmpodwtirwtirtiret">
    <w:name w:val="Z_TIR/2TIR_w_TIR – zm. podw. tir. w tir. tiret"/>
    <w:basedOn w:val="TIRtiret"/>
    <w:uiPriority w:val="78"/>
    <w:qFormat/>
    <w:rsid w:val="00F17612"/>
    <w:pPr>
      <w:ind w:left="2177"/>
    </w:pPr>
  </w:style>
  <w:style w:type="paragraph" w:customStyle="1" w:styleId="ZTIRCZWSP2TIRwTIRzmczciwsppodwtirwtirtiret">
    <w:name w:val="Z_TIR/CZ_WSP_2TIR_w_TIR – zm. części wsp. podw. tir. w tir. tiret"/>
    <w:basedOn w:val="CZWSPTIRczwsplnatiret"/>
    <w:uiPriority w:val="79"/>
    <w:qFormat/>
    <w:rsid w:val="00F17612"/>
    <w:pPr>
      <w:ind w:left="1780"/>
    </w:pPr>
  </w:style>
  <w:style w:type="paragraph" w:customStyle="1" w:styleId="Z2TIRLITzmlitpodwjnymtiret">
    <w:name w:val="Z_2TIR/LIT – zm. lit. podwójnym tiret"/>
    <w:basedOn w:val="LITlitera"/>
    <w:uiPriority w:val="84"/>
    <w:qFormat/>
    <w:rsid w:val="00F17612"/>
    <w:pPr>
      <w:ind w:left="2256"/>
    </w:pPr>
  </w:style>
  <w:style w:type="paragraph" w:customStyle="1" w:styleId="ZZ2TIRwTIRzmianazmpodwtirwtir">
    <w:name w:val="ZZ/2TIR_w_TIR – zmiana zm. podw. tir. w tir."/>
    <w:basedOn w:val="ZZCZWSP2TIRzmianazmczciwsppodwtir"/>
    <w:uiPriority w:val="93"/>
    <w:qFormat/>
    <w:rsid w:val="00F17612"/>
    <w:pPr>
      <w:ind w:left="2688" w:hanging="397"/>
    </w:pPr>
  </w:style>
  <w:style w:type="paragraph" w:customStyle="1" w:styleId="ZZ2TIRwLITzmianazmpodwtirwlit">
    <w:name w:val="ZZ/2TIR_w_LIT – zmiana zm. podw. tir. w lit."/>
    <w:basedOn w:val="ZZ2TIRwTIRzmianazmpodwtirwtir"/>
    <w:uiPriority w:val="94"/>
    <w:qFormat/>
    <w:rsid w:val="00F17612"/>
    <w:pPr>
      <w:ind w:left="3164"/>
    </w:pPr>
  </w:style>
  <w:style w:type="paragraph" w:customStyle="1" w:styleId="Z2TIRTIRwLITzmtirwlitpodwjnymtiret">
    <w:name w:val="Z_2TIR/TIR_w_LIT – zm. tir. w lit. podwójnym tiret"/>
    <w:basedOn w:val="TIRtiret"/>
    <w:uiPriority w:val="84"/>
    <w:qFormat/>
    <w:rsid w:val="00F1761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17612"/>
    <w:pPr>
      <w:ind w:left="2257"/>
    </w:pPr>
  </w:style>
  <w:style w:type="paragraph" w:customStyle="1" w:styleId="ZZ2TIRwPKTzmianazmpodwtirwpkt">
    <w:name w:val="ZZ/2TIR_w_PKT – zmiana zm. podw. tir. w pkt"/>
    <w:basedOn w:val="ZZ2TIRwLITzmianazmpodwtirwlit"/>
    <w:uiPriority w:val="94"/>
    <w:qFormat/>
    <w:rsid w:val="00F17612"/>
    <w:pPr>
      <w:ind w:left="3674"/>
    </w:pPr>
  </w:style>
  <w:style w:type="paragraph" w:customStyle="1" w:styleId="ZZCZWSP2TIRwTIRzmianazmczciwsppodwtirwtir">
    <w:name w:val="ZZ/CZ_WSP_2TIR_w_TIR – zmiana zm. części wsp. podw. tir. w tir."/>
    <w:basedOn w:val="ZZ2TIRwLITzmianazmpodwtirwlit"/>
    <w:uiPriority w:val="94"/>
    <w:qFormat/>
    <w:rsid w:val="00F17612"/>
    <w:pPr>
      <w:ind w:left="2291" w:firstLine="0"/>
    </w:pPr>
  </w:style>
  <w:style w:type="paragraph" w:customStyle="1" w:styleId="Z2TIR2TIRwTIRzmpodwtirwtirpodwjnymtiret">
    <w:name w:val="Z_2TIR/2TIR_w_TIR – zm. podw. tir. w tir. podwójnym tiret"/>
    <w:basedOn w:val="TIRtiret"/>
    <w:uiPriority w:val="85"/>
    <w:qFormat/>
    <w:rsid w:val="00F1761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17612"/>
    <w:pPr>
      <w:ind w:left="2177"/>
    </w:pPr>
  </w:style>
  <w:style w:type="paragraph" w:customStyle="1" w:styleId="Z2TIR2TIRwLITzmpodwtirwlitpodwjnymtiret">
    <w:name w:val="Z_2TIR/2TIR_w_LIT – zm. podw. tir. w lit. podwójnym tiret"/>
    <w:basedOn w:val="TIRtiret"/>
    <w:uiPriority w:val="86"/>
    <w:qFormat/>
    <w:rsid w:val="00F1761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1761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1761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17612"/>
    <w:pPr>
      <w:spacing w:after="120"/>
      <w:ind w:left="510"/>
    </w:pPr>
    <w:rPr>
      <w:b w:val="0"/>
    </w:rPr>
  </w:style>
  <w:style w:type="character" w:styleId="Odwoaniedokomentarza">
    <w:name w:val="annotation reference"/>
    <w:basedOn w:val="Domylnaczcionkaakapitu"/>
    <w:uiPriority w:val="99"/>
    <w:semiHidden/>
    <w:rsid w:val="00F17612"/>
    <w:rPr>
      <w:sz w:val="16"/>
      <w:szCs w:val="16"/>
    </w:rPr>
  </w:style>
  <w:style w:type="paragraph" w:styleId="Tekstkomentarza">
    <w:name w:val="annotation text"/>
    <w:basedOn w:val="Normalny"/>
    <w:link w:val="TekstkomentarzaZnak"/>
    <w:uiPriority w:val="99"/>
    <w:rsid w:val="00F17612"/>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rsid w:val="00F17612"/>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F17612"/>
    <w:rPr>
      <w:b/>
      <w:bCs/>
    </w:rPr>
  </w:style>
  <w:style w:type="character" w:customStyle="1" w:styleId="TematkomentarzaZnak">
    <w:name w:val="Temat komentarza Znak"/>
    <w:basedOn w:val="TekstkomentarzaZnak"/>
    <w:link w:val="Tematkomentarza"/>
    <w:uiPriority w:val="99"/>
    <w:semiHidden/>
    <w:rsid w:val="00F17612"/>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F17612"/>
    <w:pPr>
      <w:ind w:left="1894"/>
    </w:pPr>
  </w:style>
  <w:style w:type="paragraph" w:customStyle="1" w:styleId="ZZPKTzmianazmpkt">
    <w:name w:val="ZZ/PKT – zmiana zm. pkt"/>
    <w:basedOn w:val="ZPKTzmpktartykuempunktem"/>
    <w:uiPriority w:val="66"/>
    <w:qFormat/>
    <w:rsid w:val="00F17612"/>
    <w:pPr>
      <w:ind w:left="2404"/>
    </w:pPr>
  </w:style>
  <w:style w:type="paragraph" w:customStyle="1" w:styleId="ZZLITwPKTzmianazmlitwpkt">
    <w:name w:val="ZZ/LIT_w_PKT – zmiana zm. lit. w pkt"/>
    <w:basedOn w:val="ZLITwPKTzmlitwpktartykuempunktem"/>
    <w:uiPriority w:val="67"/>
    <w:qFormat/>
    <w:rsid w:val="00F17612"/>
    <w:pPr>
      <w:ind w:left="2880"/>
    </w:pPr>
  </w:style>
  <w:style w:type="paragraph" w:customStyle="1" w:styleId="ZZTIRwPKTzmianazmtirwpkt">
    <w:name w:val="ZZ/TIR_w_PKT – zmiana zm. tir. w pkt"/>
    <w:basedOn w:val="ZTIRwPKTzmtirwpktartykuempunktem"/>
    <w:uiPriority w:val="67"/>
    <w:qFormat/>
    <w:rsid w:val="00F17612"/>
    <w:pPr>
      <w:ind w:left="3277"/>
    </w:pPr>
  </w:style>
  <w:style w:type="paragraph" w:customStyle="1" w:styleId="ZZWMATFIZCHEMzmwzorumatfizlubchem">
    <w:name w:val="ZZ/W_MAT(FIZ|CHEM) – zm. wzoru mat. (fiz. lub chem.)"/>
    <w:basedOn w:val="ZWMATFIZCHEMzmwzorumatfizlubchemartykuempunktem"/>
    <w:uiPriority w:val="71"/>
    <w:qFormat/>
    <w:rsid w:val="00F17612"/>
    <w:pPr>
      <w:ind w:left="2404"/>
    </w:pPr>
  </w:style>
  <w:style w:type="paragraph" w:customStyle="1" w:styleId="ODNONIKtreodnonika">
    <w:name w:val="ODNOŚNIK – treść odnośnika"/>
    <w:uiPriority w:val="19"/>
    <w:qFormat/>
    <w:rsid w:val="00F17612"/>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1761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1761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17612"/>
    <w:rPr>
      <w:rFonts w:ascii="Times New Roman" w:hAnsi="Times New Roman"/>
    </w:rPr>
  </w:style>
  <w:style w:type="paragraph" w:customStyle="1" w:styleId="ZTIRTIRwPKTzmtirwpkttiret">
    <w:name w:val="Z_TIR/TIR_w_PKT – zm. tir. w pkt tiret"/>
    <w:basedOn w:val="ZTIRTIRwLITzmtirwlittiret"/>
    <w:uiPriority w:val="57"/>
    <w:qFormat/>
    <w:rsid w:val="00F17612"/>
    <w:pPr>
      <w:ind w:left="2733"/>
    </w:pPr>
  </w:style>
  <w:style w:type="paragraph" w:customStyle="1" w:styleId="ZTIRCZWSPTIRwPKTzmczciwsptirtiret">
    <w:name w:val="Z_TIR/CZ_WSP_TIR_w_PKT – zm. części wsp. tir. tiret"/>
    <w:basedOn w:val="ZTIRTIRwPKTzmtirwpkttiret"/>
    <w:next w:val="TIRtiret"/>
    <w:uiPriority w:val="60"/>
    <w:qFormat/>
    <w:rsid w:val="00F1761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17612"/>
    <w:pPr>
      <w:ind w:left="510" w:firstLine="0"/>
    </w:pPr>
  </w:style>
  <w:style w:type="paragraph" w:customStyle="1" w:styleId="ROZDZODDZOZNoznaczenierozdziauluboddziau">
    <w:name w:val="ROZDZ(ODDZ)_OZN – oznaczenie rozdziału lub oddziału"/>
    <w:next w:val="ARTartustawynprozporzdzenia"/>
    <w:uiPriority w:val="10"/>
    <w:qFormat/>
    <w:rsid w:val="00F17612"/>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17612"/>
    <w:pPr>
      <w:ind w:left="2177"/>
    </w:pPr>
  </w:style>
  <w:style w:type="paragraph" w:customStyle="1" w:styleId="Z2TIRTIRzmtirpodwjnymtiret">
    <w:name w:val="Z_2TIR/TIR – zm. tir. podwójnym tiret"/>
    <w:basedOn w:val="TIRtiret"/>
    <w:uiPriority w:val="84"/>
    <w:qFormat/>
    <w:rsid w:val="00F1761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17612"/>
    <w:pPr>
      <w:ind w:left="1021"/>
    </w:pPr>
  </w:style>
  <w:style w:type="paragraph" w:customStyle="1" w:styleId="ZLITSKARNzmsankcjikarnejliter">
    <w:name w:val="Z_LIT/S_KARN – zm. sankcji karnej literą"/>
    <w:basedOn w:val="ZSKARNzmsankcjikarnejwszczeglnociwKodeksiekarnym"/>
    <w:uiPriority w:val="53"/>
    <w:qFormat/>
    <w:rsid w:val="00F1761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1761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17612"/>
    <w:pPr>
      <w:ind w:left="1894" w:firstLine="0"/>
    </w:pPr>
  </w:style>
  <w:style w:type="paragraph" w:customStyle="1" w:styleId="Z2TIRwLITzmpodwtirwlitartykuempunktem">
    <w:name w:val="Z/2TIR_w_LIT – zm. podw. tir. w lit. artykułem (punktem)"/>
    <w:basedOn w:val="Z2TIRwPKTzmpodwtirwpktartykuempunktem"/>
    <w:uiPriority w:val="74"/>
    <w:qFormat/>
    <w:rsid w:val="00F17612"/>
    <w:pPr>
      <w:ind w:left="1780"/>
    </w:pPr>
  </w:style>
  <w:style w:type="paragraph" w:customStyle="1" w:styleId="Z2TIRwTIRzmpodwtirwtirartykuempunktem">
    <w:name w:val="Z/2TIR_w_TIR – zm. podw. tir. w tir. artykułem (punktem)"/>
    <w:basedOn w:val="Z2TIRwLITzmpodwtirwlitartykuempunktem"/>
    <w:uiPriority w:val="73"/>
    <w:qFormat/>
    <w:rsid w:val="00F1761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1761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17612"/>
    <w:pPr>
      <w:ind w:left="1383" w:firstLine="0"/>
    </w:pPr>
  </w:style>
  <w:style w:type="paragraph" w:customStyle="1" w:styleId="ZZCZWSP2TIRzmianazmczciwsppodwtir">
    <w:name w:val="ZZ/CZ_WSP_2TIR – zmiana zm. części wsp. podw. tir."/>
    <w:basedOn w:val="ZZTIRzmianazmtir"/>
    <w:next w:val="ZZUSTzmianazmust"/>
    <w:uiPriority w:val="94"/>
    <w:qFormat/>
    <w:rsid w:val="00F17612"/>
    <w:pPr>
      <w:ind w:left="1894" w:firstLine="0"/>
    </w:pPr>
  </w:style>
  <w:style w:type="paragraph" w:customStyle="1" w:styleId="PKTODNONIKApunktodnonika">
    <w:name w:val="PKT_ODNOŚNIKA – punkt odnośnika"/>
    <w:basedOn w:val="ODNONIKtreodnonika"/>
    <w:uiPriority w:val="19"/>
    <w:qFormat/>
    <w:rsid w:val="00F17612"/>
    <w:pPr>
      <w:ind w:left="568"/>
    </w:pPr>
  </w:style>
  <w:style w:type="paragraph" w:customStyle="1" w:styleId="ZODNONIKAzmtekstuodnonikaartykuempunktem">
    <w:name w:val="Z/ODNOŚNIKA – zm. tekstu odnośnika artykułem (punktem)"/>
    <w:basedOn w:val="ODNONIKtreodnonika"/>
    <w:uiPriority w:val="39"/>
    <w:qFormat/>
    <w:rsid w:val="00F1761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17612"/>
    <w:pPr>
      <w:ind w:left="1304"/>
    </w:pPr>
  </w:style>
  <w:style w:type="paragraph" w:customStyle="1" w:styleId="ZPKTODNONIKAzmpktodnonikaartykuempunktem">
    <w:name w:val="Z/PKT_ODNOŚNIKA – zm. pkt odnośnika artykułem (punktem)"/>
    <w:basedOn w:val="ZODNONIKAzmtekstuodnonikaartykuempunktem"/>
    <w:uiPriority w:val="39"/>
    <w:qFormat/>
    <w:rsid w:val="00F17612"/>
  </w:style>
  <w:style w:type="paragraph" w:customStyle="1" w:styleId="ZLIT2TIRwTIRzmpodwtirwtirliter">
    <w:name w:val="Z_LIT/2TIR_w_TIR – zm. podw. tir. w tir. literą"/>
    <w:basedOn w:val="ZLIT2TIRzmpodwtirliter"/>
    <w:uiPriority w:val="75"/>
    <w:qFormat/>
    <w:rsid w:val="00F17612"/>
    <w:pPr>
      <w:ind w:left="1780"/>
    </w:pPr>
  </w:style>
  <w:style w:type="paragraph" w:customStyle="1" w:styleId="ZLIT2TIRwLITzmpodwtirwlitliter">
    <w:name w:val="Z_LIT/2TIR_w_LIT – zm. podw. tir. w lit. literą"/>
    <w:basedOn w:val="ZLIT2TIRwTIRzmpodwtirwtirliter"/>
    <w:uiPriority w:val="76"/>
    <w:qFormat/>
    <w:rsid w:val="00F17612"/>
    <w:pPr>
      <w:ind w:left="2257"/>
    </w:pPr>
  </w:style>
  <w:style w:type="paragraph" w:customStyle="1" w:styleId="ZLIT2TIRwPKTzmpodwtirwpktliter">
    <w:name w:val="Z_LIT/2TIR_w_PKT – zm. podw. tir. w pkt literą"/>
    <w:basedOn w:val="ZLIT2TIRwLITzmpodwtirwlitliter"/>
    <w:uiPriority w:val="76"/>
    <w:qFormat/>
    <w:rsid w:val="00F1761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1761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1761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17612"/>
    <w:pPr>
      <w:ind w:left="2370" w:firstLine="0"/>
    </w:pPr>
  </w:style>
  <w:style w:type="paragraph" w:customStyle="1" w:styleId="ZTIR2TIRwPKTzmpodwtirwpkttiret">
    <w:name w:val="Z_TIR/2TIR_w_PKT – zm. podw. tir. w pkt tiret"/>
    <w:basedOn w:val="ZTIR2TIRwLITzmpodwtirwlittiret"/>
    <w:uiPriority w:val="79"/>
    <w:qFormat/>
    <w:rsid w:val="00F1761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1761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17612"/>
    <w:pPr>
      <w:ind w:left="2767"/>
    </w:pPr>
  </w:style>
  <w:style w:type="paragraph" w:customStyle="1" w:styleId="ZZCZWSP2TIRwPKTzmianazmczciwsppodwtirwpkt">
    <w:name w:val="ZZ/CZ_WSP_2TIR_w_PKT – zmiana zm. części wsp. podw. tir. w pkt"/>
    <w:basedOn w:val="ZZ2TIRwLITzmianazmpodwtirwlit"/>
    <w:uiPriority w:val="95"/>
    <w:qFormat/>
    <w:rsid w:val="00F1761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17612"/>
  </w:style>
  <w:style w:type="paragraph" w:customStyle="1" w:styleId="ZLITCZWSP2TIRzmczciwsppodwtirliter">
    <w:name w:val="Z_LIT/CZ_WSP_2TIR – zm. części wsp. podw. tir. literą"/>
    <w:basedOn w:val="ZLITCZWSPPKTzmczciwsppktliter"/>
    <w:next w:val="LITlitera"/>
    <w:uiPriority w:val="76"/>
    <w:qFormat/>
    <w:rsid w:val="00F17612"/>
  </w:style>
  <w:style w:type="paragraph" w:customStyle="1" w:styleId="ZTIRCZWSP2TIRzmczciwsppodwtirtiret">
    <w:name w:val="Z_TIR/CZ_WSP_2TIR – zm. części wsp. podw. tir. tiret"/>
    <w:basedOn w:val="ZLITCZWSP2TIRzmczciwsppodwtirliter"/>
    <w:next w:val="TIRtiret"/>
    <w:uiPriority w:val="79"/>
    <w:qFormat/>
    <w:rsid w:val="00F17612"/>
  </w:style>
  <w:style w:type="paragraph" w:customStyle="1" w:styleId="ZZ2TIRzmianazmpodwtir">
    <w:name w:val="ZZ/2TIR – zmiana zm. podw. tir."/>
    <w:basedOn w:val="ZZCZWSP2TIRzmianazmczciwsppodwtir"/>
    <w:uiPriority w:val="93"/>
    <w:qFormat/>
    <w:rsid w:val="00F1761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17612"/>
  </w:style>
  <w:style w:type="paragraph" w:customStyle="1" w:styleId="ZCZWSPTIRzmczciwsptirartykuempunktem">
    <w:name w:val="Z/CZ_WSP_TIR – zm. części wsp. tir. artykułem (punktem)"/>
    <w:basedOn w:val="ZCZWSPPKTzmczciwsppktartykuempunktem"/>
    <w:next w:val="PKTpunkt"/>
    <w:uiPriority w:val="35"/>
    <w:qFormat/>
    <w:rsid w:val="00F17612"/>
  </w:style>
  <w:style w:type="paragraph" w:customStyle="1" w:styleId="ZLITCZWSPLITzmczciwsplitliter">
    <w:name w:val="Z_LIT/CZ_WSP_LIT – zm. części wsp. lit. literą"/>
    <w:basedOn w:val="ZLITCZWSPPKTzmczciwsppktliter"/>
    <w:next w:val="LITlitera"/>
    <w:uiPriority w:val="51"/>
    <w:qFormat/>
    <w:rsid w:val="00F17612"/>
  </w:style>
  <w:style w:type="paragraph" w:customStyle="1" w:styleId="ZLITCZWSPTIRzmczciwsptirliter">
    <w:name w:val="Z_LIT/CZ_WSP_TIR – zm. części wsp. tir. literą"/>
    <w:basedOn w:val="ZLITCZWSPPKTzmczciwsppktliter"/>
    <w:next w:val="LITlitera"/>
    <w:uiPriority w:val="51"/>
    <w:qFormat/>
    <w:rsid w:val="00F17612"/>
  </w:style>
  <w:style w:type="paragraph" w:customStyle="1" w:styleId="ZTIRCZWSPLITzmczciwsplittiret">
    <w:name w:val="Z_TIR/CZ_WSP_LIT – zm. części wsp. lit. tiret"/>
    <w:basedOn w:val="ZTIRCZWSPPKTzmczciwsppkttiret"/>
    <w:next w:val="TIRtiret"/>
    <w:uiPriority w:val="59"/>
    <w:qFormat/>
    <w:rsid w:val="00F17612"/>
  </w:style>
  <w:style w:type="paragraph" w:customStyle="1" w:styleId="ZTIRCZWSPTIRzmczciwsptirtiret">
    <w:name w:val="Z_TIR/CZ_WSP_TIR – zm. części wsp. tir. tiret"/>
    <w:basedOn w:val="ZTIRCZWSPPKTzmczciwsppkttiret"/>
    <w:next w:val="TIRtiret"/>
    <w:uiPriority w:val="60"/>
    <w:qFormat/>
    <w:rsid w:val="00F17612"/>
  </w:style>
  <w:style w:type="paragraph" w:customStyle="1" w:styleId="ZZCZWSPLITzmianazmczciwsplit">
    <w:name w:val="ZZ/CZ_WSP_LIT – zmiana. zm. części wsp. lit."/>
    <w:basedOn w:val="ZZCZWSPPKTzmianazmczciwsppkt"/>
    <w:uiPriority w:val="69"/>
    <w:qFormat/>
    <w:rsid w:val="00F17612"/>
  </w:style>
  <w:style w:type="paragraph" w:customStyle="1" w:styleId="ZZCZWSPTIRzmianazmczciwsptir">
    <w:name w:val="ZZ/CZ_WSP_TIR – zmiana. zm. części wsp. tir."/>
    <w:basedOn w:val="ZZCZWSPPKTzmianazmczciwsppkt"/>
    <w:uiPriority w:val="69"/>
    <w:qFormat/>
    <w:rsid w:val="00F17612"/>
  </w:style>
  <w:style w:type="paragraph" w:customStyle="1" w:styleId="Z2TIRCZWSPTIRzmczciwsptirpodwjnymtiret">
    <w:name w:val="Z_2TIR/CZ_WSP_TIR – zm. części wsp. tir. podwójnym tiret"/>
    <w:basedOn w:val="Z2TIRCZWSPLITzmczciwsplitpodwjnymtiret"/>
    <w:next w:val="2TIRpodwjnytiret"/>
    <w:uiPriority w:val="87"/>
    <w:qFormat/>
    <w:rsid w:val="00F1761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17612"/>
  </w:style>
  <w:style w:type="paragraph" w:customStyle="1" w:styleId="ZUSTzmustartykuempunktem">
    <w:name w:val="Z/UST(§) – zm. ust. (§) artykułem (punktem)"/>
    <w:basedOn w:val="ZARTzmartartykuempunktem"/>
    <w:uiPriority w:val="30"/>
    <w:qFormat/>
    <w:rsid w:val="00F17612"/>
  </w:style>
  <w:style w:type="paragraph" w:customStyle="1" w:styleId="ZZUSTzmianazmust">
    <w:name w:val="ZZ/UST(§) – zmiana zm. ust. (§)"/>
    <w:basedOn w:val="ZZARTzmianazmart"/>
    <w:uiPriority w:val="65"/>
    <w:qFormat/>
    <w:rsid w:val="00F17612"/>
  </w:style>
  <w:style w:type="paragraph" w:customStyle="1" w:styleId="TYTDZPRZEDMprzedmiotregulacjitytuulubdziau">
    <w:name w:val="TYT(DZ)_PRZEDM – przedmiot regulacji tytułu lub działu"/>
    <w:next w:val="ARTartustawynprozporzdzenia"/>
    <w:uiPriority w:val="9"/>
    <w:qFormat/>
    <w:rsid w:val="00F17612"/>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1761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1761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1761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1761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1761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17612"/>
    <w:pPr>
      <w:ind w:left="1894"/>
    </w:pPr>
  </w:style>
  <w:style w:type="paragraph" w:customStyle="1" w:styleId="P1wTABELIpoziom1numeracjiwtabeli">
    <w:name w:val="P1_w_TABELI – poziom 1 numeracji w tabeli"/>
    <w:basedOn w:val="PKTpunkt"/>
    <w:uiPriority w:val="24"/>
    <w:qFormat/>
    <w:rsid w:val="00F1761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17612"/>
    <w:pPr>
      <w:ind w:left="0" w:firstLine="0"/>
    </w:pPr>
  </w:style>
  <w:style w:type="paragraph" w:customStyle="1" w:styleId="P2wTABELIpoziom2numeracjiwtabeli">
    <w:name w:val="P2_w_TABELI – poziom 2 numeracji w tabeli"/>
    <w:basedOn w:val="P1wTABELIpoziom1numeracjiwtabeli"/>
    <w:uiPriority w:val="24"/>
    <w:qFormat/>
    <w:rsid w:val="00F17612"/>
    <w:pPr>
      <w:ind w:left="794"/>
    </w:pPr>
  </w:style>
  <w:style w:type="paragraph" w:customStyle="1" w:styleId="P3wTABELIpoziom3numeracjiwtabeli">
    <w:name w:val="P3_w_TABELI – poziom 3 numeracji w tabeli"/>
    <w:basedOn w:val="P2wTABELIpoziom2numeracjiwtabeli"/>
    <w:uiPriority w:val="24"/>
    <w:qFormat/>
    <w:rsid w:val="00F1761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1761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F1761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F17612"/>
    <w:pPr>
      <w:ind w:left="1191"/>
    </w:pPr>
  </w:style>
  <w:style w:type="paragraph" w:customStyle="1" w:styleId="P4wTABELIpoziom4numeracjiwtabeli">
    <w:name w:val="P4_w_TABELI – poziom 4 numeracji w tabeli"/>
    <w:basedOn w:val="P3wTABELIpoziom3numeracjiwtabeli"/>
    <w:uiPriority w:val="24"/>
    <w:qFormat/>
    <w:rsid w:val="00F17612"/>
    <w:pPr>
      <w:ind w:left="1588"/>
    </w:pPr>
  </w:style>
  <w:style w:type="paragraph" w:customStyle="1" w:styleId="TYTTABELItytutabeli">
    <w:name w:val="TYT_TABELI – tytuł tabeli"/>
    <w:basedOn w:val="TYTDZOZNoznaczenietytuulubdziau"/>
    <w:uiPriority w:val="22"/>
    <w:qFormat/>
    <w:rsid w:val="00F17612"/>
    <w:rPr>
      <w:b/>
    </w:rPr>
  </w:style>
  <w:style w:type="paragraph" w:customStyle="1" w:styleId="OZNPROJEKTUwskazaniedatylubwersjiprojektu">
    <w:name w:val="OZN_PROJEKTU – wskazanie daty lub wersji projektu"/>
    <w:next w:val="OZNRODZAKTUtznustawalubrozporzdzenieiorganwydajcy"/>
    <w:uiPriority w:val="5"/>
    <w:qFormat/>
    <w:rsid w:val="00F17612"/>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1761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17612"/>
    <w:pPr>
      <w:ind w:left="0" w:right="4820"/>
      <w:jc w:val="left"/>
    </w:pPr>
  </w:style>
  <w:style w:type="paragraph" w:customStyle="1" w:styleId="TEKSTwporozumieniu">
    <w:name w:val="TEKST&quot;w porozumieniu:&quot;"/>
    <w:next w:val="NAZORGWPOROZUMIENIUnazwaorganuwporozumieniuzktrymaktjestwydawany"/>
    <w:uiPriority w:val="27"/>
    <w:qFormat/>
    <w:rsid w:val="00F17612"/>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1761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17612"/>
    <w:pPr>
      <w:ind w:left="510" w:firstLine="0"/>
    </w:pPr>
  </w:style>
  <w:style w:type="paragraph" w:customStyle="1" w:styleId="NOTATKILEGISLATORA">
    <w:name w:val="NOTATKI_LEGISLATORA"/>
    <w:basedOn w:val="Normalny"/>
    <w:uiPriority w:val="5"/>
    <w:qFormat/>
    <w:rsid w:val="00F17612"/>
    <w:rPr>
      <w:b/>
      <w:i/>
    </w:rPr>
  </w:style>
  <w:style w:type="paragraph" w:customStyle="1" w:styleId="OZNZACZNIKAwskazanienrzacznika">
    <w:name w:val="OZN_ZAŁĄCZNIKA – wskazanie nr załącznika"/>
    <w:basedOn w:val="OZNPROJEKTUwskazaniedatylubwersjiprojektu"/>
    <w:uiPriority w:val="28"/>
    <w:qFormat/>
    <w:rsid w:val="00F17612"/>
    <w:pPr>
      <w:keepNext/>
    </w:pPr>
    <w:rPr>
      <w:b/>
      <w:u w:val="none"/>
    </w:rPr>
  </w:style>
  <w:style w:type="paragraph" w:customStyle="1" w:styleId="OZNPARAFYADNOTACJE">
    <w:name w:val="OZN_PARAFY(ADNOTACJE)"/>
    <w:basedOn w:val="ODNONIKtreodnonika"/>
    <w:uiPriority w:val="26"/>
    <w:qFormat/>
    <w:rsid w:val="00F17612"/>
  </w:style>
  <w:style w:type="paragraph" w:customStyle="1" w:styleId="TEKSTZacznikido">
    <w:name w:val="TEKST&quot;Załącznik(i) do ...&quot;"/>
    <w:uiPriority w:val="28"/>
    <w:qFormat/>
    <w:rsid w:val="00F17612"/>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17612"/>
    <w:pPr>
      <w:ind w:left="851"/>
    </w:pPr>
  </w:style>
  <w:style w:type="paragraph" w:customStyle="1" w:styleId="CZWSPLITODNONIKAczwspliterodnonika">
    <w:name w:val="CZ_WSP_LIT_ODNOŚNIKA – część wsp. liter odnośnika"/>
    <w:basedOn w:val="LITODNONIKAliteraodnonika"/>
    <w:uiPriority w:val="22"/>
    <w:qFormat/>
    <w:rsid w:val="00F1761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F1761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F1761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F1761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F1761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F1761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F1761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F17612"/>
  </w:style>
  <w:style w:type="paragraph" w:customStyle="1" w:styleId="ZLITwPKTODNONIKAzmlitwpktodnonikaartykuempunktem">
    <w:name w:val="Z/LIT_w_PKT_ODNOŚNIKA – zm. lit. w pkt odnośnika artykułem (punktem)"/>
    <w:basedOn w:val="ZLITODNONIKAzmlitodnonikaartykuempunktem"/>
    <w:uiPriority w:val="40"/>
    <w:qFormat/>
    <w:rsid w:val="00F1761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1761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1761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1761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1761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1761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17612"/>
  </w:style>
  <w:style w:type="paragraph" w:customStyle="1" w:styleId="ZZFRAGzmianazmfragmentunpzdania">
    <w:name w:val="ZZ/FRAG – zmiana zm. fragmentu (np. zdania)"/>
    <w:basedOn w:val="ZZCZWSPPKTzmianazmczciwsppkt"/>
    <w:uiPriority w:val="70"/>
    <w:qFormat/>
    <w:rsid w:val="00F17612"/>
  </w:style>
  <w:style w:type="paragraph" w:customStyle="1" w:styleId="Z2TIRPKTzmpktpodwjnymtiret">
    <w:name w:val="Z_2TIR/PKT – zm. pkt podwójnym tiret"/>
    <w:basedOn w:val="Z2TIRLITzmlitpodwjnymtiret"/>
    <w:uiPriority w:val="83"/>
    <w:qFormat/>
    <w:rsid w:val="00F1761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1761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1761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1761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17612"/>
    <w:pPr>
      <w:ind w:left="1780" w:firstLine="510"/>
    </w:pPr>
  </w:style>
  <w:style w:type="paragraph" w:customStyle="1" w:styleId="Z2TIRUSTzmustpodwjnymtiret">
    <w:name w:val="Z_2TIR/UST(§) – zm. ust. (§) podwójnym tiret"/>
    <w:basedOn w:val="Z2TIRPKTzmpktpodwjnymtiret"/>
    <w:uiPriority w:val="82"/>
    <w:qFormat/>
    <w:rsid w:val="00F1761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17612"/>
    <w:pPr>
      <w:ind w:left="3164" w:firstLine="0"/>
    </w:pPr>
  </w:style>
  <w:style w:type="paragraph" w:customStyle="1" w:styleId="Z2TIRCZWSPPKTzmczciwsppktpodwjnymtiret">
    <w:name w:val="Z_2TIR/CZ_WSP_PKT – zm. części wsp. pkt podwójnym tiret"/>
    <w:basedOn w:val="Z2TIRPKTzmpktpodwjnymtiret"/>
    <w:uiPriority w:val="86"/>
    <w:qFormat/>
    <w:rsid w:val="00F1761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1761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17612"/>
    <w:pPr>
      <w:ind w:left="2767" w:firstLine="0"/>
    </w:pPr>
  </w:style>
  <w:style w:type="paragraph" w:customStyle="1" w:styleId="ZLITARTzmartliter">
    <w:name w:val="Z_LIT/ART(§) – zm. art. (§) literą"/>
    <w:basedOn w:val="ZLITUSTzmustliter"/>
    <w:uiPriority w:val="46"/>
    <w:qFormat/>
    <w:rsid w:val="00F17612"/>
    <w:rPr>
      <w:rFonts w:ascii="Times New Roman" w:hAnsi="Times New Roman"/>
    </w:rPr>
  </w:style>
  <w:style w:type="paragraph" w:customStyle="1" w:styleId="ZTIRARTzmarttiret">
    <w:name w:val="Z_TIR/ART(§) – zm. art. (§) tiret"/>
    <w:basedOn w:val="ZTIRPKTzmpkttiret"/>
    <w:uiPriority w:val="55"/>
    <w:qFormat/>
    <w:rsid w:val="00F17612"/>
    <w:pPr>
      <w:ind w:left="1383" w:firstLine="510"/>
    </w:pPr>
    <w:rPr>
      <w:rFonts w:ascii="Times New Roman" w:hAnsi="Times New Roman"/>
    </w:rPr>
  </w:style>
  <w:style w:type="paragraph" w:customStyle="1" w:styleId="ZTIRUSTzmusttiret">
    <w:name w:val="Z_TIR/UST(§) – zm. ust. (§) tiret"/>
    <w:basedOn w:val="ZTIRARTzmarttiret"/>
    <w:uiPriority w:val="55"/>
    <w:qFormat/>
    <w:rsid w:val="00F17612"/>
  </w:style>
  <w:style w:type="paragraph" w:customStyle="1" w:styleId="ZLITKSIGIzmozniprzedmksigiliter">
    <w:name w:val="Z_LIT/KSIĘGI – zm. ozn. i przedm. księgi literą"/>
    <w:basedOn w:val="ZCZCIKSIGIzmozniprzedmczciksigiartykuempunktem"/>
    <w:uiPriority w:val="44"/>
    <w:qFormat/>
    <w:rsid w:val="00F1761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1761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1761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1761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17612"/>
    <w:pPr>
      <w:ind w:left="987"/>
    </w:pPr>
  </w:style>
  <w:style w:type="paragraph" w:customStyle="1" w:styleId="ZTIRDZOZNzmozndziautiret">
    <w:name w:val="Z_TIR/DZ_OZN – zm. ozn. działu tiret"/>
    <w:basedOn w:val="ZLITTYTDZOZNzmozntytuudziauliter"/>
    <w:next w:val="ZTIRDZPRZEDMzmprzedmdziautiret"/>
    <w:uiPriority w:val="54"/>
    <w:qFormat/>
    <w:rsid w:val="00F17612"/>
    <w:pPr>
      <w:ind w:left="1383"/>
    </w:pPr>
  </w:style>
  <w:style w:type="paragraph" w:customStyle="1" w:styleId="ZTIRDZPRZEDMzmprzedmdziautiret">
    <w:name w:val="Z_TIR/DZ_PRZEDM – zm. przedm. działu tiret"/>
    <w:basedOn w:val="ZLITTYTDZPRZEDMzmprzedmtytuudziauliter"/>
    <w:uiPriority w:val="54"/>
    <w:qFormat/>
    <w:rsid w:val="00F1761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17612"/>
    <w:pPr>
      <w:ind w:left="1383"/>
    </w:pPr>
  </w:style>
  <w:style w:type="paragraph" w:customStyle="1" w:styleId="ZTIRROZDZODDZPRZEDMzmprzedmrozdzoddztiret">
    <w:name w:val="Z_TIR/ROZDZ(ODDZ)_PRZEDM – zm. przedm. rozdz. (oddz.) tiret"/>
    <w:basedOn w:val="ZLITROZDZODDZPRZEDMzmprzedmrozdzoddzliter"/>
    <w:uiPriority w:val="54"/>
    <w:qFormat/>
    <w:rsid w:val="00F1761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1761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17612"/>
    <w:pPr>
      <w:ind w:left="1780"/>
    </w:pPr>
  </w:style>
  <w:style w:type="character" w:customStyle="1" w:styleId="IGindeksgrny">
    <w:name w:val="_IG_ – indeks górny"/>
    <w:basedOn w:val="Domylnaczcionkaakapitu"/>
    <w:uiPriority w:val="2"/>
    <w:qFormat/>
    <w:rsid w:val="00F17612"/>
    <w:rPr>
      <w:b w:val="0"/>
      <w:i w:val="0"/>
      <w:vanish w:val="0"/>
      <w:spacing w:val="0"/>
      <w:vertAlign w:val="superscript"/>
    </w:rPr>
  </w:style>
  <w:style w:type="character" w:customStyle="1" w:styleId="IDindeksdolny">
    <w:name w:val="_ID_ – indeks dolny"/>
    <w:basedOn w:val="Domylnaczcionkaakapitu"/>
    <w:uiPriority w:val="3"/>
    <w:qFormat/>
    <w:rsid w:val="00F1761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F17612"/>
    <w:rPr>
      <w:b/>
      <w:vanish w:val="0"/>
      <w:spacing w:val="0"/>
      <w:vertAlign w:val="subscript"/>
    </w:rPr>
  </w:style>
  <w:style w:type="character" w:customStyle="1" w:styleId="IDKindeksdolnyikursywa">
    <w:name w:val="_ID_K_ – indeks dolny i kursywa"/>
    <w:basedOn w:val="Domylnaczcionkaakapitu"/>
    <w:uiPriority w:val="3"/>
    <w:qFormat/>
    <w:rsid w:val="00F17612"/>
    <w:rPr>
      <w:i/>
      <w:vanish w:val="0"/>
      <w:spacing w:val="0"/>
      <w:vertAlign w:val="subscript"/>
    </w:rPr>
  </w:style>
  <w:style w:type="character" w:customStyle="1" w:styleId="IGPindeksgrnyipogrubienie">
    <w:name w:val="_IG_P_ – indeks górny i pogrubienie"/>
    <w:basedOn w:val="Domylnaczcionkaakapitu"/>
    <w:uiPriority w:val="2"/>
    <w:qFormat/>
    <w:rsid w:val="00F17612"/>
    <w:rPr>
      <w:b/>
      <w:vanish w:val="0"/>
      <w:spacing w:val="0"/>
      <w:vertAlign w:val="superscript"/>
    </w:rPr>
  </w:style>
  <w:style w:type="character" w:customStyle="1" w:styleId="IGKindeksgrnyikursywa">
    <w:name w:val="_IG_K_ – indeks górny i kursywa"/>
    <w:basedOn w:val="Domylnaczcionkaakapitu"/>
    <w:uiPriority w:val="2"/>
    <w:qFormat/>
    <w:rsid w:val="00F1761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F1761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F17612"/>
    <w:rPr>
      <w:b/>
      <w:i/>
      <w:vanish w:val="0"/>
      <w:spacing w:val="0"/>
      <w:vertAlign w:val="subscript"/>
    </w:rPr>
  </w:style>
  <w:style w:type="character" w:customStyle="1" w:styleId="Ppogrubienie">
    <w:name w:val="_P_ – pogrubienie"/>
    <w:basedOn w:val="Domylnaczcionkaakapitu"/>
    <w:uiPriority w:val="1"/>
    <w:qFormat/>
    <w:rsid w:val="00F17612"/>
    <w:rPr>
      <w:b/>
    </w:rPr>
  </w:style>
  <w:style w:type="character" w:customStyle="1" w:styleId="Kkursywa">
    <w:name w:val="_K_ – kursywa"/>
    <w:basedOn w:val="Domylnaczcionkaakapitu"/>
    <w:uiPriority w:val="1"/>
    <w:qFormat/>
    <w:rsid w:val="00F17612"/>
    <w:rPr>
      <w:i/>
    </w:rPr>
  </w:style>
  <w:style w:type="character" w:customStyle="1" w:styleId="PKpogrubieniekursywa">
    <w:name w:val="_P_K_ – pogrubienie kursywa"/>
    <w:basedOn w:val="Domylnaczcionkaakapitu"/>
    <w:uiPriority w:val="1"/>
    <w:qFormat/>
    <w:rsid w:val="00F17612"/>
    <w:rPr>
      <w:b/>
      <w:i/>
    </w:rPr>
  </w:style>
  <w:style w:type="character" w:customStyle="1" w:styleId="TEKSTOZNACZONYWDOKUMENCIERDOWYMJAKOUKRYTY">
    <w:name w:val="_TEKST_OZNACZONY_W_DOKUMENCIE_ŹRÓDŁOWYM_JAKO_UKRYTY_"/>
    <w:basedOn w:val="Domylnaczcionkaakapitu"/>
    <w:uiPriority w:val="4"/>
    <w:unhideWhenUsed/>
    <w:qFormat/>
    <w:rsid w:val="00F17612"/>
    <w:rPr>
      <w:vanish w:val="0"/>
      <w:color w:val="FF0000"/>
      <w:u w:val="single" w:color="FF0000"/>
    </w:rPr>
  </w:style>
  <w:style w:type="character" w:customStyle="1" w:styleId="BEZWERSALIKW">
    <w:name w:val="_BEZ_WERSALIKÓW_"/>
    <w:basedOn w:val="Domylnaczcionkaakapitu"/>
    <w:uiPriority w:val="4"/>
    <w:qFormat/>
    <w:rsid w:val="00F17612"/>
    <w:rPr>
      <w:caps/>
    </w:rPr>
  </w:style>
  <w:style w:type="character" w:customStyle="1" w:styleId="IIGPindeksgrnyindeksugrnegoipogrubienie">
    <w:name w:val="_IIG_P_ – indeks górny indeksu górnego i pogrubienie"/>
    <w:basedOn w:val="Domylnaczcionkaakapitu"/>
    <w:uiPriority w:val="3"/>
    <w:qFormat/>
    <w:rsid w:val="00F1761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F1761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1761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F17612"/>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F17612"/>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F17612"/>
    <w:pPr>
      <w:ind w:left="1894"/>
    </w:pPr>
  </w:style>
  <w:style w:type="paragraph" w:customStyle="1" w:styleId="ZZSKARNzmianazmsankcjikarnej">
    <w:name w:val="ZZ/S_KARN – zmiana zm. sankcji karnej"/>
    <w:basedOn w:val="ZZFRAGzmianazmfragmentunpzdania"/>
    <w:uiPriority w:val="71"/>
    <w:qFormat/>
    <w:rsid w:val="00F1761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17612"/>
    <w:pPr>
      <w:ind w:left="2291" w:firstLine="0"/>
    </w:pPr>
  </w:style>
  <w:style w:type="paragraph" w:customStyle="1" w:styleId="WMATFIZCHEMwzrmatfizlubchem">
    <w:name w:val="W_MAT(FIZ|CHEM) – wzór mat. (fiz. lub chem.)"/>
    <w:uiPriority w:val="18"/>
    <w:qFormat/>
    <w:rsid w:val="00F17612"/>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F1761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1761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1761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1761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1761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1761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1761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1761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17612"/>
    <w:pPr>
      <w:ind w:left="3085"/>
    </w:pPr>
  </w:style>
  <w:style w:type="paragraph" w:customStyle="1" w:styleId="ZLITCYTzmcytatunpprzysigiliter">
    <w:name w:val="Z_LIT/CYT – zm. cytatu np. przysięgi literą"/>
    <w:basedOn w:val="ZCYTzmcytatunpprzysigiartykuempunktem"/>
    <w:uiPriority w:val="53"/>
    <w:qFormat/>
    <w:rsid w:val="00F17612"/>
    <w:pPr>
      <w:ind w:left="1497"/>
    </w:pPr>
  </w:style>
  <w:style w:type="paragraph" w:customStyle="1" w:styleId="ZTIRCYTzmcytatunpprzysigitiret">
    <w:name w:val="Z_TIR/CYT – zm. cytatu np. przysięgi tiret"/>
    <w:basedOn w:val="ZLITCYTzmcytatunpprzysigiliter"/>
    <w:next w:val="ZTIRUSTzmusttiret"/>
    <w:uiPriority w:val="61"/>
    <w:qFormat/>
    <w:rsid w:val="00F1761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17612"/>
    <w:pPr>
      <w:ind w:left="2291"/>
    </w:pPr>
  </w:style>
  <w:style w:type="paragraph" w:customStyle="1" w:styleId="ZZCYTzmianazmcytatunpprzysigi">
    <w:name w:val="ZZ/CYT – zmiana zm. cytatu np. przysięgi"/>
    <w:basedOn w:val="ZZFRAGzmianazmfragmentunpzdania"/>
    <w:next w:val="ZZUSTzmianazmust"/>
    <w:uiPriority w:val="71"/>
    <w:qFormat/>
    <w:rsid w:val="00F1761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17612"/>
    <w:pPr>
      <w:ind w:left="1780"/>
    </w:pPr>
  </w:style>
  <w:style w:type="table" w:styleId="Tabela-Siatka">
    <w:name w:val="Table Grid"/>
    <w:basedOn w:val="Standardowy"/>
    <w:rsid w:val="00F1761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F1761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F1761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F1761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F1761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F17612"/>
    <w:rPr>
      <w:color w:val="808080"/>
    </w:rPr>
  </w:style>
  <w:style w:type="character" w:styleId="Hipercze">
    <w:name w:val="Hyperlink"/>
    <w:basedOn w:val="Domylnaczcionkaakapitu"/>
    <w:uiPriority w:val="99"/>
    <w:unhideWhenUsed/>
    <w:rsid w:val="00F17612"/>
    <w:rPr>
      <w:color w:val="0000FF"/>
      <w:u w:val="single"/>
    </w:rPr>
  </w:style>
  <w:style w:type="character" w:styleId="UyteHipercze">
    <w:name w:val="FollowedHyperlink"/>
    <w:basedOn w:val="Domylnaczcionkaakapitu"/>
    <w:uiPriority w:val="99"/>
    <w:semiHidden/>
    <w:unhideWhenUsed/>
    <w:rsid w:val="00F17612"/>
    <w:rPr>
      <w:color w:val="954F72" w:themeColor="followedHyperlink"/>
      <w:u w:val="single"/>
    </w:rPr>
  </w:style>
  <w:style w:type="paragraph" w:styleId="Tekstprzypisukocowego">
    <w:name w:val="endnote text"/>
    <w:basedOn w:val="Normalny"/>
    <w:link w:val="TekstprzypisukocowegoZnak"/>
    <w:uiPriority w:val="99"/>
    <w:semiHidden/>
    <w:rsid w:val="00F17612"/>
    <w:pPr>
      <w:widowControl/>
      <w:autoSpaceDE/>
      <w:autoSpaceDN/>
      <w:adjustRightInd/>
      <w:spacing w:line="240" w:lineRule="auto"/>
    </w:pPr>
    <w:rPr>
      <w:rFonts w:ascii="Calibri" w:eastAsia="Calibri" w:hAnsi="Calibri" w:cs="Times New Roman"/>
      <w:sz w:val="20"/>
      <w:szCs w:val="22"/>
      <w:lang w:eastAsia="en-US"/>
    </w:rPr>
  </w:style>
  <w:style w:type="character" w:customStyle="1" w:styleId="TekstprzypisukocowegoZnak">
    <w:name w:val="Tekst przypisu końcowego Znak"/>
    <w:basedOn w:val="Domylnaczcionkaakapitu"/>
    <w:link w:val="Tekstprzypisukocowego"/>
    <w:uiPriority w:val="99"/>
    <w:semiHidden/>
    <w:rsid w:val="00F17612"/>
    <w:rPr>
      <w:rFonts w:ascii="Calibri" w:eastAsia="Calibri" w:hAnsi="Calibri" w:cs="Times New Roman"/>
      <w:sz w:val="20"/>
    </w:rPr>
  </w:style>
  <w:style w:type="character" w:styleId="Odwoanieprzypisukocowego">
    <w:name w:val="endnote reference"/>
    <w:basedOn w:val="Domylnaczcionkaakapitu"/>
    <w:uiPriority w:val="99"/>
    <w:semiHidden/>
    <w:rsid w:val="00F17612"/>
    <w:rPr>
      <w:vertAlign w:val="superscript"/>
    </w:rPr>
  </w:style>
  <w:style w:type="paragraph" w:styleId="Poprawka">
    <w:name w:val="Revision"/>
    <w:hidden/>
    <w:uiPriority w:val="99"/>
    <w:semiHidden/>
    <w:rsid w:val="00F17612"/>
    <w:pPr>
      <w:spacing w:after="0" w:line="240" w:lineRule="auto"/>
    </w:pPr>
    <w:rPr>
      <w:rFonts w:ascii="Times New Roman" w:eastAsiaTheme="minorEastAsia" w:hAnsi="Times New Roman" w:cs="Arial"/>
      <w:sz w:val="24"/>
      <w:szCs w:val="20"/>
      <w:lang w:eastAsia="pl-PL"/>
    </w:rPr>
  </w:style>
  <w:style w:type="paragraph" w:styleId="NormalnyWeb">
    <w:name w:val="Normal (Web)"/>
    <w:basedOn w:val="Normalny"/>
    <w:uiPriority w:val="99"/>
    <w:unhideWhenUsed/>
    <w:rsid w:val="00F17612"/>
    <w:pPr>
      <w:widowControl/>
      <w:autoSpaceDE/>
      <w:autoSpaceDN/>
      <w:adjustRightInd/>
      <w:spacing w:before="100" w:beforeAutospacing="1" w:after="100" w:afterAutospacing="1" w:line="240" w:lineRule="auto"/>
    </w:pPr>
    <w:rPr>
      <w:rFonts w:eastAsia="Times New Roman" w:cs="Times New Roman"/>
      <w:szCs w:val="24"/>
    </w:rPr>
  </w:style>
  <w:style w:type="character" w:styleId="Uwydatnienie">
    <w:name w:val="Emphasis"/>
    <w:basedOn w:val="Domylnaczcionkaakapitu"/>
    <w:uiPriority w:val="20"/>
    <w:qFormat/>
    <w:rsid w:val="00F17612"/>
    <w:rPr>
      <w:i/>
      <w:iCs/>
    </w:rPr>
  </w:style>
  <w:style w:type="paragraph" w:styleId="Akapitzlist">
    <w:name w:val="List Paragraph"/>
    <w:aliases w:val="Wyliczanie,BulletC,Listaszerű bekezdés1,List Paragraph à moi,Dot pt,F5 List Paragraph,Numbered Para 1,No Spacing1,List Paragraph Char Char Char,Indicator Text,Bullet Points,MAIN CONTENT,IFCL - List Paragraph"/>
    <w:basedOn w:val="Normalny"/>
    <w:link w:val="AkapitzlistZnak"/>
    <w:uiPriority w:val="34"/>
    <w:qFormat/>
    <w:rsid w:val="00F17612"/>
    <w:pPr>
      <w:widowControl/>
      <w:autoSpaceDE/>
      <w:autoSpaceDN/>
      <w:adjustRightInd/>
      <w:spacing w:after="160" w:line="256" w:lineRule="auto"/>
      <w:ind w:left="720"/>
      <w:contextualSpacing/>
    </w:pPr>
    <w:rPr>
      <w:rFonts w:ascii="Calibri" w:eastAsia="Calibri" w:hAnsi="Calibri" w:cs="Times New Roman"/>
      <w:sz w:val="22"/>
      <w:szCs w:val="22"/>
      <w:lang w:eastAsia="en-US"/>
    </w:rPr>
  </w:style>
  <w:style w:type="character" w:styleId="Pogrubienie">
    <w:name w:val="Strong"/>
    <w:basedOn w:val="Domylnaczcionkaakapitu"/>
    <w:uiPriority w:val="99"/>
    <w:qFormat/>
    <w:rsid w:val="00F17612"/>
    <w:rPr>
      <w:b/>
      <w:bCs/>
    </w:rPr>
  </w:style>
  <w:style w:type="table" w:customStyle="1" w:styleId="Tabela-Siatka1">
    <w:name w:val="Tabela - Siatka1"/>
    <w:basedOn w:val="Standardowy"/>
    <w:next w:val="Tabela-Siatka"/>
    <w:uiPriority w:val="39"/>
    <w:rsid w:val="00F1761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Elegancki1">
    <w:name w:val="Tabela - Elegancki1"/>
    <w:basedOn w:val="Standardowy"/>
    <w:next w:val="Tabela-Elegancki"/>
    <w:rsid w:val="00F1761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1">
    <w:name w:val="TABELA 2 z szablonu1"/>
    <w:basedOn w:val="Tabela-Elegancki"/>
    <w:uiPriority w:val="99"/>
    <w:rsid w:val="00F1761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1">
    <w:name w:val="TABELA 1 z szablonu1"/>
    <w:basedOn w:val="Tabela-Siatka"/>
    <w:uiPriority w:val="99"/>
    <w:rsid w:val="00F1761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1">
    <w:name w:val="TABELA 3 z szablonu1"/>
    <w:basedOn w:val="TABELA2zszablonu"/>
    <w:uiPriority w:val="99"/>
    <w:rsid w:val="00F1761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paragraph" w:customStyle="1" w:styleId="Default">
    <w:name w:val="Default"/>
    <w:rsid w:val="00F17612"/>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m3800975954162871113gmail-ustustnpkodeksu">
    <w:name w:val="m_3800975954162871113gmail-ustustnpkodeksu"/>
    <w:basedOn w:val="Normalny"/>
    <w:rsid w:val="00F17612"/>
    <w:pPr>
      <w:widowControl/>
      <w:autoSpaceDE/>
      <w:autoSpaceDN/>
      <w:adjustRightInd/>
      <w:spacing w:before="100" w:beforeAutospacing="1" w:after="100" w:afterAutospacing="1" w:line="240" w:lineRule="auto"/>
    </w:pPr>
    <w:rPr>
      <w:rFonts w:eastAsia="Times New Roman" w:cs="Times New Roman"/>
      <w:szCs w:val="24"/>
    </w:rPr>
  </w:style>
  <w:style w:type="paragraph" w:customStyle="1" w:styleId="Styl1">
    <w:name w:val="Styl1"/>
    <w:basedOn w:val="PKTpunkt"/>
    <w:qFormat/>
    <w:rsid w:val="00F17612"/>
    <w:rPr>
      <w:strike/>
    </w:rPr>
  </w:style>
  <w:style w:type="paragraph" w:customStyle="1" w:styleId="Styl2">
    <w:name w:val="Styl2"/>
    <w:basedOn w:val="ARTartustawynprozporzdzenia"/>
    <w:qFormat/>
    <w:rsid w:val="00F17612"/>
    <w:rPr>
      <w:strike/>
    </w:rPr>
  </w:style>
  <w:style w:type="paragraph" w:customStyle="1" w:styleId="Styl3">
    <w:name w:val="Styl3"/>
    <w:basedOn w:val="USTustnpkodeksu"/>
    <w:qFormat/>
    <w:rsid w:val="00F17612"/>
    <w:pPr>
      <w:ind w:firstLine="567"/>
    </w:pPr>
    <w:rPr>
      <w:rFonts w:ascii="Times New Roman" w:hAnsi="Times New Roman"/>
      <w:b/>
      <w:strike/>
    </w:rPr>
  </w:style>
  <w:style w:type="paragraph" w:customStyle="1" w:styleId="StylLITliteraDesePrzezroczystyBiay">
    <w:name w:val="Styl LIT – litera + Deseń: Przezroczysty (Biały)"/>
    <w:basedOn w:val="LITlitera"/>
    <w:rsid w:val="00F17612"/>
    <w:pPr>
      <w:ind w:left="993" w:hanging="426"/>
    </w:pPr>
    <w:rPr>
      <w:rFonts w:ascii="Times New Roman" w:hAnsi="Times New Roman"/>
      <w:szCs w:val="23"/>
      <w:shd w:val="clear" w:color="auto" w:fill="FFFFFF"/>
    </w:rPr>
  </w:style>
  <w:style w:type="character" w:customStyle="1" w:styleId="Wzmianka1">
    <w:name w:val="Wzmianka1"/>
    <w:basedOn w:val="Domylnaczcionkaakapitu"/>
    <w:uiPriority w:val="99"/>
    <w:unhideWhenUsed/>
    <w:rsid w:val="00F17612"/>
    <w:rPr>
      <w:color w:val="2B579A"/>
      <w:shd w:val="clear" w:color="auto" w:fill="E1DFDD"/>
    </w:rPr>
  </w:style>
  <w:style w:type="character" w:customStyle="1" w:styleId="Nierozpoznanawzmianka1">
    <w:name w:val="Nierozpoznana wzmianka1"/>
    <w:basedOn w:val="Domylnaczcionkaakapitu"/>
    <w:uiPriority w:val="99"/>
    <w:semiHidden/>
    <w:unhideWhenUsed/>
    <w:rsid w:val="00F17612"/>
    <w:rPr>
      <w:color w:val="605E5C"/>
      <w:shd w:val="clear" w:color="auto" w:fill="E1DFDD"/>
    </w:rPr>
  </w:style>
  <w:style w:type="character" w:customStyle="1" w:styleId="Wzmianka2">
    <w:name w:val="Wzmianka2"/>
    <w:basedOn w:val="Domylnaczcionkaakapitu"/>
    <w:uiPriority w:val="99"/>
    <w:unhideWhenUsed/>
    <w:rsid w:val="00F17612"/>
    <w:rPr>
      <w:color w:val="2B579A"/>
      <w:shd w:val="clear" w:color="auto" w:fill="E1DFDD"/>
    </w:rPr>
  </w:style>
  <w:style w:type="paragraph" w:customStyle="1" w:styleId="StylUSTustnpkodeksuDesePrzezroczysty">
    <w:name w:val="Styl UST(§) – ust. (§ np. kodeksu) + Deseń: Przezroczysty"/>
    <w:basedOn w:val="USTustnpkodeksu"/>
    <w:rsid w:val="00F17612"/>
    <w:pPr>
      <w:ind w:firstLine="567"/>
    </w:pPr>
    <w:rPr>
      <w:rFonts w:ascii="Times New Roman" w:hAnsi="Times New Roman"/>
    </w:rPr>
  </w:style>
  <w:style w:type="character" w:customStyle="1" w:styleId="UnresolvedMention1">
    <w:name w:val="Unresolved Mention1"/>
    <w:basedOn w:val="Domylnaczcionkaakapitu"/>
    <w:uiPriority w:val="99"/>
    <w:unhideWhenUsed/>
    <w:rsid w:val="00F17612"/>
    <w:rPr>
      <w:color w:val="605E5C"/>
      <w:shd w:val="clear" w:color="auto" w:fill="E1DFDD"/>
    </w:rPr>
  </w:style>
  <w:style w:type="character" w:customStyle="1" w:styleId="Mention1">
    <w:name w:val="Mention1"/>
    <w:basedOn w:val="Domylnaczcionkaakapitu"/>
    <w:uiPriority w:val="99"/>
    <w:unhideWhenUsed/>
    <w:rsid w:val="00F17612"/>
    <w:rPr>
      <w:color w:val="2B579A"/>
      <w:shd w:val="clear" w:color="auto" w:fill="E1DFDD"/>
    </w:rPr>
  </w:style>
  <w:style w:type="character" w:customStyle="1" w:styleId="AkapitzlistZnak">
    <w:name w:val="Akapit z listą Znak"/>
    <w:aliases w:val="Wyliczanie Znak,BulletC Znak,Listaszerű bekezdés1 Znak,List Paragraph à moi Znak,Dot pt Znak,F5 List Paragraph Znak,Numbered Para 1 Znak,No Spacing1 Znak,List Paragraph Char Char Char Znak,Indicator Text Znak,Bullet Points Znak"/>
    <w:link w:val="Akapitzlist"/>
    <w:uiPriority w:val="34"/>
    <w:qFormat/>
    <w:rsid w:val="00F17612"/>
    <w:rPr>
      <w:rFonts w:ascii="Calibri" w:eastAsia="Calibri" w:hAnsi="Calibri" w:cs="Times New Roman"/>
    </w:rPr>
  </w:style>
  <w:style w:type="table" w:customStyle="1" w:styleId="Tabela-Siatka11">
    <w:name w:val="Tabela - Siatka11"/>
    <w:basedOn w:val="Standardowy"/>
    <w:next w:val="Tabela-Siatka"/>
    <w:uiPriority w:val="39"/>
    <w:rsid w:val="00F1761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4">
    <w:name w:val="Styl4"/>
    <w:basedOn w:val="LITlitera"/>
    <w:autoRedefine/>
    <w:rsid w:val="00F17612"/>
    <w:pPr>
      <w:ind w:left="851" w:hanging="397"/>
    </w:pPr>
    <w:rPr>
      <w:rFonts w:ascii="Times New Roman" w:hAnsi="Times New Roman"/>
      <w:bCs w:val="0"/>
      <w:szCs w:val="23"/>
      <w:shd w:val="clear" w:color="auto" w:fill="FFFFFF"/>
    </w:rPr>
  </w:style>
  <w:style w:type="table" w:customStyle="1" w:styleId="Tabela-Siatka2">
    <w:name w:val="Tabela - Siatka2"/>
    <w:basedOn w:val="Standardowy"/>
    <w:next w:val="Tabela-Siatka"/>
    <w:uiPriority w:val="99"/>
    <w:rsid w:val="00F17612"/>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1jasnaakcent11">
    <w:name w:val="Tabela siatki 1 — jasna — akcent 11"/>
    <w:basedOn w:val="Standardowy"/>
    <w:next w:val="Tabelasiatki1jasnaakcent12"/>
    <w:uiPriority w:val="46"/>
    <w:rsid w:val="00F17612"/>
    <w:pPr>
      <w:spacing w:after="0" w:line="240" w:lineRule="auto"/>
    </w:pPr>
    <w:rPr>
      <w:rFonts w:ascii="Calibri" w:eastAsia="Calibri" w:hAnsi="Calibri" w:cs="Times New Roman"/>
      <w:sz w:val="20"/>
      <w:szCs w:val="20"/>
      <w:lang w:eastAsia="pl-PL"/>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elasiatki1jasnaakcent12">
    <w:name w:val="Tabela siatki 1 — jasna — akcent 12"/>
    <w:basedOn w:val="Standardowy"/>
    <w:uiPriority w:val="46"/>
    <w:rsid w:val="00F17612"/>
    <w:pPr>
      <w:spacing w:after="0" w:line="240" w:lineRule="auto"/>
    </w:pPr>
    <w:rPr>
      <w:rFonts w:ascii="Times" w:eastAsia="Times New Roman" w:hAnsi="Times" w:cs="Times New Roman"/>
      <w:sz w:val="24"/>
      <w:szCs w:val="24"/>
      <w:lang w:eastAsia="pl-P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Wzmianka3">
    <w:name w:val="Wzmianka3"/>
    <w:basedOn w:val="Domylnaczcionkaakapitu"/>
    <w:uiPriority w:val="99"/>
    <w:unhideWhenUsed/>
    <w:rsid w:val="00F1761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10627</Words>
  <Characters>63768</Characters>
  <Application>Microsoft Office Word</Application>
  <DocSecurity>0</DocSecurity>
  <Lines>531</Lines>
  <Paragraphs>148</Paragraphs>
  <ScaleCrop>false</ScaleCrop>
  <HeadingPairs>
    <vt:vector size="2" baseType="variant">
      <vt:variant>
        <vt:lpstr>Tytuł</vt:lpstr>
      </vt:variant>
      <vt:variant>
        <vt:i4>1</vt:i4>
      </vt:variant>
    </vt:vector>
  </HeadingPairs>
  <TitlesOfParts>
    <vt:vector size="1" baseType="lpstr">
      <vt:lpstr/>
    </vt:vector>
  </TitlesOfParts>
  <Company>Kancelaria Prezesa Rady Ministrow</Company>
  <LinksUpToDate>false</LinksUpToDate>
  <CharactersWithSpaces>74247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Ćwiek Katarzyna</dc:creator>
  <cp:keywords/>
  <dc:description/>
  <cp:lastModifiedBy>Wójcik Aleksandra</cp:lastModifiedBy>
  <cp:revision>3</cp:revision>
  <dcterms:created xsi:type="dcterms:W3CDTF">2023-03-30T06:18:00Z</dcterms:created>
  <dcterms:modified xsi:type="dcterms:W3CDTF">2023-03-30T06:20:00Z</dcterms:modified>
</cp:coreProperties>
</file>