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8D897" w14:textId="4675AEA7" w:rsidR="002D2DEA" w:rsidRDefault="002D2DEA" w:rsidP="002D2DEA">
      <w:pPr>
        <w:pStyle w:val="OZNRODZAKTUtznustawalubrozporzdzenieiorganwydajcy"/>
      </w:pPr>
      <w:bookmarkStart w:id="0" w:name="_GoBack"/>
      <w:bookmarkEnd w:id="0"/>
      <w:r w:rsidRPr="002D2DEA">
        <w:t>Uzasadnienie</w:t>
      </w:r>
    </w:p>
    <w:p w14:paraId="2F8D4EB4" w14:textId="77777777" w:rsidR="005C51E3" w:rsidRPr="005C51E3" w:rsidRDefault="005C51E3" w:rsidP="005C51E3">
      <w:pPr>
        <w:pStyle w:val="DATAAKTUdatauchwalenialubwydaniaaktu"/>
      </w:pPr>
    </w:p>
    <w:p w14:paraId="0D645137" w14:textId="022AA212" w:rsidR="002D2DEA" w:rsidRPr="002D2DEA" w:rsidRDefault="002D2DEA" w:rsidP="008F24F2">
      <w:pPr>
        <w:pStyle w:val="NIEARTTEKSTtekstnieartykuowanynppodstprawnarozplubpreambua"/>
      </w:pPr>
      <w:r w:rsidRPr="002D2DEA">
        <w:t xml:space="preserve">Ustawa z dnia 29 października 2021 r. o zmianie ustawy o podatku dochodowym od osób fizycznych, ustawy o podatku dochodowym od osób prawnych oraz niektórych innych ustaw (tzw. „Polski Ład”) w art. 22 pkt 1, wprowadziła zmniejszenie limitu obrotu gotówkowego </w:t>
      </w:r>
      <w:r w:rsidR="00470464">
        <w:br/>
      </w:r>
      <w:r w:rsidRPr="002D2DEA">
        <w:t xml:space="preserve">z 15 000 zł do 8 000 zł, które ma wejść w życie dnia 1 stycznia 2024 r. </w:t>
      </w:r>
    </w:p>
    <w:p w14:paraId="10EDD639" w14:textId="0B091FE5" w:rsidR="002D2DEA" w:rsidRPr="002D2DEA" w:rsidRDefault="002D2DEA" w:rsidP="008F24F2">
      <w:pPr>
        <w:pStyle w:val="NIEARTTEKSTtekstnieartykuowanynppodstprawnarozplubpreambua"/>
      </w:pPr>
      <w:r w:rsidRPr="002D2DEA">
        <w:t xml:space="preserve">Zmiana ta </w:t>
      </w:r>
      <w:r w:rsidR="00302705">
        <w:t xml:space="preserve">może </w:t>
      </w:r>
      <w:r w:rsidRPr="002D2DEA">
        <w:t>prowadzi</w:t>
      </w:r>
      <w:r w:rsidR="00302705">
        <w:t>ć</w:t>
      </w:r>
      <w:r w:rsidRPr="002D2DEA">
        <w:t xml:space="preserve"> do komplikacji niektórych rodzajów transakcji szczególnie </w:t>
      </w:r>
      <w:r w:rsidR="00302705" w:rsidRPr="00302705">
        <w:t xml:space="preserve">dokonywanych </w:t>
      </w:r>
      <w:r w:rsidRPr="002D2DEA">
        <w:t>przez mikroprzedsiębiorców i małych przedsiębiorców, w tym rzemieślników</w:t>
      </w:r>
      <w:r w:rsidR="00302705">
        <w:t xml:space="preserve"> oraz</w:t>
      </w:r>
      <w:r w:rsidRPr="002D2DEA">
        <w:t xml:space="preserve"> osoby prowadzące jednoosobową działalność gospodarczą, stąd konieczne jest zniesienie </w:t>
      </w:r>
      <w:r w:rsidR="00302705">
        <w:t xml:space="preserve">przewidzianych do wprowadzenia </w:t>
      </w:r>
      <w:r w:rsidRPr="002D2DEA">
        <w:t xml:space="preserve">ograniczeń w tym zakresie, w szczególności w związku </w:t>
      </w:r>
      <w:r w:rsidR="00470464">
        <w:br/>
      </w:r>
      <w:r w:rsidRPr="002D2DEA">
        <w:t xml:space="preserve">z trudną sytuacją przedsiębiorców spowodowaną konfliktem zbrojnym na Ukrainie </w:t>
      </w:r>
      <w:r w:rsidR="00470464">
        <w:br/>
      </w:r>
      <w:r w:rsidRPr="002D2DEA">
        <w:t xml:space="preserve">i wzrastającą z powodu tego konfliktu inflacją. </w:t>
      </w:r>
    </w:p>
    <w:p w14:paraId="23199B80" w14:textId="086B8E97" w:rsidR="002D2DEA" w:rsidRPr="002D2DEA" w:rsidRDefault="002D2DEA" w:rsidP="008F24F2">
      <w:pPr>
        <w:pStyle w:val="NIEARTTEKSTtekstnieartykuowanynppodstprawnarozplubpreambua"/>
      </w:pPr>
      <w:r w:rsidRPr="002D2DEA">
        <w:t xml:space="preserve">Problemy mogą się pojawić zwłaszcza przy transakcjach mających charakter jednorazowy, gdzie </w:t>
      </w:r>
      <w:r w:rsidR="00302705">
        <w:t xml:space="preserve">szczególnie </w:t>
      </w:r>
      <w:r w:rsidRPr="002D2DEA">
        <w:t xml:space="preserve">istotną rolę odgrywa kwestia zaufania do kontrahenta. </w:t>
      </w:r>
      <w:r w:rsidR="00302705">
        <w:t xml:space="preserve">W braku możliwości dokonania zapłaty gotówką </w:t>
      </w:r>
      <w:r w:rsidR="0031346B">
        <w:t xml:space="preserve">strony muszą korzystać z innych form płatności, </w:t>
      </w:r>
      <w:r w:rsidR="000A1FAB">
        <w:br/>
      </w:r>
      <w:r w:rsidR="0031346B">
        <w:t xml:space="preserve">a </w:t>
      </w:r>
      <w:r w:rsidR="00302705">
        <w:t>o</w:t>
      </w:r>
      <w:r w:rsidRPr="002D2DEA">
        <w:t>czekiwanie na przelew bankowy może</w:t>
      </w:r>
      <w:r w:rsidR="00302705">
        <w:t xml:space="preserve"> w wielu wypadkach</w:t>
      </w:r>
      <w:r w:rsidRPr="002D2DEA">
        <w:t xml:space="preserve"> prowadzić do zaniechania transakcji. </w:t>
      </w:r>
      <w:r w:rsidR="0031346B">
        <w:t>M</w:t>
      </w:r>
      <w:r w:rsidRPr="002D2DEA">
        <w:t>oże to</w:t>
      </w:r>
      <w:r w:rsidR="0031346B">
        <w:t xml:space="preserve"> prowadzić do</w:t>
      </w:r>
      <w:r w:rsidRPr="002D2DEA">
        <w:t xml:space="preserve"> utrudni</w:t>
      </w:r>
      <w:r w:rsidR="0031346B">
        <w:t xml:space="preserve">eń </w:t>
      </w:r>
      <w:r w:rsidRPr="002D2DEA">
        <w:t xml:space="preserve"> i ograniczać znacząco drobny handel. Problemy tego typu mogą być utrudnieniem w obrocie na giełdach spożywczych, bazarach, targowiskach, gdzie zaopatrują się mikro</w:t>
      </w:r>
      <w:r w:rsidR="0031346B">
        <w:t>-</w:t>
      </w:r>
      <w:r w:rsidRPr="002D2DEA">
        <w:t xml:space="preserve"> i mali przedsiębiorcy</w:t>
      </w:r>
      <w:r w:rsidR="0031346B">
        <w:t>, w szczególności</w:t>
      </w:r>
      <w:r w:rsidRPr="002D2DEA">
        <w:t xml:space="preserve"> z branży spożywczej </w:t>
      </w:r>
      <w:r w:rsidR="007E3525">
        <w:br/>
      </w:r>
      <w:r w:rsidRPr="002D2DEA">
        <w:t xml:space="preserve">i gastronomicznej. </w:t>
      </w:r>
    </w:p>
    <w:p w14:paraId="4FF5731E" w14:textId="76509C8D" w:rsidR="002D2DEA" w:rsidRPr="002D2DEA" w:rsidRDefault="002D2DEA" w:rsidP="008F24F2">
      <w:pPr>
        <w:pStyle w:val="NIEARTTEKSTtekstnieartykuowanynppodstprawnarozplubpreambua"/>
      </w:pPr>
      <w:r w:rsidRPr="002D2DEA">
        <w:t xml:space="preserve">Ponadto obowiązek dokonywania rozliczeń za pośrednictwem rachunku bankowego prowadzi do zwiększenia ogólnych kosztów transakcji, co finalnie przekłada się na wzrost cen towarów i usług dla konsumentów.  </w:t>
      </w:r>
    </w:p>
    <w:p w14:paraId="4DD10B15" w14:textId="5AE0FDFD" w:rsidR="002D2DEA" w:rsidRPr="002D2DEA" w:rsidRDefault="002D2DEA" w:rsidP="008F24F2">
      <w:pPr>
        <w:pStyle w:val="NIEARTTEKSTtekstnieartykuowanynppodstprawnarozplubpreambua"/>
      </w:pPr>
      <w:r w:rsidRPr="002D2DEA">
        <w:t>Z tego względu proponuj</w:t>
      </w:r>
      <w:r w:rsidR="0031346B">
        <w:t>e</w:t>
      </w:r>
      <w:r w:rsidRPr="002D2DEA">
        <w:t xml:space="preserve"> się uchylenie art. 22 pkt 1 ww. ustawy Polski Ład. </w:t>
      </w:r>
    </w:p>
    <w:p w14:paraId="0AD4B020" w14:textId="77777777" w:rsidR="008F24F2" w:rsidRDefault="0031346B" w:rsidP="008F24F2">
      <w:pPr>
        <w:pStyle w:val="NIEARTTEKSTtekstnieartykuowanynppodstprawnarozplubpreambua"/>
      </w:pPr>
      <w:r>
        <w:t>Analogicznie, p</w:t>
      </w:r>
      <w:r w:rsidR="002D2DEA" w:rsidRPr="002D2DEA">
        <w:t xml:space="preserve">rzepisy wprowadzające ograniczenia w obrocie gotówkowym względem konsumentów (tj. art. 18 ustawy Polski Ład), które mają wejść z życie z dniem 1 stycznia </w:t>
      </w:r>
      <w:r w:rsidR="007E3525">
        <w:br/>
      </w:r>
      <w:r w:rsidR="002D2DEA" w:rsidRPr="002D2DEA">
        <w:t xml:space="preserve">2024 r. </w:t>
      </w:r>
      <w:r>
        <w:t xml:space="preserve">będą </w:t>
      </w:r>
      <w:r w:rsidR="00975F28">
        <w:t>wiązały</w:t>
      </w:r>
      <w:r>
        <w:t xml:space="preserve"> się </w:t>
      </w:r>
      <w:r w:rsidR="002D2DEA" w:rsidRPr="002D2DEA">
        <w:t>z wprowadzeniem dodatkowych obciążeń dla konsumentów, wymuszających zakładanie rachunków bankowych</w:t>
      </w:r>
      <w:r>
        <w:t xml:space="preserve"> lub zawierani</w:t>
      </w:r>
      <w:r w:rsidR="007E3525">
        <w:t>e</w:t>
      </w:r>
      <w:r>
        <w:t xml:space="preserve"> umów o kartę płatniczą</w:t>
      </w:r>
      <w:r w:rsidR="002D2DEA" w:rsidRPr="002D2DEA">
        <w:t xml:space="preserve"> </w:t>
      </w:r>
      <w:r w:rsidR="007E3525">
        <w:br/>
      </w:r>
      <w:r w:rsidR="002D2DEA" w:rsidRPr="002D2DEA">
        <w:t>i będą generowały dodatkowe koszty transakc</w:t>
      </w:r>
      <w:r>
        <w:t>yjne</w:t>
      </w:r>
      <w:r w:rsidR="002D2DEA" w:rsidRPr="002D2DEA">
        <w:t xml:space="preserve">. Mając na względzie trudną sytuację konsumentów w związku z wysoką inflacją spowodowaną konfliktem zbrojnym na Ukrainie konieczne jest zniesienie ograniczeń w tym zakresie również względem konsumentów. </w:t>
      </w:r>
    </w:p>
    <w:p w14:paraId="13F0E1D0" w14:textId="77777777" w:rsidR="008F24F2" w:rsidRDefault="002D2DEA" w:rsidP="008F24F2">
      <w:pPr>
        <w:pStyle w:val="NIEARTTEKSTtekstnieartykuowanynppodstprawnarozplubpreambua"/>
      </w:pPr>
      <w:r w:rsidRPr="002D2DEA">
        <w:lastRenderedPageBreak/>
        <w:t xml:space="preserve">Z tego względu </w:t>
      </w:r>
      <w:r w:rsidR="007E3525">
        <w:t xml:space="preserve">projektowana </w:t>
      </w:r>
      <w:r w:rsidRPr="002D2DEA">
        <w:t xml:space="preserve">ustawa przewiduje uchylenie art. 18 ustawy Polski Ład. </w:t>
      </w:r>
    </w:p>
    <w:p w14:paraId="4E48C74B" w14:textId="77777777" w:rsidR="008F24F2" w:rsidRDefault="00240E64" w:rsidP="008F24F2">
      <w:pPr>
        <w:pStyle w:val="NIEARTTEKSTtekstnieartykuowanynppodstprawnarozplubpreambua"/>
      </w:pPr>
      <w:r>
        <w:t xml:space="preserve">Za wprowadzeniem zniesienia ograniczeń w zakresie obrotu gotówką przemawiają dodatkowo następujące argumenty: </w:t>
      </w:r>
    </w:p>
    <w:p w14:paraId="7183C753" w14:textId="7F224934" w:rsidR="003B3699" w:rsidRDefault="00240E64" w:rsidP="00F51081">
      <w:pPr>
        <w:pStyle w:val="PKTpunkt"/>
      </w:pPr>
      <w:r>
        <w:t>1.</w:t>
      </w:r>
      <w:r w:rsidR="007508CA">
        <w:t xml:space="preserve"> </w:t>
      </w:r>
      <w:r w:rsidR="00F51081">
        <w:t xml:space="preserve">    </w:t>
      </w:r>
      <w:r>
        <w:t xml:space="preserve">Sprzeczność z </w:t>
      </w:r>
      <w:r w:rsidRPr="00AF43A9">
        <w:t>wyrażoną w art. 353</w:t>
      </w:r>
      <w:r w:rsidRPr="00AF43A9">
        <w:rPr>
          <w:rStyle w:val="IGindeksgrny"/>
        </w:rPr>
        <w:t>1</w:t>
      </w:r>
      <w:r w:rsidRPr="00AF43A9">
        <w:t xml:space="preserve"> Kodeksu cywilnego zasadą swobody umów, która </w:t>
      </w:r>
      <w:r w:rsidR="00F51081">
        <w:t xml:space="preserve">  </w:t>
      </w:r>
      <w:r w:rsidRPr="00AF43A9">
        <w:t>jest jedną z podstawowych zasad kształtujących prawo zobowiązań, jako że wywiera wpływ na możliwość kształtowania swojej sytuacji prawnej przez strony umowy</w:t>
      </w:r>
      <w:r w:rsidR="00E3709E">
        <w:t>.</w:t>
      </w:r>
      <w:r w:rsidR="003B3699">
        <w:tab/>
      </w:r>
    </w:p>
    <w:p w14:paraId="5C9598D0" w14:textId="06AA8D12" w:rsidR="0082347C" w:rsidRPr="0082347C" w:rsidRDefault="00BC113D" w:rsidP="00F51081">
      <w:pPr>
        <w:pStyle w:val="PKTpunkt"/>
      </w:pPr>
      <w:r w:rsidRPr="0082347C">
        <w:t>2.</w:t>
      </w:r>
      <w:r w:rsidR="003B3699">
        <w:t xml:space="preserve"> </w:t>
      </w:r>
      <w:r w:rsidR="00F51081">
        <w:t xml:space="preserve">  </w:t>
      </w:r>
      <w:r w:rsidR="00F51081">
        <w:tab/>
      </w:r>
      <w:r w:rsidRPr="0082347C">
        <w:t>Wykluczenie osób niedysponujących rachunkami płatniczymi poprzez</w:t>
      </w:r>
      <w:r w:rsidR="003B3699">
        <w:t xml:space="preserve"> </w:t>
      </w:r>
      <w:r w:rsidRPr="0082347C">
        <w:t>uniemożliwienie dostępu do dóbr (niemożność zakupu w komisie samochodu o wartości 21.000 zł za gotówkę).</w:t>
      </w:r>
    </w:p>
    <w:p w14:paraId="7ABA88A3" w14:textId="0E92B2F9" w:rsidR="00240E64" w:rsidRDefault="00240E64" w:rsidP="00F51081">
      <w:pPr>
        <w:pStyle w:val="PKTpunkt"/>
      </w:pPr>
      <w:r>
        <w:t xml:space="preserve">3. </w:t>
      </w:r>
      <w:r w:rsidR="00F51081">
        <w:tab/>
      </w:r>
      <w:r w:rsidRPr="00AF43A9">
        <w:t xml:space="preserve">Gotówka nadal pozostaje dominującym sposobem płatności w strefie euro – nadal używa się jej w przypadku 78% wszystkich transakcji. We wrześniu 2020 r. Komisja Europejska opublikowała Komunikat Komisji Europejskiej do Parlamentu Europejskiego, Rady, Europejskiego Komitetu Ekonomiczno-Społecznego i Komitetu Regionów w sprawie unijnej strategii w zakresie płatności detalicznych. Organ ten wskazuje, </w:t>
      </w:r>
      <w:r w:rsidR="00D5326B">
        <w:t>że</w:t>
      </w:r>
      <w:r w:rsidRPr="00AF43A9">
        <w:t xml:space="preserve"> będzie nadal chronić status gotówki denominowanej w euro, jako prawnego środka płatniczego. Komisja ma świadomość wyrażanych przez organizacje konsumenckie i podzielanych przez nią obaw, że istnieje znaczne ryzyko, iż wraz z cyfryzacją coraz większej liczby usług osoby nieposiadające dostępu do usług cyfrowych mogą stać się jeszcze bardziej wykluczone niż obecnie. </w:t>
      </w:r>
    </w:p>
    <w:p w14:paraId="6118D903" w14:textId="2CE8A3F8" w:rsidR="00240E64" w:rsidRPr="00AF43A9" w:rsidRDefault="00240E64" w:rsidP="00F51081">
      <w:pPr>
        <w:pStyle w:val="PKTpunkt"/>
      </w:pPr>
      <w:r>
        <w:t xml:space="preserve">4. </w:t>
      </w:r>
      <w:r w:rsidR="00F51081">
        <w:tab/>
      </w:r>
      <w:r w:rsidRPr="00AF43A9">
        <w:t>W Unii Europejskiej nadal ok. 30 mln osób dorosłych nie posiada rachunku</w:t>
      </w:r>
      <w:r w:rsidR="001B446D">
        <w:t xml:space="preserve"> </w:t>
      </w:r>
      <w:r w:rsidRPr="00AF43A9">
        <w:t xml:space="preserve">bankowego. </w:t>
      </w:r>
    </w:p>
    <w:p w14:paraId="114A356A" w14:textId="4B220886" w:rsidR="00240E64" w:rsidRPr="00AF43A9" w:rsidRDefault="00240E64" w:rsidP="00F51081">
      <w:pPr>
        <w:pStyle w:val="PKTpunkt"/>
      </w:pPr>
      <w:r>
        <w:t xml:space="preserve">5. </w:t>
      </w:r>
      <w:r w:rsidR="00F51081">
        <w:tab/>
      </w:r>
      <w:r>
        <w:t>O</w:t>
      </w:r>
      <w:r w:rsidRPr="00AF43A9">
        <w:t xml:space="preserve">graniczenie płatności gotówkowych w pośredni sposób zmusza </w:t>
      </w:r>
      <w:r w:rsidR="00D5326B">
        <w:t xml:space="preserve">konsumentów </w:t>
      </w:r>
      <w:r w:rsidRPr="00AF43A9">
        <w:t xml:space="preserve"> do założenia rachunku płatniczego lub konta bankowego</w:t>
      </w:r>
      <w:r w:rsidR="00D5326B">
        <w:t>.</w:t>
      </w:r>
      <w:r w:rsidRPr="00AF43A9">
        <w:t xml:space="preserve"> </w:t>
      </w:r>
      <w:r w:rsidR="00D5326B">
        <w:t>W</w:t>
      </w:r>
      <w:r w:rsidRPr="00AF43A9">
        <w:t xml:space="preserve"> przypadku niezałożenia rachunku lub konta od 1 stycznia 202</w:t>
      </w:r>
      <w:r w:rsidR="00D5326B">
        <w:t>4</w:t>
      </w:r>
      <w:r w:rsidRPr="00AF43A9">
        <w:t xml:space="preserve"> r. </w:t>
      </w:r>
      <w:r w:rsidR="00D5326B">
        <w:t>konsumenci</w:t>
      </w:r>
      <w:r w:rsidRPr="00AF43A9">
        <w:t xml:space="preserve"> nie będą mogli dokonywać transakcji handlowych z przedsiębiorcą w kwocie powyżej 20.000 zł (nie będą mogli kupić za gotówkę np.: samochodu u dealera lub w komisie, gruntu lub nieruchomości zabudowanej u dewelopera, wycieczki u agenta turystycznego, mebli kuchennych </w:t>
      </w:r>
      <w:r w:rsidR="00CC3829">
        <w:br/>
      </w:r>
      <w:r w:rsidRPr="00AF43A9">
        <w:t>z zabudową, zapłacić za remont łazienki u przedsiębiorcy prowadzącego usługi remontowe).</w:t>
      </w:r>
    </w:p>
    <w:p w14:paraId="66EFD782" w14:textId="3FF56CB2" w:rsidR="00240E64" w:rsidRPr="00AF43A9" w:rsidRDefault="00240E64" w:rsidP="00F51081">
      <w:pPr>
        <w:pStyle w:val="PKTpunkt"/>
      </w:pPr>
      <w:r>
        <w:t xml:space="preserve">6. </w:t>
      </w:r>
      <w:r w:rsidR="00F51081">
        <w:tab/>
      </w:r>
      <w:r>
        <w:t>O</w:t>
      </w:r>
      <w:r w:rsidRPr="00AF43A9">
        <w:t>graniczeni</w:t>
      </w:r>
      <w:r w:rsidR="00D5326B">
        <w:t>a</w:t>
      </w:r>
      <w:r w:rsidRPr="00AF43A9">
        <w:t xml:space="preserve"> płatności gotówkowych nie uwzględniają zwyczajów płatniczych oraz potrzeb</w:t>
      </w:r>
      <w:r w:rsidR="00D5326B">
        <w:t xml:space="preserve"> w tym zakresie</w:t>
      </w:r>
      <w:r w:rsidRPr="00AF43A9">
        <w:t xml:space="preserve">. </w:t>
      </w:r>
    </w:p>
    <w:p w14:paraId="1A2B7251" w14:textId="1DE3183E" w:rsidR="00240E64" w:rsidRPr="00AF43A9" w:rsidRDefault="00240E64" w:rsidP="00F51081">
      <w:pPr>
        <w:pStyle w:val="PKTpunkt"/>
      </w:pPr>
      <w:r>
        <w:t xml:space="preserve">7. </w:t>
      </w:r>
      <w:r w:rsidR="00F51081">
        <w:tab/>
      </w:r>
      <w:r>
        <w:t>W</w:t>
      </w:r>
      <w:r w:rsidRPr="00AF43A9">
        <w:t>g raportu NBP z 2021 r. pt. „Zwyczaje płatnicze w Polsce w 2020 r. Podstawowe wyniki badania” gotówka była najczęściej wskazywaną metodą płatności. Jak pokazują wyniki</w:t>
      </w:r>
      <w:r w:rsidR="008F24F2">
        <w:t xml:space="preserve"> </w:t>
      </w:r>
      <w:r w:rsidRPr="00AF43A9">
        <w:t>badania w ciągu 12 miesięcy poprzedzających pomiar korzystało</w:t>
      </w:r>
      <w:r w:rsidR="008F24F2">
        <w:t xml:space="preserve"> </w:t>
      </w:r>
      <w:r w:rsidRPr="00AF43A9">
        <w:t>z niej 97,8%</w:t>
      </w:r>
      <w:r w:rsidR="008F24F2">
        <w:t xml:space="preserve"> </w:t>
      </w:r>
      <w:r w:rsidRPr="00AF43A9">
        <w:lastRenderedPageBreak/>
        <w:t>respondentów.</w:t>
      </w:r>
      <w:r w:rsidR="00B030A2" w:rsidRPr="00B030A2">
        <w:tab/>
        <w:t>Gotówka jest wciąż najpowszechniejszym sposobem</w:t>
      </w:r>
      <w:r w:rsidR="007508CA">
        <w:t xml:space="preserve"> </w:t>
      </w:r>
      <w:r w:rsidR="00B030A2" w:rsidRPr="00B030A2">
        <w:t xml:space="preserve">dokonywania płatności w Polsce. Zgodnie z badaniami NBP 98% Polaków korzystało z banknotów </w:t>
      </w:r>
      <w:r w:rsidR="00CC3829">
        <w:br/>
      </w:r>
      <w:r w:rsidR="00B030A2" w:rsidRPr="00B030A2">
        <w:t>i monet, a udział</w:t>
      </w:r>
      <w:r w:rsidR="008F24F2">
        <w:t xml:space="preserve"> </w:t>
      </w:r>
      <w:r w:rsidR="00B030A2" w:rsidRPr="00B030A2">
        <w:t xml:space="preserve">gotówki w liczbie detalicznych transakcji płatniczych w </w:t>
      </w:r>
      <w:r w:rsidR="008F24F2">
        <w:t xml:space="preserve"> </w:t>
      </w:r>
      <w:r w:rsidR="00B030A2" w:rsidRPr="00B030A2">
        <w:t xml:space="preserve">2020 r. wyniósł 46%. Według badań NBP pt. „Zwyczaje płatnicze w Polsce w 2020 r.”, stopień „nieubankowienia”, mierzony brakiem rachunku płatniczego lub konta bankowego, dla osób pełnoletnich wyniósł 11,5%, natomiast w grupie osób w wieku 65 lat i powyżej wyniósł powyżej 28%. Podobnie, zgodnie z ww. badaniem, stosunkowo wysoki jest odsetek osób nieposiadających karty płatniczej, mierzony brakiem posiadania takiego instrumentu płatniczego, który dla osób pełnoletnich wyniósł 18,3%, zaś dla osób </w:t>
      </w:r>
      <w:r w:rsidR="00CC3829">
        <w:br/>
      </w:r>
      <w:r w:rsidR="00B030A2" w:rsidRPr="00B030A2">
        <w:t>w wieku 65 lat i powyżej wyniósł aż 47,5%.</w:t>
      </w:r>
      <w:r w:rsidR="006256A8">
        <w:t xml:space="preserve"> W związku z tym ograniczenie płatności gotówkowych prowadzi do wykluczenia finansowego i społecznego.</w:t>
      </w:r>
    </w:p>
    <w:p w14:paraId="0FCD49F9" w14:textId="141593BF" w:rsidR="00240E64" w:rsidRPr="00AF43A9" w:rsidRDefault="00240E64" w:rsidP="00F51081">
      <w:pPr>
        <w:pStyle w:val="PKTpunkt"/>
      </w:pPr>
      <w:r>
        <w:t xml:space="preserve">8. </w:t>
      </w:r>
      <w:r w:rsidR="00F51081">
        <w:tab/>
      </w:r>
      <w:r w:rsidRPr="00AF43A9">
        <w:t xml:space="preserve">Wprowadzone regulacje są sprzeczne z aktualnymi działaniami NBP mającymi na celu zapewnienie Polakom nieutrudnionego dostępu do gotówki w ramach Narodowej Strategii Bezpieczeństwa Obrotu Gotówkowego NBP poprzez wprowadzenie w życie rozwiązań, które zagwarantują, że gotówka będzie powszechnie akceptowana jako prawny środek płatniczy na terenie Polski zarówno w płatnościach detalicznych za codzienne zakupy, jak i przy regulowaniu wszelkich zobowiązań finansowych. </w:t>
      </w:r>
    </w:p>
    <w:p w14:paraId="519B7FF1" w14:textId="1AD1BCB6" w:rsidR="00240E64" w:rsidRPr="00AF43A9" w:rsidRDefault="00240E64" w:rsidP="00F51081">
      <w:pPr>
        <w:pStyle w:val="PKTpunkt"/>
      </w:pPr>
      <w:r>
        <w:t xml:space="preserve">9. </w:t>
      </w:r>
      <w:r w:rsidR="00F51081">
        <w:tab/>
      </w:r>
      <w:r w:rsidR="00043CA6">
        <w:t>W</w:t>
      </w:r>
      <w:r w:rsidR="00043CA6" w:rsidRPr="00043CA6">
        <w:t xml:space="preserve"> przypadku ataku cyfrowego lub awarii systemów elektronicznych </w:t>
      </w:r>
      <w:r w:rsidR="00043CA6">
        <w:t>o</w:t>
      </w:r>
      <w:r w:rsidRPr="00AF43A9">
        <w:t xml:space="preserve">graniczenie płatności gotówkowych, a co za tym idzie zmniejszenie liczby fizycznego pieniądza </w:t>
      </w:r>
      <w:r w:rsidR="00C23D0D">
        <w:br/>
      </w:r>
      <w:r w:rsidRPr="00AF43A9">
        <w:t xml:space="preserve">w obrocie, może spowodować poważne zakłócenia w gospodarce i życiu społecznym. Obrót cyfrowy </w:t>
      </w:r>
      <w:r w:rsidR="00043CA6">
        <w:t xml:space="preserve">jest </w:t>
      </w:r>
      <w:r w:rsidRPr="00AF43A9">
        <w:t xml:space="preserve">bowiem </w:t>
      </w:r>
      <w:r w:rsidR="00043CA6">
        <w:t>narażony na liczne zagrożenia</w:t>
      </w:r>
      <w:r w:rsidRPr="00AF43A9">
        <w:t>, czyli m.in. atak</w:t>
      </w:r>
      <w:r w:rsidR="00043CA6">
        <w:t>i</w:t>
      </w:r>
      <w:r w:rsidRPr="00AF43A9">
        <w:t xml:space="preserve"> cyberprzestępców albo wyłudzeni</w:t>
      </w:r>
      <w:r w:rsidR="00043CA6">
        <w:t>a</w:t>
      </w:r>
      <w:r w:rsidRPr="00AF43A9">
        <w:t xml:space="preserve"> danych </w:t>
      </w:r>
      <w:r w:rsidR="00043CA6">
        <w:t xml:space="preserve">osobowych oraz </w:t>
      </w:r>
      <w:r w:rsidRPr="00AF43A9">
        <w:t xml:space="preserve">przejmowanie kont. </w:t>
      </w:r>
      <w:r w:rsidR="006256A8">
        <w:t>Ma to szczególne znaczenie w obliczu wojny za naszą wschodnią granicą.</w:t>
      </w:r>
    </w:p>
    <w:p w14:paraId="55881A04" w14:textId="36E3B058" w:rsidR="00240E64" w:rsidRPr="00AF43A9" w:rsidRDefault="00240E64" w:rsidP="00F51081">
      <w:pPr>
        <w:pStyle w:val="PKTpunkt"/>
      </w:pPr>
      <w:r>
        <w:t xml:space="preserve">10. </w:t>
      </w:r>
      <w:r w:rsidR="00F51081">
        <w:tab/>
      </w:r>
      <w:r w:rsidRPr="00AF43A9">
        <w:t xml:space="preserve">Wartość pieniądza gotówkowego w obiegu rośnie z roku na rok. Według stanu na 31 grudnia 2019 r. wartość pieniądza gotówkowego w obiegu wyniosła 238,5 mld zł, co oznacza, że od 31 grudnia 2012 r. wzrosła ponad dwukrotnie, tj. o 125,1 mld zł (Raport </w:t>
      </w:r>
      <w:r w:rsidR="009F1418">
        <w:br/>
      </w:r>
      <w:r w:rsidRPr="00AF43A9">
        <w:t>o obrocie gotówkowym w Polsce w 2019 r.</w:t>
      </w:r>
      <w:r w:rsidR="00043CA6">
        <w:t>,</w:t>
      </w:r>
      <w:r w:rsidRPr="00AF43A9">
        <w:t xml:space="preserve"> źródło: NBP). </w:t>
      </w:r>
    </w:p>
    <w:p w14:paraId="615AE0A5" w14:textId="0C22D562" w:rsidR="00240E64" w:rsidRPr="00AF43A9" w:rsidRDefault="00240E64" w:rsidP="00F51081">
      <w:pPr>
        <w:pStyle w:val="PKTpunkt"/>
      </w:pPr>
      <w:r>
        <w:t xml:space="preserve">11. </w:t>
      </w:r>
      <w:r w:rsidR="00F51081">
        <w:tab/>
      </w:r>
      <w:r w:rsidRPr="00AF43A9">
        <w:t xml:space="preserve">Pieniądz gotówkowy jest nadal popularnym środkiem płatniczym, również w wysoko rozwiniętych gospodarkach światowych, takich jak Japonia czy USA. Według danych Europejskiego Banku Centralnego w 2016 r. 79% transakcji przeprowadzonych </w:t>
      </w:r>
      <w:r w:rsidR="00CC3829">
        <w:br/>
      </w:r>
      <w:r w:rsidRPr="00AF43A9">
        <w:t xml:space="preserve">w punktach handlowo-usługowych sfinalizowano przy wykorzystaniu banknotów </w:t>
      </w:r>
      <w:r w:rsidR="00CC3829">
        <w:br/>
      </w:r>
      <w:r w:rsidRPr="00AF43A9">
        <w:t xml:space="preserve">i monet. W statystykach przodowali mieszkańcy Niemiec, Austrii i Słowenii, gdzie udział liczby transakcji gotówkowych przekroczył nawet 80%. We Francji udział transakcji </w:t>
      </w:r>
      <w:r w:rsidRPr="00AF43A9">
        <w:lastRenderedPageBreak/>
        <w:t xml:space="preserve">gotówkowych w ogólnej liczbie transakcji wyniósł 68%. Pod względem wartości transakcji w strefie euro 54% stanowiły płatności zrealizowane za pomocą banknotów </w:t>
      </w:r>
      <w:r w:rsidR="00CC3829">
        <w:br/>
      </w:r>
      <w:r w:rsidRPr="00AF43A9">
        <w:t>i monet (Europejski Bank Centralny, The use of cash by households in the euro area, Occasional Paper Series, No. 201, listopad 2017 r., https://www.ecb.europa.eu/ pub/pdf/ scpops/ ecb.op201.en.pdf)</w:t>
      </w:r>
      <w:r w:rsidR="00C23D0D">
        <w:t>.</w:t>
      </w:r>
      <w:r w:rsidRPr="00AF43A9">
        <w:t xml:space="preserve"> </w:t>
      </w:r>
    </w:p>
    <w:p w14:paraId="766907EF" w14:textId="2F60C068" w:rsidR="00240E64" w:rsidRPr="00AF43A9" w:rsidRDefault="00240E64" w:rsidP="00F51081">
      <w:pPr>
        <w:pStyle w:val="PKTpunkt"/>
      </w:pPr>
      <w:r>
        <w:t xml:space="preserve">12. </w:t>
      </w:r>
      <w:r w:rsidR="00F51081">
        <w:tab/>
      </w:r>
      <w:r w:rsidRPr="00AF43A9">
        <w:t>Szwedz</w:t>
      </w:r>
      <w:r w:rsidR="00B22BE6">
        <w:t>k</w:t>
      </w:r>
      <w:r w:rsidRPr="00AF43A9">
        <w:t xml:space="preserve">i Bank Centralny (Riksbank) zwraca w swoim raporcie uwagę na wykluczenie finansowe pewnej części Szwedów w związku z szybko postępującym rozwojem elektronicznych instrumentów płatniczych i postuluje ochronę pieniądza gotówkowego jako środka płatniczego (Sveriges Riksbank, Cecilia Skingsley: Considerations for </w:t>
      </w:r>
      <w:r w:rsidR="00CC3829">
        <w:br/>
      </w:r>
      <w:r w:rsidRPr="00AF43A9">
        <w:t>a cashless future, SNS finance panel, 22 listopada 2018 r.</w:t>
      </w:r>
      <w:r w:rsidR="005C51E3">
        <w:t>).</w:t>
      </w:r>
    </w:p>
    <w:p w14:paraId="36624E8A" w14:textId="47F55D1B" w:rsidR="00240E64" w:rsidRPr="00AF43A9" w:rsidRDefault="00240E64" w:rsidP="00F51081">
      <w:pPr>
        <w:pStyle w:val="PKTpunkt"/>
      </w:pPr>
      <w:r>
        <w:t xml:space="preserve">13. </w:t>
      </w:r>
      <w:r w:rsidRPr="00AF43A9">
        <w:t xml:space="preserve">Wszystkie kryzysy ekonomiczne wzmagają obrót gotówką. Pandemia koronawirusa wywarła zasadniczy wpływ na rynek obrotu gotówkowego oraz preferencje płatnicze konsumentów na całym świecie. Wraz z pojawianiem się COVID-19 w kolejnych krajach notowano ponadprzeciętny popyt na pieniądz gotówkowy. W Polsce pandemia istotnie wpłynęła na skalę pobierania i odprowadzania waluty polskiej oraz wartość obiegu. Zjawiska występujące w okresie pandemii na rynku obrotu gotówkowego w Polsce wpisały się w tendencje notowane w innych krajach. Według danych Europejskiego Banku Centralnego do 10 kwietnia 2020 r. wartość banknotów euro w obiegu wzrosła </w:t>
      </w:r>
      <w:r w:rsidR="00CC3829">
        <w:br/>
      </w:r>
      <w:r w:rsidRPr="00AF43A9">
        <w:t xml:space="preserve">o 41,2 mld, tj. o ponad 3% w ciągu czterech tygodni, i wyniosła 1,33 bln euro. To największy wzrost odnotowany od czasu kryzysu finansowego związanego z upadkiem Lehman Brothers w 2008 r. (wówczas wzrost wyniósł 41,4 mld euro w ciągu czterech tygodni października 2008 r.). Jak wskazuje EBC dostęp do pieniądza gotówkowego jest niezbędnym elementem prawidłowo funkcjonującej gospodarki, a ¾ transakcji w strefie euro było realizowanych właśnie przy wykorzystaniu banknotów i monet, również </w:t>
      </w:r>
      <w:r w:rsidR="00CC3829">
        <w:br/>
      </w:r>
      <w:r w:rsidRPr="00AF43A9">
        <w:t>w takich krajach jak Niemcy, Hiszpania i Włochy (Europejski Bank Centralny, Key euro area indicators, maj 2020 r.,</w:t>
      </w:r>
      <w:r w:rsidR="001B446D">
        <w:t xml:space="preserve"> </w:t>
      </w:r>
      <w:r w:rsidRPr="00AF43A9">
        <w:t>https://www.ecb.europa.eu/stats/ecb_statistics/</w:t>
      </w:r>
      <w:r w:rsidR="00CC3829">
        <w:t xml:space="preserve"> </w:t>
      </w:r>
      <w:r w:rsidRPr="00AF43A9">
        <w:t>key_euro_area_indicators/html/index.en.html).</w:t>
      </w:r>
    </w:p>
    <w:p w14:paraId="746BE191" w14:textId="4557CF04" w:rsidR="00240E64" w:rsidRPr="00AF43A9" w:rsidRDefault="00240E64" w:rsidP="00F51081">
      <w:pPr>
        <w:pStyle w:val="PKTpunkt"/>
      </w:pPr>
      <w:r>
        <w:t xml:space="preserve">14. </w:t>
      </w:r>
      <w:r w:rsidR="00F51081">
        <w:tab/>
      </w:r>
      <w:r w:rsidRPr="00AF43A9">
        <w:t xml:space="preserve">Gotówka ma kilka istotnych cech, których </w:t>
      </w:r>
      <w:r w:rsidR="00043CA6">
        <w:t xml:space="preserve">nie posiadają </w:t>
      </w:r>
      <w:r w:rsidRPr="00AF43A9">
        <w:t xml:space="preserve">jej bezgotówkowe odpowiedniki. Z punktu widzenia konsumenta atutami gotówki są: </w:t>
      </w:r>
      <w:r w:rsidR="00DF1CEE">
        <w:t>jej materialny substrat</w:t>
      </w:r>
      <w:r w:rsidRPr="00AF43A9">
        <w:t>, natychmiastowa dostępność i natychmiastowa możliwość dokonywania płatności, a także brak kosztów związanych z dysponowaniem nią.</w:t>
      </w:r>
    </w:p>
    <w:p w14:paraId="69B964EB" w14:textId="2B01A6A2" w:rsidR="00240E64" w:rsidRPr="00AF43A9" w:rsidRDefault="00240E64" w:rsidP="00F51081">
      <w:pPr>
        <w:pStyle w:val="PKTpunkt"/>
      </w:pPr>
      <w:r>
        <w:t xml:space="preserve">15. </w:t>
      </w:r>
      <w:r w:rsidR="00F51081">
        <w:tab/>
      </w:r>
      <w:r w:rsidRPr="00AF43A9">
        <w:t xml:space="preserve">Nawet w Szwecji, gdzie dominują płatności bezgotówkowe, 26 września 2019 r. rząd Szwecji przedstawił projekt aktu prawnego, który zakładał zobowiązanie niektórych </w:t>
      </w:r>
      <w:r w:rsidRPr="00AF43A9">
        <w:lastRenderedPageBreak/>
        <w:t xml:space="preserve">instytucji kredytowych oraz ich oddziałów do zapewnienia usług gwarantujących dostęp do gotówki. Został on uchwalony w listopadzie 2019 r. z datą obowiązywania od dnia </w:t>
      </w:r>
      <w:r w:rsidR="00CC3829">
        <w:br/>
      </w:r>
      <w:r w:rsidRPr="00AF43A9">
        <w:t>1 stycznia 2021 r. Celem tej regulacji, której przepisy formalnie stanowią nowelizację szwedzkiej ustawy o usługach płatniczych, jest ułatwienie dalszego, niezakłóconego korzystania z gotówki na terytorium Szwecji, co wiąże się z zapewnieniem odpowiedniego poziomu dostępu do niej przez niektóre instytucje kredytowe oraz oddziały zagranicznych instytucji kredytowych. Zgodnie z uzasadnieniem omawianego aktu prawnego, możliwość dokonywania płatności gotówkowych pozostaje kluczowa dla niektórych grup społecznych, które nie korzystają z bezgotówkowych instrumentów płatniczych. Należą do nich osoby starsze, imigranci, niepełnosprawni, obywatele podatni na zagrożenia społeczne i inni mający ograniczony dostęp do usług cyfrowych. Grupy te mogą mieć ograniczony dostęp do technologii wymaganej d</w:t>
      </w:r>
      <w:r w:rsidR="00FE2C96">
        <w:t>la</w:t>
      </w:r>
      <w:r w:rsidRPr="00AF43A9">
        <w:t xml:space="preserve"> płatności bezgotówkowych, a gotówka może być dla nich jedynym sposobem płatności.</w:t>
      </w:r>
    </w:p>
    <w:p w14:paraId="31D567CF" w14:textId="0375627B" w:rsidR="00F51081" w:rsidRDefault="00240E64" w:rsidP="00F51081">
      <w:pPr>
        <w:pStyle w:val="PKTpunkt"/>
      </w:pPr>
      <w:r>
        <w:t xml:space="preserve">16. </w:t>
      </w:r>
      <w:r w:rsidR="00F51081">
        <w:tab/>
      </w:r>
      <w:r w:rsidRPr="00AF43A9">
        <w:t>W Danii obowiązek płatności gotówkowych jest wyłączony tylko w przypadku płatności: dokonywanych on-line, za pomocą samoobsługowych punktów handlowo</w:t>
      </w:r>
      <w:r w:rsidR="002D4C21">
        <w:t>-</w:t>
      </w:r>
      <w:r w:rsidRPr="00AF43A9">
        <w:t xml:space="preserve">obsługowych oraz w związku z limitami płatności gotówką z uwagi na unormowania dotyczące materii zapobiegania praniu pieniędzy i finansowania terroryzmu </w:t>
      </w:r>
      <w:r w:rsidR="00BE2980" w:rsidRPr="00AF43A9">
        <w:t xml:space="preserve">(AML) </w:t>
      </w:r>
      <w:r w:rsidRPr="00AF43A9">
        <w:t>– 10.000</w:t>
      </w:r>
      <w:r w:rsidR="00E3709E">
        <w:t xml:space="preserve"> </w:t>
      </w:r>
      <w:r w:rsidR="00BE2980">
        <w:t>e</w:t>
      </w:r>
      <w:r w:rsidRPr="00AF43A9">
        <w:t>uro.</w:t>
      </w:r>
      <w:r w:rsidR="00E3709E">
        <w:t xml:space="preserve"> </w:t>
      </w:r>
    </w:p>
    <w:p w14:paraId="6473E733" w14:textId="07C87FA4" w:rsidR="00D94DD7" w:rsidRDefault="00D94DD7" w:rsidP="008F24F2">
      <w:pPr>
        <w:pStyle w:val="NIEARTTEKSTtekstnieartykuowanynppodstprawnarozplubpreambua"/>
      </w:pPr>
      <w:r>
        <w:t xml:space="preserve">Z powyższych względów </w:t>
      </w:r>
      <w:r w:rsidR="00150DBC">
        <w:t>niniejszy</w:t>
      </w:r>
      <w:r>
        <w:t xml:space="preserve"> projekt</w:t>
      </w:r>
      <w:r w:rsidR="00150DBC">
        <w:t xml:space="preserve"> ustawy</w:t>
      </w:r>
      <w:r>
        <w:t xml:space="preserve"> jest zasadny.</w:t>
      </w:r>
    </w:p>
    <w:p w14:paraId="08DEE784" w14:textId="26AD66DD" w:rsidR="00B030A2" w:rsidRDefault="00B030A2" w:rsidP="008F24F2">
      <w:pPr>
        <w:pStyle w:val="NIEARTTEKSTtekstnieartykuowanynppodstprawnarozplubpreambua"/>
      </w:pPr>
      <w:r w:rsidRPr="00B030A2">
        <w:t>Przedmiotowy projekt nie pociąga za sobą obciążenia dla budżetu państwa lub budżetów jednostek samorządu terytorialnego</w:t>
      </w:r>
      <w:r>
        <w:t>.</w:t>
      </w:r>
    </w:p>
    <w:p w14:paraId="7B2545E9" w14:textId="54744D3B" w:rsidR="008B0C64" w:rsidRPr="00A715B4" w:rsidRDefault="00B22BE6" w:rsidP="008F24F2">
      <w:pPr>
        <w:pStyle w:val="NIEARTTEKSTtekstnieartykuowanynppodstprawnarozplubpreambua"/>
        <w:rPr>
          <w:rStyle w:val="Ppogrubienie"/>
          <w:b w:val="0"/>
        </w:rPr>
      </w:pPr>
      <w:r w:rsidRPr="00B22BE6">
        <w:rPr>
          <w:lang w:val="en-US" w:eastAsia="en-US"/>
        </w:rPr>
        <w:t>Projekt nie jest objęty prawem Uni</w:t>
      </w:r>
      <w:r>
        <w:t>i</w:t>
      </w:r>
      <w:r w:rsidRPr="00B22BE6">
        <w:rPr>
          <w:lang w:val="en-US" w:eastAsia="en-US"/>
        </w:rPr>
        <w:t xml:space="preserve"> Europejskiej</w:t>
      </w:r>
      <w:r w:rsidR="00A715B4">
        <w:t>.</w:t>
      </w:r>
    </w:p>
    <w:sectPr w:rsidR="008B0C64" w:rsidRPr="00A715B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ED8DC3" w14:textId="77777777" w:rsidR="0047713A" w:rsidRDefault="0047713A">
      <w:r>
        <w:separator/>
      </w:r>
    </w:p>
  </w:endnote>
  <w:endnote w:type="continuationSeparator" w:id="0">
    <w:p w14:paraId="319579ED" w14:textId="77777777" w:rsidR="0047713A" w:rsidRDefault="00477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0FB3BA" w14:textId="77777777" w:rsidR="0047713A" w:rsidRDefault="0047713A">
      <w:r>
        <w:separator/>
      </w:r>
    </w:p>
  </w:footnote>
  <w:footnote w:type="continuationSeparator" w:id="0">
    <w:p w14:paraId="78BEF182" w14:textId="77777777" w:rsidR="0047713A" w:rsidRDefault="004771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BAD261" w14:textId="084D89DB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661D5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37405"/>
    <w:multiLevelType w:val="multilevel"/>
    <w:tmpl w:val="64A2F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CB5A63"/>
    <w:multiLevelType w:val="multilevel"/>
    <w:tmpl w:val="A6A6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DA2B6F"/>
    <w:multiLevelType w:val="multilevel"/>
    <w:tmpl w:val="DC680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480787"/>
    <w:multiLevelType w:val="multilevel"/>
    <w:tmpl w:val="0E484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58154B"/>
    <w:multiLevelType w:val="multilevel"/>
    <w:tmpl w:val="06A8D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006B9E"/>
    <w:multiLevelType w:val="multilevel"/>
    <w:tmpl w:val="8FE0F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8E5108"/>
    <w:multiLevelType w:val="multilevel"/>
    <w:tmpl w:val="D402D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796257"/>
    <w:multiLevelType w:val="multilevel"/>
    <w:tmpl w:val="01989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831"/>
    <w:rsid w:val="000012DA"/>
    <w:rsid w:val="00001E94"/>
    <w:rsid w:val="0000246E"/>
    <w:rsid w:val="00003862"/>
    <w:rsid w:val="00004424"/>
    <w:rsid w:val="0000447F"/>
    <w:rsid w:val="00006842"/>
    <w:rsid w:val="00006974"/>
    <w:rsid w:val="0000786A"/>
    <w:rsid w:val="000078C0"/>
    <w:rsid w:val="00007CC8"/>
    <w:rsid w:val="00010A67"/>
    <w:rsid w:val="00012A35"/>
    <w:rsid w:val="00016099"/>
    <w:rsid w:val="00017DC2"/>
    <w:rsid w:val="00021522"/>
    <w:rsid w:val="00023471"/>
    <w:rsid w:val="00023F13"/>
    <w:rsid w:val="000279E8"/>
    <w:rsid w:val="00030634"/>
    <w:rsid w:val="000319C1"/>
    <w:rsid w:val="00031A8B"/>
    <w:rsid w:val="00031BCA"/>
    <w:rsid w:val="000330FA"/>
    <w:rsid w:val="0003362F"/>
    <w:rsid w:val="00033758"/>
    <w:rsid w:val="00036B63"/>
    <w:rsid w:val="00036D80"/>
    <w:rsid w:val="00037461"/>
    <w:rsid w:val="00037E1A"/>
    <w:rsid w:val="000422F2"/>
    <w:rsid w:val="000427E2"/>
    <w:rsid w:val="00043495"/>
    <w:rsid w:val="00043CA6"/>
    <w:rsid w:val="00045321"/>
    <w:rsid w:val="00046A75"/>
    <w:rsid w:val="00047312"/>
    <w:rsid w:val="0005005F"/>
    <w:rsid w:val="000508BD"/>
    <w:rsid w:val="000517AB"/>
    <w:rsid w:val="00051CB4"/>
    <w:rsid w:val="0005339C"/>
    <w:rsid w:val="0005571B"/>
    <w:rsid w:val="00056BD5"/>
    <w:rsid w:val="00057AB3"/>
    <w:rsid w:val="00060076"/>
    <w:rsid w:val="00060432"/>
    <w:rsid w:val="00060D87"/>
    <w:rsid w:val="000615A5"/>
    <w:rsid w:val="00061B5E"/>
    <w:rsid w:val="0006309B"/>
    <w:rsid w:val="00063225"/>
    <w:rsid w:val="00064E4C"/>
    <w:rsid w:val="00066901"/>
    <w:rsid w:val="000702ED"/>
    <w:rsid w:val="00071BEE"/>
    <w:rsid w:val="000736CD"/>
    <w:rsid w:val="0007533B"/>
    <w:rsid w:val="0007545D"/>
    <w:rsid w:val="000760BF"/>
    <w:rsid w:val="0007613E"/>
    <w:rsid w:val="000764F8"/>
    <w:rsid w:val="00076BFC"/>
    <w:rsid w:val="00076F73"/>
    <w:rsid w:val="00080774"/>
    <w:rsid w:val="00080E80"/>
    <w:rsid w:val="000814A7"/>
    <w:rsid w:val="000821E0"/>
    <w:rsid w:val="0008557B"/>
    <w:rsid w:val="00085B48"/>
    <w:rsid w:val="00085CE7"/>
    <w:rsid w:val="00086806"/>
    <w:rsid w:val="000906EE"/>
    <w:rsid w:val="00091BA2"/>
    <w:rsid w:val="00092F80"/>
    <w:rsid w:val="000944EF"/>
    <w:rsid w:val="00094D8B"/>
    <w:rsid w:val="0009732D"/>
    <w:rsid w:val="000973F0"/>
    <w:rsid w:val="000A024B"/>
    <w:rsid w:val="000A1296"/>
    <w:rsid w:val="000A1C27"/>
    <w:rsid w:val="000A1DAD"/>
    <w:rsid w:val="000A1FAB"/>
    <w:rsid w:val="000A2649"/>
    <w:rsid w:val="000A323B"/>
    <w:rsid w:val="000A5EC7"/>
    <w:rsid w:val="000A7F69"/>
    <w:rsid w:val="000B1600"/>
    <w:rsid w:val="000B298D"/>
    <w:rsid w:val="000B5B2D"/>
    <w:rsid w:val="000B5B8B"/>
    <w:rsid w:val="000B5BE3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D7A60"/>
    <w:rsid w:val="000E117E"/>
    <w:rsid w:val="000E25CC"/>
    <w:rsid w:val="000E3694"/>
    <w:rsid w:val="000E4887"/>
    <w:rsid w:val="000E490F"/>
    <w:rsid w:val="000E6241"/>
    <w:rsid w:val="000F2BE3"/>
    <w:rsid w:val="000F32CE"/>
    <w:rsid w:val="000F3D0D"/>
    <w:rsid w:val="000F4417"/>
    <w:rsid w:val="000F65A1"/>
    <w:rsid w:val="000F6ED4"/>
    <w:rsid w:val="000F6FE7"/>
    <w:rsid w:val="000F7A6E"/>
    <w:rsid w:val="001042BA"/>
    <w:rsid w:val="00106D03"/>
    <w:rsid w:val="00110465"/>
    <w:rsid w:val="00110628"/>
    <w:rsid w:val="00111C12"/>
    <w:rsid w:val="0011245A"/>
    <w:rsid w:val="0011251C"/>
    <w:rsid w:val="0011493E"/>
    <w:rsid w:val="00114BF8"/>
    <w:rsid w:val="00115B72"/>
    <w:rsid w:val="001209EC"/>
    <w:rsid w:val="00120A9E"/>
    <w:rsid w:val="00123CEF"/>
    <w:rsid w:val="00125A9C"/>
    <w:rsid w:val="00125FB9"/>
    <w:rsid w:val="001270A2"/>
    <w:rsid w:val="00131237"/>
    <w:rsid w:val="001329AC"/>
    <w:rsid w:val="00134CA0"/>
    <w:rsid w:val="0014026F"/>
    <w:rsid w:val="00141277"/>
    <w:rsid w:val="00141373"/>
    <w:rsid w:val="001434C8"/>
    <w:rsid w:val="001454E6"/>
    <w:rsid w:val="00146C21"/>
    <w:rsid w:val="00147103"/>
    <w:rsid w:val="00147A47"/>
    <w:rsid w:val="00147AA1"/>
    <w:rsid w:val="001501BC"/>
    <w:rsid w:val="00150DBC"/>
    <w:rsid w:val="001520CF"/>
    <w:rsid w:val="00155207"/>
    <w:rsid w:val="0015573F"/>
    <w:rsid w:val="0015667C"/>
    <w:rsid w:val="00157110"/>
    <w:rsid w:val="0015742A"/>
    <w:rsid w:val="00157443"/>
    <w:rsid w:val="00157DA1"/>
    <w:rsid w:val="0016126C"/>
    <w:rsid w:val="001618F8"/>
    <w:rsid w:val="001620F2"/>
    <w:rsid w:val="001624DF"/>
    <w:rsid w:val="00163147"/>
    <w:rsid w:val="001636AA"/>
    <w:rsid w:val="00164C57"/>
    <w:rsid w:val="00164C9D"/>
    <w:rsid w:val="0016506F"/>
    <w:rsid w:val="0017259E"/>
    <w:rsid w:val="00172E03"/>
    <w:rsid w:val="00172F7A"/>
    <w:rsid w:val="00173150"/>
    <w:rsid w:val="00173390"/>
    <w:rsid w:val="001734EC"/>
    <w:rsid w:val="001736F0"/>
    <w:rsid w:val="00173BB3"/>
    <w:rsid w:val="00173CE1"/>
    <w:rsid w:val="001740D0"/>
    <w:rsid w:val="00174981"/>
    <w:rsid w:val="00174F2C"/>
    <w:rsid w:val="00180F2A"/>
    <w:rsid w:val="00182359"/>
    <w:rsid w:val="00184B91"/>
    <w:rsid w:val="00184D4A"/>
    <w:rsid w:val="00184E44"/>
    <w:rsid w:val="00185102"/>
    <w:rsid w:val="00186EC1"/>
    <w:rsid w:val="00191792"/>
    <w:rsid w:val="00191E1F"/>
    <w:rsid w:val="0019466E"/>
    <w:rsid w:val="0019473B"/>
    <w:rsid w:val="001952B1"/>
    <w:rsid w:val="0019613F"/>
    <w:rsid w:val="00196632"/>
    <w:rsid w:val="0019673C"/>
    <w:rsid w:val="00196E39"/>
    <w:rsid w:val="00197649"/>
    <w:rsid w:val="001A01FB"/>
    <w:rsid w:val="001A10E9"/>
    <w:rsid w:val="001A183D"/>
    <w:rsid w:val="001A2B65"/>
    <w:rsid w:val="001A3CD3"/>
    <w:rsid w:val="001A548F"/>
    <w:rsid w:val="001A57C4"/>
    <w:rsid w:val="001A5BEF"/>
    <w:rsid w:val="001A62EC"/>
    <w:rsid w:val="001A7F15"/>
    <w:rsid w:val="001B342E"/>
    <w:rsid w:val="001B446D"/>
    <w:rsid w:val="001B45BA"/>
    <w:rsid w:val="001B4CD6"/>
    <w:rsid w:val="001C1832"/>
    <w:rsid w:val="001C188C"/>
    <w:rsid w:val="001C556D"/>
    <w:rsid w:val="001C6F39"/>
    <w:rsid w:val="001C7384"/>
    <w:rsid w:val="001D1783"/>
    <w:rsid w:val="001D3B2F"/>
    <w:rsid w:val="001D53CD"/>
    <w:rsid w:val="001D55A3"/>
    <w:rsid w:val="001D5AF5"/>
    <w:rsid w:val="001D63CC"/>
    <w:rsid w:val="001E1E73"/>
    <w:rsid w:val="001E3CC3"/>
    <w:rsid w:val="001E4A05"/>
    <w:rsid w:val="001E4E0C"/>
    <w:rsid w:val="001E526D"/>
    <w:rsid w:val="001E5487"/>
    <w:rsid w:val="001E5655"/>
    <w:rsid w:val="001E6204"/>
    <w:rsid w:val="001E6C4E"/>
    <w:rsid w:val="001F1832"/>
    <w:rsid w:val="001F220F"/>
    <w:rsid w:val="001F25B3"/>
    <w:rsid w:val="001F4C2E"/>
    <w:rsid w:val="001F5B2D"/>
    <w:rsid w:val="001F6616"/>
    <w:rsid w:val="00202BD4"/>
    <w:rsid w:val="00204991"/>
    <w:rsid w:val="00204A97"/>
    <w:rsid w:val="00210DB3"/>
    <w:rsid w:val="002114EF"/>
    <w:rsid w:val="0021492D"/>
    <w:rsid w:val="00215A4C"/>
    <w:rsid w:val="002166AD"/>
    <w:rsid w:val="00217871"/>
    <w:rsid w:val="00221ED8"/>
    <w:rsid w:val="002231EA"/>
    <w:rsid w:val="00223FDF"/>
    <w:rsid w:val="002279C0"/>
    <w:rsid w:val="00235F39"/>
    <w:rsid w:val="00235F6A"/>
    <w:rsid w:val="0023727E"/>
    <w:rsid w:val="00237751"/>
    <w:rsid w:val="00237CE1"/>
    <w:rsid w:val="00240E64"/>
    <w:rsid w:val="00241CA8"/>
    <w:rsid w:val="00242081"/>
    <w:rsid w:val="00243777"/>
    <w:rsid w:val="00243F96"/>
    <w:rsid w:val="002441CD"/>
    <w:rsid w:val="002475E6"/>
    <w:rsid w:val="002501A3"/>
    <w:rsid w:val="0025166C"/>
    <w:rsid w:val="00252635"/>
    <w:rsid w:val="002555D4"/>
    <w:rsid w:val="00255905"/>
    <w:rsid w:val="00255C2A"/>
    <w:rsid w:val="00261A16"/>
    <w:rsid w:val="00261BCD"/>
    <w:rsid w:val="00262CEA"/>
    <w:rsid w:val="00263522"/>
    <w:rsid w:val="00264CD4"/>
    <w:rsid w:val="00264EC6"/>
    <w:rsid w:val="00271013"/>
    <w:rsid w:val="00273722"/>
    <w:rsid w:val="00273FE4"/>
    <w:rsid w:val="0027418A"/>
    <w:rsid w:val="00274479"/>
    <w:rsid w:val="002765B4"/>
    <w:rsid w:val="00276A94"/>
    <w:rsid w:val="00283668"/>
    <w:rsid w:val="002859BC"/>
    <w:rsid w:val="00287AF6"/>
    <w:rsid w:val="0029405D"/>
    <w:rsid w:val="00294B01"/>
    <w:rsid w:val="00294FA6"/>
    <w:rsid w:val="00295A6F"/>
    <w:rsid w:val="002976F0"/>
    <w:rsid w:val="002A1585"/>
    <w:rsid w:val="002A1951"/>
    <w:rsid w:val="002A1A6A"/>
    <w:rsid w:val="002A20C4"/>
    <w:rsid w:val="002A4631"/>
    <w:rsid w:val="002A570F"/>
    <w:rsid w:val="002A7231"/>
    <w:rsid w:val="002A7292"/>
    <w:rsid w:val="002A7358"/>
    <w:rsid w:val="002A7713"/>
    <w:rsid w:val="002A7902"/>
    <w:rsid w:val="002B0F32"/>
    <w:rsid w:val="002B0F6B"/>
    <w:rsid w:val="002B23B8"/>
    <w:rsid w:val="002B3B44"/>
    <w:rsid w:val="002B4429"/>
    <w:rsid w:val="002B68A6"/>
    <w:rsid w:val="002B7FAF"/>
    <w:rsid w:val="002C037F"/>
    <w:rsid w:val="002C20CA"/>
    <w:rsid w:val="002C34FC"/>
    <w:rsid w:val="002D0C4F"/>
    <w:rsid w:val="002D1364"/>
    <w:rsid w:val="002D218C"/>
    <w:rsid w:val="002D2DEA"/>
    <w:rsid w:val="002D4C21"/>
    <w:rsid w:val="002D4D30"/>
    <w:rsid w:val="002D5000"/>
    <w:rsid w:val="002D598D"/>
    <w:rsid w:val="002D7188"/>
    <w:rsid w:val="002E0CEC"/>
    <w:rsid w:val="002E0E37"/>
    <w:rsid w:val="002E1A21"/>
    <w:rsid w:val="002E1DE3"/>
    <w:rsid w:val="002E2AB6"/>
    <w:rsid w:val="002E3F34"/>
    <w:rsid w:val="002E42DF"/>
    <w:rsid w:val="002E5A1A"/>
    <w:rsid w:val="002E5F79"/>
    <w:rsid w:val="002E64FA"/>
    <w:rsid w:val="002E756E"/>
    <w:rsid w:val="002F08CE"/>
    <w:rsid w:val="002F0A00"/>
    <w:rsid w:val="002F0C18"/>
    <w:rsid w:val="002F0CFA"/>
    <w:rsid w:val="002F1970"/>
    <w:rsid w:val="002F1B83"/>
    <w:rsid w:val="002F669F"/>
    <w:rsid w:val="00301C97"/>
    <w:rsid w:val="00302500"/>
    <w:rsid w:val="00302705"/>
    <w:rsid w:val="0031004C"/>
    <w:rsid w:val="003105F6"/>
    <w:rsid w:val="00310800"/>
    <w:rsid w:val="00311297"/>
    <w:rsid w:val="003113BE"/>
    <w:rsid w:val="003122CA"/>
    <w:rsid w:val="0031346B"/>
    <w:rsid w:val="003148FD"/>
    <w:rsid w:val="00315831"/>
    <w:rsid w:val="0031770D"/>
    <w:rsid w:val="003201DB"/>
    <w:rsid w:val="00320B7C"/>
    <w:rsid w:val="00321080"/>
    <w:rsid w:val="00322C67"/>
    <w:rsid w:val="00322D45"/>
    <w:rsid w:val="0032569A"/>
    <w:rsid w:val="00325A1F"/>
    <w:rsid w:val="003268F9"/>
    <w:rsid w:val="0032693A"/>
    <w:rsid w:val="00330728"/>
    <w:rsid w:val="00330BAF"/>
    <w:rsid w:val="0033142F"/>
    <w:rsid w:val="00331F9B"/>
    <w:rsid w:val="00332936"/>
    <w:rsid w:val="00334224"/>
    <w:rsid w:val="00334E3A"/>
    <w:rsid w:val="003361DD"/>
    <w:rsid w:val="00341A6A"/>
    <w:rsid w:val="00345B9C"/>
    <w:rsid w:val="00346C61"/>
    <w:rsid w:val="00347369"/>
    <w:rsid w:val="003473C5"/>
    <w:rsid w:val="00352DAE"/>
    <w:rsid w:val="00354C20"/>
    <w:rsid w:val="00354EB9"/>
    <w:rsid w:val="003565A3"/>
    <w:rsid w:val="00356E29"/>
    <w:rsid w:val="003602AE"/>
    <w:rsid w:val="0036045D"/>
    <w:rsid w:val="00360929"/>
    <w:rsid w:val="00361E30"/>
    <w:rsid w:val="003647D5"/>
    <w:rsid w:val="00366D79"/>
    <w:rsid w:val="003674B0"/>
    <w:rsid w:val="003714D5"/>
    <w:rsid w:val="00371537"/>
    <w:rsid w:val="00373833"/>
    <w:rsid w:val="003762E8"/>
    <w:rsid w:val="0037727C"/>
    <w:rsid w:val="00377E70"/>
    <w:rsid w:val="00380904"/>
    <w:rsid w:val="00380D67"/>
    <w:rsid w:val="0038110D"/>
    <w:rsid w:val="003823EE"/>
    <w:rsid w:val="00382960"/>
    <w:rsid w:val="003846F7"/>
    <w:rsid w:val="003851ED"/>
    <w:rsid w:val="00385B39"/>
    <w:rsid w:val="00385E2F"/>
    <w:rsid w:val="00386785"/>
    <w:rsid w:val="003875BA"/>
    <w:rsid w:val="00390E89"/>
    <w:rsid w:val="0039154A"/>
    <w:rsid w:val="00391B1A"/>
    <w:rsid w:val="00391B53"/>
    <w:rsid w:val="00393BCB"/>
    <w:rsid w:val="00394423"/>
    <w:rsid w:val="00396942"/>
    <w:rsid w:val="00396B49"/>
    <w:rsid w:val="00396E3E"/>
    <w:rsid w:val="003979BF"/>
    <w:rsid w:val="003A17F8"/>
    <w:rsid w:val="003A306E"/>
    <w:rsid w:val="003A5738"/>
    <w:rsid w:val="003A60DC"/>
    <w:rsid w:val="003A6A46"/>
    <w:rsid w:val="003A7A63"/>
    <w:rsid w:val="003B000C"/>
    <w:rsid w:val="003B0F1D"/>
    <w:rsid w:val="003B3699"/>
    <w:rsid w:val="003B455F"/>
    <w:rsid w:val="003B4A57"/>
    <w:rsid w:val="003B7F00"/>
    <w:rsid w:val="003B7F67"/>
    <w:rsid w:val="003C0AD9"/>
    <w:rsid w:val="003C0ED0"/>
    <w:rsid w:val="003C1D49"/>
    <w:rsid w:val="003C2E9A"/>
    <w:rsid w:val="003C35C4"/>
    <w:rsid w:val="003C6F0B"/>
    <w:rsid w:val="003D022A"/>
    <w:rsid w:val="003D0761"/>
    <w:rsid w:val="003D12C2"/>
    <w:rsid w:val="003D31B9"/>
    <w:rsid w:val="003D3867"/>
    <w:rsid w:val="003D4EDB"/>
    <w:rsid w:val="003D745D"/>
    <w:rsid w:val="003E0561"/>
    <w:rsid w:val="003E0935"/>
    <w:rsid w:val="003E0D1A"/>
    <w:rsid w:val="003E1533"/>
    <w:rsid w:val="003E190D"/>
    <w:rsid w:val="003E2DA3"/>
    <w:rsid w:val="003E3D6E"/>
    <w:rsid w:val="003E6F2C"/>
    <w:rsid w:val="003E7FD7"/>
    <w:rsid w:val="003F020D"/>
    <w:rsid w:val="003F03D9"/>
    <w:rsid w:val="003F2FBE"/>
    <w:rsid w:val="003F318D"/>
    <w:rsid w:val="003F5BAE"/>
    <w:rsid w:val="003F6527"/>
    <w:rsid w:val="003F6ED7"/>
    <w:rsid w:val="003F75A9"/>
    <w:rsid w:val="003F75C7"/>
    <w:rsid w:val="00401C84"/>
    <w:rsid w:val="00402E87"/>
    <w:rsid w:val="00403210"/>
    <w:rsid w:val="004035BB"/>
    <w:rsid w:val="004035EB"/>
    <w:rsid w:val="00403D36"/>
    <w:rsid w:val="00407332"/>
    <w:rsid w:val="00407828"/>
    <w:rsid w:val="004122E6"/>
    <w:rsid w:val="00413A68"/>
    <w:rsid w:val="00413BAE"/>
    <w:rsid w:val="00413D8E"/>
    <w:rsid w:val="004140F2"/>
    <w:rsid w:val="00415B69"/>
    <w:rsid w:val="00415F72"/>
    <w:rsid w:val="00417B22"/>
    <w:rsid w:val="00420FCF"/>
    <w:rsid w:val="00421085"/>
    <w:rsid w:val="004225C2"/>
    <w:rsid w:val="0042465E"/>
    <w:rsid w:val="00424DF7"/>
    <w:rsid w:val="004250DB"/>
    <w:rsid w:val="004256D1"/>
    <w:rsid w:val="004264A1"/>
    <w:rsid w:val="00427437"/>
    <w:rsid w:val="00432B76"/>
    <w:rsid w:val="004331F6"/>
    <w:rsid w:val="004343F1"/>
    <w:rsid w:val="00434D01"/>
    <w:rsid w:val="00435D26"/>
    <w:rsid w:val="004401E4"/>
    <w:rsid w:val="00440C99"/>
    <w:rsid w:val="00441385"/>
    <w:rsid w:val="0044175C"/>
    <w:rsid w:val="00442A5D"/>
    <w:rsid w:val="004443D0"/>
    <w:rsid w:val="00444740"/>
    <w:rsid w:val="00444E8E"/>
    <w:rsid w:val="00445F4D"/>
    <w:rsid w:val="00447EA8"/>
    <w:rsid w:val="004504C0"/>
    <w:rsid w:val="00450EE3"/>
    <w:rsid w:val="00454C7E"/>
    <w:rsid w:val="004550FB"/>
    <w:rsid w:val="00457A9C"/>
    <w:rsid w:val="00460FA6"/>
    <w:rsid w:val="0046111A"/>
    <w:rsid w:val="0046161B"/>
    <w:rsid w:val="0046242D"/>
    <w:rsid w:val="00462946"/>
    <w:rsid w:val="004632A6"/>
    <w:rsid w:val="004639C5"/>
    <w:rsid w:val="00463F43"/>
    <w:rsid w:val="00464B94"/>
    <w:rsid w:val="004653A8"/>
    <w:rsid w:val="00465A0B"/>
    <w:rsid w:val="0046685B"/>
    <w:rsid w:val="00467630"/>
    <w:rsid w:val="00470464"/>
    <w:rsid w:val="0047077C"/>
    <w:rsid w:val="00470B05"/>
    <w:rsid w:val="0047207C"/>
    <w:rsid w:val="00472CD6"/>
    <w:rsid w:val="00474D33"/>
    <w:rsid w:val="00474E3C"/>
    <w:rsid w:val="00476B62"/>
    <w:rsid w:val="0047713A"/>
    <w:rsid w:val="0047734F"/>
    <w:rsid w:val="00480A58"/>
    <w:rsid w:val="00481926"/>
    <w:rsid w:val="00481A5C"/>
    <w:rsid w:val="00482151"/>
    <w:rsid w:val="00485FAD"/>
    <w:rsid w:val="00487AED"/>
    <w:rsid w:val="00491EDF"/>
    <w:rsid w:val="00491FC2"/>
    <w:rsid w:val="004923A3"/>
    <w:rsid w:val="00492742"/>
    <w:rsid w:val="00492A3F"/>
    <w:rsid w:val="0049400C"/>
    <w:rsid w:val="00494F62"/>
    <w:rsid w:val="00495063"/>
    <w:rsid w:val="004A03D8"/>
    <w:rsid w:val="004A2001"/>
    <w:rsid w:val="004A2742"/>
    <w:rsid w:val="004A3590"/>
    <w:rsid w:val="004A6631"/>
    <w:rsid w:val="004B00A7"/>
    <w:rsid w:val="004B0C00"/>
    <w:rsid w:val="004B1083"/>
    <w:rsid w:val="004B17F6"/>
    <w:rsid w:val="004B25E2"/>
    <w:rsid w:val="004B26C4"/>
    <w:rsid w:val="004B2D67"/>
    <w:rsid w:val="004B34D7"/>
    <w:rsid w:val="004B3BA4"/>
    <w:rsid w:val="004B5037"/>
    <w:rsid w:val="004B5B2F"/>
    <w:rsid w:val="004B626A"/>
    <w:rsid w:val="004B660E"/>
    <w:rsid w:val="004C0542"/>
    <w:rsid w:val="004C05BD"/>
    <w:rsid w:val="004C3B06"/>
    <w:rsid w:val="004C3F97"/>
    <w:rsid w:val="004C4503"/>
    <w:rsid w:val="004C740B"/>
    <w:rsid w:val="004C7831"/>
    <w:rsid w:val="004C7EE7"/>
    <w:rsid w:val="004D2DEE"/>
    <w:rsid w:val="004D2E1F"/>
    <w:rsid w:val="004D7FD9"/>
    <w:rsid w:val="004E1324"/>
    <w:rsid w:val="004E19A5"/>
    <w:rsid w:val="004E37E5"/>
    <w:rsid w:val="004E3FDB"/>
    <w:rsid w:val="004E5064"/>
    <w:rsid w:val="004E552A"/>
    <w:rsid w:val="004F1F4A"/>
    <w:rsid w:val="004F296D"/>
    <w:rsid w:val="004F508B"/>
    <w:rsid w:val="004F55B5"/>
    <w:rsid w:val="004F67A7"/>
    <w:rsid w:val="004F695F"/>
    <w:rsid w:val="004F6C68"/>
    <w:rsid w:val="004F6CA4"/>
    <w:rsid w:val="00500752"/>
    <w:rsid w:val="00500B07"/>
    <w:rsid w:val="0050133C"/>
    <w:rsid w:val="00501A50"/>
    <w:rsid w:val="005021F3"/>
    <w:rsid w:val="0050222D"/>
    <w:rsid w:val="00502879"/>
    <w:rsid w:val="00503AF3"/>
    <w:rsid w:val="005049CE"/>
    <w:rsid w:val="00504B92"/>
    <w:rsid w:val="0050696D"/>
    <w:rsid w:val="005070A3"/>
    <w:rsid w:val="00507573"/>
    <w:rsid w:val="0051094B"/>
    <w:rsid w:val="005110D7"/>
    <w:rsid w:val="005116F9"/>
    <w:rsid w:val="00511A9A"/>
    <w:rsid w:val="00511D99"/>
    <w:rsid w:val="00512073"/>
    <w:rsid w:val="005128D3"/>
    <w:rsid w:val="005128FB"/>
    <w:rsid w:val="005147E8"/>
    <w:rsid w:val="005158F2"/>
    <w:rsid w:val="00515FB7"/>
    <w:rsid w:val="005170D3"/>
    <w:rsid w:val="005239DD"/>
    <w:rsid w:val="00526DFC"/>
    <w:rsid w:val="00526F43"/>
    <w:rsid w:val="00526F45"/>
    <w:rsid w:val="005275B0"/>
    <w:rsid w:val="00527651"/>
    <w:rsid w:val="00530944"/>
    <w:rsid w:val="005363AB"/>
    <w:rsid w:val="005371A3"/>
    <w:rsid w:val="00540C3E"/>
    <w:rsid w:val="00540F80"/>
    <w:rsid w:val="005424B9"/>
    <w:rsid w:val="00544EF4"/>
    <w:rsid w:val="00545E53"/>
    <w:rsid w:val="005479D9"/>
    <w:rsid w:val="005572BD"/>
    <w:rsid w:val="00557551"/>
    <w:rsid w:val="00557A12"/>
    <w:rsid w:val="00557D63"/>
    <w:rsid w:val="00560AC7"/>
    <w:rsid w:val="005612E7"/>
    <w:rsid w:val="00561A64"/>
    <w:rsid w:val="00561AFB"/>
    <w:rsid w:val="00561FA8"/>
    <w:rsid w:val="00562C85"/>
    <w:rsid w:val="005635ED"/>
    <w:rsid w:val="00565253"/>
    <w:rsid w:val="005661E0"/>
    <w:rsid w:val="00566842"/>
    <w:rsid w:val="00567C82"/>
    <w:rsid w:val="00570191"/>
    <w:rsid w:val="00570570"/>
    <w:rsid w:val="005708F5"/>
    <w:rsid w:val="00572512"/>
    <w:rsid w:val="00573EE6"/>
    <w:rsid w:val="0057547F"/>
    <w:rsid w:val="005754EE"/>
    <w:rsid w:val="0057617E"/>
    <w:rsid w:val="00576497"/>
    <w:rsid w:val="00576ACE"/>
    <w:rsid w:val="00581A55"/>
    <w:rsid w:val="005834D0"/>
    <w:rsid w:val="005835E7"/>
    <w:rsid w:val="00583836"/>
    <w:rsid w:val="0058397F"/>
    <w:rsid w:val="00583BF8"/>
    <w:rsid w:val="00585F33"/>
    <w:rsid w:val="00591124"/>
    <w:rsid w:val="00596496"/>
    <w:rsid w:val="005964C3"/>
    <w:rsid w:val="00596A9A"/>
    <w:rsid w:val="00597024"/>
    <w:rsid w:val="00597437"/>
    <w:rsid w:val="005A0274"/>
    <w:rsid w:val="005A095C"/>
    <w:rsid w:val="005A669D"/>
    <w:rsid w:val="005A701E"/>
    <w:rsid w:val="005A75D8"/>
    <w:rsid w:val="005B2502"/>
    <w:rsid w:val="005B27F4"/>
    <w:rsid w:val="005B6889"/>
    <w:rsid w:val="005B713E"/>
    <w:rsid w:val="005C03B6"/>
    <w:rsid w:val="005C0886"/>
    <w:rsid w:val="005C348E"/>
    <w:rsid w:val="005C3EC3"/>
    <w:rsid w:val="005C51E3"/>
    <w:rsid w:val="005C68E1"/>
    <w:rsid w:val="005C7E5B"/>
    <w:rsid w:val="005D0996"/>
    <w:rsid w:val="005D274D"/>
    <w:rsid w:val="005D3763"/>
    <w:rsid w:val="005D55E1"/>
    <w:rsid w:val="005D60BC"/>
    <w:rsid w:val="005E03E6"/>
    <w:rsid w:val="005E1657"/>
    <w:rsid w:val="005E19F7"/>
    <w:rsid w:val="005E4F04"/>
    <w:rsid w:val="005E62C2"/>
    <w:rsid w:val="005E6C71"/>
    <w:rsid w:val="005F0963"/>
    <w:rsid w:val="005F2824"/>
    <w:rsid w:val="005F2EBA"/>
    <w:rsid w:val="005F35ED"/>
    <w:rsid w:val="005F401E"/>
    <w:rsid w:val="005F4DC3"/>
    <w:rsid w:val="005F7812"/>
    <w:rsid w:val="005F7A88"/>
    <w:rsid w:val="0060024C"/>
    <w:rsid w:val="00603A1A"/>
    <w:rsid w:val="0060453B"/>
    <w:rsid w:val="006046D5"/>
    <w:rsid w:val="006050F9"/>
    <w:rsid w:val="00606DC0"/>
    <w:rsid w:val="00607A93"/>
    <w:rsid w:val="00607D86"/>
    <w:rsid w:val="006109B3"/>
    <w:rsid w:val="00610C08"/>
    <w:rsid w:val="00611F74"/>
    <w:rsid w:val="00612600"/>
    <w:rsid w:val="00615772"/>
    <w:rsid w:val="006175B6"/>
    <w:rsid w:val="00620BCD"/>
    <w:rsid w:val="00621256"/>
    <w:rsid w:val="00621FCC"/>
    <w:rsid w:val="00622E4B"/>
    <w:rsid w:val="006234F8"/>
    <w:rsid w:val="00624047"/>
    <w:rsid w:val="006256A8"/>
    <w:rsid w:val="006275F2"/>
    <w:rsid w:val="006333DA"/>
    <w:rsid w:val="00635134"/>
    <w:rsid w:val="006356E2"/>
    <w:rsid w:val="006370A8"/>
    <w:rsid w:val="00640287"/>
    <w:rsid w:val="00640E4A"/>
    <w:rsid w:val="00641CEE"/>
    <w:rsid w:val="00642A65"/>
    <w:rsid w:val="006445A4"/>
    <w:rsid w:val="00645DCE"/>
    <w:rsid w:val="006465AC"/>
    <w:rsid w:val="006465BF"/>
    <w:rsid w:val="00651AC4"/>
    <w:rsid w:val="00651D65"/>
    <w:rsid w:val="00652A4D"/>
    <w:rsid w:val="00653B22"/>
    <w:rsid w:val="00657BF4"/>
    <w:rsid w:val="006603FB"/>
    <w:rsid w:val="006608DF"/>
    <w:rsid w:val="00661E6C"/>
    <w:rsid w:val="0066217E"/>
    <w:rsid w:val="006623AC"/>
    <w:rsid w:val="00662615"/>
    <w:rsid w:val="00663988"/>
    <w:rsid w:val="00663AC3"/>
    <w:rsid w:val="00663C41"/>
    <w:rsid w:val="00664E4C"/>
    <w:rsid w:val="006678AF"/>
    <w:rsid w:val="00667F89"/>
    <w:rsid w:val="006701EF"/>
    <w:rsid w:val="00670BE1"/>
    <w:rsid w:val="00672E29"/>
    <w:rsid w:val="00673BA5"/>
    <w:rsid w:val="00677223"/>
    <w:rsid w:val="0067758A"/>
    <w:rsid w:val="00680058"/>
    <w:rsid w:val="00680A4E"/>
    <w:rsid w:val="006813FD"/>
    <w:rsid w:val="00681F9F"/>
    <w:rsid w:val="0068232E"/>
    <w:rsid w:val="006839D5"/>
    <w:rsid w:val="006840EA"/>
    <w:rsid w:val="006844E2"/>
    <w:rsid w:val="00684C11"/>
    <w:rsid w:val="00685267"/>
    <w:rsid w:val="006872AE"/>
    <w:rsid w:val="00690082"/>
    <w:rsid w:val="00690252"/>
    <w:rsid w:val="00692DCA"/>
    <w:rsid w:val="006946BB"/>
    <w:rsid w:val="00695CA0"/>
    <w:rsid w:val="00696317"/>
    <w:rsid w:val="006969FA"/>
    <w:rsid w:val="006A2301"/>
    <w:rsid w:val="006A35D5"/>
    <w:rsid w:val="006A748A"/>
    <w:rsid w:val="006B0E22"/>
    <w:rsid w:val="006B11C2"/>
    <w:rsid w:val="006B4E09"/>
    <w:rsid w:val="006B7812"/>
    <w:rsid w:val="006C0721"/>
    <w:rsid w:val="006C0A99"/>
    <w:rsid w:val="006C419E"/>
    <w:rsid w:val="006C4A31"/>
    <w:rsid w:val="006C5AC2"/>
    <w:rsid w:val="006C6AFB"/>
    <w:rsid w:val="006C7528"/>
    <w:rsid w:val="006D02CB"/>
    <w:rsid w:val="006D11ED"/>
    <w:rsid w:val="006D151A"/>
    <w:rsid w:val="006D1C68"/>
    <w:rsid w:val="006D2735"/>
    <w:rsid w:val="006D45B2"/>
    <w:rsid w:val="006D62F8"/>
    <w:rsid w:val="006E0806"/>
    <w:rsid w:val="006E0A56"/>
    <w:rsid w:val="006E0FCC"/>
    <w:rsid w:val="006E1728"/>
    <w:rsid w:val="006E1754"/>
    <w:rsid w:val="006E1DA3"/>
    <w:rsid w:val="006E1E96"/>
    <w:rsid w:val="006E284A"/>
    <w:rsid w:val="006E28CF"/>
    <w:rsid w:val="006E2B8C"/>
    <w:rsid w:val="006E3821"/>
    <w:rsid w:val="006E4555"/>
    <w:rsid w:val="006E5230"/>
    <w:rsid w:val="006E537A"/>
    <w:rsid w:val="006E5E21"/>
    <w:rsid w:val="006E7BF1"/>
    <w:rsid w:val="006F11FA"/>
    <w:rsid w:val="006F1FF4"/>
    <w:rsid w:val="006F2648"/>
    <w:rsid w:val="006F2F10"/>
    <w:rsid w:val="006F3090"/>
    <w:rsid w:val="006F482B"/>
    <w:rsid w:val="006F518F"/>
    <w:rsid w:val="006F6311"/>
    <w:rsid w:val="00701952"/>
    <w:rsid w:val="00702556"/>
    <w:rsid w:val="007026A8"/>
    <w:rsid w:val="0070277E"/>
    <w:rsid w:val="00704156"/>
    <w:rsid w:val="00706455"/>
    <w:rsid w:val="007069FC"/>
    <w:rsid w:val="00710C51"/>
    <w:rsid w:val="00711221"/>
    <w:rsid w:val="007114A8"/>
    <w:rsid w:val="00712675"/>
    <w:rsid w:val="00713808"/>
    <w:rsid w:val="00714B97"/>
    <w:rsid w:val="00714E46"/>
    <w:rsid w:val="007151B6"/>
    <w:rsid w:val="0071520D"/>
    <w:rsid w:val="0071532E"/>
    <w:rsid w:val="00715EDB"/>
    <w:rsid w:val="007160D5"/>
    <w:rsid w:val="007163FB"/>
    <w:rsid w:val="00717C2E"/>
    <w:rsid w:val="007204FA"/>
    <w:rsid w:val="007213B3"/>
    <w:rsid w:val="0072457F"/>
    <w:rsid w:val="007245E6"/>
    <w:rsid w:val="00725406"/>
    <w:rsid w:val="00726153"/>
    <w:rsid w:val="0072621B"/>
    <w:rsid w:val="00727D78"/>
    <w:rsid w:val="00730555"/>
    <w:rsid w:val="007311F5"/>
    <w:rsid w:val="007312CC"/>
    <w:rsid w:val="0073245F"/>
    <w:rsid w:val="007357EA"/>
    <w:rsid w:val="00736A64"/>
    <w:rsid w:val="00737F6A"/>
    <w:rsid w:val="0074084A"/>
    <w:rsid w:val="007410B6"/>
    <w:rsid w:val="00741998"/>
    <w:rsid w:val="00743DD1"/>
    <w:rsid w:val="00744C6F"/>
    <w:rsid w:val="007457F6"/>
    <w:rsid w:val="00745ABB"/>
    <w:rsid w:val="00745B4C"/>
    <w:rsid w:val="00746E38"/>
    <w:rsid w:val="0074761A"/>
    <w:rsid w:val="00747C62"/>
    <w:rsid w:val="00747CD5"/>
    <w:rsid w:val="007508CA"/>
    <w:rsid w:val="00753A51"/>
    <w:rsid w:val="00753B51"/>
    <w:rsid w:val="00754B3E"/>
    <w:rsid w:val="007551F7"/>
    <w:rsid w:val="00756629"/>
    <w:rsid w:val="007575D2"/>
    <w:rsid w:val="00757B4F"/>
    <w:rsid w:val="00757B6A"/>
    <w:rsid w:val="007610E0"/>
    <w:rsid w:val="007621AA"/>
    <w:rsid w:val="0076260A"/>
    <w:rsid w:val="00764A67"/>
    <w:rsid w:val="00765842"/>
    <w:rsid w:val="00770F6B"/>
    <w:rsid w:val="00771883"/>
    <w:rsid w:val="00773E20"/>
    <w:rsid w:val="00773FE0"/>
    <w:rsid w:val="007756E1"/>
    <w:rsid w:val="00776DC2"/>
    <w:rsid w:val="0077757C"/>
    <w:rsid w:val="00780122"/>
    <w:rsid w:val="0078214B"/>
    <w:rsid w:val="0078285E"/>
    <w:rsid w:val="00782941"/>
    <w:rsid w:val="0078498A"/>
    <w:rsid w:val="007858B0"/>
    <w:rsid w:val="00786DE5"/>
    <w:rsid w:val="007878FE"/>
    <w:rsid w:val="00787C97"/>
    <w:rsid w:val="00787F9C"/>
    <w:rsid w:val="00792207"/>
    <w:rsid w:val="00792970"/>
    <w:rsid w:val="00792B64"/>
    <w:rsid w:val="00792C5A"/>
    <w:rsid w:val="00792E29"/>
    <w:rsid w:val="0079379A"/>
    <w:rsid w:val="00794953"/>
    <w:rsid w:val="00795FB7"/>
    <w:rsid w:val="00796383"/>
    <w:rsid w:val="00797AB0"/>
    <w:rsid w:val="007A1F2F"/>
    <w:rsid w:val="007A275A"/>
    <w:rsid w:val="007A2A5C"/>
    <w:rsid w:val="007A3132"/>
    <w:rsid w:val="007A5150"/>
    <w:rsid w:val="007A5373"/>
    <w:rsid w:val="007A5D6E"/>
    <w:rsid w:val="007A654B"/>
    <w:rsid w:val="007A6715"/>
    <w:rsid w:val="007A6CC0"/>
    <w:rsid w:val="007A789F"/>
    <w:rsid w:val="007B75BC"/>
    <w:rsid w:val="007B7C1F"/>
    <w:rsid w:val="007C0367"/>
    <w:rsid w:val="007C0BD6"/>
    <w:rsid w:val="007C2305"/>
    <w:rsid w:val="007C3806"/>
    <w:rsid w:val="007C5BB7"/>
    <w:rsid w:val="007D07D5"/>
    <w:rsid w:val="007D1C64"/>
    <w:rsid w:val="007D2872"/>
    <w:rsid w:val="007D311F"/>
    <w:rsid w:val="007D32DD"/>
    <w:rsid w:val="007D52F3"/>
    <w:rsid w:val="007D55A8"/>
    <w:rsid w:val="007D6DCE"/>
    <w:rsid w:val="007D72C4"/>
    <w:rsid w:val="007D7477"/>
    <w:rsid w:val="007E2CFE"/>
    <w:rsid w:val="007E3525"/>
    <w:rsid w:val="007E59C9"/>
    <w:rsid w:val="007E6EC8"/>
    <w:rsid w:val="007F0072"/>
    <w:rsid w:val="007F2EB6"/>
    <w:rsid w:val="007F3967"/>
    <w:rsid w:val="007F48D3"/>
    <w:rsid w:val="007F54C3"/>
    <w:rsid w:val="007F5A0D"/>
    <w:rsid w:val="00802949"/>
    <w:rsid w:val="0080301E"/>
    <w:rsid w:val="0080365F"/>
    <w:rsid w:val="00803697"/>
    <w:rsid w:val="008109E4"/>
    <w:rsid w:val="00812BE5"/>
    <w:rsid w:val="00813D51"/>
    <w:rsid w:val="0081515E"/>
    <w:rsid w:val="00817429"/>
    <w:rsid w:val="008200E5"/>
    <w:rsid w:val="00821514"/>
    <w:rsid w:val="00821E35"/>
    <w:rsid w:val="00824591"/>
    <w:rsid w:val="00824A7C"/>
    <w:rsid w:val="00824AED"/>
    <w:rsid w:val="008269D7"/>
    <w:rsid w:val="00827820"/>
    <w:rsid w:val="00830184"/>
    <w:rsid w:val="00830468"/>
    <w:rsid w:val="00830AB1"/>
    <w:rsid w:val="00831B8B"/>
    <w:rsid w:val="0083405D"/>
    <w:rsid w:val="008352D4"/>
    <w:rsid w:val="0083544C"/>
    <w:rsid w:val="00836DB9"/>
    <w:rsid w:val="00837C67"/>
    <w:rsid w:val="008415B0"/>
    <w:rsid w:val="00842028"/>
    <w:rsid w:val="008436B8"/>
    <w:rsid w:val="00843883"/>
    <w:rsid w:val="00845A6E"/>
    <w:rsid w:val="008460B6"/>
    <w:rsid w:val="00850C9D"/>
    <w:rsid w:val="00852B59"/>
    <w:rsid w:val="00854E9C"/>
    <w:rsid w:val="00855785"/>
    <w:rsid w:val="00856272"/>
    <w:rsid w:val="008563FF"/>
    <w:rsid w:val="0085761A"/>
    <w:rsid w:val="0086018B"/>
    <w:rsid w:val="008611DD"/>
    <w:rsid w:val="008620DE"/>
    <w:rsid w:val="00864643"/>
    <w:rsid w:val="00866867"/>
    <w:rsid w:val="00866F0A"/>
    <w:rsid w:val="00867AFF"/>
    <w:rsid w:val="00872257"/>
    <w:rsid w:val="0087385E"/>
    <w:rsid w:val="008749EC"/>
    <w:rsid w:val="008753E6"/>
    <w:rsid w:val="0087738C"/>
    <w:rsid w:val="00877880"/>
    <w:rsid w:val="008802AF"/>
    <w:rsid w:val="00881926"/>
    <w:rsid w:val="0088215C"/>
    <w:rsid w:val="0088318F"/>
    <w:rsid w:val="0088331D"/>
    <w:rsid w:val="00883D3D"/>
    <w:rsid w:val="00885117"/>
    <w:rsid w:val="008852B0"/>
    <w:rsid w:val="00885AE7"/>
    <w:rsid w:val="0088678D"/>
    <w:rsid w:val="00886B60"/>
    <w:rsid w:val="00887889"/>
    <w:rsid w:val="008920FF"/>
    <w:rsid w:val="008926E8"/>
    <w:rsid w:val="00893658"/>
    <w:rsid w:val="00894F19"/>
    <w:rsid w:val="00895C76"/>
    <w:rsid w:val="00896A10"/>
    <w:rsid w:val="008971B5"/>
    <w:rsid w:val="00897FAD"/>
    <w:rsid w:val="008A1C67"/>
    <w:rsid w:val="008A464D"/>
    <w:rsid w:val="008A596F"/>
    <w:rsid w:val="008A5D26"/>
    <w:rsid w:val="008A6B13"/>
    <w:rsid w:val="008A6ECB"/>
    <w:rsid w:val="008A72D1"/>
    <w:rsid w:val="008A75C2"/>
    <w:rsid w:val="008B0BF9"/>
    <w:rsid w:val="008B0C64"/>
    <w:rsid w:val="008B2866"/>
    <w:rsid w:val="008B3859"/>
    <w:rsid w:val="008B4335"/>
    <w:rsid w:val="008B436D"/>
    <w:rsid w:val="008B4E49"/>
    <w:rsid w:val="008B6CFD"/>
    <w:rsid w:val="008B6EB4"/>
    <w:rsid w:val="008B7712"/>
    <w:rsid w:val="008B7B26"/>
    <w:rsid w:val="008C3524"/>
    <w:rsid w:val="008C4061"/>
    <w:rsid w:val="008C4229"/>
    <w:rsid w:val="008C4FCB"/>
    <w:rsid w:val="008C51E5"/>
    <w:rsid w:val="008C5BE0"/>
    <w:rsid w:val="008C6164"/>
    <w:rsid w:val="008C7233"/>
    <w:rsid w:val="008D09C8"/>
    <w:rsid w:val="008D2434"/>
    <w:rsid w:val="008D3F17"/>
    <w:rsid w:val="008D4977"/>
    <w:rsid w:val="008D5906"/>
    <w:rsid w:val="008D5B88"/>
    <w:rsid w:val="008D63A2"/>
    <w:rsid w:val="008D7670"/>
    <w:rsid w:val="008E171D"/>
    <w:rsid w:val="008E2785"/>
    <w:rsid w:val="008E353E"/>
    <w:rsid w:val="008E78A3"/>
    <w:rsid w:val="008E7BBE"/>
    <w:rsid w:val="008E7D53"/>
    <w:rsid w:val="008F0654"/>
    <w:rsid w:val="008F06CB"/>
    <w:rsid w:val="008F24F2"/>
    <w:rsid w:val="008F2E83"/>
    <w:rsid w:val="008F5589"/>
    <w:rsid w:val="008F612A"/>
    <w:rsid w:val="0090052C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2EE"/>
    <w:rsid w:val="009165FB"/>
    <w:rsid w:val="00917CE5"/>
    <w:rsid w:val="009217C0"/>
    <w:rsid w:val="00925241"/>
    <w:rsid w:val="0092532E"/>
    <w:rsid w:val="00925CEC"/>
    <w:rsid w:val="00926A3F"/>
    <w:rsid w:val="0092794E"/>
    <w:rsid w:val="00930D30"/>
    <w:rsid w:val="009332A2"/>
    <w:rsid w:val="00934124"/>
    <w:rsid w:val="00936EE1"/>
    <w:rsid w:val="00937598"/>
    <w:rsid w:val="0093790B"/>
    <w:rsid w:val="0094234F"/>
    <w:rsid w:val="00943751"/>
    <w:rsid w:val="00946456"/>
    <w:rsid w:val="00946DD0"/>
    <w:rsid w:val="009509E6"/>
    <w:rsid w:val="0095159F"/>
    <w:rsid w:val="00952018"/>
    <w:rsid w:val="00952800"/>
    <w:rsid w:val="00952B2E"/>
    <w:rsid w:val="0095300D"/>
    <w:rsid w:val="0095328A"/>
    <w:rsid w:val="00956812"/>
    <w:rsid w:val="00956C54"/>
    <w:rsid w:val="0095719A"/>
    <w:rsid w:val="009623E9"/>
    <w:rsid w:val="00963EEB"/>
    <w:rsid w:val="009648BC"/>
    <w:rsid w:val="00964C2F"/>
    <w:rsid w:val="0096514A"/>
    <w:rsid w:val="00965F88"/>
    <w:rsid w:val="009661D5"/>
    <w:rsid w:val="00966C68"/>
    <w:rsid w:val="0097589F"/>
    <w:rsid w:val="00975F28"/>
    <w:rsid w:val="0098204B"/>
    <w:rsid w:val="00982274"/>
    <w:rsid w:val="00983879"/>
    <w:rsid w:val="00983923"/>
    <w:rsid w:val="00984E03"/>
    <w:rsid w:val="0098592D"/>
    <w:rsid w:val="00985B18"/>
    <w:rsid w:val="00987E85"/>
    <w:rsid w:val="00990443"/>
    <w:rsid w:val="00992DED"/>
    <w:rsid w:val="00993746"/>
    <w:rsid w:val="00994541"/>
    <w:rsid w:val="009947FF"/>
    <w:rsid w:val="00994955"/>
    <w:rsid w:val="0099495E"/>
    <w:rsid w:val="00994B80"/>
    <w:rsid w:val="00994E73"/>
    <w:rsid w:val="00995170"/>
    <w:rsid w:val="00995F20"/>
    <w:rsid w:val="0099769C"/>
    <w:rsid w:val="009A0D12"/>
    <w:rsid w:val="009A1987"/>
    <w:rsid w:val="009A2BEE"/>
    <w:rsid w:val="009A39A4"/>
    <w:rsid w:val="009A5289"/>
    <w:rsid w:val="009A7A53"/>
    <w:rsid w:val="009B0073"/>
    <w:rsid w:val="009B0402"/>
    <w:rsid w:val="009B0B75"/>
    <w:rsid w:val="009B0D80"/>
    <w:rsid w:val="009B16DF"/>
    <w:rsid w:val="009B1AD5"/>
    <w:rsid w:val="009B3DDB"/>
    <w:rsid w:val="009B4CB2"/>
    <w:rsid w:val="009B6701"/>
    <w:rsid w:val="009B6EF7"/>
    <w:rsid w:val="009B7000"/>
    <w:rsid w:val="009B739C"/>
    <w:rsid w:val="009C04EC"/>
    <w:rsid w:val="009C0C85"/>
    <w:rsid w:val="009C0F6F"/>
    <w:rsid w:val="009C328C"/>
    <w:rsid w:val="009C4444"/>
    <w:rsid w:val="009C45B9"/>
    <w:rsid w:val="009C5D56"/>
    <w:rsid w:val="009C79AD"/>
    <w:rsid w:val="009C7CA6"/>
    <w:rsid w:val="009D02C4"/>
    <w:rsid w:val="009D0747"/>
    <w:rsid w:val="009D3316"/>
    <w:rsid w:val="009D41F4"/>
    <w:rsid w:val="009D55AA"/>
    <w:rsid w:val="009E024A"/>
    <w:rsid w:val="009E3043"/>
    <w:rsid w:val="009E392B"/>
    <w:rsid w:val="009E3E77"/>
    <w:rsid w:val="009E3FAB"/>
    <w:rsid w:val="009E5B3F"/>
    <w:rsid w:val="009E7D90"/>
    <w:rsid w:val="009F1418"/>
    <w:rsid w:val="009F1AB0"/>
    <w:rsid w:val="009F35FE"/>
    <w:rsid w:val="009F501D"/>
    <w:rsid w:val="009F59B9"/>
    <w:rsid w:val="00A02A39"/>
    <w:rsid w:val="00A02CE8"/>
    <w:rsid w:val="00A039D5"/>
    <w:rsid w:val="00A0431D"/>
    <w:rsid w:val="00A046AD"/>
    <w:rsid w:val="00A063ED"/>
    <w:rsid w:val="00A0725F"/>
    <w:rsid w:val="00A079C1"/>
    <w:rsid w:val="00A100C4"/>
    <w:rsid w:val="00A10856"/>
    <w:rsid w:val="00A12520"/>
    <w:rsid w:val="00A130FD"/>
    <w:rsid w:val="00A138DB"/>
    <w:rsid w:val="00A13D6D"/>
    <w:rsid w:val="00A14705"/>
    <w:rsid w:val="00A14769"/>
    <w:rsid w:val="00A15C20"/>
    <w:rsid w:val="00A16151"/>
    <w:rsid w:val="00A16EC6"/>
    <w:rsid w:val="00A17C06"/>
    <w:rsid w:val="00A2126E"/>
    <w:rsid w:val="00A21706"/>
    <w:rsid w:val="00A2360D"/>
    <w:rsid w:val="00A23E3C"/>
    <w:rsid w:val="00A24FCC"/>
    <w:rsid w:val="00A256FC"/>
    <w:rsid w:val="00A26A90"/>
    <w:rsid w:val="00A26B27"/>
    <w:rsid w:val="00A26D1A"/>
    <w:rsid w:val="00A30097"/>
    <w:rsid w:val="00A30E4F"/>
    <w:rsid w:val="00A32253"/>
    <w:rsid w:val="00A3310E"/>
    <w:rsid w:val="00A333A0"/>
    <w:rsid w:val="00A33EB4"/>
    <w:rsid w:val="00A361A9"/>
    <w:rsid w:val="00A363F8"/>
    <w:rsid w:val="00A37E70"/>
    <w:rsid w:val="00A40B14"/>
    <w:rsid w:val="00A437E1"/>
    <w:rsid w:val="00A43FB2"/>
    <w:rsid w:val="00A44C6B"/>
    <w:rsid w:val="00A4685E"/>
    <w:rsid w:val="00A50CD4"/>
    <w:rsid w:val="00A51191"/>
    <w:rsid w:val="00A536BB"/>
    <w:rsid w:val="00A53BCC"/>
    <w:rsid w:val="00A54C4C"/>
    <w:rsid w:val="00A54D78"/>
    <w:rsid w:val="00A555C7"/>
    <w:rsid w:val="00A55F76"/>
    <w:rsid w:val="00A56D62"/>
    <w:rsid w:val="00A56F07"/>
    <w:rsid w:val="00A5762C"/>
    <w:rsid w:val="00A578AB"/>
    <w:rsid w:val="00A600FC"/>
    <w:rsid w:val="00A60BCA"/>
    <w:rsid w:val="00A60CE0"/>
    <w:rsid w:val="00A638DA"/>
    <w:rsid w:val="00A64F0A"/>
    <w:rsid w:val="00A65B41"/>
    <w:rsid w:val="00A65E00"/>
    <w:rsid w:val="00A66A78"/>
    <w:rsid w:val="00A715B4"/>
    <w:rsid w:val="00A7436E"/>
    <w:rsid w:val="00A74E96"/>
    <w:rsid w:val="00A75A8E"/>
    <w:rsid w:val="00A7639B"/>
    <w:rsid w:val="00A809CE"/>
    <w:rsid w:val="00A8222B"/>
    <w:rsid w:val="00A824DD"/>
    <w:rsid w:val="00A83676"/>
    <w:rsid w:val="00A83B7B"/>
    <w:rsid w:val="00A83F8A"/>
    <w:rsid w:val="00A84274"/>
    <w:rsid w:val="00A84D80"/>
    <w:rsid w:val="00A84EC9"/>
    <w:rsid w:val="00A850F3"/>
    <w:rsid w:val="00A864E3"/>
    <w:rsid w:val="00A872A3"/>
    <w:rsid w:val="00A94574"/>
    <w:rsid w:val="00A95936"/>
    <w:rsid w:val="00A96265"/>
    <w:rsid w:val="00A96C87"/>
    <w:rsid w:val="00A97084"/>
    <w:rsid w:val="00A9791B"/>
    <w:rsid w:val="00AA01A6"/>
    <w:rsid w:val="00AA1C2C"/>
    <w:rsid w:val="00AA26B1"/>
    <w:rsid w:val="00AA35F6"/>
    <w:rsid w:val="00AA667C"/>
    <w:rsid w:val="00AA6E91"/>
    <w:rsid w:val="00AA7439"/>
    <w:rsid w:val="00AA7863"/>
    <w:rsid w:val="00AB047E"/>
    <w:rsid w:val="00AB0B0A"/>
    <w:rsid w:val="00AB0BB7"/>
    <w:rsid w:val="00AB22C6"/>
    <w:rsid w:val="00AB22E0"/>
    <w:rsid w:val="00AB2582"/>
    <w:rsid w:val="00AB2AD0"/>
    <w:rsid w:val="00AB67FC"/>
    <w:rsid w:val="00AC00F2"/>
    <w:rsid w:val="00AC27BA"/>
    <w:rsid w:val="00AC31B5"/>
    <w:rsid w:val="00AC4EA1"/>
    <w:rsid w:val="00AC5381"/>
    <w:rsid w:val="00AC5920"/>
    <w:rsid w:val="00AD0E65"/>
    <w:rsid w:val="00AD29FE"/>
    <w:rsid w:val="00AD2A58"/>
    <w:rsid w:val="00AD2BF2"/>
    <w:rsid w:val="00AD2F5B"/>
    <w:rsid w:val="00AD4E90"/>
    <w:rsid w:val="00AD5422"/>
    <w:rsid w:val="00AD7446"/>
    <w:rsid w:val="00AE24AB"/>
    <w:rsid w:val="00AE4179"/>
    <w:rsid w:val="00AE4425"/>
    <w:rsid w:val="00AE4FBE"/>
    <w:rsid w:val="00AE650F"/>
    <w:rsid w:val="00AE6555"/>
    <w:rsid w:val="00AE7635"/>
    <w:rsid w:val="00AE7811"/>
    <w:rsid w:val="00AE7D16"/>
    <w:rsid w:val="00AF4CAA"/>
    <w:rsid w:val="00AF542F"/>
    <w:rsid w:val="00AF571A"/>
    <w:rsid w:val="00AF5AC1"/>
    <w:rsid w:val="00AF60A0"/>
    <w:rsid w:val="00AF67FC"/>
    <w:rsid w:val="00AF7DF5"/>
    <w:rsid w:val="00B006E5"/>
    <w:rsid w:val="00B00D7F"/>
    <w:rsid w:val="00B02324"/>
    <w:rsid w:val="00B024C2"/>
    <w:rsid w:val="00B030A2"/>
    <w:rsid w:val="00B055D9"/>
    <w:rsid w:val="00B07700"/>
    <w:rsid w:val="00B13921"/>
    <w:rsid w:val="00B1431E"/>
    <w:rsid w:val="00B1528C"/>
    <w:rsid w:val="00B16ACD"/>
    <w:rsid w:val="00B21487"/>
    <w:rsid w:val="00B22BE6"/>
    <w:rsid w:val="00B232D1"/>
    <w:rsid w:val="00B238C5"/>
    <w:rsid w:val="00B24DB5"/>
    <w:rsid w:val="00B265A7"/>
    <w:rsid w:val="00B2664F"/>
    <w:rsid w:val="00B271FC"/>
    <w:rsid w:val="00B31F9E"/>
    <w:rsid w:val="00B3268F"/>
    <w:rsid w:val="00B32B07"/>
    <w:rsid w:val="00B32C2C"/>
    <w:rsid w:val="00B33A1A"/>
    <w:rsid w:val="00B33E6C"/>
    <w:rsid w:val="00B371CC"/>
    <w:rsid w:val="00B404DE"/>
    <w:rsid w:val="00B40BB7"/>
    <w:rsid w:val="00B41CD9"/>
    <w:rsid w:val="00B427E6"/>
    <w:rsid w:val="00B428A6"/>
    <w:rsid w:val="00B43E1F"/>
    <w:rsid w:val="00B45FBC"/>
    <w:rsid w:val="00B506B2"/>
    <w:rsid w:val="00B516D0"/>
    <w:rsid w:val="00B51A7D"/>
    <w:rsid w:val="00B52F0B"/>
    <w:rsid w:val="00B535C2"/>
    <w:rsid w:val="00B5360B"/>
    <w:rsid w:val="00B553F2"/>
    <w:rsid w:val="00B55544"/>
    <w:rsid w:val="00B559B4"/>
    <w:rsid w:val="00B642FC"/>
    <w:rsid w:val="00B64D26"/>
    <w:rsid w:val="00B64FBB"/>
    <w:rsid w:val="00B650CC"/>
    <w:rsid w:val="00B673EC"/>
    <w:rsid w:val="00B70598"/>
    <w:rsid w:val="00B70E22"/>
    <w:rsid w:val="00B719B6"/>
    <w:rsid w:val="00B7487C"/>
    <w:rsid w:val="00B774CB"/>
    <w:rsid w:val="00B80402"/>
    <w:rsid w:val="00B80B9A"/>
    <w:rsid w:val="00B830B7"/>
    <w:rsid w:val="00B848EA"/>
    <w:rsid w:val="00B84B2B"/>
    <w:rsid w:val="00B85A8A"/>
    <w:rsid w:val="00B85B98"/>
    <w:rsid w:val="00B8748C"/>
    <w:rsid w:val="00B901AD"/>
    <w:rsid w:val="00B90500"/>
    <w:rsid w:val="00B913B3"/>
    <w:rsid w:val="00B9176C"/>
    <w:rsid w:val="00B933F4"/>
    <w:rsid w:val="00B935A4"/>
    <w:rsid w:val="00BA0ABE"/>
    <w:rsid w:val="00BA0B09"/>
    <w:rsid w:val="00BA2B67"/>
    <w:rsid w:val="00BA3A31"/>
    <w:rsid w:val="00BA561A"/>
    <w:rsid w:val="00BB0DC6"/>
    <w:rsid w:val="00BB15E4"/>
    <w:rsid w:val="00BB1989"/>
    <w:rsid w:val="00BB19B6"/>
    <w:rsid w:val="00BB1E0B"/>
    <w:rsid w:val="00BB1E19"/>
    <w:rsid w:val="00BB21D1"/>
    <w:rsid w:val="00BB22D8"/>
    <w:rsid w:val="00BB32F2"/>
    <w:rsid w:val="00BB345D"/>
    <w:rsid w:val="00BB4338"/>
    <w:rsid w:val="00BB43FF"/>
    <w:rsid w:val="00BB5AAA"/>
    <w:rsid w:val="00BB69B2"/>
    <w:rsid w:val="00BB6C0E"/>
    <w:rsid w:val="00BB730C"/>
    <w:rsid w:val="00BB7B38"/>
    <w:rsid w:val="00BC113D"/>
    <w:rsid w:val="00BC11E5"/>
    <w:rsid w:val="00BC1A9A"/>
    <w:rsid w:val="00BC4BC6"/>
    <w:rsid w:val="00BC52FD"/>
    <w:rsid w:val="00BC59D3"/>
    <w:rsid w:val="00BC6735"/>
    <w:rsid w:val="00BC6E62"/>
    <w:rsid w:val="00BC6EEA"/>
    <w:rsid w:val="00BC7443"/>
    <w:rsid w:val="00BD009A"/>
    <w:rsid w:val="00BD0648"/>
    <w:rsid w:val="00BD1040"/>
    <w:rsid w:val="00BD1542"/>
    <w:rsid w:val="00BD2EA3"/>
    <w:rsid w:val="00BD34AA"/>
    <w:rsid w:val="00BD5869"/>
    <w:rsid w:val="00BD6775"/>
    <w:rsid w:val="00BD73C7"/>
    <w:rsid w:val="00BE0831"/>
    <w:rsid w:val="00BE0C44"/>
    <w:rsid w:val="00BE1B8B"/>
    <w:rsid w:val="00BE2980"/>
    <w:rsid w:val="00BE2A18"/>
    <w:rsid w:val="00BE2C01"/>
    <w:rsid w:val="00BE3CEB"/>
    <w:rsid w:val="00BE41EC"/>
    <w:rsid w:val="00BE47BE"/>
    <w:rsid w:val="00BE56FB"/>
    <w:rsid w:val="00BF0E10"/>
    <w:rsid w:val="00BF0E62"/>
    <w:rsid w:val="00BF3DDE"/>
    <w:rsid w:val="00BF6589"/>
    <w:rsid w:val="00BF6F7F"/>
    <w:rsid w:val="00BF70DC"/>
    <w:rsid w:val="00C002CA"/>
    <w:rsid w:val="00C00647"/>
    <w:rsid w:val="00C02764"/>
    <w:rsid w:val="00C03276"/>
    <w:rsid w:val="00C03591"/>
    <w:rsid w:val="00C04CEF"/>
    <w:rsid w:val="00C0662F"/>
    <w:rsid w:val="00C06B0F"/>
    <w:rsid w:val="00C10270"/>
    <w:rsid w:val="00C11943"/>
    <w:rsid w:val="00C12E96"/>
    <w:rsid w:val="00C14763"/>
    <w:rsid w:val="00C16141"/>
    <w:rsid w:val="00C161D2"/>
    <w:rsid w:val="00C17B16"/>
    <w:rsid w:val="00C226A1"/>
    <w:rsid w:val="00C2363F"/>
    <w:rsid w:val="00C236C8"/>
    <w:rsid w:val="00C23D0D"/>
    <w:rsid w:val="00C260B1"/>
    <w:rsid w:val="00C26E56"/>
    <w:rsid w:val="00C31406"/>
    <w:rsid w:val="00C37194"/>
    <w:rsid w:val="00C37E1D"/>
    <w:rsid w:val="00C40637"/>
    <w:rsid w:val="00C40F6C"/>
    <w:rsid w:val="00C44426"/>
    <w:rsid w:val="00C445F3"/>
    <w:rsid w:val="00C451F4"/>
    <w:rsid w:val="00C456D2"/>
    <w:rsid w:val="00C45EB1"/>
    <w:rsid w:val="00C5018F"/>
    <w:rsid w:val="00C506D0"/>
    <w:rsid w:val="00C52DEA"/>
    <w:rsid w:val="00C5467B"/>
    <w:rsid w:val="00C54A3A"/>
    <w:rsid w:val="00C55566"/>
    <w:rsid w:val="00C56448"/>
    <w:rsid w:val="00C565D0"/>
    <w:rsid w:val="00C56FD3"/>
    <w:rsid w:val="00C646CC"/>
    <w:rsid w:val="00C6490C"/>
    <w:rsid w:val="00C662C0"/>
    <w:rsid w:val="00C667BE"/>
    <w:rsid w:val="00C6766B"/>
    <w:rsid w:val="00C67FD5"/>
    <w:rsid w:val="00C72223"/>
    <w:rsid w:val="00C739D9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7318"/>
    <w:rsid w:val="00C875E0"/>
    <w:rsid w:val="00C91DF9"/>
    <w:rsid w:val="00CA5572"/>
    <w:rsid w:val="00CB013D"/>
    <w:rsid w:val="00CB12AA"/>
    <w:rsid w:val="00CB18D0"/>
    <w:rsid w:val="00CB1C8A"/>
    <w:rsid w:val="00CB24F5"/>
    <w:rsid w:val="00CB2663"/>
    <w:rsid w:val="00CB3BBE"/>
    <w:rsid w:val="00CB59E9"/>
    <w:rsid w:val="00CB661B"/>
    <w:rsid w:val="00CC0D6A"/>
    <w:rsid w:val="00CC1427"/>
    <w:rsid w:val="00CC1B3B"/>
    <w:rsid w:val="00CC1CCA"/>
    <w:rsid w:val="00CC3829"/>
    <w:rsid w:val="00CC3831"/>
    <w:rsid w:val="00CC3E3D"/>
    <w:rsid w:val="00CC4149"/>
    <w:rsid w:val="00CC519B"/>
    <w:rsid w:val="00CD12C1"/>
    <w:rsid w:val="00CD1F41"/>
    <w:rsid w:val="00CD214E"/>
    <w:rsid w:val="00CD3167"/>
    <w:rsid w:val="00CD3F40"/>
    <w:rsid w:val="00CD46FA"/>
    <w:rsid w:val="00CD5973"/>
    <w:rsid w:val="00CD697C"/>
    <w:rsid w:val="00CE191B"/>
    <w:rsid w:val="00CE31A6"/>
    <w:rsid w:val="00CE3410"/>
    <w:rsid w:val="00CE45FD"/>
    <w:rsid w:val="00CE5E7C"/>
    <w:rsid w:val="00CE65DD"/>
    <w:rsid w:val="00CF09AA"/>
    <w:rsid w:val="00CF2638"/>
    <w:rsid w:val="00CF27DA"/>
    <w:rsid w:val="00CF2B87"/>
    <w:rsid w:val="00CF3F42"/>
    <w:rsid w:val="00CF4813"/>
    <w:rsid w:val="00CF5043"/>
    <w:rsid w:val="00CF5233"/>
    <w:rsid w:val="00CF6C0C"/>
    <w:rsid w:val="00CF7A3F"/>
    <w:rsid w:val="00D01BF0"/>
    <w:rsid w:val="00D029B8"/>
    <w:rsid w:val="00D02F60"/>
    <w:rsid w:val="00D0464E"/>
    <w:rsid w:val="00D0479D"/>
    <w:rsid w:val="00D04895"/>
    <w:rsid w:val="00D04A96"/>
    <w:rsid w:val="00D07A7B"/>
    <w:rsid w:val="00D10B46"/>
    <w:rsid w:val="00D10E06"/>
    <w:rsid w:val="00D117E2"/>
    <w:rsid w:val="00D134E2"/>
    <w:rsid w:val="00D15197"/>
    <w:rsid w:val="00D15FB2"/>
    <w:rsid w:val="00D16820"/>
    <w:rsid w:val="00D169C8"/>
    <w:rsid w:val="00D1744E"/>
    <w:rsid w:val="00D1793F"/>
    <w:rsid w:val="00D17A2C"/>
    <w:rsid w:val="00D21DFF"/>
    <w:rsid w:val="00D22AF5"/>
    <w:rsid w:val="00D235EA"/>
    <w:rsid w:val="00D245E4"/>
    <w:rsid w:val="00D247A9"/>
    <w:rsid w:val="00D32721"/>
    <w:rsid w:val="00D328DC"/>
    <w:rsid w:val="00D33387"/>
    <w:rsid w:val="00D35559"/>
    <w:rsid w:val="00D36908"/>
    <w:rsid w:val="00D402FB"/>
    <w:rsid w:val="00D4030C"/>
    <w:rsid w:val="00D421C4"/>
    <w:rsid w:val="00D42AA0"/>
    <w:rsid w:val="00D44699"/>
    <w:rsid w:val="00D47D7A"/>
    <w:rsid w:val="00D50ABD"/>
    <w:rsid w:val="00D5326B"/>
    <w:rsid w:val="00D53D9A"/>
    <w:rsid w:val="00D54000"/>
    <w:rsid w:val="00D55290"/>
    <w:rsid w:val="00D5657F"/>
    <w:rsid w:val="00D57791"/>
    <w:rsid w:val="00D6046A"/>
    <w:rsid w:val="00D608ED"/>
    <w:rsid w:val="00D62870"/>
    <w:rsid w:val="00D655D9"/>
    <w:rsid w:val="00D65872"/>
    <w:rsid w:val="00D676F3"/>
    <w:rsid w:val="00D70189"/>
    <w:rsid w:val="00D70EF5"/>
    <w:rsid w:val="00D71024"/>
    <w:rsid w:val="00D71A25"/>
    <w:rsid w:val="00D71FCF"/>
    <w:rsid w:val="00D72A54"/>
    <w:rsid w:val="00D72CC1"/>
    <w:rsid w:val="00D74EDD"/>
    <w:rsid w:val="00D76EC9"/>
    <w:rsid w:val="00D77D84"/>
    <w:rsid w:val="00D80A63"/>
    <w:rsid w:val="00D80E7D"/>
    <w:rsid w:val="00D81397"/>
    <w:rsid w:val="00D81BBB"/>
    <w:rsid w:val="00D83C06"/>
    <w:rsid w:val="00D848B9"/>
    <w:rsid w:val="00D85D09"/>
    <w:rsid w:val="00D869A3"/>
    <w:rsid w:val="00D86EF1"/>
    <w:rsid w:val="00D90979"/>
    <w:rsid w:val="00D90E69"/>
    <w:rsid w:val="00D91368"/>
    <w:rsid w:val="00D92A0A"/>
    <w:rsid w:val="00D92BE3"/>
    <w:rsid w:val="00D93106"/>
    <w:rsid w:val="00D933E9"/>
    <w:rsid w:val="00D94DD7"/>
    <w:rsid w:val="00D9505D"/>
    <w:rsid w:val="00D953D0"/>
    <w:rsid w:val="00D959F5"/>
    <w:rsid w:val="00D9631D"/>
    <w:rsid w:val="00D9670A"/>
    <w:rsid w:val="00D96884"/>
    <w:rsid w:val="00D97C34"/>
    <w:rsid w:val="00DA3FDD"/>
    <w:rsid w:val="00DA4D95"/>
    <w:rsid w:val="00DA4E71"/>
    <w:rsid w:val="00DA696F"/>
    <w:rsid w:val="00DA7017"/>
    <w:rsid w:val="00DA7028"/>
    <w:rsid w:val="00DA77F6"/>
    <w:rsid w:val="00DB1AD2"/>
    <w:rsid w:val="00DB24D5"/>
    <w:rsid w:val="00DB2B58"/>
    <w:rsid w:val="00DB3DE7"/>
    <w:rsid w:val="00DB5206"/>
    <w:rsid w:val="00DB6276"/>
    <w:rsid w:val="00DB63F5"/>
    <w:rsid w:val="00DC1862"/>
    <w:rsid w:val="00DC1C6B"/>
    <w:rsid w:val="00DC2C2E"/>
    <w:rsid w:val="00DC3655"/>
    <w:rsid w:val="00DC3948"/>
    <w:rsid w:val="00DC4AF0"/>
    <w:rsid w:val="00DC74F5"/>
    <w:rsid w:val="00DC7886"/>
    <w:rsid w:val="00DD0CF2"/>
    <w:rsid w:val="00DD650D"/>
    <w:rsid w:val="00DE0CFE"/>
    <w:rsid w:val="00DE1554"/>
    <w:rsid w:val="00DE2901"/>
    <w:rsid w:val="00DE590F"/>
    <w:rsid w:val="00DE605D"/>
    <w:rsid w:val="00DE7554"/>
    <w:rsid w:val="00DE76AF"/>
    <w:rsid w:val="00DE7DC1"/>
    <w:rsid w:val="00DE7EF3"/>
    <w:rsid w:val="00DF1A42"/>
    <w:rsid w:val="00DF1CEE"/>
    <w:rsid w:val="00DF3F7E"/>
    <w:rsid w:val="00DF6E5B"/>
    <w:rsid w:val="00DF7648"/>
    <w:rsid w:val="00DF7F47"/>
    <w:rsid w:val="00E00E29"/>
    <w:rsid w:val="00E02BAB"/>
    <w:rsid w:val="00E02D3D"/>
    <w:rsid w:val="00E045EA"/>
    <w:rsid w:val="00E04CEB"/>
    <w:rsid w:val="00E060BC"/>
    <w:rsid w:val="00E06A29"/>
    <w:rsid w:val="00E07E25"/>
    <w:rsid w:val="00E108BC"/>
    <w:rsid w:val="00E11420"/>
    <w:rsid w:val="00E12080"/>
    <w:rsid w:val="00E12257"/>
    <w:rsid w:val="00E132FB"/>
    <w:rsid w:val="00E170B7"/>
    <w:rsid w:val="00E177DD"/>
    <w:rsid w:val="00E20900"/>
    <w:rsid w:val="00E20C7F"/>
    <w:rsid w:val="00E2396E"/>
    <w:rsid w:val="00E24728"/>
    <w:rsid w:val="00E276AC"/>
    <w:rsid w:val="00E3083D"/>
    <w:rsid w:val="00E34A35"/>
    <w:rsid w:val="00E3709E"/>
    <w:rsid w:val="00E37C2F"/>
    <w:rsid w:val="00E406CC"/>
    <w:rsid w:val="00E41C28"/>
    <w:rsid w:val="00E43173"/>
    <w:rsid w:val="00E4579E"/>
    <w:rsid w:val="00E46308"/>
    <w:rsid w:val="00E4725D"/>
    <w:rsid w:val="00E51E17"/>
    <w:rsid w:val="00E52DAB"/>
    <w:rsid w:val="00E539B0"/>
    <w:rsid w:val="00E55994"/>
    <w:rsid w:val="00E57134"/>
    <w:rsid w:val="00E579C6"/>
    <w:rsid w:val="00E60606"/>
    <w:rsid w:val="00E60C66"/>
    <w:rsid w:val="00E6164D"/>
    <w:rsid w:val="00E618C9"/>
    <w:rsid w:val="00E61DC0"/>
    <w:rsid w:val="00E62774"/>
    <w:rsid w:val="00E6307C"/>
    <w:rsid w:val="00E636FA"/>
    <w:rsid w:val="00E6466E"/>
    <w:rsid w:val="00E66C50"/>
    <w:rsid w:val="00E672DF"/>
    <w:rsid w:val="00E679D3"/>
    <w:rsid w:val="00E67B1A"/>
    <w:rsid w:val="00E71208"/>
    <w:rsid w:val="00E71444"/>
    <w:rsid w:val="00E71C91"/>
    <w:rsid w:val="00E720A1"/>
    <w:rsid w:val="00E75DDA"/>
    <w:rsid w:val="00E773E8"/>
    <w:rsid w:val="00E835B0"/>
    <w:rsid w:val="00E83ADD"/>
    <w:rsid w:val="00E84F38"/>
    <w:rsid w:val="00E85623"/>
    <w:rsid w:val="00E87441"/>
    <w:rsid w:val="00E903ED"/>
    <w:rsid w:val="00E9105B"/>
    <w:rsid w:val="00E91F76"/>
    <w:rsid w:val="00E91FAE"/>
    <w:rsid w:val="00E95C21"/>
    <w:rsid w:val="00E96E3F"/>
    <w:rsid w:val="00E97E23"/>
    <w:rsid w:val="00EA270C"/>
    <w:rsid w:val="00EA4739"/>
    <w:rsid w:val="00EA4974"/>
    <w:rsid w:val="00EA532E"/>
    <w:rsid w:val="00EA53ED"/>
    <w:rsid w:val="00EA59AD"/>
    <w:rsid w:val="00EB06D9"/>
    <w:rsid w:val="00EB192B"/>
    <w:rsid w:val="00EB19ED"/>
    <w:rsid w:val="00EB1CAB"/>
    <w:rsid w:val="00EB27B9"/>
    <w:rsid w:val="00EB28E3"/>
    <w:rsid w:val="00EB4534"/>
    <w:rsid w:val="00EB7D3B"/>
    <w:rsid w:val="00EC0AA9"/>
    <w:rsid w:val="00EC0F5A"/>
    <w:rsid w:val="00EC4265"/>
    <w:rsid w:val="00EC4CEB"/>
    <w:rsid w:val="00EC4FED"/>
    <w:rsid w:val="00EC54C7"/>
    <w:rsid w:val="00EC644F"/>
    <w:rsid w:val="00EC6498"/>
    <w:rsid w:val="00EC659E"/>
    <w:rsid w:val="00ED1F62"/>
    <w:rsid w:val="00ED2072"/>
    <w:rsid w:val="00ED2AE0"/>
    <w:rsid w:val="00ED4935"/>
    <w:rsid w:val="00ED5553"/>
    <w:rsid w:val="00ED55A3"/>
    <w:rsid w:val="00ED5923"/>
    <w:rsid w:val="00ED5E36"/>
    <w:rsid w:val="00ED67C4"/>
    <w:rsid w:val="00ED6961"/>
    <w:rsid w:val="00EE7019"/>
    <w:rsid w:val="00EF0B96"/>
    <w:rsid w:val="00EF3486"/>
    <w:rsid w:val="00EF47AF"/>
    <w:rsid w:val="00EF53B6"/>
    <w:rsid w:val="00EF5762"/>
    <w:rsid w:val="00EF62BF"/>
    <w:rsid w:val="00F00B73"/>
    <w:rsid w:val="00F00EA2"/>
    <w:rsid w:val="00F02B57"/>
    <w:rsid w:val="00F04C74"/>
    <w:rsid w:val="00F115CA"/>
    <w:rsid w:val="00F1400A"/>
    <w:rsid w:val="00F14817"/>
    <w:rsid w:val="00F14EBA"/>
    <w:rsid w:val="00F1510F"/>
    <w:rsid w:val="00F1533A"/>
    <w:rsid w:val="00F15E5A"/>
    <w:rsid w:val="00F16DD9"/>
    <w:rsid w:val="00F17ADD"/>
    <w:rsid w:val="00F17F0A"/>
    <w:rsid w:val="00F20706"/>
    <w:rsid w:val="00F212A1"/>
    <w:rsid w:val="00F21B93"/>
    <w:rsid w:val="00F2351E"/>
    <w:rsid w:val="00F23E99"/>
    <w:rsid w:val="00F25E09"/>
    <w:rsid w:val="00F2668F"/>
    <w:rsid w:val="00F2742F"/>
    <w:rsid w:val="00F2753B"/>
    <w:rsid w:val="00F30698"/>
    <w:rsid w:val="00F30880"/>
    <w:rsid w:val="00F31E76"/>
    <w:rsid w:val="00F32AF1"/>
    <w:rsid w:val="00F33F8B"/>
    <w:rsid w:val="00F340B2"/>
    <w:rsid w:val="00F43390"/>
    <w:rsid w:val="00F443B2"/>
    <w:rsid w:val="00F458D8"/>
    <w:rsid w:val="00F50237"/>
    <w:rsid w:val="00F51081"/>
    <w:rsid w:val="00F51807"/>
    <w:rsid w:val="00F5230D"/>
    <w:rsid w:val="00F5240D"/>
    <w:rsid w:val="00F53596"/>
    <w:rsid w:val="00F541A7"/>
    <w:rsid w:val="00F55BA8"/>
    <w:rsid w:val="00F55DB1"/>
    <w:rsid w:val="00F56ACA"/>
    <w:rsid w:val="00F600FE"/>
    <w:rsid w:val="00F6152E"/>
    <w:rsid w:val="00F6238C"/>
    <w:rsid w:val="00F62E4D"/>
    <w:rsid w:val="00F649FF"/>
    <w:rsid w:val="00F66B34"/>
    <w:rsid w:val="00F675B9"/>
    <w:rsid w:val="00F7054D"/>
    <w:rsid w:val="00F7058E"/>
    <w:rsid w:val="00F711C9"/>
    <w:rsid w:val="00F73EDD"/>
    <w:rsid w:val="00F73FDC"/>
    <w:rsid w:val="00F7460D"/>
    <w:rsid w:val="00F749F2"/>
    <w:rsid w:val="00F74C59"/>
    <w:rsid w:val="00F75C3A"/>
    <w:rsid w:val="00F82E30"/>
    <w:rsid w:val="00F831CB"/>
    <w:rsid w:val="00F848A3"/>
    <w:rsid w:val="00F84ACF"/>
    <w:rsid w:val="00F85179"/>
    <w:rsid w:val="00F85742"/>
    <w:rsid w:val="00F85BF8"/>
    <w:rsid w:val="00F871CE"/>
    <w:rsid w:val="00F87626"/>
    <w:rsid w:val="00F87802"/>
    <w:rsid w:val="00F92113"/>
    <w:rsid w:val="00F92679"/>
    <w:rsid w:val="00F92C0A"/>
    <w:rsid w:val="00F932D1"/>
    <w:rsid w:val="00F9415B"/>
    <w:rsid w:val="00F96C06"/>
    <w:rsid w:val="00FA13C2"/>
    <w:rsid w:val="00FA3664"/>
    <w:rsid w:val="00FA54B9"/>
    <w:rsid w:val="00FA5F28"/>
    <w:rsid w:val="00FA5FDF"/>
    <w:rsid w:val="00FA7F91"/>
    <w:rsid w:val="00FB121C"/>
    <w:rsid w:val="00FB1A9C"/>
    <w:rsid w:val="00FB1CDD"/>
    <w:rsid w:val="00FB1FBF"/>
    <w:rsid w:val="00FB2C2F"/>
    <w:rsid w:val="00FB305C"/>
    <w:rsid w:val="00FB3326"/>
    <w:rsid w:val="00FB47B3"/>
    <w:rsid w:val="00FC23BF"/>
    <w:rsid w:val="00FC2E3D"/>
    <w:rsid w:val="00FC3BDE"/>
    <w:rsid w:val="00FC6987"/>
    <w:rsid w:val="00FC77DA"/>
    <w:rsid w:val="00FD1DBE"/>
    <w:rsid w:val="00FD25A7"/>
    <w:rsid w:val="00FD27B6"/>
    <w:rsid w:val="00FD3689"/>
    <w:rsid w:val="00FD42A3"/>
    <w:rsid w:val="00FD532F"/>
    <w:rsid w:val="00FD7468"/>
    <w:rsid w:val="00FD758B"/>
    <w:rsid w:val="00FD7CE0"/>
    <w:rsid w:val="00FE0B3B"/>
    <w:rsid w:val="00FE1BE2"/>
    <w:rsid w:val="00FE2C96"/>
    <w:rsid w:val="00FE730A"/>
    <w:rsid w:val="00FF1DD7"/>
    <w:rsid w:val="00FF245F"/>
    <w:rsid w:val="00FF2547"/>
    <w:rsid w:val="00FF4453"/>
    <w:rsid w:val="00FF4667"/>
    <w:rsid w:val="00FF55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9D0D15"/>
  <w15:docId w15:val="{EAE9F651-8DDD-4D32-AA60-76C8E5E5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0632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9"/>
    <w:semiHidden/>
    <w:unhideWhenUsed/>
    <w:qFormat/>
    <w:rsid w:val="000632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792C5A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3658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3658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3658"/>
    <w:rPr>
      <w:vertAlign w:val="superscript"/>
    </w:rPr>
  </w:style>
  <w:style w:type="paragraph" w:styleId="Poprawka">
    <w:name w:val="Revision"/>
    <w:hidden/>
    <w:uiPriority w:val="99"/>
    <w:semiHidden/>
    <w:rsid w:val="00D54000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063225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customStyle="1" w:styleId="Nagwek4Znak">
    <w:name w:val="Nagłówek 4 Znak"/>
    <w:basedOn w:val="Domylnaczcionkaakapitu"/>
    <w:link w:val="Nagwek4"/>
    <w:uiPriority w:val="99"/>
    <w:semiHidden/>
    <w:rsid w:val="00063225"/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</w:rPr>
  </w:style>
  <w:style w:type="paragraph" w:styleId="NormalnyWeb">
    <w:name w:val="Normal (Web)"/>
    <w:basedOn w:val="Normalny"/>
    <w:uiPriority w:val="99"/>
    <w:semiHidden/>
    <w:unhideWhenUsed/>
    <w:rsid w:val="00B650CC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Uwydatnienie">
    <w:name w:val="Emphasis"/>
    <w:basedOn w:val="Domylnaczcionkaakapitu"/>
    <w:uiPriority w:val="20"/>
    <w:qFormat/>
    <w:rsid w:val="00B650CC"/>
    <w:rPr>
      <w:i/>
      <w:i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C5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3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5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4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2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7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09544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69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65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4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970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270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105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5112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0999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26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0563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12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0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04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77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024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656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5417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9355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470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3302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0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8818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1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83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510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49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39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952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0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7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17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22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6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395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9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377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1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493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4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03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71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9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309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168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1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498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6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813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9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19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2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4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60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23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155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9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7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97243">
          <w:marLeft w:val="0"/>
          <w:marRight w:val="0"/>
          <w:marTop w:val="0"/>
          <w:marBottom w:val="0"/>
          <w:divBdr>
            <w:top w:val="single" w:sz="6" w:space="2" w:color="AAAAAA"/>
            <w:left w:val="single" w:sz="6" w:space="2" w:color="AAAAAA"/>
            <w:bottom w:val="single" w:sz="6" w:space="2" w:color="AAAAAA"/>
            <w:right w:val="single" w:sz="6" w:space="2" w:color="AAAAAA"/>
          </w:divBdr>
          <w:divsChild>
            <w:div w:id="21710337">
              <w:marLeft w:val="0"/>
              <w:marRight w:val="0"/>
              <w:marTop w:val="0"/>
              <w:marBottom w:val="0"/>
              <w:divBdr>
                <w:top w:val="single" w:sz="2" w:space="12" w:color="AAAAAA"/>
                <w:left w:val="single" w:sz="2" w:space="17" w:color="AAAAAA"/>
                <w:bottom w:val="single" w:sz="2" w:space="12" w:color="AAAAAA"/>
                <w:right w:val="single" w:sz="2" w:space="17" w:color="AAAAAA"/>
              </w:divBdr>
              <w:divsChild>
                <w:div w:id="144252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2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7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4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965419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12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698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449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9206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864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3745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5335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4491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7675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4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91918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45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82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38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27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471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069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7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7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228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21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6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953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919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927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5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1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645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0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31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97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882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22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5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88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7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9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39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1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4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77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4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19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0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9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80946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9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9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86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585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3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131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481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1676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86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999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4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678076">
          <w:marLeft w:val="0"/>
          <w:marRight w:val="0"/>
          <w:marTop w:val="0"/>
          <w:marBottom w:val="0"/>
          <w:divBdr>
            <w:top w:val="single" w:sz="6" w:space="2" w:color="AAAAAA"/>
            <w:left w:val="single" w:sz="6" w:space="2" w:color="AAAAAA"/>
            <w:bottom w:val="single" w:sz="6" w:space="2" w:color="AAAAAA"/>
            <w:right w:val="single" w:sz="6" w:space="2" w:color="AAAAAA"/>
          </w:divBdr>
          <w:divsChild>
            <w:div w:id="1415201841">
              <w:marLeft w:val="0"/>
              <w:marRight w:val="0"/>
              <w:marTop w:val="0"/>
              <w:marBottom w:val="0"/>
              <w:divBdr>
                <w:top w:val="single" w:sz="2" w:space="12" w:color="AAAAAA"/>
                <w:left w:val="single" w:sz="2" w:space="17" w:color="AAAAAA"/>
                <w:bottom w:val="single" w:sz="2" w:space="12" w:color="AAAAAA"/>
                <w:right w:val="single" w:sz="2" w:space="17" w:color="AAAAAA"/>
              </w:divBdr>
              <w:divsChild>
                <w:div w:id="28731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3994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7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1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72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97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58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28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8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31080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12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22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97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08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705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839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0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5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49383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56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1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57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445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253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6412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4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5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8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71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28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746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687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082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816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8049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449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6032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7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7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3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4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618789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3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5090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30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723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223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198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959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5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9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1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6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6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0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57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26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0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93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25225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28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33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09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22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748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1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93699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39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4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324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93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84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36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9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2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0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10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96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2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5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6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0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9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1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2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084233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3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2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741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681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831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882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1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4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2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9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915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94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04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0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49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9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31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97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1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82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4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80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2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34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2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3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1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27089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652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83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5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70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64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930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4250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016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074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4094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0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ED1B46-2398-4C9D-9D85-43A74F4C5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1638</Words>
  <Characters>9833</Characters>
  <Application>Microsoft Office Word</Application>
  <DocSecurity>0</DocSecurity>
  <Lines>81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 r o j e k t</vt:lpstr>
    </vt:vector>
  </TitlesOfParts>
  <Company>Kancelaria Sejmu</Company>
  <LinksUpToDate>false</LinksUpToDate>
  <CharactersWithSpaces>11449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Grzegorz Molesztak</dc:creator>
  <cp:lastModifiedBy>Grzegorz Molesztak</cp:lastModifiedBy>
  <cp:revision>4</cp:revision>
  <cp:lastPrinted>2023-05-04T08:19:00Z</cp:lastPrinted>
  <dcterms:created xsi:type="dcterms:W3CDTF">2023-04-11T10:38:00Z</dcterms:created>
  <dcterms:modified xsi:type="dcterms:W3CDTF">2023-05-04T08:19:00Z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