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B09CDC" w14:textId="230335D2" w:rsidR="0080136C" w:rsidRPr="00724932" w:rsidRDefault="0080136C" w:rsidP="00724932">
      <w:pPr>
        <w:keepNext/>
        <w:suppressAutoHyphens/>
        <w:spacing w:after="240" w:line="360" w:lineRule="auto"/>
        <w:jc w:val="center"/>
        <w:rPr>
          <w:rFonts w:ascii="Times New Roman" w:eastAsia="Times New Roman" w:hAnsi="Times New Roman" w:cs="Times New Roman"/>
          <w:bCs/>
          <w:caps/>
          <w:spacing w:val="12"/>
          <w:kern w:val="24"/>
          <w:sz w:val="24"/>
          <w:szCs w:val="24"/>
          <w:lang w:eastAsia="pl-PL"/>
        </w:rPr>
      </w:pPr>
      <w:bookmarkStart w:id="0" w:name="_GoBack"/>
      <w:bookmarkEnd w:id="0"/>
      <w:r w:rsidRPr="00724932">
        <w:rPr>
          <w:rFonts w:ascii="Times New Roman" w:eastAsia="Times New Roman" w:hAnsi="Times New Roman" w:cs="Times New Roman"/>
          <w:bCs/>
          <w:caps/>
          <w:spacing w:val="12"/>
          <w:kern w:val="24"/>
          <w:sz w:val="24"/>
          <w:szCs w:val="24"/>
          <w:lang w:eastAsia="pl-PL"/>
        </w:rPr>
        <w:t>UZASADNIENIE</w:t>
      </w:r>
      <w:r w:rsidR="006066FF" w:rsidRPr="00724932">
        <w:rPr>
          <w:rFonts w:ascii="Times New Roman" w:eastAsia="Times New Roman" w:hAnsi="Times New Roman" w:cs="Times New Roman"/>
          <w:bCs/>
          <w:caps/>
          <w:spacing w:val="12"/>
          <w:kern w:val="24"/>
          <w:sz w:val="24"/>
          <w:szCs w:val="24"/>
          <w:lang w:eastAsia="pl-PL"/>
        </w:rPr>
        <w:t xml:space="preserve"> </w:t>
      </w:r>
    </w:p>
    <w:p w14:paraId="7F7E8D0B" w14:textId="77777777" w:rsidR="0080136C" w:rsidRPr="00E14507" w:rsidRDefault="0080136C" w:rsidP="00724932">
      <w:pPr>
        <w:suppressAutoHyphens/>
        <w:spacing w:before="120"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E1450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1. Cel i potrzeba wydania ustawy</w:t>
      </w:r>
    </w:p>
    <w:p w14:paraId="34F5D921" w14:textId="1E10918F" w:rsidR="0080136C" w:rsidRPr="00E14507" w:rsidRDefault="0080136C" w:rsidP="00724932">
      <w:pPr>
        <w:suppressAutoHyphens/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>Ostatnie lata wiązały się z intensywnym rozwojem krajowego rynku energii elektrycznej, który</w:t>
      </w:r>
      <w:r w:rsidR="00266AE8">
        <w:rPr>
          <w:rFonts w:ascii="Times New Roman" w:eastAsia="Calibri" w:hAnsi="Times New Roman" w:cs="Times New Roman"/>
          <w:sz w:val="24"/>
          <w:szCs w:val="24"/>
          <w:lang w:eastAsia="ar-SA"/>
        </w:rPr>
        <w:t>,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wskutek rozwoju poszczególnych sektorów gospodarki oraz</w:t>
      </w:r>
      <w:r w:rsidR="006E1DF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związanego z </w:t>
      </w:r>
      <w:r w:rsidR="00600CD2">
        <w:rPr>
          <w:rFonts w:ascii="Times New Roman" w:eastAsia="Calibri" w:hAnsi="Times New Roman" w:cs="Times New Roman"/>
          <w:sz w:val="24"/>
          <w:szCs w:val="24"/>
          <w:lang w:eastAsia="ar-SA"/>
        </w:rPr>
        <w:t>nim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rosnąc</w:t>
      </w:r>
      <w:r w:rsidR="006E1DFD">
        <w:rPr>
          <w:rFonts w:ascii="Times New Roman" w:eastAsia="Calibri" w:hAnsi="Times New Roman" w:cs="Times New Roman"/>
          <w:sz w:val="24"/>
          <w:szCs w:val="24"/>
          <w:lang w:eastAsia="ar-SA"/>
        </w:rPr>
        <w:t>ego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zapotrzebowani</w:t>
      </w:r>
      <w:r w:rsidR="006E1DFD">
        <w:rPr>
          <w:rFonts w:ascii="Times New Roman" w:eastAsia="Calibri" w:hAnsi="Times New Roman" w:cs="Times New Roman"/>
          <w:sz w:val="24"/>
          <w:szCs w:val="24"/>
          <w:lang w:eastAsia="ar-SA"/>
        </w:rPr>
        <w:t>a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na nośniki energii</w:t>
      </w:r>
      <w:r w:rsidR="00266AE8">
        <w:rPr>
          <w:rFonts w:ascii="Times New Roman" w:eastAsia="Calibri" w:hAnsi="Times New Roman" w:cs="Times New Roman"/>
          <w:sz w:val="24"/>
          <w:szCs w:val="24"/>
          <w:lang w:eastAsia="ar-SA"/>
        </w:rPr>
        <w:t>,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wymógł na przedsiębiorstwach energetycznych prowadzących działalność gospodarczą w zakresie dystrybucji energii elektrycznej wzmożenie wysiłków związanych z rozwojem sieci niskiego oraz średniego napięcia, tak </w:t>
      </w:r>
      <w:r w:rsidR="009E1CE8">
        <w:rPr>
          <w:rFonts w:ascii="Times New Roman" w:eastAsia="Calibri" w:hAnsi="Times New Roman" w:cs="Times New Roman"/>
          <w:sz w:val="24"/>
          <w:szCs w:val="24"/>
          <w:lang w:eastAsia="ar-SA"/>
        </w:rPr>
        <w:t>a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by infrastruktura sieciowa była w stanie nadążyć za postępującą transformacją energetyczną oraz gospodarczą kraju. Kolejne wyzwania związane </w:t>
      </w:r>
      <w:r w:rsidR="00266AE8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zarówno 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>z integracją elektromobilności w sieci</w:t>
      </w:r>
      <w:r w:rsidR="00266AE8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>postępując</w:t>
      </w:r>
      <w:r w:rsidR="00096743">
        <w:rPr>
          <w:rFonts w:ascii="Times New Roman" w:eastAsia="Calibri" w:hAnsi="Times New Roman" w:cs="Times New Roman"/>
          <w:sz w:val="24"/>
          <w:szCs w:val="24"/>
          <w:lang w:eastAsia="ar-SA"/>
        </w:rPr>
        <w:t>ą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elektryfikacją transportu, koniecznością modernizacji </w:t>
      </w:r>
      <w:r w:rsidR="00266AE8">
        <w:rPr>
          <w:rFonts w:ascii="Times New Roman" w:eastAsia="Calibri" w:hAnsi="Times New Roman" w:cs="Times New Roman"/>
          <w:sz w:val="24"/>
          <w:szCs w:val="24"/>
          <w:lang w:eastAsia="ar-SA"/>
        </w:rPr>
        <w:t>oraz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skablowania sieci niskich i średnich napięć, </w:t>
      </w:r>
      <w:r w:rsidR="00266AE8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jak i 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>wdrożeniem systemu inteligentnych liczników, czy też rosnąc</w:t>
      </w:r>
      <w:r w:rsidR="00266AE8">
        <w:rPr>
          <w:rFonts w:ascii="Times New Roman" w:eastAsia="Calibri" w:hAnsi="Times New Roman" w:cs="Times New Roman"/>
          <w:sz w:val="24"/>
          <w:szCs w:val="24"/>
          <w:lang w:eastAsia="ar-SA"/>
        </w:rPr>
        <w:t>ą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w </w:t>
      </w:r>
      <w:r w:rsidR="00592E98">
        <w:rPr>
          <w:rFonts w:ascii="Times New Roman" w:eastAsia="Calibri" w:hAnsi="Times New Roman" w:cs="Times New Roman"/>
          <w:sz w:val="24"/>
          <w:szCs w:val="24"/>
          <w:lang w:eastAsia="ar-SA"/>
        </w:rPr>
        <w:t>k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rajowym </w:t>
      </w:r>
      <w:r w:rsidR="00592E98">
        <w:rPr>
          <w:rFonts w:ascii="Times New Roman" w:eastAsia="Calibri" w:hAnsi="Times New Roman" w:cs="Times New Roman"/>
          <w:sz w:val="24"/>
          <w:szCs w:val="24"/>
          <w:lang w:eastAsia="ar-SA"/>
        </w:rPr>
        <w:t>s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ystemie </w:t>
      </w:r>
      <w:r w:rsidR="00592E98">
        <w:rPr>
          <w:rFonts w:ascii="Times New Roman" w:eastAsia="Calibri" w:hAnsi="Times New Roman" w:cs="Times New Roman"/>
          <w:sz w:val="24"/>
          <w:szCs w:val="24"/>
          <w:lang w:eastAsia="ar-SA"/>
        </w:rPr>
        <w:t>e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>lektroenergetycznym moc</w:t>
      </w:r>
      <w:r w:rsidR="00266AE8">
        <w:rPr>
          <w:rFonts w:ascii="Times New Roman" w:eastAsia="Calibri" w:hAnsi="Times New Roman" w:cs="Times New Roman"/>
          <w:sz w:val="24"/>
          <w:szCs w:val="24"/>
          <w:lang w:eastAsia="ar-SA"/>
        </w:rPr>
        <w:t>ą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jednostek wytwórczych </w:t>
      </w:r>
      <w:r w:rsidR="003D7CDD">
        <w:rPr>
          <w:rFonts w:ascii="Times New Roman" w:eastAsia="Calibri" w:hAnsi="Times New Roman" w:cs="Times New Roman"/>
          <w:sz w:val="24"/>
          <w:szCs w:val="24"/>
          <w:lang w:eastAsia="ar-SA"/>
        </w:rPr>
        <w:t>wykorzystujących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odnawialne źródła energii sprawiają, ż</w:t>
      </w:r>
      <w:r w:rsidR="00592E98">
        <w:rPr>
          <w:rFonts w:ascii="Times New Roman" w:eastAsia="Calibri" w:hAnsi="Times New Roman" w:cs="Times New Roman"/>
          <w:sz w:val="24"/>
          <w:szCs w:val="24"/>
          <w:lang w:eastAsia="ar-SA"/>
        </w:rPr>
        <w:t>e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592E98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wzrasta 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>ryzyko ewentualnych spowolnień w rozwoju sieci dystrybucyjnej w obszarach kluczowych dla zapewnienia gwarancji stałych i niezawodnych dostaw energii elektrycznej do odbiorców</w:t>
      </w:r>
      <w:r w:rsidR="00592E98">
        <w:rPr>
          <w:rFonts w:ascii="Times New Roman" w:eastAsia="Calibri" w:hAnsi="Times New Roman" w:cs="Times New Roman"/>
          <w:sz w:val="24"/>
          <w:szCs w:val="24"/>
          <w:lang w:eastAsia="ar-SA"/>
        </w:rPr>
        <w:t>, które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mo</w:t>
      </w:r>
      <w:r w:rsidR="00592E98">
        <w:rPr>
          <w:rFonts w:ascii="Times New Roman" w:eastAsia="Calibri" w:hAnsi="Times New Roman" w:cs="Times New Roman"/>
          <w:sz w:val="24"/>
          <w:szCs w:val="24"/>
          <w:lang w:eastAsia="ar-SA"/>
        </w:rPr>
        <w:t>gą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592E98">
        <w:rPr>
          <w:rFonts w:ascii="Times New Roman" w:eastAsia="Calibri" w:hAnsi="Times New Roman" w:cs="Times New Roman"/>
          <w:sz w:val="24"/>
          <w:szCs w:val="24"/>
          <w:lang w:eastAsia="ar-SA"/>
        </w:rPr>
        <w:t>być w związku z tym</w:t>
      </w:r>
      <w:r w:rsidR="00592E98"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zagrożone lub </w:t>
      </w:r>
      <w:r w:rsidR="00AF0068">
        <w:rPr>
          <w:rFonts w:ascii="Times New Roman" w:eastAsia="Calibri" w:hAnsi="Times New Roman" w:cs="Times New Roman"/>
          <w:sz w:val="24"/>
          <w:szCs w:val="24"/>
          <w:lang w:eastAsia="ar-SA"/>
        </w:rPr>
        <w:t>obarczone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niewspółmiernie dużym wysiłkiem operatorów związanym </w:t>
      </w:r>
      <w:r w:rsidR="00310A98">
        <w:rPr>
          <w:rFonts w:ascii="Times New Roman" w:eastAsia="Calibri" w:hAnsi="Times New Roman" w:cs="Times New Roman"/>
          <w:sz w:val="24"/>
          <w:szCs w:val="24"/>
          <w:lang w:eastAsia="ar-SA"/>
        </w:rPr>
        <w:t>z koniecznością ich realizacji.</w:t>
      </w:r>
    </w:p>
    <w:p w14:paraId="5697A3D3" w14:textId="238708E3" w:rsidR="0080136C" w:rsidRPr="00E14507" w:rsidRDefault="0080136C" w:rsidP="00724932">
      <w:pPr>
        <w:suppressAutoHyphens/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>Dlatego też celow</w:t>
      </w:r>
      <w:r w:rsidR="00A208EC">
        <w:rPr>
          <w:rFonts w:ascii="Times New Roman" w:eastAsia="Calibri" w:hAnsi="Times New Roman" w:cs="Times New Roman"/>
          <w:sz w:val="24"/>
          <w:szCs w:val="24"/>
          <w:lang w:eastAsia="ar-SA"/>
        </w:rPr>
        <w:t>e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jest stworzenie możliwości wykorzystania istniejących mechanizmów prawnych, które umożliwią znaczne skrócenie oraz uproszczenie procedur administracyjnych związanych z realizacją inwestycji w sieci dystrybucyjne elektroenergetyczne</w:t>
      </w:r>
      <w:r w:rsidR="00A208EC">
        <w:rPr>
          <w:rFonts w:ascii="Times New Roman" w:eastAsia="Calibri" w:hAnsi="Times New Roman" w:cs="Times New Roman"/>
          <w:sz w:val="24"/>
          <w:szCs w:val="24"/>
          <w:lang w:eastAsia="ar-SA"/>
        </w:rPr>
        <w:t>, które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A208EC">
        <w:rPr>
          <w:rFonts w:ascii="Times New Roman" w:eastAsia="Calibri" w:hAnsi="Times New Roman" w:cs="Times New Roman"/>
          <w:sz w:val="24"/>
          <w:szCs w:val="24"/>
          <w:lang w:eastAsia="ar-SA"/>
        </w:rPr>
        <w:t>mają</w:t>
      </w:r>
      <w:r w:rsidR="009E1CE8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>szczególn</w:t>
      </w:r>
      <w:r w:rsidR="00A208EC">
        <w:rPr>
          <w:rFonts w:ascii="Times New Roman" w:eastAsia="Calibri" w:hAnsi="Times New Roman" w:cs="Times New Roman"/>
          <w:sz w:val="24"/>
          <w:szCs w:val="24"/>
          <w:lang w:eastAsia="ar-SA"/>
        </w:rPr>
        <w:t>e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znaczeni</w:t>
      </w:r>
      <w:r w:rsidR="00A208EC">
        <w:rPr>
          <w:rFonts w:ascii="Times New Roman" w:eastAsia="Calibri" w:hAnsi="Times New Roman" w:cs="Times New Roman"/>
          <w:sz w:val="24"/>
          <w:szCs w:val="24"/>
          <w:lang w:eastAsia="ar-SA"/>
        </w:rPr>
        <w:t>e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dla funkcjonowania krajowego rynku oraz gwarantują pewne i stabilne dostawy do odbiorców. </w:t>
      </w:r>
    </w:p>
    <w:p w14:paraId="1274B184" w14:textId="78059E87" w:rsidR="0080136C" w:rsidRPr="00E14507" w:rsidRDefault="0080136C" w:rsidP="00724932">
      <w:pPr>
        <w:suppressAutoHyphens/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W tym celu projektodawca przeprowadził szczegółową analizę, w wyniku której </w:t>
      </w:r>
      <w:r w:rsidRPr="00E14507">
        <w:rPr>
          <w:rFonts w:ascii="Times New Roman" w:eastAsiaTheme="minorEastAsia" w:hAnsi="Times New Roman" w:cs="Times New Roman"/>
          <w:sz w:val="24"/>
          <w:szCs w:val="24"/>
          <w:lang w:eastAsia="pl-PL"/>
        </w:rPr>
        <w:t>stwierdzono, że rozwój niektórych projektów dystrybucyjnych jest kluczowy dla realizacji strategicznych celów energetycznych wskazanych w dokumencie</w:t>
      </w:r>
      <w:r w:rsidR="00A208EC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pt.</w:t>
      </w:r>
      <w:r w:rsidRPr="00E14507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Pr="00624927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Polityka </w:t>
      </w:r>
      <w:r w:rsidR="00AB088D">
        <w:rPr>
          <w:rFonts w:ascii="Times New Roman" w:eastAsiaTheme="minorEastAsia" w:hAnsi="Times New Roman" w:cs="Times New Roman"/>
          <w:sz w:val="24"/>
          <w:szCs w:val="24"/>
          <w:lang w:eastAsia="pl-PL"/>
        </w:rPr>
        <w:t>E</w:t>
      </w:r>
      <w:r w:rsidRPr="00624927">
        <w:rPr>
          <w:rFonts w:ascii="Times New Roman" w:eastAsiaTheme="minorEastAsia" w:hAnsi="Times New Roman" w:cs="Times New Roman"/>
          <w:sz w:val="24"/>
          <w:szCs w:val="24"/>
          <w:lang w:eastAsia="pl-PL"/>
        </w:rPr>
        <w:t>nergetyczna Polski do 2040 r.,</w:t>
      </w:r>
      <w:r w:rsidRPr="00E14507">
        <w:rPr>
          <w:rFonts w:ascii="Times New Roman" w:eastAsiaTheme="minorEastAsia" w:hAnsi="Times New Roman" w:cs="Times New Roman"/>
          <w:i/>
          <w:iCs/>
          <w:sz w:val="24"/>
          <w:szCs w:val="24"/>
          <w:lang w:eastAsia="pl-PL"/>
        </w:rPr>
        <w:t xml:space="preserve"> </w:t>
      </w:r>
      <w:r w:rsidRPr="00E14507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w szczególności w zakresie celu szczegółowego 2 część B </w:t>
      </w:r>
      <w:r w:rsidR="009E2A9F">
        <w:rPr>
          <w:rFonts w:ascii="Times New Roman" w:eastAsiaTheme="minorEastAsia" w:hAnsi="Times New Roman" w:cs="Times New Roman"/>
          <w:sz w:val="24"/>
          <w:szCs w:val="24"/>
          <w:lang w:eastAsia="pl-PL"/>
        </w:rPr>
        <w:t>–</w:t>
      </w:r>
      <w:r w:rsidR="00A208EC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Pr="00624927">
        <w:rPr>
          <w:rFonts w:ascii="Times New Roman" w:eastAsiaTheme="minorEastAsia" w:hAnsi="Times New Roman" w:cs="Times New Roman"/>
          <w:sz w:val="24"/>
          <w:szCs w:val="24"/>
          <w:lang w:eastAsia="pl-PL"/>
        </w:rPr>
        <w:t>Rozbudowa elektroenergetycznej infrastruktury energetycznej</w:t>
      </w:r>
      <w:r w:rsidRPr="00E14507">
        <w:rPr>
          <w:rFonts w:ascii="Times New Roman" w:eastAsiaTheme="minorEastAsia" w:hAnsi="Times New Roman" w:cs="Times New Roman"/>
          <w:sz w:val="24"/>
          <w:szCs w:val="24"/>
          <w:lang w:eastAsia="pl-PL"/>
        </w:rPr>
        <w:t>, w tym w zakresie przekształcania systemu elektroenergetycznego z systemu jednokierunkowego (pasywnego) w system dwukierunkowy (aktywny), z</w:t>
      </w:r>
      <w:r w:rsidR="009E1CE8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Pr="00E14507">
        <w:rPr>
          <w:rFonts w:ascii="Times New Roman" w:eastAsiaTheme="minorEastAsia" w:hAnsi="Times New Roman" w:cs="Times New Roman"/>
          <w:sz w:val="24"/>
          <w:szCs w:val="24"/>
          <w:lang w:eastAsia="pl-PL"/>
        </w:rPr>
        <w:t>aktywnym udziałem odbiorców energii elektrycznej. Co więcej należy uznać, że rozwój sieci dystrybucyjnych przyczyni się do skuteczniejszej i szybszej integracji odnawialnych źródeł energii z systemem elektroenergetycznym, w szczególności w związku z realizacją programów rządowych wspierających rozwój energetyki prosumenckiej w Polsce.</w:t>
      </w:r>
    </w:p>
    <w:p w14:paraId="21CAE2F5" w14:textId="40B65B79" w:rsidR="0080136C" w:rsidRPr="00E14507" w:rsidRDefault="0080136C" w:rsidP="00724932">
      <w:pPr>
        <w:suppressAutoHyphens/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E14507">
        <w:rPr>
          <w:rFonts w:ascii="Times New Roman" w:eastAsiaTheme="minorEastAsia" w:hAnsi="Times New Roman" w:cs="Times New Roman"/>
          <w:sz w:val="24"/>
          <w:szCs w:val="24"/>
          <w:lang w:eastAsia="pl-PL"/>
        </w:rPr>
        <w:lastRenderedPageBreak/>
        <w:t>W celu przy</w:t>
      </w:r>
      <w:r w:rsidR="00A208EC">
        <w:rPr>
          <w:rFonts w:ascii="Times New Roman" w:eastAsiaTheme="minorEastAsia" w:hAnsi="Times New Roman" w:cs="Times New Roman"/>
          <w:sz w:val="24"/>
          <w:szCs w:val="24"/>
          <w:lang w:eastAsia="pl-PL"/>
        </w:rPr>
        <w:t>s</w:t>
      </w:r>
      <w:r w:rsidRPr="00E14507">
        <w:rPr>
          <w:rFonts w:ascii="Times New Roman" w:eastAsiaTheme="minorEastAsia" w:hAnsi="Times New Roman" w:cs="Times New Roman"/>
          <w:sz w:val="24"/>
          <w:szCs w:val="24"/>
          <w:lang w:eastAsia="pl-PL"/>
        </w:rPr>
        <w:t>pieszenia inwestycji w infrastrukturę dystrybucyjną</w:t>
      </w:r>
      <w:r w:rsidR="00A208EC">
        <w:rPr>
          <w:rFonts w:ascii="Times New Roman" w:eastAsiaTheme="minorEastAsia" w:hAnsi="Times New Roman" w:cs="Times New Roman"/>
          <w:sz w:val="24"/>
          <w:szCs w:val="24"/>
          <w:lang w:eastAsia="pl-PL"/>
        </w:rPr>
        <w:t>,</w:t>
      </w:r>
      <w:r w:rsidRPr="00E14507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kluczową dla systemu elektroenergetycznego oraz rozwoju odnawialnych źródeł energii w Polsce, proponuje się objęcie niektórych inwestycji dystrybucyjnych reżimem specustawy przesyłowej. Pozwoli to na skrócenie kluczowych projektów inwestycyjnych, w których niejednokrotnie 80% czasu </w:t>
      </w:r>
      <w:r w:rsidR="00A208EC" w:rsidRPr="00E14507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jest </w:t>
      </w:r>
      <w:r w:rsidRPr="00E14507">
        <w:rPr>
          <w:rFonts w:ascii="Times New Roman" w:eastAsiaTheme="minorEastAsia" w:hAnsi="Times New Roman" w:cs="Times New Roman"/>
          <w:sz w:val="24"/>
          <w:szCs w:val="24"/>
          <w:lang w:eastAsia="pl-PL"/>
        </w:rPr>
        <w:t>poświęcone przygotowywaniu stosownej dokumentacji inwestycyjnej oraz uzyskiwaniu przez inwestora zgód administrac</w:t>
      </w:r>
      <w:r w:rsidR="009E1CE8">
        <w:rPr>
          <w:rFonts w:ascii="Times New Roman" w:eastAsiaTheme="minorEastAsia" w:hAnsi="Times New Roman" w:cs="Times New Roman"/>
          <w:sz w:val="24"/>
          <w:szCs w:val="24"/>
          <w:lang w:eastAsia="pl-PL"/>
        </w:rPr>
        <w:t>yjnych wymaganych przez prawo.</w:t>
      </w:r>
    </w:p>
    <w:p w14:paraId="7F7187D9" w14:textId="77777777" w:rsidR="0080136C" w:rsidRPr="00E14507" w:rsidRDefault="0080136C" w:rsidP="00724932">
      <w:pPr>
        <w:suppressAutoHyphens/>
        <w:spacing w:before="120"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E14507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2. Projektowane zmiany</w:t>
      </w:r>
    </w:p>
    <w:p w14:paraId="41758E89" w14:textId="76428692" w:rsidR="0080136C" w:rsidRPr="00624927" w:rsidRDefault="00724932" w:rsidP="00724932">
      <w:pPr>
        <w:suppressAutoHyphens/>
        <w:spacing w:before="120" w:after="0" w:line="360" w:lineRule="auto"/>
        <w:ind w:left="284" w:hanging="284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I.</w:t>
      </w: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ab/>
      </w:r>
      <w:r w:rsidR="0080136C" w:rsidRPr="00624927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Ustawa </w:t>
      </w:r>
      <w:r w:rsidR="00F918A6" w:rsidRPr="00624927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z dnia 24 lipca 2015 r. </w:t>
      </w:r>
      <w:r w:rsidR="0080136C" w:rsidRPr="00624927">
        <w:rPr>
          <w:rFonts w:ascii="Times New Roman" w:eastAsiaTheme="minorEastAsia" w:hAnsi="Times New Roman" w:cs="Times New Roman"/>
          <w:sz w:val="24"/>
          <w:szCs w:val="24"/>
          <w:lang w:eastAsia="pl-PL"/>
        </w:rPr>
        <w:t>o przygotowaniu i realizacji strategicznych inwestycji w</w:t>
      </w:r>
      <w:r w:rsidR="005C0A67">
        <w:rPr>
          <w:rFonts w:ascii="Times New Roman" w:eastAsiaTheme="minorEastAsia" w:hAnsi="Times New Roman" w:cs="Times New Roman"/>
          <w:sz w:val="24"/>
          <w:szCs w:val="24"/>
          <w:lang w:eastAsia="pl-PL"/>
        </w:rPr>
        <w:t> </w:t>
      </w:r>
      <w:r w:rsidR="0080136C" w:rsidRPr="00624927">
        <w:rPr>
          <w:rFonts w:ascii="Times New Roman" w:eastAsiaTheme="minorEastAsia" w:hAnsi="Times New Roman" w:cs="Times New Roman"/>
          <w:sz w:val="24"/>
          <w:szCs w:val="24"/>
          <w:lang w:eastAsia="pl-PL"/>
        </w:rPr>
        <w:t>zakresie sieci przesyłowych</w:t>
      </w:r>
      <w:r w:rsidR="00F918A6" w:rsidRPr="00624927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(Dz. U. z 2022 r. poz. 273, z późn. zm.)</w:t>
      </w:r>
      <w:r w:rsidR="00A343B1">
        <w:rPr>
          <w:rFonts w:ascii="Times New Roman" w:eastAsiaTheme="minorEastAsia" w:hAnsi="Times New Roman" w:cs="Times New Roman"/>
          <w:sz w:val="24"/>
          <w:szCs w:val="24"/>
          <w:lang w:eastAsia="pl-PL"/>
        </w:rPr>
        <w:t>:</w:t>
      </w:r>
    </w:p>
    <w:p w14:paraId="0CB2E300" w14:textId="28236CBA" w:rsidR="0080136C" w:rsidRPr="00624927" w:rsidRDefault="00A343B1" w:rsidP="00724932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60" w:line="360" w:lineRule="auto"/>
        <w:ind w:left="616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d</w:t>
      </w:r>
      <w:r w:rsidR="0080136C" w:rsidRPr="00A343B1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odanie </w:t>
      </w:r>
      <w:r w:rsidR="0002403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projektowanego pkt 1a </w:t>
      </w:r>
      <w:r w:rsidR="0080136C" w:rsidRPr="00A343B1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w art. 1 </w:t>
      </w:r>
      <w:r w:rsidRPr="00A343B1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w </w:t>
      </w:r>
      <w:r w:rsidR="0080136C" w:rsidRPr="00A343B1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ust. 2 </w:t>
      </w:r>
      <w:r w:rsidR="00610A7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wskazanej ustawy </w:t>
      </w:r>
      <w:r w:rsidR="0002403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zawierającego </w:t>
      </w:r>
      <w:r w:rsidR="0080136C" w:rsidRPr="009144A5">
        <w:rPr>
          <w:rFonts w:ascii="Times New Roman" w:eastAsia="Calibri" w:hAnsi="Times New Roman" w:cs="Times New Roman"/>
          <w:sz w:val="24"/>
          <w:szCs w:val="24"/>
          <w:lang w:eastAsia="ar-SA"/>
        </w:rPr>
        <w:t>definicj</w:t>
      </w:r>
      <w:r w:rsidR="00024032">
        <w:rPr>
          <w:rFonts w:ascii="Times New Roman" w:eastAsia="Calibri" w:hAnsi="Times New Roman" w:cs="Times New Roman"/>
          <w:sz w:val="24"/>
          <w:szCs w:val="24"/>
          <w:lang w:eastAsia="ar-SA"/>
        </w:rPr>
        <w:t>ę</w:t>
      </w:r>
      <w:r w:rsidR="0080136C" w:rsidRPr="009144A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inwestycji towarzyszącej, </w:t>
      </w:r>
      <w:r w:rsidR="00273998" w:rsidRPr="009144A5">
        <w:rPr>
          <w:rFonts w:ascii="Times New Roman" w:eastAsia="Calibri" w:hAnsi="Times New Roman" w:cs="Times New Roman"/>
          <w:sz w:val="24"/>
          <w:szCs w:val="24"/>
          <w:lang w:eastAsia="ar-SA"/>
        </w:rPr>
        <w:t>rozumianej jako pozostające w funkcjonalnym związku ze strategiczną inwestycją w zakresie sieci przesyłowej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A343B1">
        <w:rPr>
          <w:rFonts w:ascii="Times New Roman" w:eastAsia="Calibri" w:hAnsi="Times New Roman" w:cs="Times New Roman"/>
          <w:sz w:val="24"/>
          <w:szCs w:val="24"/>
          <w:lang w:eastAsia="ar-SA"/>
        </w:rPr>
        <w:t>z</w:t>
      </w:r>
      <w:r w:rsidR="00273998" w:rsidRPr="009144A5">
        <w:rPr>
          <w:rFonts w:ascii="Times New Roman" w:eastAsia="Calibri" w:hAnsi="Times New Roman" w:cs="Times New Roman"/>
          <w:sz w:val="24"/>
          <w:szCs w:val="24"/>
          <w:lang w:eastAsia="ar-SA"/>
        </w:rPr>
        <w:t>adanie inwestycyjne wraz z</w:t>
      </w:r>
      <w:r w:rsidR="005C0A67">
        <w:rPr>
          <w:rFonts w:ascii="Times New Roman" w:eastAsia="Calibri" w:hAnsi="Times New Roman" w:cs="Times New Roman"/>
          <w:sz w:val="24"/>
          <w:szCs w:val="24"/>
          <w:lang w:eastAsia="ar-SA"/>
        </w:rPr>
        <w:t> </w:t>
      </w:r>
      <w:r w:rsidR="00273998" w:rsidRPr="009144A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wykonywaniem niezbędnych robót budowlanych w rozumieniu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przepisów p</w:t>
      </w:r>
      <w:r w:rsidR="00273998" w:rsidRPr="009144A5">
        <w:rPr>
          <w:rFonts w:ascii="Times New Roman" w:eastAsia="Calibri" w:hAnsi="Times New Roman" w:cs="Times New Roman"/>
          <w:sz w:val="24"/>
          <w:szCs w:val="24"/>
          <w:lang w:eastAsia="ar-SA"/>
        </w:rPr>
        <w:t>raw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a</w:t>
      </w:r>
      <w:r w:rsidR="00273998" w:rsidRPr="009144A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budowlane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go</w:t>
      </w:r>
      <w:r w:rsidR="00273998" w:rsidRPr="002908F5">
        <w:rPr>
          <w:rFonts w:ascii="Times New Roman" w:eastAsia="Calibri" w:hAnsi="Times New Roman" w:cs="Times New Roman"/>
          <w:sz w:val="24"/>
          <w:szCs w:val="24"/>
          <w:lang w:eastAsia="ar-SA"/>
        </w:rPr>
        <w:t>, w szczególności budowy lub przebudowy obiektów, urządzeń, sieci i instalacji niezbędnych do budowy, przebudowy, remontu, utrzymania, użytkowania, zmiany sposobu użytkowania</w:t>
      </w:r>
      <w:r w:rsidR="00273998" w:rsidRPr="009144A5">
        <w:rPr>
          <w:rFonts w:ascii="Times New Roman" w:eastAsia="Calibri" w:hAnsi="Times New Roman" w:cs="Times New Roman"/>
          <w:sz w:val="24"/>
          <w:szCs w:val="24"/>
          <w:lang w:eastAsia="ar-SA"/>
        </w:rPr>
        <w:t>, eksploatacji lub rozbiórki linii stanowiących elementy sieci dystrybucyjnej o</w:t>
      </w:r>
      <w:r w:rsidR="009E1CE8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273998" w:rsidRPr="009144A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napięciu równym lub wyższym niż 110 kV, w szczególności w koordynowaną sieć 110 kV,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a także </w:t>
      </w:r>
      <w:r w:rsidR="00273998" w:rsidRPr="002908F5">
        <w:rPr>
          <w:rFonts w:ascii="Times New Roman" w:eastAsia="Calibri" w:hAnsi="Times New Roman" w:cs="Times New Roman"/>
          <w:sz w:val="24"/>
          <w:szCs w:val="24"/>
          <w:lang w:eastAsia="ar-SA"/>
        </w:rPr>
        <w:t>zadani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e</w:t>
      </w:r>
      <w:r w:rsidR="00273998" w:rsidRPr="009144A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inwestycyjne polegające na </w:t>
      </w:r>
      <w:r w:rsidR="00E35935" w:rsidRPr="009144A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przebudowie lub remoncie istniejących linii elektroenergetycznych </w:t>
      </w:r>
      <w:r w:rsidR="00E35935" w:rsidRPr="009144A5">
        <w:rPr>
          <w:rFonts w:ascii="Times New Roman" w:hAnsi="Times New Roman" w:cs="Times New Roman"/>
          <w:sz w:val="24"/>
          <w:szCs w:val="24"/>
        </w:rPr>
        <w:t>stanowiących elementy sieci dystrybucyjnej o napięciu równym lub wyższym niż 110 kV, tymczasowych obiektów budowlanych, obiektów sieci gazowej, sieci i</w:t>
      </w:r>
      <w:r w:rsidR="009E1CE8">
        <w:rPr>
          <w:rFonts w:ascii="Times New Roman" w:hAnsi="Times New Roman" w:cs="Times New Roman"/>
          <w:sz w:val="24"/>
          <w:szCs w:val="24"/>
        </w:rPr>
        <w:t xml:space="preserve"> </w:t>
      </w:r>
      <w:r w:rsidR="00E35935" w:rsidRPr="009144A5">
        <w:rPr>
          <w:rFonts w:ascii="Times New Roman" w:hAnsi="Times New Roman" w:cs="Times New Roman"/>
          <w:sz w:val="24"/>
          <w:szCs w:val="24"/>
        </w:rPr>
        <w:t xml:space="preserve">przyłączy elektroenergetycznych, wodociągowych, kanalizacyjnych, cieplnych, telekomunikacyjnych, infrastruktury drogowej lub kolejowej oraz ogólnodostępnych stacji ładowania. </w:t>
      </w:r>
      <w:r w:rsidR="0080136C" w:rsidRPr="009144A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Celem </w:t>
      </w:r>
      <w:r w:rsidR="007A1131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projektowanej </w:t>
      </w:r>
      <w:r w:rsidR="0080136C" w:rsidRPr="002908F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zmiany jest </w:t>
      </w:r>
      <w:r w:rsidR="0080136C" w:rsidRPr="009144A5">
        <w:rPr>
          <w:rFonts w:ascii="Times New Roman" w:eastAsiaTheme="minorEastAsia" w:hAnsi="Times New Roman" w:cs="Times New Roman"/>
          <w:sz w:val="24"/>
          <w:szCs w:val="24"/>
          <w:lang w:eastAsia="pl-PL"/>
        </w:rPr>
        <w:t>rozszerzeni</w:t>
      </w:r>
      <w:r w:rsidR="007A1131">
        <w:rPr>
          <w:rFonts w:ascii="Times New Roman" w:eastAsiaTheme="minorEastAsia" w:hAnsi="Times New Roman" w:cs="Times New Roman"/>
          <w:sz w:val="24"/>
          <w:szCs w:val="24"/>
          <w:lang w:eastAsia="pl-PL"/>
        </w:rPr>
        <w:t>e</w:t>
      </w:r>
      <w:r w:rsidR="0080136C" w:rsidRPr="009144A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stosowania przepisów </w:t>
      </w:r>
      <w:bookmarkStart w:id="1" w:name="_Hlk111029872"/>
      <w:r w:rsidR="0080136C" w:rsidRPr="009144A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ustawy </w:t>
      </w:r>
      <w:r w:rsidR="007A1131" w:rsidRPr="00EF45A9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z dnia 24 lipca 2015 r. </w:t>
      </w:r>
      <w:r w:rsidR="0080136C" w:rsidRPr="00624927">
        <w:rPr>
          <w:rFonts w:ascii="Times New Roman" w:eastAsiaTheme="minorEastAsia" w:hAnsi="Times New Roman" w:cs="Times New Roman"/>
          <w:sz w:val="24"/>
          <w:szCs w:val="24"/>
          <w:lang w:eastAsia="pl-PL"/>
        </w:rPr>
        <w:t>o przygotowaniu i realizacji strategicznych inwestycji w zakresie sieci przesyłowych</w:t>
      </w:r>
      <w:bookmarkEnd w:id="1"/>
      <w:r w:rsidR="0080136C" w:rsidRPr="002908F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na określone inwestycje towarzyszące, a więc </w:t>
      </w:r>
      <w:r w:rsidR="0002109A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inwestycje </w:t>
      </w:r>
      <w:r w:rsidR="0080136C" w:rsidRPr="002908F5">
        <w:rPr>
          <w:rFonts w:ascii="Times New Roman" w:eastAsiaTheme="minorEastAsia" w:hAnsi="Times New Roman" w:cs="Times New Roman"/>
          <w:sz w:val="24"/>
          <w:szCs w:val="24"/>
          <w:lang w:eastAsia="pl-PL"/>
        </w:rPr>
        <w:t>pozostające w funkcjonalnym związku z</w:t>
      </w:r>
      <w:r w:rsidR="007A1131">
        <w:rPr>
          <w:rFonts w:ascii="Times New Roman" w:eastAsiaTheme="minorEastAsia" w:hAnsi="Times New Roman" w:cs="Times New Roman"/>
          <w:sz w:val="24"/>
          <w:szCs w:val="24"/>
          <w:lang w:eastAsia="pl-PL"/>
        </w:rPr>
        <w:t>e strategicznymi</w:t>
      </w:r>
      <w:r w:rsidR="0080136C" w:rsidRPr="002908F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inwestycjami </w:t>
      </w:r>
      <w:r w:rsidR="007A1131">
        <w:rPr>
          <w:rFonts w:ascii="Times New Roman" w:eastAsiaTheme="minorEastAsia" w:hAnsi="Times New Roman" w:cs="Times New Roman"/>
          <w:sz w:val="24"/>
          <w:szCs w:val="24"/>
          <w:lang w:eastAsia="pl-PL"/>
        </w:rPr>
        <w:t>objętymi już przepisami</w:t>
      </w:r>
      <w:r w:rsidR="0080136C" w:rsidRPr="002908F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7A1131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tej </w:t>
      </w:r>
      <w:r w:rsidR="0080136C" w:rsidRPr="002908F5">
        <w:rPr>
          <w:rFonts w:ascii="Times New Roman" w:eastAsiaTheme="minorEastAsia" w:hAnsi="Times New Roman" w:cs="Times New Roman"/>
          <w:sz w:val="24"/>
          <w:szCs w:val="24"/>
          <w:lang w:eastAsia="pl-PL"/>
        </w:rPr>
        <w:t>ustaw</w:t>
      </w:r>
      <w:r w:rsidR="007A1131">
        <w:rPr>
          <w:rFonts w:ascii="Times New Roman" w:eastAsiaTheme="minorEastAsia" w:hAnsi="Times New Roman" w:cs="Times New Roman"/>
          <w:sz w:val="24"/>
          <w:szCs w:val="24"/>
          <w:lang w:eastAsia="pl-PL"/>
        </w:rPr>
        <w:t>y</w:t>
      </w:r>
      <w:r w:rsidR="0080136C" w:rsidRPr="009144A5">
        <w:rPr>
          <w:rFonts w:ascii="Times New Roman" w:eastAsiaTheme="minorEastAsia" w:hAnsi="Times New Roman" w:cs="Times New Roman"/>
          <w:sz w:val="24"/>
          <w:szCs w:val="24"/>
          <w:lang w:eastAsia="pl-PL"/>
        </w:rPr>
        <w:t>. Wprowadzenie definicji inwestycji towarzysząc</w:t>
      </w:r>
      <w:r w:rsidR="00024032">
        <w:rPr>
          <w:rFonts w:ascii="Times New Roman" w:eastAsiaTheme="minorEastAsia" w:hAnsi="Times New Roman" w:cs="Times New Roman"/>
          <w:sz w:val="24"/>
          <w:szCs w:val="24"/>
          <w:lang w:eastAsia="pl-PL"/>
        </w:rPr>
        <w:t>ej</w:t>
      </w:r>
      <w:r w:rsidR="0080136C" w:rsidRPr="009144A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umożliwi ograniczenie do minimum zmian w</w:t>
      </w:r>
      <w:r w:rsidR="009E1CE8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80136C" w:rsidRPr="009144A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obowiązującym stanie prawnym, a tym samym </w:t>
      </w:r>
      <w:r w:rsidR="002908F5" w:rsidRPr="006B2451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będzie </w:t>
      </w:r>
      <w:r w:rsidR="0080136C" w:rsidRPr="002908F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sprzyjać </w:t>
      </w:r>
      <w:r w:rsidR="0080136C" w:rsidRPr="009144A5">
        <w:rPr>
          <w:rFonts w:ascii="Times New Roman" w:eastAsiaTheme="minorEastAsia" w:hAnsi="Times New Roman" w:cs="Times New Roman"/>
          <w:sz w:val="24"/>
          <w:szCs w:val="24"/>
          <w:lang w:eastAsia="pl-PL"/>
        </w:rPr>
        <w:t>zachowaniu odpowiedniego stopnia pewności prawnej dla podmiotów realizujących obowiązki lub korzystających z</w:t>
      </w:r>
      <w:r w:rsidR="009E1CE8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80136C" w:rsidRPr="009144A5">
        <w:rPr>
          <w:rFonts w:ascii="Times New Roman" w:eastAsiaTheme="minorEastAsia" w:hAnsi="Times New Roman" w:cs="Times New Roman"/>
          <w:sz w:val="24"/>
          <w:szCs w:val="24"/>
          <w:lang w:eastAsia="pl-PL"/>
        </w:rPr>
        <w:t>uprawnień wynikających z</w:t>
      </w:r>
      <w:r w:rsidR="002908F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przepisów</w:t>
      </w:r>
      <w:r w:rsidR="0080136C" w:rsidRPr="002908F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ustawy</w:t>
      </w:r>
      <w:r w:rsidR="002908F5" w:rsidRPr="002908F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2908F5" w:rsidRPr="00EF45A9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z dnia 24 lipca 2015 r. </w:t>
      </w:r>
      <w:r w:rsidR="0080136C" w:rsidRPr="00624927">
        <w:rPr>
          <w:rFonts w:ascii="Times New Roman" w:eastAsiaTheme="minorEastAsia" w:hAnsi="Times New Roman" w:cs="Times New Roman"/>
          <w:sz w:val="24"/>
          <w:szCs w:val="24"/>
          <w:lang w:eastAsia="pl-PL"/>
        </w:rPr>
        <w:t>o przygotowaniu i</w:t>
      </w:r>
      <w:r w:rsidR="009E1CE8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80136C" w:rsidRPr="00624927">
        <w:rPr>
          <w:rFonts w:ascii="Times New Roman" w:eastAsiaTheme="minorEastAsia" w:hAnsi="Times New Roman" w:cs="Times New Roman"/>
          <w:sz w:val="24"/>
          <w:szCs w:val="24"/>
          <w:lang w:eastAsia="pl-PL"/>
        </w:rPr>
        <w:t>realizacji strategicznych inwestycji w zakresie sieci przesyłowych</w:t>
      </w:r>
      <w:r w:rsidR="002908F5">
        <w:rPr>
          <w:rFonts w:ascii="Times New Roman" w:eastAsiaTheme="minorEastAsia" w:hAnsi="Times New Roman" w:cs="Times New Roman"/>
          <w:sz w:val="24"/>
          <w:szCs w:val="24"/>
          <w:lang w:eastAsia="pl-PL"/>
        </w:rPr>
        <w:t>;</w:t>
      </w:r>
      <w:r w:rsidR="0080136C" w:rsidRPr="002908F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</w:p>
    <w:p w14:paraId="3A9E01DE" w14:textId="2B50BE73" w:rsidR="0080136C" w:rsidRPr="009144A5" w:rsidRDefault="0080136C" w:rsidP="001E5E93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360" w:lineRule="auto"/>
        <w:ind w:left="612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2492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dodanie </w:t>
      </w:r>
      <w:r w:rsidR="0002403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projektowanego </w:t>
      </w:r>
      <w:r w:rsidRPr="00624927">
        <w:rPr>
          <w:rFonts w:ascii="Times New Roman" w:eastAsia="Calibri" w:hAnsi="Times New Roman" w:cs="Times New Roman"/>
          <w:sz w:val="24"/>
          <w:szCs w:val="24"/>
          <w:lang w:eastAsia="ar-SA"/>
        </w:rPr>
        <w:t>art. 2a</w:t>
      </w:r>
      <w:r w:rsidR="002908F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9E2A9F">
        <w:rPr>
          <w:rFonts w:ascii="Times New Roman" w:eastAsia="Calibri" w:hAnsi="Times New Roman" w:cs="Times New Roman"/>
          <w:sz w:val="24"/>
          <w:szCs w:val="24"/>
          <w:lang w:eastAsia="ar-SA"/>
        </w:rPr>
        <w:t>–</w:t>
      </w:r>
      <w:r w:rsidR="002908F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w</w:t>
      </w:r>
      <w:r w:rsidRPr="009144A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celu zagwarantowania większej elastyczności w </w:t>
      </w:r>
      <w:r w:rsidRPr="009144A5">
        <w:rPr>
          <w:rFonts w:ascii="Times New Roman" w:eastAsia="Calibri" w:hAnsi="Times New Roman" w:cs="Times New Roman"/>
          <w:sz w:val="24"/>
          <w:szCs w:val="24"/>
          <w:lang w:eastAsia="ar-SA"/>
        </w:rPr>
        <w:lastRenderedPageBreak/>
        <w:t xml:space="preserve">zakresie możliwości stosowania uproszczonych procedur dla inwestycji polegających na przebudowie lub remoncie istniejących linii przewiduje się </w:t>
      </w:r>
      <w:r w:rsidR="002908F5">
        <w:rPr>
          <w:rFonts w:ascii="Times New Roman" w:eastAsia="Calibri" w:hAnsi="Times New Roman" w:cs="Times New Roman"/>
          <w:sz w:val="24"/>
          <w:szCs w:val="24"/>
          <w:lang w:eastAsia="ar-SA"/>
        </w:rPr>
        <w:t>upoważnienie</w:t>
      </w:r>
      <w:r w:rsidR="002908F5" w:rsidRPr="003A60A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0635FC">
        <w:rPr>
          <w:rFonts w:ascii="Times New Roman" w:eastAsia="Calibri" w:hAnsi="Times New Roman" w:cs="Times New Roman"/>
          <w:sz w:val="24"/>
          <w:szCs w:val="24"/>
          <w:lang w:eastAsia="ar-SA"/>
        </w:rPr>
        <w:t>Rad</w:t>
      </w:r>
      <w:r w:rsidR="002908F5">
        <w:rPr>
          <w:rFonts w:ascii="Times New Roman" w:eastAsia="Calibri" w:hAnsi="Times New Roman" w:cs="Times New Roman"/>
          <w:sz w:val="24"/>
          <w:szCs w:val="24"/>
          <w:lang w:eastAsia="ar-SA"/>
        </w:rPr>
        <w:t>y</w:t>
      </w:r>
      <w:r w:rsidRPr="009144A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Ministrów </w:t>
      </w:r>
      <w:r w:rsidR="002908F5">
        <w:rPr>
          <w:rFonts w:ascii="Times New Roman" w:eastAsia="Calibri" w:hAnsi="Times New Roman" w:cs="Times New Roman"/>
          <w:sz w:val="24"/>
          <w:szCs w:val="24"/>
          <w:lang w:eastAsia="ar-SA"/>
        </w:rPr>
        <w:t>do</w:t>
      </w:r>
      <w:r w:rsidRPr="003A60A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okr</w:t>
      </w:r>
      <w:r w:rsidRPr="000635FC">
        <w:rPr>
          <w:rFonts w:ascii="Times New Roman" w:eastAsia="Calibri" w:hAnsi="Times New Roman" w:cs="Times New Roman"/>
          <w:sz w:val="24"/>
          <w:szCs w:val="24"/>
          <w:lang w:eastAsia="ar-SA"/>
        </w:rPr>
        <w:t>eślenia</w:t>
      </w:r>
      <w:r w:rsidR="002908F5">
        <w:rPr>
          <w:rFonts w:ascii="Times New Roman" w:eastAsia="Calibri" w:hAnsi="Times New Roman" w:cs="Times New Roman"/>
          <w:sz w:val="24"/>
          <w:szCs w:val="24"/>
          <w:lang w:eastAsia="ar-SA"/>
        </w:rPr>
        <w:t>,</w:t>
      </w:r>
      <w:r w:rsidRPr="003A60A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w</w:t>
      </w:r>
      <w:r w:rsidR="009E1CE8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2908F5">
        <w:rPr>
          <w:rFonts w:ascii="Times New Roman" w:eastAsia="Calibri" w:hAnsi="Times New Roman" w:cs="Times New Roman"/>
          <w:sz w:val="24"/>
          <w:szCs w:val="24"/>
          <w:lang w:eastAsia="ar-SA"/>
        </w:rPr>
        <w:t>drodze</w:t>
      </w:r>
      <w:r w:rsidRPr="003A60A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rozporządzeni</w:t>
      </w:r>
      <w:r w:rsidR="002908F5">
        <w:rPr>
          <w:rFonts w:ascii="Times New Roman" w:eastAsia="Calibri" w:hAnsi="Times New Roman" w:cs="Times New Roman"/>
          <w:sz w:val="24"/>
          <w:szCs w:val="24"/>
          <w:lang w:eastAsia="ar-SA"/>
        </w:rPr>
        <w:t>a,</w:t>
      </w:r>
      <w:r w:rsidRPr="009144A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listy inwestycji już istniejącej infrastruktury</w:t>
      </w:r>
      <w:r w:rsidR="002908F5">
        <w:rPr>
          <w:rFonts w:ascii="Times New Roman" w:eastAsia="Calibri" w:hAnsi="Times New Roman" w:cs="Times New Roman"/>
          <w:sz w:val="24"/>
          <w:szCs w:val="24"/>
          <w:lang w:eastAsia="ar-SA"/>
        </w:rPr>
        <w:t>,</w:t>
      </w:r>
      <w:r w:rsidRPr="003A60A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do których, w drodze wyjątku, </w:t>
      </w:r>
      <w:r w:rsidR="002908F5" w:rsidRPr="005F3F30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znajdą </w:t>
      </w:r>
      <w:r w:rsidRPr="003A60A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zastosowanie </w:t>
      </w:r>
      <w:r w:rsidRPr="009144A5">
        <w:rPr>
          <w:rFonts w:ascii="Times New Roman" w:eastAsia="Calibri" w:hAnsi="Times New Roman" w:cs="Times New Roman"/>
          <w:sz w:val="24"/>
          <w:szCs w:val="24"/>
          <w:lang w:eastAsia="ar-SA"/>
        </w:rPr>
        <w:t>przepisy ustawy</w:t>
      </w:r>
      <w:r w:rsidR="002908F5" w:rsidRPr="002908F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2908F5" w:rsidRPr="00EF45A9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z dnia 24 lipca 2015 r. </w:t>
      </w:r>
      <w:r w:rsidRPr="00624927">
        <w:rPr>
          <w:rFonts w:ascii="Times New Roman" w:eastAsiaTheme="minorEastAsia" w:hAnsi="Times New Roman" w:cs="Times New Roman"/>
          <w:sz w:val="24"/>
          <w:szCs w:val="24"/>
          <w:lang w:eastAsia="pl-PL"/>
        </w:rPr>
        <w:t>o przygotowaniu i</w:t>
      </w:r>
      <w:r w:rsidR="009E1CE8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Pr="00624927">
        <w:rPr>
          <w:rFonts w:ascii="Times New Roman" w:eastAsiaTheme="minorEastAsia" w:hAnsi="Times New Roman" w:cs="Times New Roman"/>
          <w:sz w:val="24"/>
          <w:szCs w:val="24"/>
          <w:lang w:eastAsia="pl-PL"/>
        </w:rPr>
        <w:t>realizacji strategicznych inwestycji w zakresie sieci przesyłowych</w:t>
      </w:r>
      <w:r w:rsidRPr="003A60A9">
        <w:rPr>
          <w:rFonts w:ascii="Times New Roman" w:eastAsiaTheme="minorEastAsia" w:hAnsi="Times New Roman" w:cs="Times New Roman"/>
          <w:sz w:val="24"/>
          <w:szCs w:val="24"/>
          <w:lang w:eastAsia="pl-PL"/>
        </w:rPr>
        <w:t>.</w:t>
      </w:r>
      <w:r w:rsidRPr="000635FC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Przyjęcie proponowanego rozwiązania jest istotne dla zapewnienia możliwości remontów czy przebudowy istniejących linii, które mają kluczowe znaczenie dla zapewnienia odpowiednich </w:t>
      </w:r>
      <w:r w:rsidR="002908F5">
        <w:rPr>
          <w:rFonts w:ascii="Times New Roman" w:eastAsiaTheme="minorEastAsia" w:hAnsi="Times New Roman" w:cs="Times New Roman"/>
          <w:sz w:val="24"/>
          <w:szCs w:val="24"/>
          <w:lang w:eastAsia="pl-PL"/>
        </w:rPr>
        <w:t>prze</w:t>
      </w:r>
      <w:r w:rsidRPr="009144A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pływów energii elektrycznej w systemie elektroenergetycznym oraz rozwoju regionalnego. Co więcej wprowadzenie </w:t>
      </w:r>
      <w:r w:rsidR="002908F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projektowanych </w:t>
      </w:r>
      <w:r w:rsidRPr="003A60A9">
        <w:rPr>
          <w:rFonts w:ascii="Times New Roman" w:eastAsiaTheme="minorEastAsia" w:hAnsi="Times New Roman" w:cs="Times New Roman"/>
          <w:sz w:val="24"/>
          <w:szCs w:val="24"/>
          <w:lang w:eastAsia="pl-PL"/>
        </w:rPr>
        <w:t>przepisów pozwoli na zagwarantowanie odpowiedniej elastyczności stosowania przepisów przy jednoczesnym pełnym uwzględnieniu konieczności zagwarantowania korzystnego środowiska regulacyjnego dla prowadzenia tego ro</w:t>
      </w:r>
      <w:r w:rsidRPr="000635FC">
        <w:rPr>
          <w:rFonts w:ascii="Times New Roman" w:eastAsiaTheme="minorEastAsia" w:hAnsi="Times New Roman" w:cs="Times New Roman"/>
          <w:sz w:val="24"/>
          <w:szCs w:val="24"/>
          <w:lang w:eastAsia="pl-PL"/>
        </w:rPr>
        <w:t>dzaju inwestycji infrastrukturalnych</w:t>
      </w:r>
      <w:r w:rsidR="00024032">
        <w:rPr>
          <w:rFonts w:ascii="Times New Roman" w:eastAsiaTheme="minorEastAsia" w:hAnsi="Times New Roman" w:cs="Times New Roman"/>
          <w:sz w:val="24"/>
          <w:szCs w:val="24"/>
          <w:lang w:eastAsia="pl-PL"/>
        </w:rPr>
        <w:t>;</w:t>
      </w:r>
      <w:r w:rsidRPr="009144A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</w:p>
    <w:p w14:paraId="40C9A8F1" w14:textId="54550C3C" w:rsidR="0080136C" w:rsidRPr="003A60A9" w:rsidRDefault="0080136C" w:rsidP="001E5E93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360" w:lineRule="auto"/>
        <w:ind w:left="612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2492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dodanie </w:t>
      </w:r>
      <w:r w:rsidR="0002403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projektowanego </w:t>
      </w:r>
      <w:r w:rsidRPr="00624927">
        <w:rPr>
          <w:rFonts w:ascii="Times New Roman" w:eastAsia="Calibri" w:hAnsi="Times New Roman" w:cs="Times New Roman"/>
          <w:sz w:val="24"/>
          <w:szCs w:val="24"/>
          <w:lang w:eastAsia="ar-SA"/>
        </w:rPr>
        <w:t>art. 3b</w:t>
      </w:r>
      <w:r w:rsidR="0002403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który </w:t>
      </w:r>
      <w:r w:rsidRPr="009144A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ma na celu precyzyjne określenie zakresu stosowania </w:t>
      </w:r>
      <w:r w:rsidR="0002403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przepisów </w:t>
      </w:r>
      <w:r w:rsidRPr="003A60A9">
        <w:rPr>
          <w:rFonts w:ascii="Times New Roman" w:eastAsia="Calibri" w:hAnsi="Times New Roman" w:cs="Times New Roman"/>
          <w:sz w:val="24"/>
          <w:szCs w:val="24"/>
          <w:lang w:eastAsia="ar-SA"/>
        </w:rPr>
        <w:t>ustawy</w:t>
      </w:r>
      <w:r w:rsidR="00024032" w:rsidRPr="00024032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024032" w:rsidRPr="00EF45A9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z dnia 24 lipca 2015 r. </w:t>
      </w:r>
      <w:r w:rsidRPr="00624927">
        <w:rPr>
          <w:rFonts w:ascii="Times New Roman" w:eastAsia="Calibri" w:hAnsi="Times New Roman" w:cs="Times New Roman"/>
          <w:sz w:val="24"/>
          <w:szCs w:val="24"/>
          <w:lang w:eastAsia="ar-SA"/>
        </w:rPr>
        <w:t>o przygotowaniu i realizacji strategicznych inwestycji w zakresie sieci przesyłowych</w:t>
      </w:r>
      <w:r w:rsidRPr="003A60A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do inwestycji towarzyszących. W tym celu</w:t>
      </w:r>
      <w:r w:rsidRPr="009144A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2246BE" w:rsidRPr="00E30B6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w </w:t>
      </w:r>
      <w:r w:rsidR="002246BE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projektowanym </w:t>
      </w:r>
      <w:r w:rsidR="002246BE" w:rsidRPr="00E30B67">
        <w:rPr>
          <w:rFonts w:ascii="Times New Roman" w:eastAsia="Calibri" w:hAnsi="Times New Roman" w:cs="Times New Roman"/>
          <w:sz w:val="24"/>
          <w:szCs w:val="24"/>
          <w:lang w:eastAsia="ar-SA"/>
        </w:rPr>
        <w:t>przepis</w:t>
      </w:r>
      <w:r w:rsidR="002246BE">
        <w:rPr>
          <w:rFonts w:ascii="Times New Roman" w:eastAsia="Calibri" w:hAnsi="Times New Roman" w:cs="Times New Roman"/>
          <w:sz w:val="24"/>
          <w:szCs w:val="24"/>
          <w:lang w:eastAsia="ar-SA"/>
        </w:rPr>
        <w:t>ie</w:t>
      </w:r>
      <w:r w:rsidR="002246BE" w:rsidRPr="00E30B6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3A60A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określono </w:t>
      </w:r>
      <w:r w:rsidRPr="009144A5">
        <w:rPr>
          <w:rFonts w:ascii="Times New Roman" w:eastAsia="Calibri" w:hAnsi="Times New Roman" w:cs="Times New Roman"/>
          <w:sz w:val="24"/>
          <w:szCs w:val="24"/>
          <w:lang w:eastAsia="ar-SA"/>
        </w:rPr>
        <w:t>sposób odpowiedniego stosowania</w:t>
      </w:r>
      <w:r w:rsidR="00304DF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przepisów tej ustawy, a także </w:t>
      </w:r>
      <w:r w:rsidRPr="009144A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rozumienia poszczególnych </w:t>
      </w:r>
      <w:r w:rsidR="00304DF5">
        <w:rPr>
          <w:rFonts w:ascii="Times New Roman" w:eastAsia="Calibri" w:hAnsi="Times New Roman" w:cs="Times New Roman"/>
          <w:sz w:val="24"/>
          <w:szCs w:val="24"/>
          <w:lang w:eastAsia="ar-SA"/>
        </w:rPr>
        <w:t>określeń w niej wprowadzonych</w:t>
      </w:r>
      <w:r w:rsidR="00304DF5" w:rsidRPr="003A60A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304DF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w odniesieniu do </w:t>
      </w:r>
      <w:r w:rsidR="003A60A9">
        <w:rPr>
          <w:rFonts w:ascii="Times New Roman" w:eastAsia="Calibri" w:hAnsi="Times New Roman" w:cs="Times New Roman"/>
          <w:sz w:val="24"/>
          <w:szCs w:val="24"/>
          <w:lang w:eastAsia="ar-SA"/>
        </w:rPr>
        <w:t>inwestycji towarzyszących</w:t>
      </w:r>
      <w:r w:rsidRPr="003A60A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. </w:t>
      </w:r>
      <w:r w:rsidRPr="003A60A9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Wprowadzenie przedmiotowej regulacji jest </w:t>
      </w:r>
      <w:r w:rsidR="0002109A">
        <w:rPr>
          <w:rFonts w:ascii="Times New Roman" w:eastAsiaTheme="minorEastAsia" w:hAnsi="Times New Roman" w:cs="Times New Roman"/>
          <w:sz w:val="24"/>
          <w:szCs w:val="24"/>
          <w:lang w:eastAsia="pl-PL"/>
        </w:rPr>
        <w:t>potrzebne</w:t>
      </w:r>
      <w:r w:rsidR="0002109A" w:rsidRPr="003A60A9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Pr="003A60A9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dla zapewnienia odpowiedniego stopnia precyzji </w:t>
      </w:r>
      <w:r w:rsidR="003A60A9">
        <w:rPr>
          <w:rFonts w:ascii="Times New Roman" w:eastAsiaTheme="minorEastAsia" w:hAnsi="Times New Roman" w:cs="Times New Roman"/>
          <w:sz w:val="24"/>
          <w:szCs w:val="24"/>
          <w:lang w:eastAsia="pl-PL"/>
        </w:rPr>
        <w:t>projektowanych</w:t>
      </w:r>
      <w:r w:rsidR="003A60A9" w:rsidRPr="003A60A9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Pr="003A60A9">
        <w:rPr>
          <w:rFonts w:ascii="Times New Roman" w:eastAsiaTheme="minorEastAsia" w:hAnsi="Times New Roman" w:cs="Times New Roman"/>
          <w:sz w:val="24"/>
          <w:szCs w:val="24"/>
          <w:lang w:eastAsia="pl-PL"/>
        </w:rPr>
        <w:t>przepisów oraz uniknięcia wątpliwości dotyczących odpowiedniego stosowania przepisów ustawy</w:t>
      </w:r>
      <w:r w:rsidR="003A60A9" w:rsidRPr="003A60A9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3A60A9" w:rsidRPr="00EF45A9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z dnia 24 lipca 2015 r. </w:t>
      </w:r>
      <w:r w:rsidRPr="003A60A9">
        <w:rPr>
          <w:rFonts w:ascii="Times New Roman" w:eastAsiaTheme="minorEastAsia" w:hAnsi="Times New Roman" w:cs="Times New Roman"/>
          <w:sz w:val="24"/>
          <w:szCs w:val="24"/>
          <w:lang w:eastAsia="pl-PL"/>
        </w:rPr>
        <w:t>o</w:t>
      </w:r>
      <w:r w:rsidR="009E1CE8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Pr="003A60A9">
        <w:rPr>
          <w:rFonts w:ascii="Times New Roman" w:eastAsiaTheme="minorEastAsia" w:hAnsi="Times New Roman" w:cs="Times New Roman"/>
          <w:sz w:val="24"/>
          <w:szCs w:val="24"/>
          <w:lang w:eastAsia="pl-PL"/>
        </w:rPr>
        <w:t>przygotowaniu i realizacji strategicznych inwestycji w zakresie sieci przesyłowych do inwestycji towarzyszących realizowanych przez operatorów systemów dystrybucyjnych elektroenergetycznych</w:t>
      </w:r>
      <w:r w:rsidR="008F38AC">
        <w:rPr>
          <w:rFonts w:ascii="Times New Roman" w:eastAsiaTheme="minorEastAsia" w:hAnsi="Times New Roman" w:cs="Times New Roman"/>
          <w:sz w:val="24"/>
          <w:szCs w:val="24"/>
          <w:lang w:eastAsia="pl-PL"/>
        </w:rPr>
        <w:t>;</w:t>
      </w:r>
      <w:r w:rsidRPr="003A60A9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</w:p>
    <w:p w14:paraId="5870AB0D" w14:textId="65F226AE" w:rsidR="0080136C" w:rsidRPr="00724932" w:rsidRDefault="0080136C" w:rsidP="001E5E93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360" w:lineRule="auto"/>
        <w:ind w:left="612" w:hanging="357"/>
        <w:contextualSpacing/>
        <w:jc w:val="both"/>
        <w:rPr>
          <w:rFonts w:ascii="Times New Roman" w:eastAsiaTheme="minorEastAsia" w:hAnsi="Times New Roman" w:cs="Times New Roman"/>
          <w:i/>
          <w:iCs/>
          <w:sz w:val="24"/>
          <w:szCs w:val="24"/>
          <w:lang w:eastAsia="pl-PL"/>
        </w:rPr>
      </w:pPr>
      <w:r w:rsidRPr="006249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uchylenie </w:t>
      </w:r>
      <w:r w:rsidR="008F38AC" w:rsidRPr="000635F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ust. 2</w:t>
      </w:r>
      <w:r w:rsidR="008F38AC" w:rsidRPr="009144A5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w </w:t>
      </w:r>
      <w:r w:rsidRPr="006249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art. 35 </w:t>
      </w:r>
      <w:r w:rsidR="00610A7A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wskazanej </w:t>
      </w:r>
      <w:r w:rsidRPr="000635FC">
        <w:rPr>
          <w:rFonts w:ascii="Times New Roman" w:eastAsia="Calibri" w:hAnsi="Times New Roman" w:cs="Times New Roman"/>
          <w:sz w:val="24"/>
          <w:szCs w:val="24"/>
          <w:lang w:eastAsia="ar-SA"/>
        </w:rPr>
        <w:t>ustawy</w:t>
      </w:r>
      <w:r w:rsidRPr="000635FC">
        <w:rPr>
          <w:rFonts w:ascii="Times New Roman" w:eastAsiaTheme="minorEastAsia" w:hAnsi="Times New Roman" w:cs="Times New Roman"/>
          <w:sz w:val="24"/>
          <w:szCs w:val="24"/>
          <w:lang w:eastAsia="pl-PL"/>
        </w:rPr>
        <w:t>, który wprowadza czasowe ograniczenie dla stosowania uproszczonych procedur do realizacji strategicznych inwestycji</w:t>
      </w:r>
      <w:r w:rsidR="00293EE7" w:rsidRPr="00293EE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293EE7" w:rsidRPr="00EF45A9">
        <w:rPr>
          <w:rFonts w:ascii="Times New Roman" w:eastAsia="Calibri" w:hAnsi="Times New Roman" w:cs="Times New Roman"/>
          <w:sz w:val="24"/>
          <w:szCs w:val="24"/>
          <w:lang w:eastAsia="ar-SA"/>
        </w:rPr>
        <w:t>w zakresie sieci przesyłowych</w:t>
      </w:r>
      <w:r w:rsidRPr="000635FC">
        <w:rPr>
          <w:rFonts w:ascii="Times New Roman" w:eastAsiaTheme="minorEastAsia" w:hAnsi="Times New Roman" w:cs="Times New Roman"/>
          <w:sz w:val="24"/>
          <w:szCs w:val="24"/>
          <w:lang w:eastAsia="pl-PL"/>
        </w:rPr>
        <w:t>. Uchylenie tego przepisu jest konieczne</w:t>
      </w:r>
      <w:r w:rsidR="00293EE7">
        <w:rPr>
          <w:rFonts w:ascii="Times New Roman" w:eastAsiaTheme="minorEastAsia" w:hAnsi="Times New Roman" w:cs="Times New Roman"/>
          <w:sz w:val="24"/>
          <w:szCs w:val="24"/>
          <w:lang w:eastAsia="pl-PL"/>
        </w:rPr>
        <w:t>,</w:t>
      </w:r>
      <w:r w:rsidRPr="000635FC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mając na uwadze rozbudowanie listy inwestycji mogących skorzystać z udogodnień w zakresie procesu inwestycyjnego. Ponadto</w:t>
      </w:r>
      <w:r w:rsidRPr="009144A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w ocenie projektodawcy brak jest uzasadnienia dla czasowego ograniczenia możliwości stosowania przepisów </w:t>
      </w:r>
      <w:r w:rsidR="00293EE7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wskazanej </w:t>
      </w:r>
      <w:r w:rsidRPr="000635FC">
        <w:rPr>
          <w:rFonts w:ascii="Times New Roman" w:eastAsiaTheme="minorEastAsia" w:hAnsi="Times New Roman" w:cs="Times New Roman"/>
          <w:sz w:val="24"/>
          <w:szCs w:val="24"/>
          <w:lang w:eastAsia="pl-PL"/>
        </w:rPr>
        <w:t>ustawy, w szczególności w kontekście wyzwań związanych z transformacją energetyczną oraz zwiększającym się obciążeniem sieci przesyłowej elektroenergetycznej oraz sieci dystrybucyjnych w związku z dynamicznym wzrost</w:t>
      </w:r>
      <w:r w:rsidRPr="009144A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em przyłączeń odnawialnych źródeł energii. Co więcej proponowana zmiana polegająca na rezygnacji z czasowego </w:t>
      </w:r>
      <w:r w:rsidR="00610A7A" w:rsidRPr="00085322">
        <w:rPr>
          <w:rFonts w:ascii="Times New Roman" w:eastAsiaTheme="minorEastAsia" w:hAnsi="Times New Roman" w:cs="Times New Roman"/>
          <w:sz w:val="24"/>
          <w:szCs w:val="24"/>
          <w:lang w:eastAsia="pl-PL"/>
        </w:rPr>
        <w:t>ograniczenia</w:t>
      </w:r>
      <w:r w:rsidR="00610A7A" w:rsidRPr="000635FC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Pr="000635FC">
        <w:rPr>
          <w:rFonts w:ascii="Times New Roman" w:eastAsiaTheme="minorEastAsia" w:hAnsi="Times New Roman" w:cs="Times New Roman"/>
          <w:sz w:val="24"/>
          <w:szCs w:val="24"/>
          <w:lang w:eastAsia="pl-PL"/>
        </w:rPr>
        <w:lastRenderedPageBreak/>
        <w:t>obowiązywania ustawy</w:t>
      </w:r>
      <w:r w:rsidR="00876B72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876B72" w:rsidRPr="00EF45A9">
        <w:rPr>
          <w:rFonts w:ascii="Times New Roman" w:eastAsiaTheme="minorEastAsia" w:hAnsi="Times New Roman" w:cs="Times New Roman"/>
          <w:sz w:val="24"/>
          <w:szCs w:val="24"/>
          <w:lang w:eastAsia="pl-PL"/>
        </w:rPr>
        <w:t>z dnia 24 lipca 2015 r.</w:t>
      </w:r>
      <w:r w:rsidR="00876B72" w:rsidRPr="00EF45A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624927">
        <w:rPr>
          <w:rFonts w:ascii="Times New Roman" w:eastAsiaTheme="minorEastAsia" w:hAnsi="Times New Roman" w:cs="Times New Roman"/>
          <w:sz w:val="24"/>
          <w:szCs w:val="24"/>
          <w:lang w:eastAsia="pl-PL"/>
        </w:rPr>
        <w:t>o</w:t>
      </w:r>
      <w:r w:rsidR="009E1CE8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Pr="00624927">
        <w:rPr>
          <w:rFonts w:ascii="Times New Roman" w:eastAsiaTheme="minorEastAsia" w:hAnsi="Times New Roman" w:cs="Times New Roman"/>
          <w:sz w:val="24"/>
          <w:szCs w:val="24"/>
          <w:lang w:eastAsia="pl-PL"/>
        </w:rPr>
        <w:t>przygotowaniu i realizacji strategicznych inwestycji w zakresie sieci przesyłowych</w:t>
      </w:r>
      <w:r w:rsidRPr="000635FC">
        <w:rPr>
          <w:rFonts w:ascii="Times New Roman" w:eastAsiaTheme="minorEastAsia" w:hAnsi="Times New Roman" w:cs="Times New Roman"/>
          <w:i/>
          <w:iCs/>
          <w:sz w:val="24"/>
          <w:szCs w:val="24"/>
          <w:lang w:eastAsia="pl-PL"/>
        </w:rPr>
        <w:t xml:space="preserve"> </w:t>
      </w:r>
      <w:r w:rsidRPr="000635FC">
        <w:rPr>
          <w:rFonts w:ascii="Times New Roman" w:eastAsiaTheme="minorEastAsia" w:hAnsi="Times New Roman" w:cs="Times New Roman"/>
          <w:sz w:val="24"/>
          <w:szCs w:val="24"/>
          <w:lang w:eastAsia="pl-PL"/>
        </w:rPr>
        <w:t>jest zgodna z założeniami s</w:t>
      </w:r>
      <w:r w:rsidRPr="009144A5">
        <w:rPr>
          <w:rFonts w:ascii="Times New Roman" w:eastAsiaTheme="minorEastAsia" w:hAnsi="Times New Roman" w:cs="Times New Roman"/>
          <w:sz w:val="24"/>
          <w:szCs w:val="24"/>
          <w:lang w:eastAsia="pl-PL"/>
        </w:rPr>
        <w:t>trategicznych dokumentów rządowych, w tym w szczególności z</w:t>
      </w:r>
      <w:r w:rsidR="009E1CE8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Pr="00624927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Polityką </w:t>
      </w:r>
      <w:r w:rsidR="00AB088D">
        <w:rPr>
          <w:rFonts w:ascii="Times New Roman" w:eastAsiaTheme="minorEastAsia" w:hAnsi="Times New Roman" w:cs="Times New Roman"/>
          <w:sz w:val="24"/>
          <w:szCs w:val="24"/>
          <w:lang w:eastAsia="pl-PL"/>
        </w:rPr>
        <w:t>E</w:t>
      </w:r>
      <w:r w:rsidRPr="00624927">
        <w:rPr>
          <w:rFonts w:ascii="Times New Roman" w:eastAsiaTheme="minorEastAsia" w:hAnsi="Times New Roman" w:cs="Times New Roman"/>
          <w:sz w:val="24"/>
          <w:szCs w:val="24"/>
          <w:lang w:eastAsia="pl-PL"/>
        </w:rPr>
        <w:t>nergetyczną Polski do 2040 r.</w:t>
      </w:r>
    </w:p>
    <w:p w14:paraId="755EED5B" w14:textId="6396D4A7" w:rsidR="0080136C" w:rsidRPr="00624927" w:rsidRDefault="00724932" w:rsidP="001E5E93">
      <w:pPr>
        <w:suppressAutoHyphens/>
        <w:spacing w:before="120" w:after="0" w:line="360" w:lineRule="auto"/>
        <w:ind w:left="278" w:hanging="278"/>
        <w:jc w:val="both"/>
        <w:rPr>
          <w:rFonts w:ascii="Times New Roman" w:eastAsiaTheme="minorEastAsia" w:hAnsi="Times New Roman" w:cs="Times New Roman"/>
          <w:i/>
          <w:iCs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II.</w:t>
      </w: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ab/>
      </w:r>
      <w:r w:rsidR="0080136C" w:rsidRPr="00624927">
        <w:rPr>
          <w:rFonts w:ascii="Times New Roman" w:eastAsiaTheme="minorEastAsia" w:hAnsi="Times New Roman" w:cs="Times New Roman"/>
          <w:sz w:val="24"/>
          <w:szCs w:val="24"/>
          <w:lang w:eastAsia="pl-PL"/>
        </w:rPr>
        <w:t>Ustawa</w:t>
      </w:r>
      <w:r w:rsidR="0080136C" w:rsidRPr="00624927">
        <w:rPr>
          <w:rFonts w:ascii="Times New Roman" w:eastAsiaTheme="minorEastAsia" w:hAnsi="Times New Roman" w:cs="Times New Roman"/>
          <w:i/>
          <w:iCs/>
          <w:sz w:val="24"/>
          <w:szCs w:val="24"/>
          <w:lang w:eastAsia="pl-PL"/>
        </w:rPr>
        <w:t xml:space="preserve"> </w:t>
      </w:r>
      <w:r w:rsidR="0080136C" w:rsidRPr="00624927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z dnia 7 lipca 1994 r. </w:t>
      </w:r>
      <w:r w:rsidR="0080136C" w:rsidRPr="00624927">
        <w:rPr>
          <w:rFonts w:ascii="Times New Roman" w:eastAsiaTheme="minorEastAsia" w:hAnsi="Times New Roman" w:cs="Times New Roman"/>
          <w:i/>
          <w:iCs/>
          <w:sz w:val="24"/>
          <w:szCs w:val="24"/>
          <w:lang w:eastAsia="pl-PL"/>
        </w:rPr>
        <w:t xml:space="preserve">– </w:t>
      </w:r>
      <w:r w:rsidR="0080136C" w:rsidRPr="00624927">
        <w:rPr>
          <w:rFonts w:ascii="Times New Roman" w:eastAsiaTheme="minorEastAsia" w:hAnsi="Times New Roman" w:cs="Times New Roman"/>
          <w:sz w:val="24"/>
          <w:szCs w:val="24"/>
          <w:lang w:eastAsia="pl-PL"/>
        </w:rPr>
        <w:t>Prawo budowlane</w:t>
      </w:r>
      <w:r w:rsidR="00610A7A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(Dz. U. z 202</w:t>
      </w:r>
      <w:r w:rsidR="008E78C3">
        <w:rPr>
          <w:rFonts w:ascii="Times New Roman" w:eastAsiaTheme="minorEastAsia" w:hAnsi="Times New Roman" w:cs="Times New Roman"/>
          <w:sz w:val="24"/>
          <w:szCs w:val="24"/>
          <w:lang w:eastAsia="pl-PL"/>
        </w:rPr>
        <w:t>3</w:t>
      </w:r>
      <w:r w:rsidR="00610A7A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r. poz.</w:t>
      </w:r>
      <w:r w:rsidR="008E78C3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682</w:t>
      </w:r>
      <w:r w:rsidR="00610A7A">
        <w:rPr>
          <w:rFonts w:ascii="Times New Roman" w:eastAsiaTheme="minorEastAsia" w:hAnsi="Times New Roman" w:cs="Times New Roman"/>
          <w:sz w:val="24"/>
          <w:szCs w:val="24"/>
          <w:lang w:eastAsia="pl-PL"/>
        </w:rPr>
        <w:t>, z późn. zm.)</w:t>
      </w:r>
    </w:p>
    <w:p w14:paraId="55C4C1E1" w14:textId="7D867AEB" w:rsidR="0080136C" w:rsidRPr="00624927" w:rsidRDefault="00610A7A" w:rsidP="00724932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before="240" w:after="60" w:line="36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2492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dodanie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projektowanego</w:t>
      </w:r>
      <w:r w:rsidRPr="0062492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ust. 1a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w</w:t>
      </w:r>
      <w:r w:rsidRPr="0062492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80136C" w:rsidRPr="0062492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art. 5a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wskazanej ustawy </w:t>
      </w:r>
      <w:r w:rsidR="0080136C" w:rsidRPr="00624927">
        <w:rPr>
          <w:rFonts w:ascii="Times New Roman" w:eastAsia="Calibri" w:hAnsi="Times New Roman" w:cs="Times New Roman"/>
          <w:sz w:val="24"/>
          <w:szCs w:val="24"/>
          <w:lang w:eastAsia="ar-SA"/>
        </w:rPr>
        <w:t>przez wprowadzenie możliwości publicznego obwieszcz</w:t>
      </w:r>
      <w:r w:rsidR="000635FC">
        <w:rPr>
          <w:rFonts w:ascii="Times New Roman" w:eastAsia="Calibri" w:hAnsi="Times New Roman" w:cs="Times New Roman"/>
          <w:sz w:val="24"/>
          <w:szCs w:val="24"/>
          <w:lang w:eastAsia="ar-SA"/>
        </w:rPr>
        <w:t>e</w:t>
      </w:r>
      <w:r w:rsidR="0080136C" w:rsidRPr="00624927">
        <w:rPr>
          <w:rFonts w:ascii="Times New Roman" w:eastAsia="Calibri" w:hAnsi="Times New Roman" w:cs="Times New Roman"/>
          <w:sz w:val="24"/>
          <w:szCs w:val="24"/>
          <w:lang w:eastAsia="ar-SA"/>
        </w:rPr>
        <w:t>nia decyzji w przypadku gruntów o nieuregulowanym stanie prawnym</w:t>
      </w:r>
      <w:r w:rsidR="009144A5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  <w:r w:rsidR="0080136C" w:rsidRPr="0062492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</w:p>
    <w:p w14:paraId="784EBE76" w14:textId="7B7162E3" w:rsidR="0080136C" w:rsidRPr="00E14507" w:rsidRDefault="0080136C" w:rsidP="001E5E93">
      <w:pPr>
        <w:suppressAutoHyphens/>
        <w:spacing w:after="0" w:line="36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Proponuje się dodanie regulacji, która umożliwia zastosowanie art. 49 </w:t>
      </w:r>
      <w:r w:rsidR="000635FC">
        <w:rPr>
          <w:rFonts w:ascii="Times New Roman" w:eastAsia="Calibri" w:hAnsi="Times New Roman" w:cs="Times New Roman"/>
          <w:sz w:val="24"/>
          <w:szCs w:val="24"/>
          <w:lang w:eastAsia="ar-SA"/>
        </w:rPr>
        <w:t>K</w:t>
      </w:r>
      <w:r w:rsidRPr="00624927">
        <w:rPr>
          <w:rFonts w:ascii="Times New Roman" w:eastAsia="Calibri" w:hAnsi="Times New Roman" w:cs="Times New Roman"/>
          <w:sz w:val="24"/>
          <w:szCs w:val="24"/>
          <w:lang w:eastAsia="ar-SA"/>
        </w:rPr>
        <w:t>odeks</w:t>
      </w:r>
      <w:r w:rsidR="000635FC">
        <w:rPr>
          <w:rFonts w:ascii="Times New Roman" w:eastAsia="Calibri" w:hAnsi="Times New Roman" w:cs="Times New Roman"/>
          <w:sz w:val="24"/>
          <w:szCs w:val="24"/>
          <w:lang w:eastAsia="ar-SA"/>
        </w:rPr>
        <w:t>u</w:t>
      </w:r>
      <w:r w:rsidRPr="0062492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postępowania administracyjnego</w:t>
      </w:r>
      <w:r w:rsidRPr="00E14507">
        <w:rPr>
          <w:rFonts w:ascii="Times New Roman" w:eastAsia="Calibri" w:hAnsi="Times New Roman" w:cs="Times New Roman"/>
          <w:i/>
          <w:iCs/>
          <w:sz w:val="24"/>
          <w:szCs w:val="24"/>
          <w:lang w:eastAsia="ar-SA"/>
        </w:rPr>
        <w:t xml:space="preserve"> 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>do sytuacji, w której decyzja starosty dot</w:t>
      </w:r>
      <w:r w:rsidR="000635FC">
        <w:rPr>
          <w:rFonts w:ascii="Times New Roman" w:eastAsia="Calibri" w:hAnsi="Times New Roman" w:cs="Times New Roman"/>
          <w:sz w:val="24"/>
          <w:szCs w:val="24"/>
          <w:lang w:eastAsia="ar-SA"/>
        </w:rPr>
        <w:t>ycząca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umożliwienia wejścia na grunt dotyczy gruntu o nieuregulowanym stanie prawnym. W przypadku budowy obiektu liniowego lub innych robót budowlanych dotyczących tego obiektu, którego przebieg został ustalony w miejscowym planie zagospodarowania przestrzennego lub decyzji o ustaleniu lokalizacji inwestycji celu publicznego</w:t>
      </w:r>
      <w:r w:rsidR="009144A5">
        <w:rPr>
          <w:rFonts w:ascii="Times New Roman" w:eastAsia="Calibri" w:hAnsi="Times New Roman" w:cs="Times New Roman"/>
          <w:sz w:val="24"/>
          <w:szCs w:val="24"/>
          <w:lang w:eastAsia="ar-SA"/>
        </w:rPr>
        <w:t>,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można zastosować przywołany przepis </w:t>
      </w:r>
      <w:r w:rsidR="009144A5">
        <w:rPr>
          <w:rFonts w:ascii="Times New Roman" w:eastAsia="Calibri" w:hAnsi="Times New Roman" w:cs="Times New Roman"/>
          <w:sz w:val="24"/>
          <w:szCs w:val="24"/>
          <w:lang w:eastAsia="ar-SA"/>
        </w:rPr>
        <w:t>K</w:t>
      </w:r>
      <w:r w:rsidR="009144A5" w:rsidRPr="00EF45A9">
        <w:rPr>
          <w:rFonts w:ascii="Times New Roman" w:eastAsia="Calibri" w:hAnsi="Times New Roman" w:cs="Times New Roman"/>
          <w:sz w:val="24"/>
          <w:szCs w:val="24"/>
          <w:lang w:eastAsia="ar-SA"/>
        </w:rPr>
        <w:t>odeks</w:t>
      </w:r>
      <w:r w:rsidR="009144A5">
        <w:rPr>
          <w:rFonts w:ascii="Times New Roman" w:eastAsia="Calibri" w:hAnsi="Times New Roman" w:cs="Times New Roman"/>
          <w:sz w:val="24"/>
          <w:szCs w:val="24"/>
          <w:lang w:eastAsia="ar-SA"/>
        </w:rPr>
        <w:t>u</w:t>
      </w:r>
      <w:r w:rsidR="009144A5" w:rsidRPr="00EF45A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postępowania administracyjnego</w:t>
      </w:r>
      <w:r w:rsidR="009144A5" w:rsidRPr="00E14507">
        <w:rPr>
          <w:rFonts w:ascii="Times New Roman" w:eastAsia="Calibri" w:hAnsi="Times New Roman" w:cs="Times New Roman"/>
          <w:i/>
          <w:iCs/>
          <w:sz w:val="24"/>
          <w:szCs w:val="24"/>
          <w:lang w:eastAsia="ar-SA"/>
        </w:rPr>
        <w:t xml:space="preserve"> 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>także w przypadku, gdy stan prawny nieruchomości</w:t>
      </w:r>
      <w:r w:rsidR="009144A5" w:rsidRPr="009144A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9144A5"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>nie jest uregulowany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. W konsekwencji decyzja starosty będzie podawana do publicznej wiadomości, w formie publicznego obwieszczenia lub innej formie zwyczajowo przyjętej w danej miejscowości. W </w:t>
      </w:r>
      <w:r w:rsidR="008D7E08">
        <w:rPr>
          <w:rFonts w:ascii="Times New Roman" w:eastAsia="Calibri" w:hAnsi="Times New Roman" w:cs="Times New Roman"/>
          <w:sz w:val="24"/>
          <w:szCs w:val="24"/>
          <w:lang w:eastAsia="ar-SA"/>
        </w:rPr>
        <w:t>wyniku tego</w:t>
      </w:r>
      <w:r w:rsidR="008D7E08"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>zwiększy się pewność prawna inwestora w sieć elektroenergetyczną, która ma przebiegać przez grunt o nieuregulowanym stanie prawnym, w</w:t>
      </w:r>
      <w:r w:rsidR="009E1CE8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>szczególności w zakresie prawidłowego określenia terminu, w którym dana decyzja stała się ostateczna</w:t>
      </w:r>
      <w:r w:rsidR="009144A5">
        <w:rPr>
          <w:rFonts w:ascii="Times New Roman" w:eastAsia="Calibri" w:hAnsi="Times New Roman" w:cs="Times New Roman"/>
          <w:sz w:val="24"/>
          <w:szCs w:val="24"/>
          <w:lang w:eastAsia="ar-SA"/>
        </w:rPr>
        <w:t>;</w:t>
      </w:r>
    </w:p>
    <w:p w14:paraId="593A940C" w14:textId="304EF108" w:rsidR="0080136C" w:rsidRPr="009144A5" w:rsidRDefault="009144A5" w:rsidP="001E5E93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360" w:lineRule="auto"/>
        <w:ind w:left="567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z</w:t>
      </w:r>
      <w:r w:rsidR="0080136C" w:rsidRPr="00624927">
        <w:rPr>
          <w:rFonts w:ascii="Times New Roman" w:eastAsia="Calibri" w:hAnsi="Times New Roman" w:cs="Times New Roman"/>
          <w:sz w:val="24"/>
          <w:szCs w:val="24"/>
          <w:lang w:eastAsia="ar-SA"/>
        </w:rPr>
        <w:t>mian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a</w:t>
      </w:r>
      <w:r w:rsidR="0080136C" w:rsidRPr="0062492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w art. 29 </w:t>
      </w:r>
      <w:r w:rsidRPr="0062492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w </w:t>
      </w:r>
      <w:r w:rsidR="0080136C" w:rsidRPr="0062492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ust. 1 </w:t>
      </w:r>
      <w:r w:rsidRPr="00624927">
        <w:rPr>
          <w:rFonts w:ascii="Times New Roman" w:eastAsia="Calibri" w:hAnsi="Times New Roman" w:cs="Times New Roman"/>
          <w:sz w:val="24"/>
          <w:szCs w:val="24"/>
          <w:lang w:eastAsia="ar-SA"/>
        </w:rPr>
        <w:t>w pkt 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wskazanej ustawy, która ma na celu </w:t>
      </w:r>
      <w:r w:rsidR="0080136C" w:rsidRPr="009144A5">
        <w:rPr>
          <w:rFonts w:ascii="Times New Roman" w:hAnsi="Times New Roman" w:cs="Times New Roman"/>
          <w:sz w:val="24"/>
          <w:szCs w:val="24"/>
        </w:rPr>
        <w:t>usprawnienie procesu inwestycyjnego.</w:t>
      </w:r>
      <w:r w:rsidR="0080136C" w:rsidRPr="009144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jej wyniku </w:t>
      </w:r>
      <w:r w:rsidR="0080136C" w:rsidRPr="009144A5">
        <w:rPr>
          <w:rFonts w:ascii="Times New Roman" w:eastAsiaTheme="minorEastAsia" w:hAnsi="Times New Roman" w:cs="Times New Roman"/>
          <w:sz w:val="24"/>
          <w:szCs w:val="24"/>
          <w:lang w:eastAsia="pl-PL"/>
        </w:rPr>
        <w:t>nie wymaga decyzji o pozwoleniu na budowę, natomiast wymaga zgłoszenia podbudowa słupowa dla linii elektroenergetycznych.</w:t>
      </w:r>
    </w:p>
    <w:p w14:paraId="374E6F4B" w14:textId="524CE733" w:rsidR="0080136C" w:rsidRPr="00624927" w:rsidRDefault="00724932" w:rsidP="001E5E93">
      <w:pPr>
        <w:suppressAutoHyphens/>
        <w:spacing w:before="120" w:after="0" w:line="360" w:lineRule="auto"/>
        <w:ind w:left="425" w:hanging="426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III.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="0080136C" w:rsidRPr="00624927">
        <w:rPr>
          <w:rFonts w:ascii="Times New Roman" w:eastAsia="Calibri" w:hAnsi="Times New Roman" w:cs="Times New Roman"/>
          <w:sz w:val="24"/>
          <w:szCs w:val="24"/>
          <w:lang w:eastAsia="ar-SA"/>
        </w:rPr>
        <w:t>Zmiana ustawy z dnia 21 sierpnia 1997 r. o gospodarce nieruchomościami</w:t>
      </w:r>
      <w:r w:rsidR="009144A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(Dz. U. z 2023 r. poz. 344)</w:t>
      </w:r>
    </w:p>
    <w:p w14:paraId="2C8EB67C" w14:textId="5615F72C" w:rsidR="0080136C" w:rsidRPr="00E14507" w:rsidRDefault="009144A5" w:rsidP="001E5E93">
      <w:pPr>
        <w:widowControl w:val="0"/>
        <w:suppressAutoHyphens/>
        <w:autoSpaceDE w:val="0"/>
        <w:autoSpaceDN w:val="0"/>
        <w:adjustRightInd w:val="0"/>
        <w:spacing w:before="120" w:after="0" w:line="360" w:lineRule="auto"/>
        <w:ind w:left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Z</w:t>
      </w:r>
      <w:r w:rsidR="0080136C" w:rsidRPr="0062492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miana art. 124 ust. 3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wskazanej ustawy </w:t>
      </w:r>
      <w:r w:rsidR="0080136C"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>polega na doprecyzowaniu formy prowadzenia rokowań z właścicielem nieruchomości, która ma być przedmiotem decyzji wydanej na podstawie art. 124 ustawy</w:t>
      </w:r>
      <w:r w:rsidRPr="009144A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EF45A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z dnia 21 sierpnia 1997 r. </w:t>
      </w:r>
      <w:r w:rsidR="0080136C" w:rsidRPr="00624927">
        <w:rPr>
          <w:rFonts w:ascii="Times New Roman" w:eastAsia="Calibri" w:hAnsi="Times New Roman" w:cs="Times New Roman"/>
          <w:sz w:val="24"/>
          <w:szCs w:val="24"/>
          <w:lang w:eastAsia="ar-SA"/>
        </w:rPr>
        <w:t>o gospodarce nieruchomościami</w:t>
      </w:r>
      <w:r w:rsidR="0080136C"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. </w:t>
      </w:r>
      <w:r w:rsidR="0080136C" w:rsidRPr="00E145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Odesłanie do odpowiedniego stosowania art. 114 ust. 1 i 2 oraz art. 115 </w:t>
      </w:r>
      <w:r w:rsidR="003277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tej </w:t>
      </w:r>
      <w:r w:rsidR="0080136C" w:rsidRPr="00E14507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</w:t>
      </w:r>
      <w:r w:rsidR="003277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to jest </w:t>
      </w:r>
      <w:r w:rsidR="0080136C" w:rsidRPr="00E14507">
        <w:rPr>
          <w:rFonts w:ascii="Times New Roman" w:eastAsia="Times New Roman" w:hAnsi="Times New Roman" w:cs="Times New Roman"/>
          <w:sz w:val="24"/>
          <w:szCs w:val="24"/>
          <w:lang w:eastAsia="pl-PL"/>
        </w:rPr>
        <w:t>przepisów regulujących procedurę wywłaszczania nieruchomości</w:t>
      </w:r>
      <w:r w:rsidR="0032772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80136C" w:rsidRPr="00E145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porządkuje zasady prowadzenia rokowań oraz wszczęcia post</w:t>
      </w:r>
      <w:r w:rsidR="008D7E08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="0080136C" w:rsidRPr="00E145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powania w sprawach o ograniczenie sposobu korzystania z nieruchomości w sytuacji bezskuteczności rokowań (braku zgody na </w:t>
      </w:r>
      <w:r w:rsidR="00327727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80136C" w:rsidRPr="00E145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zyskanie prawa do nieruchomości). Odesłanie do utrwalonych w praktyce procedur </w:t>
      </w:r>
      <w:r w:rsidR="008D7E08" w:rsidRPr="00E145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stosowanych przy wywłaszczeniach </w:t>
      </w:r>
      <w:r w:rsidR="0080136C" w:rsidRPr="00E145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(art. 114 </w:t>
      </w:r>
      <w:r w:rsidR="00327727">
        <w:rPr>
          <w:rFonts w:ascii="Times New Roman" w:eastAsia="Times New Roman" w:hAnsi="Times New Roman" w:cs="Times New Roman"/>
          <w:sz w:val="24"/>
          <w:szCs w:val="24"/>
          <w:lang w:eastAsia="pl-PL"/>
        </w:rPr>
        <w:t>ust. 1 i 2 oraz art.</w:t>
      </w:r>
      <w:r w:rsidR="0080136C" w:rsidRPr="00E145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115 ustawy </w:t>
      </w:r>
      <w:r w:rsidR="00327727" w:rsidRPr="00EF45A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z dnia 21 sierpnia 1997 r. </w:t>
      </w:r>
      <w:r w:rsidR="0080136C" w:rsidRPr="00E14507">
        <w:rPr>
          <w:rFonts w:ascii="Times New Roman" w:eastAsia="Times New Roman" w:hAnsi="Times New Roman" w:cs="Times New Roman"/>
          <w:sz w:val="24"/>
          <w:szCs w:val="24"/>
          <w:lang w:eastAsia="pl-PL"/>
        </w:rPr>
        <w:t>o gospodarce nieruchomościami) pozwoli na zachowanie spójności systemu prawa wywłaszczeniowego oraz zagwarantuje zachowanie kodyfikacji norm wywłaszczeniowych</w:t>
      </w:r>
      <w:r w:rsidR="008D7E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to jest </w:t>
      </w:r>
      <w:r w:rsidR="0080136C" w:rsidRPr="00E14507">
        <w:rPr>
          <w:rFonts w:ascii="Times New Roman" w:eastAsia="Times New Roman" w:hAnsi="Times New Roman" w:cs="Times New Roman"/>
          <w:sz w:val="24"/>
          <w:szCs w:val="24"/>
          <w:lang w:eastAsia="pl-PL"/>
        </w:rPr>
        <w:t>wywłaszczeń</w:t>
      </w:r>
      <w:r w:rsidR="008D7E08">
        <w:rPr>
          <w:rFonts w:ascii="Times New Roman" w:eastAsia="Times New Roman" w:hAnsi="Times New Roman" w:cs="Times New Roman"/>
          <w:sz w:val="24"/>
          <w:szCs w:val="24"/>
          <w:lang w:eastAsia="pl-PL"/>
        </w:rPr>
        <w:t>, o których mowa w</w:t>
      </w:r>
      <w:r w:rsidR="0080136C" w:rsidRPr="00E145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art. 112</w:t>
      </w:r>
      <w:r w:rsidR="00294D51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80136C" w:rsidRPr="00E145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ograniczeń</w:t>
      </w:r>
      <w:r w:rsidR="008D7E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o których mowa w </w:t>
      </w:r>
      <w:r w:rsidR="0080136C" w:rsidRPr="00E145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art. 124 </w:t>
      </w:r>
      <w:r w:rsidR="003277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tej </w:t>
      </w:r>
      <w:r w:rsidR="0080136C" w:rsidRPr="00E14507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</w:t>
      </w:r>
      <w:r w:rsidR="008D7E0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80136C" w:rsidRPr="00E145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takim samym poziomie szczegółowości oraz spójności.</w:t>
      </w:r>
    </w:p>
    <w:p w14:paraId="4AC9C199" w14:textId="1E2E06C6" w:rsidR="0080136C" w:rsidRPr="00624927" w:rsidRDefault="00574563" w:rsidP="001E5E93">
      <w:pPr>
        <w:suppressAutoHyphens/>
        <w:spacing w:before="120" w:after="0" w:line="360" w:lineRule="auto"/>
        <w:ind w:left="425" w:hanging="426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I</w:t>
      </w:r>
      <w:r w:rsidR="00724932">
        <w:rPr>
          <w:rFonts w:ascii="Times New Roman" w:eastAsia="Calibri" w:hAnsi="Times New Roman" w:cs="Times New Roman"/>
          <w:sz w:val="24"/>
          <w:szCs w:val="24"/>
          <w:lang w:eastAsia="ar-SA"/>
        </w:rPr>
        <w:t>V.</w:t>
      </w:r>
      <w:r w:rsidR="00724932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="0080136C" w:rsidRPr="0062492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Ustawa z dnia 27 marca 2003 r. o planowaniu i zagospodarowaniu przestrzennym </w:t>
      </w:r>
      <w:r w:rsidR="001947E3">
        <w:rPr>
          <w:rFonts w:ascii="Times New Roman" w:eastAsia="Calibri" w:hAnsi="Times New Roman" w:cs="Times New Roman"/>
          <w:sz w:val="24"/>
          <w:szCs w:val="24"/>
          <w:lang w:eastAsia="ar-SA"/>
        </w:rPr>
        <w:t>(Dz. U. z 2022 r. poz. 503, z późn. zm.)</w:t>
      </w:r>
    </w:p>
    <w:p w14:paraId="3914F940" w14:textId="25E60423" w:rsidR="0080136C" w:rsidRPr="00624927" w:rsidRDefault="001947E3" w:rsidP="001E5E93">
      <w:pPr>
        <w:widowControl w:val="0"/>
        <w:suppressAutoHyphens/>
        <w:autoSpaceDE w:val="0"/>
        <w:autoSpaceDN w:val="0"/>
        <w:adjustRightInd w:val="0"/>
        <w:spacing w:before="120" w:after="0" w:line="360" w:lineRule="auto"/>
        <w:ind w:left="425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Z</w:t>
      </w:r>
      <w:r w:rsidR="0080136C" w:rsidRPr="0062492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miana art. 11 pkt 5 lit. n, art. 17 pkt 6 lit. a tiret dziewiąte i art. 53 ust. 5e pkt 1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wskazanej ustawy ma na celu</w:t>
      </w:r>
      <w:r w:rsidR="0080136C" w:rsidRPr="0062492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modyfikacj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ę</w:t>
      </w:r>
      <w:r w:rsidR="0080136C" w:rsidRPr="0062492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zakresu opiniowania projektów dokumentów planistycznych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prze</w:t>
      </w:r>
      <w:r w:rsidR="0080136C" w:rsidRPr="00624927">
        <w:rPr>
          <w:rFonts w:ascii="Times New Roman" w:eastAsia="Calibri" w:hAnsi="Times New Roman" w:cs="Times New Roman"/>
          <w:sz w:val="24"/>
          <w:szCs w:val="24"/>
          <w:lang w:eastAsia="ar-SA"/>
        </w:rPr>
        <w:t>z</w:t>
      </w:r>
      <w:r w:rsidR="009E1CE8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80136C" w:rsidRPr="00624927">
        <w:rPr>
          <w:rFonts w:ascii="Times New Roman" w:eastAsia="Calibri" w:hAnsi="Times New Roman" w:cs="Times New Roman"/>
          <w:sz w:val="24"/>
          <w:szCs w:val="24"/>
          <w:lang w:eastAsia="ar-SA"/>
        </w:rPr>
        <w:t>operator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a</w:t>
      </w:r>
      <w:r w:rsidR="0080136C" w:rsidRPr="0062492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systemu przesyłowego elektroenergetycznego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</w:p>
    <w:p w14:paraId="74AAF0F3" w14:textId="1EE135F4" w:rsidR="0080136C" w:rsidRPr="00E14507" w:rsidRDefault="0080136C" w:rsidP="001E5E93">
      <w:pPr>
        <w:suppressAutoHyphens/>
        <w:spacing w:before="120" w:after="0" w:line="360" w:lineRule="auto"/>
        <w:ind w:left="425"/>
        <w:jc w:val="both"/>
        <w:rPr>
          <w:rFonts w:ascii="Times New Roman" w:eastAsia="Calibri" w:hAnsi="Times New Roman" w:cs="Times New Roman"/>
          <w:strike/>
          <w:sz w:val="24"/>
          <w:szCs w:val="24"/>
          <w:lang w:eastAsia="ar-SA"/>
        </w:rPr>
      </w:pP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>Proponuje się również modyfikację zakresu istniejącego obowiązku spoczywającego na organach gminy w zakresie uzyskania opinii dotyczącej projektu studium uwarunkowań i kierunków zagospodarowania przestrzennego gminy, miejscowego planu zagospodarowania przestrzennego oraz decyzji o warunkach zabudowy i zagospodarowania terenu od operatora systemu przesyłowego elektroenergetycznego – w zakresie sposobu zagospodarowania gruntów leżących w odpowiedniej odległości od osi napowietrznej linii elektroenergetycznej najwyższych napięć. Zasadność wprowadzenia przedmiotow</w:t>
      </w:r>
      <w:r w:rsidR="003160C9">
        <w:rPr>
          <w:rFonts w:ascii="Times New Roman" w:eastAsia="Calibri" w:hAnsi="Times New Roman" w:cs="Times New Roman"/>
          <w:sz w:val="24"/>
          <w:szCs w:val="24"/>
          <w:lang w:eastAsia="ar-SA"/>
        </w:rPr>
        <w:t>ych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zmian wynika z</w:t>
      </w:r>
      <w:r w:rsidR="009E1CE8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>nowych okoliczności związanych z rozwojem sieci elektroenergetycznych</w:t>
      </w:r>
      <w:r w:rsidR="003160C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oraz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stanowi dostosowanie do aktualnych uwarunkowań, które należy uwzględniać przy podejmowaniu rozstrzygnięć planistycznych. </w:t>
      </w:r>
      <w:r w:rsidR="003160C9">
        <w:rPr>
          <w:rFonts w:ascii="Times New Roman" w:eastAsia="Calibri" w:hAnsi="Times New Roman" w:cs="Times New Roman"/>
          <w:sz w:val="24"/>
          <w:szCs w:val="24"/>
          <w:lang w:eastAsia="ar-SA"/>
        </w:rPr>
        <w:t>Zaproponowane</w:t>
      </w:r>
      <w:r w:rsidR="003160C9"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>zmian</w:t>
      </w:r>
      <w:r w:rsidR="003160C9">
        <w:rPr>
          <w:rFonts w:ascii="Times New Roman" w:eastAsia="Calibri" w:hAnsi="Times New Roman" w:cs="Times New Roman"/>
          <w:sz w:val="24"/>
          <w:szCs w:val="24"/>
          <w:lang w:eastAsia="ar-SA"/>
        </w:rPr>
        <w:t>y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w systemie planowania przestrzennego w</w:t>
      </w:r>
      <w:r w:rsidR="009E1CE8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>sposób istotny przyczyni</w:t>
      </w:r>
      <w:r w:rsidR="003160C9">
        <w:rPr>
          <w:rFonts w:ascii="Times New Roman" w:eastAsia="Calibri" w:hAnsi="Times New Roman" w:cs="Times New Roman"/>
          <w:sz w:val="24"/>
          <w:szCs w:val="24"/>
          <w:lang w:eastAsia="ar-SA"/>
        </w:rPr>
        <w:t>ą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się do ułatwień w prowadzeniu strategicznych inwestycji</w:t>
      </w:r>
      <w:r w:rsidR="009E1CE8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E14507">
        <w:rPr>
          <w:rFonts w:ascii="Times New Roman" w:eastAsia="Calibri" w:hAnsi="Times New Roman" w:cs="Times New Roman"/>
          <w:sz w:val="24"/>
          <w:szCs w:val="24"/>
          <w:lang w:eastAsia="ar-SA"/>
        </w:rPr>
        <w:t>przesyłowych</w:t>
      </w:r>
      <w:r w:rsidRPr="00E14507">
        <w:rPr>
          <w:rFonts w:ascii="Times New Roman" w:hAnsi="Times New Roman" w:cs="Times New Roman"/>
          <w:sz w:val="24"/>
          <w:szCs w:val="24"/>
        </w:rPr>
        <w:t>.</w:t>
      </w:r>
    </w:p>
    <w:p w14:paraId="35F714FD" w14:textId="53B92C4E" w:rsidR="007D6485" w:rsidRDefault="00724932" w:rsidP="001E5E93">
      <w:pPr>
        <w:suppressAutoHyphens/>
        <w:spacing w:before="120" w:after="0" w:line="360" w:lineRule="auto"/>
        <w:ind w:left="425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V.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="0080136C" w:rsidRPr="0062492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Ustawa z dnia</w:t>
      </w:r>
      <w:r w:rsidR="0080136C" w:rsidRPr="00624927">
        <w:rPr>
          <w:rFonts w:ascii="Times New Roman" w:hAnsi="Times New Roman" w:cs="Times New Roman"/>
          <w:bCs/>
          <w:sz w:val="24"/>
          <w:szCs w:val="24"/>
        </w:rPr>
        <w:t xml:space="preserve"> 3 października 2008 r. o udostępnianiu informacji o środowisku i jego ochronie, udziale społeczeństwa w ochronie środowiska oraz o ocenach oddziaływania na środowisko</w:t>
      </w:r>
      <w:r w:rsidR="007D6485">
        <w:rPr>
          <w:rFonts w:ascii="Times New Roman" w:hAnsi="Times New Roman" w:cs="Times New Roman"/>
          <w:bCs/>
          <w:sz w:val="24"/>
          <w:szCs w:val="24"/>
        </w:rPr>
        <w:t xml:space="preserve"> (Dz. U. z 2022 r. poz. 1029, z późn. zm.)</w:t>
      </w:r>
    </w:p>
    <w:p w14:paraId="2FED2A28" w14:textId="3B08B46B" w:rsidR="0080136C" w:rsidRPr="00E14507" w:rsidRDefault="0080136C" w:rsidP="001E5E93">
      <w:pPr>
        <w:suppressAutoHyphens/>
        <w:spacing w:after="0" w:line="360" w:lineRule="auto"/>
        <w:ind w:left="426"/>
        <w:jc w:val="both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r w:rsidRPr="00E14507">
        <w:rPr>
          <w:rFonts w:ascii="Times New Roman" w:hAnsi="Times New Roman" w:cs="Times New Roman"/>
          <w:bCs/>
          <w:sz w:val="24"/>
          <w:szCs w:val="24"/>
        </w:rPr>
        <w:t>Z</w:t>
      </w:r>
      <w:r w:rsidR="007D6485">
        <w:rPr>
          <w:rFonts w:ascii="Times New Roman" w:hAnsi="Times New Roman" w:cs="Times New Roman"/>
          <w:bCs/>
          <w:sz w:val="24"/>
          <w:szCs w:val="24"/>
        </w:rPr>
        <w:t>aproponowane z</w:t>
      </w:r>
      <w:r w:rsidRPr="00E14507">
        <w:rPr>
          <w:rFonts w:ascii="Times New Roman" w:hAnsi="Times New Roman" w:cs="Times New Roman"/>
          <w:bCs/>
          <w:sz w:val="24"/>
          <w:szCs w:val="24"/>
        </w:rPr>
        <w:t>mian</w:t>
      </w:r>
      <w:r w:rsidR="007D6485">
        <w:rPr>
          <w:rFonts w:ascii="Times New Roman" w:hAnsi="Times New Roman" w:cs="Times New Roman"/>
          <w:bCs/>
          <w:sz w:val="24"/>
          <w:szCs w:val="24"/>
        </w:rPr>
        <w:t>y</w:t>
      </w:r>
      <w:r w:rsidRPr="00E14507">
        <w:rPr>
          <w:rFonts w:ascii="Times New Roman" w:hAnsi="Times New Roman" w:cs="Times New Roman"/>
          <w:bCs/>
          <w:sz w:val="24"/>
          <w:szCs w:val="24"/>
        </w:rPr>
        <w:t xml:space="preserve"> polega</w:t>
      </w:r>
      <w:r w:rsidR="007D6485">
        <w:rPr>
          <w:rFonts w:ascii="Times New Roman" w:hAnsi="Times New Roman" w:cs="Times New Roman"/>
          <w:bCs/>
          <w:sz w:val="24"/>
          <w:szCs w:val="24"/>
        </w:rPr>
        <w:t>ją</w:t>
      </w:r>
      <w:r w:rsidRPr="00E14507">
        <w:rPr>
          <w:rFonts w:ascii="Times New Roman" w:hAnsi="Times New Roman" w:cs="Times New Roman"/>
          <w:bCs/>
          <w:sz w:val="24"/>
          <w:szCs w:val="24"/>
        </w:rPr>
        <w:t xml:space="preserve"> na uzupełnieniu </w:t>
      </w:r>
      <w:r w:rsidR="007D6485">
        <w:rPr>
          <w:rFonts w:ascii="Times New Roman" w:hAnsi="Times New Roman" w:cs="Times New Roman"/>
          <w:bCs/>
          <w:sz w:val="24"/>
          <w:szCs w:val="24"/>
        </w:rPr>
        <w:t>przepisów</w:t>
      </w:r>
      <w:r w:rsidR="00E37522">
        <w:rPr>
          <w:rFonts w:ascii="Times New Roman" w:hAnsi="Times New Roman" w:cs="Times New Roman"/>
          <w:bCs/>
          <w:sz w:val="24"/>
          <w:szCs w:val="24"/>
        </w:rPr>
        <w:t>,</w:t>
      </w:r>
      <w:r w:rsidR="007D648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14507">
        <w:rPr>
          <w:rFonts w:ascii="Times New Roman" w:hAnsi="Times New Roman" w:cs="Times New Roman"/>
          <w:bCs/>
          <w:sz w:val="24"/>
          <w:szCs w:val="24"/>
        </w:rPr>
        <w:t>odpowiednio</w:t>
      </w:r>
      <w:r w:rsidR="00E37522">
        <w:rPr>
          <w:rFonts w:ascii="Times New Roman" w:hAnsi="Times New Roman" w:cs="Times New Roman"/>
          <w:bCs/>
          <w:sz w:val="24"/>
          <w:szCs w:val="24"/>
        </w:rPr>
        <w:t>,</w:t>
      </w:r>
      <w:r w:rsidRPr="00E14507">
        <w:rPr>
          <w:rFonts w:ascii="Times New Roman" w:hAnsi="Times New Roman" w:cs="Times New Roman"/>
          <w:bCs/>
          <w:sz w:val="24"/>
          <w:szCs w:val="24"/>
        </w:rPr>
        <w:t xml:space="preserve"> art. 64 ust. 2 pkt 3</w:t>
      </w:r>
      <w:r w:rsidR="008861E3">
        <w:rPr>
          <w:rFonts w:ascii="Times New Roman" w:hAnsi="Times New Roman" w:cs="Times New Roman"/>
          <w:bCs/>
          <w:sz w:val="24"/>
          <w:szCs w:val="24"/>
        </w:rPr>
        <w:t>,</w:t>
      </w:r>
      <w:r w:rsidRPr="00E14507">
        <w:rPr>
          <w:rFonts w:ascii="Times New Roman" w:hAnsi="Times New Roman" w:cs="Times New Roman"/>
          <w:bCs/>
          <w:sz w:val="24"/>
          <w:szCs w:val="24"/>
        </w:rPr>
        <w:t xml:space="preserve"> art. 74 ust. 1</w:t>
      </w:r>
      <w:r w:rsidR="008861E3">
        <w:rPr>
          <w:rFonts w:ascii="Times New Roman" w:hAnsi="Times New Roman" w:cs="Times New Roman"/>
          <w:bCs/>
          <w:sz w:val="24"/>
          <w:szCs w:val="24"/>
        </w:rPr>
        <w:t xml:space="preserve"> pkt 4 i 5</w:t>
      </w:r>
      <w:r w:rsidRPr="00E14507">
        <w:rPr>
          <w:rFonts w:ascii="Times New Roman" w:hAnsi="Times New Roman" w:cs="Times New Roman"/>
          <w:bCs/>
          <w:sz w:val="24"/>
          <w:szCs w:val="24"/>
        </w:rPr>
        <w:t xml:space="preserve">, art. 77 ust. 2 pkt 3 oraz art. 80 ust. 2 </w:t>
      </w:r>
      <w:r w:rsidR="008861E3">
        <w:rPr>
          <w:rFonts w:ascii="Times New Roman" w:hAnsi="Times New Roman" w:cs="Times New Roman"/>
          <w:bCs/>
          <w:sz w:val="24"/>
          <w:szCs w:val="24"/>
        </w:rPr>
        <w:t>wskazanej ustawy o</w:t>
      </w:r>
      <w:r w:rsidRPr="00E14507">
        <w:rPr>
          <w:rFonts w:ascii="Times New Roman" w:hAnsi="Times New Roman" w:cs="Times New Roman"/>
          <w:bCs/>
          <w:sz w:val="24"/>
          <w:szCs w:val="24"/>
        </w:rPr>
        <w:t xml:space="preserve"> inwestycj</w:t>
      </w:r>
      <w:r w:rsidR="008861E3">
        <w:rPr>
          <w:rFonts w:ascii="Times New Roman" w:hAnsi="Times New Roman" w:cs="Times New Roman"/>
          <w:bCs/>
          <w:sz w:val="24"/>
          <w:szCs w:val="24"/>
        </w:rPr>
        <w:t>e</w:t>
      </w:r>
      <w:r w:rsidRPr="00E14507">
        <w:rPr>
          <w:rFonts w:ascii="Times New Roman" w:hAnsi="Times New Roman" w:cs="Times New Roman"/>
          <w:bCs/>
          <w:sz w:val="24"/>
          <w:szCs w:val="24"/>
        </w:rPr>
        <w:t xml:space="preserve"> towarzyszące. Zmian</w:t>
      </w:r>
      <w:r w:rsidR="008861E3">
        <w:rPr>
          <w:rFonts w:ascii="Times New Roman" w:hAnsi="Times New Roman" w:cs="Times New Roman"/>
          <w:bCs/>
          <w:sz w:val="24"/>
          <w:szCs w:val="24"/>
        </w:rPr>
        <w:t>y</w:t>
      </w:r>
      <w:r w:rsidRPr="00E1450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861E3">
        <w:rPr>
          <w:rFonts w:ascii="Times New Roman" w:hAnsi="Times New Roman" w:cs="Times New Roman"/>
          <w:bCs/>
          <w:sz w:val="24"/>
          <w:szCs w:val="24"/>
        </w:rPr>
        <w:t>są</w:t>
      </w:r>
      <w:r w:rsidR="008861E3" w:rsidRPr="00E1450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14507">
        <w:rPr>
          <w:rFonts w:ascii="Times New Roman" w:hAnsi="Times New Roman" w:cs="Times New Roman"/>
          <w:bCs/>
          <w:sz w:val="24"/>
          <w:szCs w:val="24"/>
        </w:rPr>
        <w:t xml:space="preserve">konsekwencją </w:t>
      </w:r>
      <w:r w:rsidR="008861E3">
        <w:rPr>
          <w:rFonts w:ascii="Times New Roman" w:hAnsi="Times New Roman" w:cs="Times New Roman"/>
          <w:bCs/>
          <w:sz w:val="24"/>
          <w:szCs w:val="24"/>
        </w:rPr>
        <w:t>wprowadzenia do</w:t>
      </w:r>
      <w:r w:rsidR="008861E3" w:rsidRPr="00E1450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861E3">
        <w:rPr>
          <w:rFonts w:ascii="Times New Roman" w:hAnsi="Times New Roman" w:cs="Times New Roman"/>
          <w:bCs/>
          <w:sz w:val="24"/>
          <w:szCs w:val="24"/>
        </w:rPr>
        <w:t xml:space="preserve">przepisów </w:t>
      </w:r>
      <w:r w:rsidR="008861E3" w:rsidRPr="00E14507">
        <w:rPr>
          <w:rFonts w:ascii="Times New Roman" w:hAnsi="Times New Roman" w:cs="Times New Roman"/>
          <w:bCs/>
          <w:sz w:val="24"/>
          <w:szCs w:val="24"/>
        </w:rPr>
        <w:t>ustaw</w:t>
      </w:r>
      <w:r w:rsidR="008861E3">
        <w:rPr>
          <w:rFonts w:ascii="Times New Roman" w:hAnsi="Times New Roman" w:cs="Times New Roman"/>
          <w:bCs/>
          <w:sz w:val="24"/>
          <w:szCs w:val="24"/>
        </w:rPr>
        <w:t xml:space="preserve">y </w:t>
      </w:r>
      <w:r w:rsidR="008861E3" w:rsidRPr="00EF45A9">
        <w:rPr>
          <w:rFonts w:ascii="Times New Roman" w:eastAsiaTheme="minorEastAsia" w:hAnsi="Times New Roman" w:cs="Times New Roman"/>
          <w:sz w:val="24"/>
          <w:szCs w:val="24"/>
          <w:lang w:eastAsia="pl-PL"/>
        </w:rPr>
        <w:t>z dnia 24 lipca 2015 r.</w:t>
      </w:r>
      <w:r w:rsidR="008861E3" w:rsidRPr="00E14507">
        <w:rPr>
          <w:rFonts w:ascii="Times New Roman" w:hAnsi="Times New Roman" w:cs="Times New Roman"/>
          <w:bCs/>
          <w:sz w:val="24"/>
          <w:szCs w:val="24"/>
        </w:rPr>
        <w:t xml:space="preserve"> o przygotowaniu i realizacji strategicznych inwestycji w zakresie sieci przesyłowych</w:t>
      </w:r>
      <w:r w:rsidR="008861E3">
        <w:rPr>
          <w:rFonts w:ascii="Times New Roman" w:hAnsi="Times New Roman" w:cs="Times New Roman"/>
          <w:bCs/>
          <w:sz w:val="24"/>
          <w:szCs w:val="24"/>
        </w:rPr>
        <w:t xml:space="preserve"> zaproponowanej</w:t>
      </w:r>
      <w:r w:rsidRPr="00E14507">
        <w:rPr>
          <w:rFonts w:ascii="Times New Roman" w:hAnsi="Times New Roman" w:cs="Times New Roman"/>
          <w:bCs/>
          <w:sz w:val="24"/>
          <w:szCs w:val="24"/>
        </w:rPr>
        <w:t xml:space="preserve"> definicji inwestycji towarzyszącej. W</w:t>
      </w:r>
      <w:r w:rsidR="009E1C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14507">
        <w:rPr>
          <w:rFonts w:ascii="Times New Roman" w:hAnsi="Times New Roman" w:cs="Times New Roman"/>
          <w:bCs/>
          <w:sz w:val="24"/>
          <w:szCs w:val="24"/>
        </w:rPr>
        <w:t>wyniku proponowan</w:t>
      </w:r>
      <w:r w:rsidR="008861E3">
        <w:rPr>
          <w:rFonts w:ascii="Times New Roman" w:hAnsi="Times New Roman" w:cs="Times New Roman"/>
          <w:bCs/>
          <w:sz w:val="24"/>
          <w:szCs w:val="24"/>
        </w:rPr>
        <w:t>ych</w:t>
      </w:r>
      <w:r w:rsidRPr="00E14507">
        <w:rPr>
          <w:rFonts w:ascii="Times New Roman" w:hAnsi="Times New Roman" w:cs="Times New Roman"/>
          <w:bCs/>
          <w:sz w:val="24"/>
          <w:szCs w:val="24"/>
        </w:rPr>
        <w:t xml:space="preserve"> regulacji inwestycje towarzyszące zostaną </w:t>
      </w:r>
      <w:r w:rsidR="008861E3" w:rsidRPr="00E14507">
        <w:rPr>
          <w:rFonts w:ascii="Times New Roman" w:hAnsi="Times New Roman" w:cs="Times New Roman"/>
          <w:bCs/>
          <w:sz w:val="24"/>
          <w:szCs w:val="24"/>
        </w:rPr>
        <w:t xml:space="preserve">również </w:t>
      </w:r>
      <w:r w:rsidRPr="00E14507">
        <w:rPr>
          <w:rFonts w:ascii="Times New Roman" w:hAnsi="Times New Roman" w:cs="Times New Roman"/>
          <w:bCs/>
          <w:sz w:val="24"/>
          <w:szCs w:val="24"/>
        </w:rPr>
        <w:t>objęte regulacjami umożliwiającymi udział społeczeństwa w udostępnianiu informacji o środowisku i jego ochronie</w:t>
      </w:r>
      <w:r w:rsidRPr="00E145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14:paraId="3876FF52" w14:textId="78D55422" w:rsidR="0080136C" w:rsidRDefault="001E5E93" w:rsidP="001E5E93">
      <w:pPr>
        <w:suppressAutoHyphens/>
        <w:spacing w:before="120" w:after="0" w:line="360" w:lineRule="auto"/>
        <w:ind w:left="425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VI.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="0080136C" w:rsidRPr="0062492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Ustawa z dnia </w:t>
      </w:r>
      <w:r w:rsidR="0080136C" w:rsidRPr="00624927">
        <w:rPr>
          <w:rFonts w:ascii="Times New Roman" w:hAnsi="Times New Roman" w:cs="Times New Roman"/>
          <w:bCs/>
          <w:sz w:val="24"/>
          <w:szCs w:val="24"/>
        </w:rPr>
        <w:t>11 stycznia 2018 r. o elektromobilności i</w:t>
      </w:r>
      <w:r w:rsidR="009E1C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0136C" w:rsidRPr="00624927">
        <w:rPr>
          <w:rFonts w:ascii="Times New Roman" w:hAnsi="Times New Roman" w:cs="Times New Roman"/>
          <w:bCs/>
          <w:sz w:val="24"/>
          <w:szCs w:val="24"/>
        </w:rPr>
        <w:t>paliwach alternatywnych</w:t>
      </w:r>
      <w:r w:rsidR="008861E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861E3" w:rsidRPr="00624927">
        <w:rPr>
          <w:rFonts w:ascii="Times New Roman" w:hAnsi="Times New Roman" w:cs="Times New Roman"/>
          <w:bCs/>
          <w:sz w:val="24"/>
          <w:szCs w:val="24"/>
        </w:rPr>
        <w:t>(Dz. U. z 2022 r. poz. 1083, z późn. zm.)</w:t>
      </w:r>
    </w:p>
    <w:p w14:paraId="482DCEDF" w14:textId="08EA65D0" w:rsidR="0080136C" w:rsidRPr="00E14507" w:rsidRDefault="0080136C" w:rsidP="001E5E93">
      <w:pPr>
        <w:spacing w:after="0" w:line="360" w:lineRule="auto"/>
        <w:ind w:left="426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14507">
        <w:rPr>
          <w:rFonts w:ascii="Times New Roman" w:hAnsi="Times New Roman" w:cs="Times New Roman"/>
          <w:iCs/>
          <w:sz w:val="24"/>
          <w:szCs w:val="24"/>
        </w:rPr>
        <w:t xml:space="preserve">W art. 28 </w:t>
      </w:r>
      <w:r w:rsidR="00675FC2">
        <w:rPr>
          <w:rFonts w:ascii="Times New Roman" w:hAnsi="Times New Roman" w:cs="Times New Roman"/>
          <w:iCs/>
          <w:sz w:val="24"/>
          <w:szCs w:val="24"/>
        </w:rPr>
        <w:t xml:space="preserve">w </w:t>
      </w:r>
      <w:r w:rsidRPr="00E14507">
        <w:rPr>
          <w:rFonts w:ascii="Times New Roman" w:hAnsi="Times New Roman" w:cs="Times New Roman"/>
          <w:iCs/>
          <w:sz w:val="24"/>
          <w:szCs w:val="24"/>
        </w:rPr>
        <w:t xml:space="preserve">ust. 3 </w:t>
      </w:r>
      <w:r w:rsidR="008861E3">
        <w:rPr>
          <w:rFonts w:ascii="Times New Roman" w:hAnsi="Times New Roman" w:cs="Times New Roman"/>
          <w:iCs/>
          <w:sz w:val="24"/>
          <w:szCs w:val="24"/>
        </w:rPr>
        <w:t xml:space="preserve">wskazanej </w:t>
      </w:r>
      <w:r w:rsidRPr="00E14507">
        <w:rPr>
          <w:rFonts w:ascii="Times New Roman" w:hAnsi="Times New Roman" w:cs="Times New Roman"/>
          <w:iCs/>
          <w:sz w:val="24"/>
          <w:szCs w:val="24"/>
        </w:rPr>
        <w:t xml:space="preserve">ustawy </w:t>
      </w:r>
      <w:r w:rsidR="00675FC2">
        <w:rPr>
          <w:rFonts w:ascii="Times New Roman" w:hAnsi="Times New Roman" w:cs="Times New Roman"/>
          <w:iCs/>
          <w:sz w:val="24"/>
          <w:szCs w:val="24"/>
        </w:rPr>
        <w:t>został</w:t>
      </w:r>
      <w:r w:rsidR="00675FC2" w:rsidRPr="00E1450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E14507">
        <w:rPr>
          <w:rFonts w:ascii="Times New Roman" w:hAnsi="Times New Roman" w:cs="Times New Roman"/>
          <w:iCs/>
          <w:sz w:val="24"/>
          <w:szCs w:val="24"/>
        </w:rPr>
        <w:t xml:space="preserve">określony warunek, aby wszystkie wymagane badania techniczne punktu bunkrowania skroplonego gazu ziemnego (LNG) odbywały się na wniosek operatora punktu bunkrowania. W celu usprawnienia przeprowadzania badań technicznych </w:t>
      </w:r>
      <w:r w:rsidR="00675FC2" w:rsidRPr="00E14507">
        <w:rPr>
          <w:rFonts w:ascii="Times New Roman" w:hAnsi="Times New Roman" w:cs="Times New Roman"/>
          <w:iCs/>
          <w:sz w:val="24"/>
          <w:szCs w:val="24"/>
        </w:rPr>
        <w:t xml:space="preserve">proponuje się </w:t>
      </w:r>
      <w:r w:rsidR="00675FC2">
        <w:rPr>
          <w:rFonts w:ascii="Times New Roman" w:hAnsi="Times New Roman" w:cs="Times New Roman"/>
          <w:iCs/>
          <w:sz w:val="24"/>
          <w:szCs w:val="24"/>
        </w:rPr>
        <w:t>określić</w:t>
      </w:r>
      <w:r w:rsidR="00675FC2" w:rsidRPr="00E1450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E14507">
        <w:rPr>
          <w:rFonts w:ascii="Times New Roman" w:hAnsi="Times New Roman" w:cs="Times New Roman"/>
          <w:iCs/>
          <w:sz w:val="24"/>
          <w:szCs w:val="24"/>
        </w:rPr>
        <w:t>terminy składania wniosków w przypadku poszczególnych badań technicznych punktu bunkrowania skroplonym gazem ziemnym (LNG)</w:t>
      </w:r>
      <w:r w:rsidR="00675FC2">
        <w:rPr>
          <w:rFonts w:ascii="Times New Roman" w:hAnsi="Times New Roman" w:cs="Times New Roman"/>
          <w:iCs/>
          <w:sz w:val="24"/>
          <w:szCs w:val="24"/>
        </w:rPr>
        <w:t>,</w:t>
      </w:r>
      <w:r w:rsidRPr="00E1450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75FC2" w:rsidRPr="00E14507">
        <w:rPr>
          <w:rFonts w:ascii="Times New Roman" w:hAnsi="Times New Roman" w:cs="Times New Roman"/>
          <w:iCs/>
          <w:sz w:val="24"/>
          <w:szCs w:val="24"/>
        </w:rPr>
        <w:t>o których mowa w art. 28 ust. 2 pkt 2</w:t>
      </w:r>
      <w:r w:rsidR="00CB1B37">
        <w:rPr>
          <w:rFonts w:ascii="Times New Roman" w:hAnsi="Times New Roman" w:cs="Times New Roman"/>
          <w:iCs/>
          <w:sz w:val="24"/>
          <w:szCs w:val="24"/>
        </w:rPr>
        <w:t>–</w:t>
      </w:r>
      <w:r w:rsidR="00675FC2" w:rsidRPr="00E14507">
        <w:rPr>
          <w:rFonts w:ascii="Times New Roman" w:hAnsi="Times New Roman" w:cs="Times New Roman"/>
          <w:iCs/>
          <w:sz w:val="24"/>
          <w:szCs w:val="24"/>
        </w:rPr>
        <w:t>4</w:t>
      </w:r>
      <w:r w:rsidR="00675FC2">
        <w:rPr>
          <w:rFonts w:ascii="Times New Roman" w:hAnsi="Times New Roman" w:cs="Times New Roman"/>
          <w:iCs/>
          <w:sz w:val="24"/>
          <w:szCs w:val="24"/>
        </w:rPr>
        <w:t xml:space="preserve"> tej ustawy, </w:t>
      </w:r>
      <w:r w:rsidRPr="00E14507">
        <w:rPr>
          <w:rFonts w:ascii="Times New Roman" w:hAnsi="Times New Roman" w:cs="Times New Roman"/>
          <w:iCs/>
          <w:sz w:val="24"/>
          <w:szCs w:val="24"/>
        </w:rPr>
        <w:t>wykonywanych przez Transportowy Dozór Techniczny</w:t>
      </w:r>
      <w:r w:rsidR="00BC0BBA">
        <w:rPr>
          <w:rFonts w:ascii="Times New Roman" w:hAnsi="Times New Roman" w:cs="Times New Roman"/>
          <w:iCs/>
          <w:sz w:val="24"/>
          <w:szCs w:val="24"/>
        </w:rPr>
        <w:t xml:space="preserve"> (TDT)</w:t>
      </w:r>
      <w:r w:rsidRPr="00E14507">
        <w:rPr>
          <w:rFonts w:ascii="Times New Roman" w:hAnsi="Times New Roman" w:cs="Times New Roman"/>
          <w:iCs/>
          <w:sz w:val="24"/>
          <w:szCs w:val="24"/>
        </w:rPr>
        <w:t xml:space="preserve">. Nie wprowadza się natomiast terminu na złożenie wniosku o badanie techniczne przed oddaniem punktu bunkrowania skroplonego gazu ziemnego (LNG) do eksploatacji, o którym mowa w art. 28 ust. 2 pkt 1 </w:t>
      </w:r>
      <w:r w:rsidR="00675FC2">
        <w:rPr>
          <w:rFonts w:ascii="Times New Roman" w:hAnsi="Times New Roman" w:cs="Times New Roman"/>
          <w:iCs/>
          <w:sz w:val="24"/>
          <w:szCs w:val="24"/>
        </w:rPr>
        <w:t xml:space="preserve">ww. </w:t>
      </w:r>
      <w:r w:rsidRPr="00E14507">
        <w:rPr>
          <w:rFonts w:ascii="Times New Roman" w:hAnsi="Times New Roman" w:cs="Times New Roman"/>
          <w:iCs/>
          <w:sz w:val="24"/>
          <w:szCs w:val="24"/>
        </w:rPr>
        <w:t xml:space="preserve">ustawy. Ze względu na charakter tego badania nie ma potrzeby </w:t>
      </w:r>
      <w:r w:rsidR="00675FC2">
        <w:rPr>
          <w:rFonts w:ascii="Times New Roman" w:hAnsi="Times New Roman" w:cs="Times New Roman"/>
          <w:iCs/>
          <w:sz w:val="24"/>
          <w:szCs w:val="24"/>
        </w:rPr>
        <w:t>określenia</w:t>
      </w:r>
      <w:r w:rsidR="00675FC2" w:rsidRPr="00E1450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E14507">
        <w:rPr>
          <w:rFonts w:ascii="Times New Roman" w:hAnsi="Times New Roman" w:cs="Times New Roman"/>
          <w:iCs/>
          <w:sz w:val="24"/>
          <w:szCs w:val="24"/>
        </w:rPr>
        <w:t xml:space="preserve">terminu na złożenie wniosku o </w:t>
      </w:r>
      <w:r w:rsidR="00675FC2">
        <w:rPr>
          <w:rFonts w:ascii="Times New Roman" w:hAnsi="Times New Roman" w:cs="Times New Roman"/>
          <w:iCs/>
          <w:sz w:val="24"/>
          <w:szCs w:val="24"/>
        </w:rPr>
        <w:t xml:space="preserve">jego </w:t>
      </w:r>
      <w:r w:rsidRPr="00E14507">
        <w:rPr>
          <w:rFonts w:ascii="Times New Roman" w:hAnsi="Times New Roman" w:cs="Times New Roman"/>
          <w:iCs/>
          <w:sz w:val="24"/>
          <w:szCs w:val="24"/>
        </w:rPr>
        <w:t xml:space="preserve">przeprowadzenie. Operator punktu bunkrowania skroplonego gazu ziemnego (LNG) po zakończeniu procesu montowania i przygotowania tego punktu do eksploatacji </w:t>
      </w:r>
      <w:r w:rsidR="00675FC2" w:rsidRPr="00E14507">
        <w:rPr>
          <w:rFonts w:ascii="Times New Roman" w:hAnsi="Times New Roman" w:cs="Times New Roman"/>
          <w:iCs/>
          <w:sz w:val="24"/>
          <w:szCs w:val="24"/>
        </w:rPr>
        <w:t xml:space="preserve">w dowolnym terminie </w:t>
      </w:r>
      <w:r w:rsidRPr="00E14507">
        <w:rPr>
          <w:rFonts w:ascii="Times New Roman" w:hAnsi="Times New Roman" w:cs="Times New Roman"/>
          <w:iCs/>
          <w:sz w:val="24"/>
          <w:szCs w:val="24"/>
        </w:rPr>
        <w:t xml:space="preserve">może złożyć wniosek o przeprowadzenie tego badania. </w:t>
      </w:r>
      <w:r w:rsidRPr="00E14507">
        <w:rPr>
          <w:rFonts w:ascii="Times New Roman" w:hAnsi="Times New Roman" w:cs="Times New Roman"/>
          <w:sz w:val="24"/>
          <w:szCs w:val="24"/>
        </w:rPr>
        <w:t>Wprowadzenie przepisów normujących termin złożenia przez operatora punktu bunkrowania skroplonego gazu ziemnego (LNG) wniosku o przeprowadzenie ww. badań umożliwi</w:t>
      </w:r>
      <w:r w:rsidR="00BC0BBA">
        <w:rPr>
          <w:rFonts w:ascii="Times New Roman" w:hAnsi="Times New Roman" w:cs="Times New Roman"/>
          <w:sz w:val="24"/>
          <w:szCs w:val="24"/>
        </w:rPr>
        <w:t xml:space="preserve">, </w:t>
      </w:r>
      <w:r w:rsidRPr="00E14507">
        <w:rPr>
          <w:rFonts w:ascii="Times New Roman" w:hAnsi="Times New Roman" w:cs="Times New Roman"/>
          <w:sz w:val="24"/>
          <w:szCs w:val="24"/>
        </w:rPr>
        <w:t>w przypadku badania okresowego</w:t>
      </w:r>
      <w:r w:rsidR="00BC0BBA">
        <w:rPr>
          <w:rFonts w:ascii="Times New Roman" w:hAnsi="Times New Roman" w:cs="Times New Roman"/>
          <w:sz w:val="24"/>
          <w:szCs w:val="24"/>
        </w:rPr>
        <w:t xml:space="preserve">, </w:t>
      </w:r>
      <w:r w:rsidRPr="00E14507">
        <w:rPr>
          <w:rFonts w:ascii="Times New Roman" w:hAnsi="Times New Roman" w:cs="Times New Roman"/>
          <w:sz w:val="24"/>
          <w:szCs w:val="24"/>
        </w:rPr>
        <w:t xml:space="preserve">zachowanie ciągłości funkcjonowania punktu bunkrowania skroplonego gazu ziemnego (LNG), natomiast w przypadku pozostałych badań – skrócenie zawieszenia funkcjonowania punktu bunkrowania skroplonego gazu ziemnego (LNG) lub jego funkcjonowania przy stwierdzeniu nieprawidłowości, </w:t>
      </w:r>
      <w:r w:rsidR="00BC0BBA">
        <w:rPr>
          <w:rFonts w:ascii="Times New Roman" w:hAnsi="Times New Roman" w:cs="Times New Roman"/>
          <w:sz w:val="24"/>
          <w:szCs w:val="24"/>
        </w:rPr>
        <w:t>ponieważ</w:t>
      </w:r>
      <w:r w:rsidR="00BC0BBA" w:rsidRPr="00E14507">
        <w:rPr>
          <w:rFonts w:ascii="Times New Roman" w:hAnsi="Times New Roman" w:cs="Times New Roman"/>
          <w:sz w:val="24"/>
          <w:szCs w:val="24"/>
        </w:rPr>
        <w:t xml:space="preserve"> </w:t>
      </w:r>
      <w:r w:rsidRPr="00E14507">
        <w:rPr>
          <w:rFonts w:ascii="Times New Roman" w:hAnsi="Times New Roman" w:cs="Times New Roman"/>
          <w:sz w:val="24"/>
          <w:szCs w:val="24"/>
        </w:rPr>
        <w:t xml:space="preserve">zgodnie z art. 28 ust. 4 </w:t>
      </w:r>
      <w:r w:rsidR="00BC0BBA">
        <w:rPr>
          <w:rFonts w:ascii="Times New Roman" w:hAnsi="Times New Roman" w:cs="Times New Roman"/>
          <w:sz w:val="24"/>
          <w:szCs w:val="24"/>
        </w:rPr>
        <w:t xml:space="preserve">ustawy </w:t>
      </w:r>
      <w:r w:rsidR="00BC0BBA" w:rsidRPr="00EF45A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dnia </w:t>
      </w:r>
      <w:r w:rsidR="00BC0BBA" w:rsidRPr="00EF45A9">
        <w:rPr>
          <w:rFonts w:ascii="Times New Roman" w:hAnsi="Times New Roman" w:cs="Times New Roman"/>
          <w:bCs/>
          <w:sz w:val="24"/>
          <w:szCs w:val="24"/>
        </w:rPr>
        <w:t>11 stycznia 2018 r. o elektromobilności i</w:t>
      </w:r>
      <w:r w:rsidR="009E1C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C0BBA" w:rsidRPr="00EF45A9">
        <w:rPr>
          <w:rFonts w:ascii="Times New Roman" w:hAnsi="Times New Roman" w:cs="Times New Roman"/>
          <w:bCs/>
          <w:sz w:val="24"/>
          <w:szCs w:val="24"/>
        </w:rPr>
        <w:t>paliwach alternatywnych</w:t>
      </w:r>
      <w:r w:rsidR="00BC0BB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C0BBA">
        <w:rPr>
          <w:rFonts w:ascii="Times New Roman" w:hAnsi="Times New Roman" w:cs="Times New Roman"/>
          <w:sz w:val="24"/>
          <w:szCs w:val="24"/>
        </w:rPr>
        <w:t>d</w:t>
      </w:r>
      <w:r w:rsidRPr="00E14507">
        <w:rPr>
          <w:rFonts w:ascii="Times New Roman" w:hAnsi="Times New Roman" w:cs="Times New Roman"/>
          <w:sz w:val="24"/>
          <w:szCs w:val="24"/>
        </w:rPr>
        <w:t>yrektor TDT wydaje decyzję o wstrzymaniu eksploatacji punktu bunkrowania skroplonego gazu ziemnego (LNG) w przypadku stwierdzenia, na podstawie wyników badań</w:t>
      </w:r>
      <w:r w:rsidR="00BC0BBA">
        <w:rPr>
          <w:rFonts w:ascii="Times New Roman" w:hAnsi="Times New Roman" w:cs="Times New Roman"/>
          <w:sz w:val="24"/>
          <w:szCs w:val="24"/>
        </w:rPr>
        <w:t>,</w:t>
      </w:r>
      <w:r w:rsidRPr="00E14507">
        <w:rPr>
          <w:rFonts w:ascii="Times New Roman" w:hAnsi="Times New Roman" w:cs="Times New Roman"/>
          <w:sz w:val="24"/>
          <w:szCs w:val="24"/>
        </w:rPr>
        <w:t xml:space="preserve"> o których mowa w ust. 1, niespełnienia przez ten punkt wymagań technicznych określonych w art. 25 lub w przepisach wydanych na podstawie art. 29 ust. 2</w:t>
      </w:r>
      <w:r w:rsidR="00BC0BBA">
        <w:rPr>
          <w:rFonts w:ascii="Times New Roman" w:hAnsi="Times New Roman" w:cs="Times New Roman"/>
          <w:sz w:val="24"/>
          <w:szCs w:val="24"/>
        </w:rPr>
        <w:t xml:space="preserve"> tej ustawy</w:t>
      </w:r>
      <w:r w:rsidRPr="00E1450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CADE43" w14:textId="6175B260" w:rsidR="0080136C" w:rsidRPr="00E14507" w:rsidRDefault="0080136C" w:rsidP="001E5E93">
      <w:p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14507">
        <w:rPr>
          <w:rFonts w:ascii="Times New Roman" w:hAnsi="Times New Roman" w:cs="Times New Roman"/>
          <w:sz w:val="24"/>
          <w:szCs w:val="24"/>
        </w:rPr>
        <w:t xml:space="preserve">Proponowana zmiana w art. 28c ust. 1 </w:t>
      </w:r>
      <w:r w:rsidR="00BC0BBA">
        <w:rPr>
          <w:rFonts w:ascii="Times New Roman" w:hAnsi="Times New Roman" w:cs="Times New Roman"/>
          <w:sz w:val="24"/>
          <w:szCs w:val="24"/>
        </w:rPr>
        <w:t xml:space="preserve">wskazanej ustawy </w:t>
      </w:r>
      <w:r w:rsidRPr="00E14507">
        <w:rPr>
          <w:rFonts w:ascii="Times New Roman" w:hAnsi="Times New Roman" w:cs="Times New Roman"/>
          <w:sz w:val="24"/>
          <w:szCs w:val="24"/>
        </w:rPr>
        <w:t>polega na zapewnieniu bezpieczeństwa w trakcie eksploatacji punktu bunkrowania skroplonego gazu ziemnego (LNG). Bezpieczna eksploatacja punktu bunkrowania wymaga stosowania planu bunkrowania sporządzanego przez operatora punktu bunkrowania skroplonego gazu ziemnego (LNG).</w:t>
      </w:r>
      <w:r w:rsidR="00BC0BBA">
        <w:rPr>
          <w:rFonts w:ascii="Times New Roman" w:hAnsi="Times New Roman" w:cs="Times New Roman"/>
          <w:sz w:val="24"/>
          <w:szCs w:val="24"/>
        </w:rPr>
        <w:t xml:space="preserve"> </w:t>
      </w:r>
      <w:r w:rsidRPr="00E14507">
        <w:rPr>
          <w:rFonts w:ascii="Times New Roman" w:hAnsi="Times New Roman" w:cs="Times New Roman"/>
          <w:sz w:val="24"/>
          <w:szCs w:val="24"/>
        </w:rPr>
        <w:t xml:space="preserve">W art. 28c ust. 1 </w:t>
      </w:r>
      <w:r w:rsidR="00BC0BBA">
        <w:rPr>
          <w:rFonts w:ascii="Times New Roman" w:hAnsi="Times New Roman" w:cs="Times New Roman"/>
          <w:sz w:val="24"/>
          <w:szCs w:val="24"/>
        </w:rPr>
        <w:t xml:space="preserve">ww. ustawy </w:t>
      </w:r>
      <w:r w:rsidRPr="00E14507">
        <w:rPr>
          <w:rFonts w:ascii="Times New Roman" w:hAnsi="Times New Roman" w:cs="Times New Roman"/>
          <w:sz w:val="24"/>
          <w:szCs w:val="24"/>
        </w:rPr>
        <w:t xml:space="preserve">ustanowiono obowiązek sporządzenia </w:t>
      </w:r>
      <w:bookmarkStart w:id="2" w:name="_Hlk124863316"/>
      <w:r w:rsidRPr="00E14507">
        <w:rPr>
          <w:rFonts w:ascii="Times New Roman" w:hAnsi="Times New Roman" w:cs="Times New Roman"/>
          <w:sz w:val="24"/>
          <w:szCs w:val="24"/>
        </w:rPr>
        <w:t xml:space="preserve">planu bunkrowania </w:t>
      </w:r>
      <w:bookmarkEnd w:id="2"/>
      <w:r w:rsidRPr="00E14507">
        <w:rPr>
          <w:rFonts w:ascii="Times New Roman" w:hAnsi="Times New Roman" w:cs="Times New Roman"/>
          <w:sz w:val="24"/>
          <w:szCs w:val="24"/>
        </w:rPr>
        <w:t>przez operatora punktu bunkrowania skroplonym gazem ziemnym (LNG). W ocenie ustawodawcy konieczne jest określenie także elementów bezpiecznej eksploatacji punktu bunkrowania, które powinny być uwzględnione przy sporządzaniu planu bunkrowania, t</w:t>
      </w:r>
      <w:r w:rsidR="00BC0BBA">
        <w:rPr>
          <w:rFonts w:ascii="Times New Roman" w:hAnsi="Times New Roman" w:cs="Times New Roman"/>
          <w:sz w:val="24"/>
          <w:szCs w:val="24"/>
        </w:rPr>
        <w:t xml:space="preserve">akich </w:t>
      </w:r>
      <w:r w:rsidRPr="00E14507">
        <w:rPr>
          <w:rFonts w:ascii="Times New Roman" w:hAnsi="Times New Roman" w:cs="Times New Roman"/>
          <w:sz w:val="24"/>
          <w:szCs w:val="24"/>
        </w:rPr>
        <w:t>j</w:t>
      </w:r>
      <w:r w:rsidR="00BC0BBA">
        <w:rPr>
          <w:rFonts w:ascii="Times New Roman" w:hAnsi="Times New Roman" w:cs="Times New Roman"/>
          <w:sz w:val="24"/>
          <w:szCs w:val="24"/>
        </w:rPr>
        <w:t>ak</w:t>
      </w:r>
      <w:r w:rsidRPr="00E14507">
        <w:rPr>
          <w:rFonts w:ascii="Times New Roman" w:hAnsi="Times New Roman" w:cs="Times New Roman"/>
          <w:sz w:val="24"/>
          <w:szCs w:val="24"/>
        </w:rPr>
        <w:t xml:space="preserve"> charakterystyka oraz opis punktu bunkrowania, zakres i warunki bunkrowania, ocena kompatybilności jednostki pływającej z punktem bunkrowania, określenie monitorowania i zabezpieczenia obszaru monitorowanego i strzeżonego oraz strefy bezpieczeństwa, zakres i sposoby komunikacji w sytuacji zagrożenia oraz powiadomienia o zagrożeniu, listy sprawdzające przeprowadzonego bunkrowania skroplonym gazem ziemnym (LNG) oraz postępowanie w sytuacjach awaryjnych.</w:t>
      </w:r>
    </w:p>
    <w:p w14:paraId="2FBD5B0D" w14:textId="143D75BA" w:rsidR="0080136C" w:rsidRPr="00E14507" w:rsidRDefault="0080136C" w:rsidP="001E5E93">
      <w:pPr>
        <w:spacing w:after="0" w:line="360" w:lineRule="auto"/>
        <w:ind w:left="426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</w:pPr>
      <w:r w:rsidRPr="00E14507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W związku z wprowadzeniem w </w:t>
      </w:r>
      <w:r w:rsidR="00BC0BBA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ww. przepisie</w:t>
      </w:r>
      <w:r w:rsidRPr="00E14507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</w:t>
      </w:r>
      <w:r w:rsidR="00F27735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określeń</w:t>
      </w:r>
      <w:r w:rsidR="00F27735" w:rsidRPr="00E14507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</w:t>
      </w:r>
      <w:r w:rsidRPr="00E14507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obszar monitorowan</w:t>
      </w:r>
      <w:r w:rsidR="00F27735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y</w:t>
      </w:r>
      <w:r w:rsidRPr="00E14507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i strzeżon</w:t>
      </w:r>
      <w:r w:rsidR="00F27735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y</w:t>
      </w:r>
      <w:r w:rsidRPr="00E14507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oraz stref</w:t>
      </w:r>
      <w:r w:rsidR="00F27735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a</w:t>
      </w:r>
      <w:r w:rsidRPr="00E14507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bezpieczeństwa wprowadza się </w:t>
      </w:r>
      <w:r w:rsidR="00F27735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jednocześnie</w:t>
      </w:r>
      <w:r w:rsidRPr="00E14507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definicję obszaru monitorowanego i strzeżonego, który dotyczy obszaru wokół punktu bunkrowania i jednostki pływającej w trakcie bunkrowania skroplonym gazem ziemnym, </w:t>
      </w:r>
      <w:r w:rsidR="00F27735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gdzie</w:t>
      </w:r>
      <w:r w:rsidRPr="00E14507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</w:t>
      </w:r>
      <w:r w:rsidR="002F64CE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są</w:t>
      </w:r>
      <w:r w:rsidR="002F64CE" w:rsidRPr="00E14507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</w:t>
      </w:r>
      <w:r w:rsidRPr="00E14507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monitorowan</w:t>
      </w:r>
      <w:r w:rsidR="002F64CE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e</w:t>
      </w:r>
      <w:r w:rsidRPr="00E14507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ruch innych jednostek pływających </w:t>
      </w:r>
      <w:r w:rsidR="00F27735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oraz</w:t>
      </w:r>
      <w:r w:rsidRPr="00E14507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inne działania prowadzone na tym obszarze</w:t>
      </w:r>
      <w:r w:rsidR="00F27735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,</w:t>
      </w:r>
      <w:r w:rsidRPr="00E14507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oraz definicję strefy bezpieczeństwa odnosząc</w:t>
      </w:r>
      <w:r w:rsidR="00F27735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ą</w:t>
      </w:r>
      <w:r w:rsidRPr="00E14507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się do obszaru wokół punktu bunkrowania, w której mogą przebywać jedynie wyznaczone osoby. Obszary ustala się ze względu na potrzebę ograniczenia negatywnych skutków, jakie mogą wystąpić w trakcie operacji bunkrowania. </w:t>
      </w:r>
    </w:p>
    <w:p w14:paraId="0E5AC9BB" w14:textId="24A6DB84" w:rsidR="0080136C" w:rsidRPr="00E14507" w:rsidRDefault="0080136C" w:rsidP="001E5E93">
      <w:pPr>
        <w:spacing w:after="0" w:line="360" w:lineRule="auto"/>
        <w:ind w:left="426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</w:pPr>
      <w:r w:rsidRPr="00E14507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Część regulacji dotyczących bunkrowania skroplonym gazem ziemnym (LNG) została już uregulowana na poziomie </w:t>
      </w:r>
      <w:r w:rsidR="00CE12E4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Unii E</w:t>
      </w:r>
      <w:r w:rsidRPr="00E14507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uropejski</w:t>
      </w:r>
      <w:r w:rsidR="00CE12E4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ej,</w:t>
      </w:r>
      <w:r w:rsidRPr="00E14507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w rozporządzeniu delegowanym Komisji (UE) 2019/1745 z dnia 13 sierpnia 2019 r. uzupełniającym i zmieniającym dyrektywę Parlamentu Europejskiego i Rady 2014/94/UE w odniesieniu do punktów ładowania dla pojazdów silnikowych kategorii L, zasilania statków żeglugi śródlądowej energią elektryczną z lądu, dostarczania wodoru na potrzeby transportu drogowego i dostarczania gazu ziemnego na potrzeby transportu drogowego i wodnego oraz uchylając</w:t>
      </w:r>
      <w:r w:rsidR="00CE12E4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ym</w:t>
      </w:r>
      <w:r w:rsidRPr="00E14507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rozporządzenie delegowane Komisji (UE) 2018/674</w:t>
      </w:r>
      <w:r w:rsidR="00CE12E4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(</w:t>
      </w:r>
      <w:r w:rsidR="00CE12E4" w:rsidRPr="00624927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Dz.</w:t>
      </w:r>
      <w:r w:rsidR="00CE12E4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</w:t>
      </w:r>
      <w:r w:rsidR="00CE12E4" w:rsidRPr="00624927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U</w:t>
      </w:r>
      <w:r w:rsidR="00CE12E4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rz</w:t>
      </w:r>
      <w:r w:rsidR="00CE12E4" w:rsidRPr="00624927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. </w:t>
      </w:r>
      <w:r w:rsidR="00CE12E4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UE </w:t>
      </w:r>
      <w:r w:rsidR="00CE12E4" w:rsidRPr="00624927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L 268 z 22.10.2019, str. 1)</w:t>
      </w:r>
      <w:r w:rsidRPr="00E14507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. Z przepisów t</w:t>
      </w:r>
      <w:r w:rsidR="00CE12E4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ego rozporządzenia</w:t>
      </w:r>
      <w:r w:rsidRPr="00E14507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wynika obowiązek, aby punkty bunkrowania skroplonym gazem ziemnym (LNG) przeznaczone dla statków żeglugi śródlądowej lub statków morskich były zgodne z</w:t>
      </w:r>
      <w:r w:rsidR="009E1CE8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</w:t>
      </w:r>
      <w:r w:rsidRPr="00E14507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normą EN ISO 20519 Statki i technika morska </w:t>
      </w:r>
      <w:r w:rsidR="00CE12E4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−</w:t>
      </w:r>
      <w:r w:rsidRPr="00E14507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Specyfikacja tankowania statków napędzanych skroplonym gazem. </w:t>
      </w:r>
    </w:p>
    <w:p w14:paraId="4BF9D3C3" w14:textId="4D706A3E" w:rsidR="0080136C" w:rsidRPr="00E14507" w:rsidRDefault="0080136C" w:rsidP="00E14507">
      <w:pPr>
        <w:suppressAutoHyphens/>
        <w:spacing w:before="24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145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3. Wejście w życie projekt</w:t>
      </w:r>
      <w:r w:rsidR="00C8066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owanej</w:t>
      </w:r>
      <w:r w:rsidRPr="00E145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ustawy</w:t>
      </w:r>
    </w:p>
    <w:p w14:paraId="4A3DCEF5" w14:textId="02FA38A4" w:rsidR="0080136C" w:rsidRPr="00E14507" w:rsidRDefault="0080136C" w:rsidP="00E14507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145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Ustawa wchodzi w życie po upływie 30 dni od dnia ogłoszenia</w:t>
      </w:r>
      <w:r w:rsidR="00E145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z wyjątkiem art. </w:t>
      </w:r>
      <w:r w:rsidR="0057456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</w:t>
      </w:r>
      <w:r w:rsidR="00054C1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którego wejście w życie </w:t>
      </w:r>
      <w:r w:rsidR="000A6D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jest </w:t>
      </w:r>
      <w:r w:rsidR="00054C1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planowane </w:t>
      </w:r>
      <w:r w:rsidR="00BA5E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 upływie 14 dni od dnia ogłoszenia</w:t>
      </w:r>
      <w:r w:rsidRPr="00E145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14:paraId="40397528" w14:textId="77777777" w:rsidR="0080136C" w:rsidRPr="00E14507" w:rsidRDefault="0080136C" w:rsidP="00E14507">
      <w:pPr>
        <w:widowControl w:val="0"/>
        <w:suppressAutoHyphens/>
        <w:autoSpaceDE w:val="0"/>
        <w:autoSpaceDN w:val="0"/>
        <w:adjustRightInd w:val="0"/>
        <w:spacing w:before="240" w:after="6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45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4. Wpływ projektowanej ustawy na działalność mikroprzedsiębiorców, małych i średnich przedsiębiorców</w:t>
      </w:r>
    </w:p>
    <w:p w14:paraId="77504570" w14:textId="2105E32F" w:rsidR="0080136C" w:rsidRPr="00E14507" w:rsidRDefault="0080136C" w:rsidP="00E14507">
      <w:pPr>
        <w:suppressAutoHyphens/>
        <w:spacing w:after="6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E1450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Projektowane zmiany będą miały korzystny wpływ na działalność mikroprzedsiębiorców oraz małych i</w:t>
      </w:r>
      <w:r w:rsidR="009E1CE8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 w:rsidRPr="00E1450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średnich przedsiębiorców. Umożliwienie realizacji najważniejszych w skali kraju inwestycji w sieci niskiego i średniego napięcia pozwoli nie tylko na większą integrację jednostek wytwarzających energię elektryczną </w:t>
      </w:r>
      <w:r w:rsidR="000A6D7A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z wykorzystaniem</w:t>
      </w:r>
      <w:r w:rsidRPr="00E1450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odnawialn</w:t>
      </w:r>
      <w:r w:rsidR="000A6D7A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ych</w:t>
      </w:r>
      <w:r w:rsidRPr="00E1450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źród</w:t>
      </w:r>
      <w:r w:rsidR="000A6D7A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e</w:t>
      </w:r>
      <w:r w:rsidRPr="00E1450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ł energii, przyczyniając się tym samym do ustabilizowania cen energii elektrycznej na krajowym rynku, ale wzmocni również pewność co do stabilności dostaw energii elektrycznej do odbiorców.</w:t>
      </w:r>
    </w:p>
    <w:p w14:paraId="5D84C595" w14:textId="77777777" w:rsidR="0080136C" w:rsidRPr="00E14507" w:rsidRDefault="0080136C" w:rsidP="00E14507">
      <w:pPr>
        <w:suppressAutoHyphens/>
        <w:spacing w:before="240" w:after="6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145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5. Obowiązek notyfikacji</w:t>
      </w:r>
    </w:p>
    <w:p w14:paraId="499CD48C" w14:textId="53F08D89" w:rsidR="0080136C" w:rsidRPr="00E14507" w:rsidRDefault="0080136C" w:rsidP="00E14507">
      <w:pPr>
        <w:suppressAutoHyphens/>
        <w:spacing w:after="6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E14507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Projekt ustawy nie zawiera przepisów technicznych w rozumieniu przepisów rozporządzenia Rady Ministrów z dnia 23 grudnia 2002 r. w sprawie </w:t>
      </w:r>
      <w:r w:rsidR="00E8560F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sposobu </w:t>
      </w:r>
      <w:r w:rsidRPr="00E14507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funkcjonowania krajowego systemu notyfikacji norm i aktów prawnych (Dz. U. poz. 2039 oraz z 2004 r. poz. 597) i w związku z tym nie podlega w tym zakresie notyfikacji Komisji Europejskiej. </w:t>
      </w:r>
    </w:p>
    <w:p w14:paraId="2092DC86" w14:textId="3939C9E7" w:rsidR="0080136C" w:rsidRPr="00E14507" w:rsidRDefault="0080136C" w:rsidP="00E14507">
      <w:pPr>
        <w:suppressAutoHyphens/>
        <w:spacing w:after="6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E14507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Projekt ustawy nie wymaga notyfikacji Komisji Europejskiej w trybie </w:t>
      </w:r>
      <w:r w:rsidR="00700928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przepisów </w:t>
      </w:r>
      <w:r w:rsidRPr="00E14507">
        <w:rPr>
          <w:rFonts w:ascii="Times New Roman" w:eastAsiaTheme="minorEastAsia" w:hAnsi="Times New Roman" w:cs="Times New Roman"/>
          <w:sz w:val="24"/>
          <w:szCs w:val="24"/>
          <w:lang w:eastAsia="pl-PL"/>
        </w:rPr>
        <w:t>ustawy z dnia 30 kwietnia 2004 r. o postępowaniu w sprawach dotyczących pomocy publicznej (Dz. U. z 202</w:t>
      </w:r>
      <w:r w:rsidR="008E78C3">
        <w:rPr>
          <w:rFonts w:ascii="Times New Roman" w:eastAsiaTheme="minorEastAsia" w:hAnsi="Times New Roman" w:cs="Times New Roman"/>
          <w:sz w:val="24"/>
          <w:szCs w:val="24"/>
          <w:lang w:eastAsia="pl-PL"/>
        </w:rPr>
        <w:t>3</w:t>
      </w:r>
      <w:r w:rsidRPr="00E14507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r. poz. 7</w:t>
      </w:r>
      <w:r w:rsidR="008E78C3">
        <w:rPr>
          <w:rFonts w:ascii="Times New Roman" w:eastAsiaTheme="minorEastAsia" w:hAnsi="Times New Roman" w:cs="Times New Roman"/>
          <w:sz w:val="24"/>
          <w:szCs w:val="24"/>
          <w:lang w:eastAsia="pl-PL"/>
        </w:rPr>
        <w:t>02</w:t>
      </w:r>
      <w:r w:rsidRPr="00E14507">
        <w:rPr>
          <w:rFonts w:ascii="Times New Roman" w:eastAsiaTheme="minorEastAsia" w:hAnsi="Times New Roman" w:cs="Times New Roman"/>
          <w:sz w:val="24"/>
          <w:szCs w:val="24"/>
          <w:lang w:eastAsia="pl-PL"/>
        </w:rPr>
        <w:t>).</w:t>
      </w:r>
    </w:p>
    <w:p w14:paraId="3D22B61B" w14:textId="77777777" w:rsidR="0080136C" w:rsidRPr="00E14507" w:rsidRDefault="0080136C" w:rsidP="00E14507">
      <w:pPr>
        <w:suppressAutoHyphens/>
        <w:spacing w:after="6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E14507">
        <w:rPr>
          <w:rFonts w:ascii="Times New Roman" w:eastAsiaTheme="minorEastAsia" w:hAnsi="Times New Roman" w:cs="Times New Roman"/>
          <w:sz w:val="24"/>
          <w:szCs w:val="24"/>
          <w:lang w:eastAsia="pl-PL"/>
        </w:rPr>
        <w:t>Projekt ustawy nie wymaga przedłożenia instytucjom i organom Unii Europejskiej oraz Europejskiemu Bankowi Centralnemu w celu uzyskania opinii, dokonania konsultacji lub uzgodnienia.</w:t>
      </w:r>
    </w:p>
    <w:p w14:paraId="77B0F0D6" w14:textId="77777777" w:rsidR="0080136C" w:rsidRPr="00E14507" w:rsidRDefault="0080136C" w:rsidP="00E14507">
      <w:pPr>
        <w:suppressAutoHyphens/>
        <w:spacing w:after="6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E1450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Projekt ustawy nie jest objęty prawem Unii Europejskiej.</w:t>
      </w:r>
    </w:p>
    <w:p w14:paraId="5A144970" w14:textId="77777777" w:rsidR="0080136C" w:rsidRPr="00E14507" w:rsidRDefault="0080136C" w:rsidP="00E14507">
      <w:pPr>
        <w:widowControl w:val="0"/>
        <w:autoSpaceDE w:val="0"/>
        <w:autoSpaceDN w:val="0"/>
        <w:adjustRightInd w:val="0"/>
        <w:spacing w:before="240" w:after="6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145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6. Publikacja projektu</w:t>
      </w:r>
    </w:p>
    <w:p w14:paraId="2EB1D2B8" w14:textId="7CBA546E" w:rsidR="009D35F3" w:rsidRPr="00A619B3" w:rsidRDefault="0080136C" w:rsidP="001E5E93">
      <w:pPr>
        <w:suppressAutoHyphens/>
        <w:autoSpaceDE w:val="0"/>
        <w:autoSpaceDN w:val="0"/>
        <w:adjustRightInd w:val="0"/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507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Projekt przedmiotowej regulacji, zgodnie z wymogami określonymi w art. 5 ustawy z dnia 7 lipca 2005 o działalności lobbingowej w procesie stosowania prawa (Dz. U. z 2017 r. poz. 248), został udostępniony w Biuletynie Informacji Publicznej na stronie podmiotowej Rządowego Centrum Legislacji, w serwisie Rządowy Proces Legislacyjny.</w:t>
      </w:r>
    </w:p>
    <w:sectPr w:rsidR="009D35F3" w:rsidRPr="00A619B3" w:rsidSect="00724932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E2994E" w14:textId="77777777" w:rsidR="00527E75" w:rsidRDefault="00527E75" w:rsidP="00273998">
      <w:pPr>
        <w:spacing w:after="0" w:line="240" w:lineRule="auto"/>
      </w:pPr>
      <w:r>
        <w:separator/>
      </w:r>
    </w:p>
  </w:endnote>
  <w:endnote w:type="continuationSeparator" w:id="0">
    <w:p w14:paraId="426F2405" w14:textId="77777777" w:rsidR="00527E75" w:rsidRDefault="00527E75" w:rsidP="00273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2308347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6736A92" w14:textId="244729A7" w:rsidR="00724932" w:rsidRPr="001E5E93" w:rsidRDefault="00724932" w:rsidP="001E5E93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2493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2493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2493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4699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2493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7642FD" w14:textId="77777777" w:rsidR="00527E75" w:rsidRDefault="00527E75" w:rsidP="00273998">
      <w:pPr>
        <w:spacing w:after="0" w:line="240" w:lineRule="auto"/>
      </w:pPr>
      <w:r>
        <w:separator/>
      </w:r>
    </w:p>
  </w:footnote>
  <w:footnote w:type="continuationSeparator" w:id="0">
    <w:p w14:paraId="6651F7C5" w14:textId="77777777" w:rsidR="00527E75" w:rsidRDefault="00527E75" w:rsidP="002739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22ED9"/>
    <w:multiLevelType w:val="hybridMultilevel"/>
    <w:tmpl w:val="BA70D662"/>
    <w:lvl w:ilvl="0" w:tplc="2DB4CA54">
      <w:start w:val="1"/>
      <w:numFmt w:val="decimal"/>
      <w:lvlText w:val="%1)"/>
      <w:lvlJc w:val="left"/>
      <w:pPr>
        <w:ind w:left="785" w:hanging="360"/>
      </w:pPr>
      <w:rPr>
        <w:color w:val="auto"/>
      </w:rPr>
    </w:lvl>
    <w:lvl w:ilvl="1" w:tplc="08C00DEE">
      <w:start w:val="1"/>
      <w:numFmt w:val="lowerLetter"/>
      <w:lvlText w:val="%2)"/>
      <w:lvlJc w:val="left"/>
      <w:pPr>
        <w:ind w:left="1625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23386388"/>
    <w:multiLevelType w:val="hybridMultilevel"/>
    <w:tmpl w:val="32DA5B1C"/>
    <w:lvl w:ilvl="0" w:tplc="CDB660A2">
      <w:start w:val="2"/>
      <w:numFmt w:val="decimal"/>
      <w:lvlText w:val="%1)"/>
      <w:lvlJc w:val="left"/>
      <w:pPr>
        <w:ind w:left="785" w:hanging="360"/>
      </w:pPr>
      <w:rPr>
        <w:rFonts w:hint="default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5BD42424"/>
    <w:multiLevelType w:val="hybridMultilevel"/>
    <w:tmpl w:val="65B08A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C457D4"/>
    <w:multiLevelType w:val="hybridMultilevel"/>
    <w:tmpl w:val="6110F7D8"/>
    <w:lvl w:ilvl="0" w:tplc="0415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36C"/>
    <w:rsid w:val="0002109A"/>
    <w:rsid w:val="00024032"/>
    <w:rsid w:val="00054C16"/>
    <w:rsid w:val="000635FC"/>
    <w:rsid w:val="000709EE"/>
    <w:rsid w:val="00096743"/>
    <w:rsid w:val="000A6D7A"/>
    <w:rsid w:val="001947E3"/>
    <w:rsid w:val="001D0DC0"/>
    <w:rsid w:val="001E2A00"/>
    <w:rsid w:val="001E5E93"/>
    <w:rsid w:val="0021314B"/>
    <w:rsid w:val="002246BE"/>
    <w:rsid w:val="00266AE8"/>
    <w:rsid w:val="00273998"/>
    <w:rsid w:val="002908F5"/>
    <w:rsid w:val="00293EE7"/>
    <w:rsid w:val="00294D51"/>
    <w:rsid w:val="002F64CE"/>
    <w:rsid w:val="00304DF5"/>
    <w:rsid w:val="003104A0"/>
    <w:rsid w:val="00310A98"/>
    <w:rsid w:val="003160C9"/>
    <w:rsid w:val="00327727"/>
    <w:rsid w:val="00343B0E"/>
    <w:rsid w:val="00381428"/>
    <w:rsid w:val="003A60A9"/>
    <w:rsid w:val="003D7CDD"/>
    <w:rsid w:val="00402AC0"/>
    <w:rsid w:val="00487FFC"/>
    <w:rsid w:val="00500D87"/>
    <w:rsid w:val="005246FC"/>
    <w:rsid w:val="00527E75"/>
    <w:rsid w:val="00541EF7"/>
    <w:rsid w:val="00546995"/>
    <w:rsid w:val="0056384F"/>
    <w:rsid w:val="00574563"/>
    <w:rsid w:val="00592E98"/>
    <w:rsid w:val="005A67AC"/>
    <w:rsid w:val="005C0A67"/>
    <w:rsid w:val="005F79B3"/>
    <w:rsid w:val="00600CD2"/>
    <w:rsid w:val="006066FF"/>
    <w:rsid w:val="00610A7A"/>
    <w:rsid w:val="00624927"/>
    <w:rsid w:val="00675FC2"/>
    <w:rsid w:val="006E002E"/>
    <w:rsid w:val="006E1DFD"/>
    <w:rsid w:val="00700928"/>
    <w:rsid w:val="00724932"/>
    <w:rsid w:val="007A1131"/>
    <w:rsid w:val="007D6485"/>
    <w:rsid w:val="0080136C"/>
    <w:rsid w:val="00807C23"/>
    <w:rsid w:val="00876B72"/>
    <w:rsid w:val="008861E3"/>
    <w:rsid w:val="008D7E08"/>
    <w:rsid w:val="008E78C3"/>
    <w:rsid w:val="008F38AC"/>
    <w:rsid w:val="008F511A"/>
    <w:rsid w:val="00912A9F"/>
    <w:rsid w:val="009144A5"/>
    <w:rsid w:val="009D35F3"/>
    <w:rsid w:val="009D6D7D"/>
    <w:rsid w:val="009E1CE8"/>
    <w:rsid w:val="009E2A9F"/>
    <w:rsid w:val="009F6EB4"/>
    <w:rsid w:val="00A208EC"/>
    <w:rsid w:val="00A327A1"/>
    <w:rsid w:val="00A343B1"/>
    <w:rsid w:val="00A4513E"/>
    <w:rsid w:val="00A516BE"/>
    <w:rsid w:val="00A619B3"/>
    <w:rsid w:val="00A91931"/>
    <w:rsid w:val="00AB088D"/>
    <w:rsid w:val="00AF0068"/>
    <w:rsid w:val="00B1404E"/>
    <w:rsid w:val="00B346FA"/>
    <w:rsid w:val="00B37F76"/>
    <w:rsid w:val="00B817A9"/>
    <w:rsid w:val="00BA5EA3"/>
    <w:rsid w:val="00BB7D14"/>
    <w:rsid w:val="00BC078E"/>
    <w:rsid w:val="00BC0BBA"/>
    <w:rsid w:val="00C61687"/>
    <w:rsid w:val="00C8066C"/>
    <w:rsid w:val="00CA03D9"/>
    <w:rsid w:val="00CB1B37"/>
    <w:rsid w:val="00CB205A"/>
    <w:rsid w:val="00CE12E4"/>
    <w:rsid w:val="00D10A42"/>
    <w:rsid w:val="00D40DD5"/>
    <w:rsid w:val="00DD56AB"/>
    <w:rsid w:val="00E14507"/>
    <w:rsid w:val="00E22157"/>
    <w:rsid w:val="00E35935"/>
    <w:rsid w:val="00E37522"/>
    <w:rsid w:val="00E4590B"/>
    <w:rsid w:val="00E54702"/>
    <w:rsid w:val="00E8560F"/>
    <w:rsid w:val="00EA427C"/>
    <w:rsid w:val="00EB4924"/>
    <w:rsid w:val="00F10E6F"/>
    <w:rsid w:val="00F15D19"/>
    <w:rsid w:val="00F27735"/>
    <w:rsid w:val="00F9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DD641"/>
  <w15:chartTrackingRefBased/>
  <w15:docId w15:val="{97F7224D-A25D-4A55-85A1-AE79BB17D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136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136C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rsid w:val="0080136C"/>
    <w:rPr>
      <w:sz w:val="16"/>
      <w:szCs w:val="16"/>
    </w:rPr>
  </w:style>
  <w:style w:type="character" w:styleId="Odwoanieprzypisudolnego">
    <w:name w:val="footnote reference"/>
    <w:uiPriority w:val="99"/>
    <w:semiHidden/>
    <w:rsid w:val="00273998"/>
    <w:rPr>
      <w:rFonts w:cs="Times New Roman"/>
      <w:vertAlign w:val="superscript"/>
    </w:rPr>
  </w:style>
  <w:style w:type="paragraph" w:customStyle="1" w:styleId="ZTIRPKTzmpkttiret">
    <w:name w:val="Z_TIR/PKT – zm. pkt tiret"/>
    <w:basedOn w:val="Normalny"/>
    <w:uiPriority w:val="56"/>
    <w:qFormat/>
    <w:rsid w:val="00273998"/>
    <w:pPr>
      <w:spacing w:after="0" w:line="360" w:lineRule="auto"/>
      <w:ind w:left="1893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TIRLITwPKTzmlitwpkttiret">
    <w:name w:val="Z_TIR/LIT_w_PKT – zm. lit. w pkt tiret"/>
    <w:basedOn w:val="Normalny"/>
    <w:uiPriority w:val="57"/>
    <w:qFormat/>
    <w:rsid w:val="00273998"/>
    <w:pPr>
      <w:spacing w:after="0" w:line="360" w:lineRule="auto"/>
      <w:ind w:left="2336" w:hanging="476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ODNONIKtreodnonika">
    <w:name w:val="ODNOŚNIK – treść odnośnika"/>
    <w:uiPriority w:val="19"/>
    <w:qFormat/>
    <w:rsid w:val="00273998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D10A42"/>
    <w:pPr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44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44A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49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493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24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4932"/>
  </w:style>
  <w:style w:type="paragraph" w:styleId="Stopka">
    <w:name w:val="footer"/>
    <w:basedOn w:val="Normalny"/>
    <w:link w:val="StopkaZnak"/>
    <w:uiPriority w:val="99"/>
    <w:unhideWhenUsed/>
    <w:rsid w:val="00724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49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2827</Words>
  <Characters>16966</Characters>
  <Application>Microsoft Office Word</Application>
  <DocSecurity>4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PILITOWSKI Janusz</dc:creator>
  <cp:keywords/>
  <dc:description/>
  <cp:lastModifiedBy>Bodych Dominika</cp:lastModifiedBy>
  <cp:revision>2</cp:revision>
  <dcterms:created xsi:type="dcterms:W3CDTF">2023-04-20T10:38:00Z</dcterms:created>
  <dcterms:modified xsi:type="dcterms:W3CDTF">2023-04-20T10:38:00Z</dcterms:modified>
</cp:coreProperties>
</file>