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340BD" w14:textId="26F61DEF" w:rsidR="00DD0CDF" w:rsidRPr="007F28C1" w:rsidRDefault="00DD0CDF" w:rsidP="007F28C1">
      <w:pPr>
        <w:spacing w:before="120" w:after="240" w:line="360" w:lineRule="auto"/>
        <w:jc w:val="center"/>
        <w:rPr>
          <w:rFonts w:ascii="Times New Roman" w:hAnsi="Times New Roman" w:cs="Times New Roman"/>
          <w:sz w:val="24"/>
          <w:szCs w:val="24"/>
        </w:rPr>
      </w:pPr>
      <w:bookmarkStart w:id="0" w:name="_GoBack"/>
      <w:bookmarkEnd w:id="0"/>
      <w:r w:rsidRPr="007F28C1">
        <w:rPr>
          <w:rFonts w:ascii="Times New Roman" w:hAnsi="Times New Roman" w:cs="Times New Roman"/>
          <w:sz w:val="24"/>
          <w:szCs w:val="24"/>
        </w:rPr>
        <w:t>UZASADNIENI</w:t>
      </w:r>
      <w:r w:rsidR="0004159C" w:rsidRPr="007F28C1">
        <w:rPr>
          <w:rFonts w:ascii="Times New Roman" w:hAnsi="Times New Roman" w:cs="Times New Roman"/>
          <w:sz w:val="24"/>
          <w:szCs w:val="24"/>
        </w:rPr>
        <w:t>E</w:t>
      </w:r>
    </w:p>
    <w:p w14:paraId="0BF57836" w14:textId="38318408" w:rsidR="00FA023A" w:rsidRPr="007F28C1" w:rsidRDefault="00DD0CDF"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Projekt ustawy o zmianie ustawy</w:t>
      </w:r>
      <w:r w:rsidR="001C6511" w:rsidRPr="007F28C1">
        <w:rPr>
          <w:rFonts w:ascii="Times New Roman" w:hAnsi="Times New Roman" w:cs="Times New Roman"/>
          <w:sz w:val="24"/>
          <w:szCs w:val="24"/>
        </w:rPr>
        <w:t xml:space="preserve"> </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Prawo geologiczne i górnicze</w:t>
      </w:r>
      <w:r w:rsidR="00D651E5" w:rsidRPr="007F28C1">
        <w:rPr>
          <w:rFonts w:ascii="Times New Roman" w:hAnsi="Times New Roman" w:cs="Times New Roman"/>
          <w:sz w:val="24"/>
          <w:szCs w:val="24"/>
        </w:rPr>
        <w:t xml:space="preserve"> </w:t>
      </w:r>
      <w:r w:rsidRPr="007F28C1">
        <w:rPr>
          <w:rFonts w:ascii="Times New Roman" w:hAnsi="Times New Roman" w:cs="Times New Roman"/>
          <w:sz w:val="24"/>
          <w:szCs w:val="24"/>
        </w:rPr>
        <w:t>oraz niektórych innych ustaw, zwany dalej „projektem ustawy zmieniającej” lub „projektem nowelizacji”</w:t>
      </w:r>
      <w:r w:rsidR="00927FD1" w:rsidRPr="007F28C1">
        <w:rPr>
          <w:rFonts w:ascii="Times New Roman" w:hAnsi="Times New Roman" w:cs="Times New Roman"/>
          <w:sz w:val="24"/>
          <w:szCs w:val="24"/>
        </w:rPr>
        <w:t>,</w:t>
      </w:r>
      <w:r w:rsidRPr="007F28C1">
        <w:rPr>
          <w:rFonts w:ascii="Times New Roman" w:hAnsi="Times New Roman" w:cs="Times New Roman"/>
          <w:sz w:val="24"/>
          <w:szCs w:val="24"/>
        </w:rPr>
        <w:t xml:space="preserve"> przewiduje istotne</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zmiany przepisów</w:t>
      </w:r>
      <w:r w:rsidR="00927FD1" w:rsidRPr="007F28C1">
        <w:rPr>
          <w:rFonts w:ascii="Times New Roman" w:hAnsi="Times New Roman" w:cs="Times New Roman"/>
          <w:sz w:val="24"/>
          <w:szCs w:val="24"/>
        </w:rPr>
        <w:t xml:space="preserve"> ustawy z dnia 9 czerwca 2011</w:t>
      </w:r>
      <w:r w:rsidR="00F90A05">
        <w:rPr>
          <w:rFonts w:ascii="Times New Roman" w:hAnsi="Times New Roman" w:cs="Times New Roman"/>
          <w:sz w:val="24"/>
          <w:szCs w:val="24"/>
        </w:rPr>
        <w:t xml:space="preserve"> </w:t>
      </w:r>
      <w:r w:rsidR="00927FD1" w:rsidRPr="007F28C1">
        <w:rPr>
          <w:rFonts w:ascii="Times New Roman" w:hAnsi="Times New Roman" w:cs="Times New Roman"/>
          <w:sz w:val="24"/>
          <w:szCs w:val="24"/>
        </w:rPr>
        <w:t>r. – Prawo g</w:t>
      </w:r>
      <w:r w:rsidR="001F5CF0">
        <w:rPr>
          <w:rFonts w:ascii="Times New Roman" w:hAnsi="Times New Roman" w:cs="Times New Roman"/>
          <w:sz w:val="24"/>
          <w:szCs w:val="24"/>
        </w:rPr>
        <w:t xml:space="preserve">eologiczne i górnicze (Dz. </w:t>
      </w:r>
      <w:r w:rsidR="000B2B42">
        <w:rPr>
          <w:rFonts w:ascii="Times New Roman" w:hAnsi="Times New Roman" w:cs="Times New Roman"/>
          <w:sz w:val="24"/>
          <w:szCs w:val="24"/>
        </w:rPr>
        <w:t>U. z </w:t>
      </w:r>
      <w:r w:rsidR="00927FD1" w:rsidRPr="007F28C1">
        <w:rPr>
          <w:rFonts w:ascii="Times New Roman" w:hAnsi="Times New Roman" w:cs="Times New Roman"/>
          <w:sz w:val="24"/>
          <w:szCs w:val="24"/>
        </w:rPr>
        <w:t>202</w:t>
      </w:r>
      <w:r w:rsidR="00DE3A59" w:rsidRPr="007F28C1">
        <w:rPr>
          <w:rFonts w:ascii="Times New Roman" w:hAnsi="Times New Roman" w:cs="Times New Roman"/>
          <w:sz w:val="24"/>
          <w:szCs w:val="24"/>
        </w:rPr>
        <w:t>3</w:t>
      </w:r>
      <w:r w:rsidR="00927FD1" w:rsidRPr="007F28C1">
        <w:rPr>
          <w:rFonts w:ascii="Times New Roman" w:hAnsi="Times New Roman" w:cs="Times New Roman"/>
          <w:sz w:val="24"/>
          <w:szCs w:val="24"/>
        </w:rPr>
        <w:t xml:space="preserve"> r. poz. </w:t>
      </w:r>
      <w:r w:rsidR="00DE3A59" w:rsidRPr="007F28C1">
        <w:rPr>
          <w:rFonts w:ascii="Times New Roman" w:hAnsi="Times New Roman" w:cs="Times New Roman"/>
          <w:sz w:val="24"/>
          <w:szCs w:val="24"/>
        </w:rPr>
        <w:t>633</w:t>
      </w:r>
      <w:r w:rsidR="00927FD1" w:rsidRPr="007F28C1">
        <w:rPr>
          <w:rFonts w:ascii="Times New Roman" w:hAnsi="Times New Roman" w:cs="Times New Roman"/>
          <w:sz w:val="24"/>
          <w:szCs w:val="24"/>
        </w:rPr>
        <w:t>), zwanej dalej „P.g.g.”,</w:t>
      </w:r>
      <w:r w:rsidR="00967A32">
        <w:rPr>
          <w:rFonts w:ascii="Times New Roman" w:hAnsi="Times New Roman" w:cs="Times New Roman"/>
          <w:sz w:val="24"/>
          <w:szCs w:val="24"/>
        </w:rPr>
        <w:t xml:space="preserve"> </w:t>
      </w:r>
      <w:r w:rsidRPr="007F28C1">
        <w:rPr>
          <w:rFonts w:ascii="Times New Roman" w:hAnsi="Times New Roman" w:cs="Times New Roman"/>
          <w:sz w:val="24"/>
          <w:szCs w:val="24"/>
        </w:rPr>
        <w:t>których celem jest m.in.:</w:t>
      </w:r>
    </w:p>
    <w:p w14:paraId="14720A36" w14:textId="3C8BB15D" w:rsidR="00DD0CDF" w:rsidRPr="007F28C1" w:rsidRDefault="00F6277F" w:rsidP="007F28C1">
      <w:pPr>
        <w:pStyle w:val="Akapitzlist"/>
        <w:numPr>
          <w:ilvl w:val="0"/>
          <w:numId w:val="26"/>
        </w:numPr>
        <w:suppressAutoHyphens/>
        <w:spacing w:before="120" w:after="0" w:line="360" w:lineRule="auto"/>
        <w:ind w:left="397" w:hanging="299"/>
        <w:contextualSpacing w:val="0"/>
        <w:jc w:val="both"/>
        <w:rPr>
          <w:rFonts w:ascii="Times New Roman" w:hAnsi="Times New Roman" w:cs="Times New Roman"/>
          <w:sz w:val="24"/>
          <w:szCs w:val="24"/>
        </w:rPr>
      </w:pPr>
      <w:r w:rsidRPr="007F28C1">
        <w:rPr>
          <w:rFonts w:ascii="Times New Roman" w:hAnsi="Times New Roman" w:cs="Times New Roman"/>
          <w:sz w:val="24"/>
          <w:szCs w:val="24"/>
        </w:rPr>
        <w:t xml:space="preserve">ochrona złóż kopalin </w:t>
      </w:r>
      <w:r w:rsidR="00927FD1" w:rsidRPr="007F28C1">
        <w:rPr>
          <w:rFonts w:ascii="Times New Roman" w:hAnsi="Times New Roman" w:cs="Times New Roman"/>
          <w:sz w:val="24"/>
          <w:szCs w:val="24"/>
        </w:rPr>
        <w:t xml:space="preserve">– </w:t>
      </w:r>
      <w:r w:rsidR="00DD0CDF" w:rsidRPr="007F28C1">
        <w:rPr>
          <w:rFonts w:ascii="Times New Roman" w:hAnsi="Times New Roman" w:cs="Times New Roman"/>
          <w:sz w:val="24"/>
          <w:szCs w:val="24"/>
        </w:rPr>
        <w:t>realizacja zaleceń Najwyższej Izby Kontroli (dalej „NIK”),</w:t>
      </w:r>
    </w:p>
    <w:p w14:paraId="43940257" w14:textId="62D4174F" w:rsidR="0079690D" w:rsidRPr="007F28C1" w:rsidRDefault="00DD0CDF" w:rsidP="007F28C1">
      <w:pPr>
        <w:pStyle w:val="Akapitzlist"/>
        <w:numPr>
          <w:ilvl w:val="0"/>
          <w:numId w:val="26"/>
        </w:numPr>
        <w:tabs>
          <w:tab w:val="left" w:pos="392"/>
        </w:tabs>
        <w:suppressAutoHyphens/>
        <w:spacing w:before="120" w:after="0" w:line="360" w:lineRule="auto"/>
        <w:ind w:left="406" w:hanging="224"/>
        <w:contextualSpacing w:val="0"/>
        <w:jc w:val="both"/>
        <w:rPr>
          <w:rFonts w:ascii="Times New Roman" w:hAnsi="Times New Roman" w:cs="Times New Roman"/>
          <w:sz w:val="24"/>
          <w:szCs w:val="24"/>
        </w:rPr>
      </w:pPr>
      <w:r w:rsidRPr="007F28C1">
        <w:rPr>
          <w:rFonts w:ascii="Times New Roman" w:hAnsi="Times New Roman" w:cs="Times New Roman"/>
          <w:sz w:val="24"/>
          <w:szCs w:val="24"/>
        </w:rPr>
        <w:t>wprowadzenie do P.g.g. instrumentów prawnych związanych z transformacją energetyczno-klimatyczną</w:t>
      </w:r>
      <w:r w:rsidR="00894E6E" w:rsidRPr="007F28C1">
        <w:rPr>
          <w:rFonts w:ascii="Times New Roman" w:hAnsi="Times New Roman" w:cs="Times New Roman"/>
          <w:sz w:val="24"/>
          <w:szCs w:val="24"/>
        </w:rPr>
        <w:t>,</w:t>
      </w:r>
    </w:p>
    <w:p w14:paraId="18F13046" w14:textId="30EF8326" w:rsidR="00894E6E" w:rsidRPr="007F28C1" w:rsidRDefault="00894E6E" w:rsidP="007F28C1">
      <w:pPr>
        <w:pStyle w:val="Akapitzlist"/>
        <w:numPr>
          <w:ilvl w:val="0"/>
          <w:numId w:val="26"/>
        </w:numPr>
        <w:suppressAutoHyphens/>
        <w:spacing w:before="120" w:after="0" w:line="360" w:lineRule="auto"/>
        <w:ind w:left="434" w:hanging="182"/>
        <w:contextualSpacing w:val="0"/>
        <w:jc w:val="both"/>
        <w:rPr>
          <w:rFonts w:ascii="Times New Roman" w:hAnsi="Times New Roman" w:cs="Times New Roman"/>
          <w:sz w:val="24"/>
          <w:szCs w:val="24"/>
        </w:rPr>
      </w:pPr>
      <w:r w:rsidRPr="007F28C1">
        <w:rPr>
          <w:rFonts w:ascii="Times New Roman" w:hAnsi="Times New Roman" w:cs="Times New Roman"/>
          <w:sz w:val="24"/>
          <w:szCs w:val="24"/>
        </w:rPr>
        <w:t xml:space="preserve">liberalizacja i uporządkowanie przepisów regulujących działalność prowadzoną na </w:t>
      </w:r>
      <w:r w:rsidR="00F6277F" w:rsidRPr="007F28C1">
        <w:rPr>
          <w:rFonts w:ascii="Times New Roman" w:hAnsi="Times New Roman" w:cs="Times New Roman"/>
          <w:sz w:val="24"/>
          <w:szCs w:val="24"/>
        </w:rPr>
        <w:t xml:space="preserve">podstawie </w:t>
      </w:r>
      <w:r w:rsidRPr="007F28C1">
        <w:rPr>
          <w:rFonts w:ascii="Times New Roman" w:hAnsi="Times New Roman" w:cs="Times New Roman"/>
          <w:sz w:val="24"/>
          <w:szCs w:val="24"/>
        </w:rPr>
        <w:t>P.g.g</w:t>
      </w:r>
      <w:r w:rsidR="008C176F" w:rsidRPr="007F28C1">
        <w:rPr>
          <w:rFonts w:ascii="Times New Roman" w:hAnsi="Times New Roman" w:cs="Times New Roman"/>
          <w:sz w:val="24"/>
          <w:szCs w:val="24"/>
        </w:rPr>
        <w:t>.</w:t>
      </w:r>
      <w:r w:rsidRPr="007F28C1">
        <w:rPr>
          <w:rFonts w:ascii="Times New Roman" w:hAnsi="Times New Roman" w:cs="Times New Roman"/>
          <w:sz w:val="24"/>
          <w:szCs w:val="24"/>
        </w:rPr>
        <w:t>,</w:t>
      </w:r>
    </w:p>
    <w:p w14:paraId="3C3068F4" w14:textId="2F17742B" w:rsidR="00DD0CDF" w:rsidRPr="007F28C1" w:rsidRDefault="00DD0CDF" w:rsidP="007F28C1">
      <w:pPr>
        <w:pStyle w:val="Akapitzlist"/>
        <w:numPr>
          <w:ilvl w:val="0"/>
          <w:numId w:val="26"/>
        </w:numPr>
        <w:suppressAutoHyphens/>
        <w:spacing w:before="120" w:after="0" w:line="360" w:lineRule="auto"/>
        <w:ind w:left="397" w:hanging="131"/>
        <w:contextualSpacing w:val="0"/>
        <w:jc w:val="both"/>
        <w:rPr>
          <w:rFonts w:ascii="Times New Roman" w:hAnsi="Times New Roman" w:cs="Times New Roman"/>
          <w:sz w:val="24"/>
          <w:szCs w:val="24"/>
        </w:rPr>
      </w:pPr>
      <w:r w:rsidRPr="007F28C1">
        <w:rPr>
          <w:rFonts w:ascii="Times New Roman" w:hAnsi="Times New Roman" w:cs="Times New Roman"/>
          <w:sz w:val="24"/>
          <w:szCs w:val="24"/>
        </w:rPr>
        <w:t>usprawnienie działalności organów nadzoru górniczego</w:t>
      </w:r>
      <w:r w:rsidR="0079690D" w:rsidRPr="007F28C1">
        <w:rPr>
          <w:rFonts w:ascii="Times New Roman" w:hAnsi="Times New Roman" w:cs="Times New Roman"/>
          <w:sz w:val="24"/>
          <w:szCs w:val="24"/>
        </w:rPr>
        <w:t>,</w:t>
      </w:r>
    </w:p>
    <w:p w14:paraId="33F924F5" w14:textId="5C723875" w:rsidR="0079690D" w:rsidRDefault="00B72BC8" w:rsidP="007F28C1">
      <w:pPr>
        <w:pStyle w:val="Akapitzlist"/>
        <w:numPr>
          <w:ilvl w:val="0"/>
          <w:numId w:val="26"/>
        </w:numPr>
        <w:suppressAutoHyphens/>
        <w:spacing w:before="120" w:after="0" w:line="360" w:lineRule="auto"/>
        <w:ind w:left="397" w:hanging="215"/>
        <w:contextualSpacing w:val="0"/>
        <w:jc w:val="both"/>
        <w:rPr>
          <w:rFonts w:ascii="Times New Roman" w:hAnsi="Times New Roman" w:cs="Times New Roman"/>
          <w:sz w:val="24"/>
          <w:szCs w:val="24"/>
        </w:rPr>
      </w:pPr>
      <w:r w:rsidRPr="007F28C1">
        <w:rPr>
          <w:rFonts w:ascii="Times New Roman" w:hAnsi="Times New Roman" w:cs="Times New Roman"/>
          <w:sz w:val="24"/>
          <w:szCs w:val="24"/>
        </w:rPr>
        <w:t>zmiana przepisów regulujących działalność</w:t>
      </w:r>
      <w:r w:rsidR="0079690D" w:rsidRPr="007F28C1">
        <w:rPr>
          <w:rFonts w:ascii="Times New Roman" w:hAnsi="Times New Roman" w:cs="Times New Roman"/>
          <w:sz w:val="24"/>
          <w:szCs w:val="24"/>
        </w:rPr>
        <w:t xml:space="preserve"> państwowej służby geologicznej (dalej</w:t>
      </w:r>
      <w:r w:rsidR="00C937D5" w:rsidRPr="007F28C1">
        <w:rPr>
          <w:rFonts w:ascii="Times New Roman" w:hAnsi="Times New Roman" w:cs="Times New Roman"/>
          <w:sz w:val="24"/>
          <w:szCs w:val="24"/>
        </w:rPr>
        <w:t xml:space="preserve"> równie</w:t>
      </w:r>
      <w:r w:rsidR="008D0862" w:rsidRPr="007F28C1">
        <w:rPr>
          <w:rFonts w:ascii="Times New Roman" w:hAnsi="Times New Roman" w:cs="Times New Roman"/>
          <w:sz w:val="24"/>
          <w:szCs w:val="24"/>
        </w:rPr>
        <w:t>ż</w:t>
      </w:r>
      <w:r w:rsidR="0079690D" w:rsidRPr="007F28C1">
        <w:rPr>
          <w:rFonts w:ascii="Times New Roman" w:hAnsi="Times New Roman" w:cs="Times New Roman"/>
          <w:sz w:val="24"/>
          <w:szCs w:val="24"/>
        </w:rPr>
        <w:t xml:space="preserve"> </w:t>
      </w:r>
      <w:r w:rsidR="000B36BF" w:rsidRPr="007F28C1">
        <w:rPr>
          <w:rFonts w:ascii="Times New Roman" w:hAnsi="Times New Roman" w:cs="Times New Roman"/>
          <w:sz w:val="24"/>
          <w:szCs w:val="24"/>
        </w:rPr>
        <w:t xml:space="preserve">jako </w:t>
      </w:r>
      <w:r w:rsidR="0079690D" w:rsidRPr="007F28C1">
        <w:rPr>
          <w:rFonts w:ascii="Times New Roman" w:hAnsi="Times New Roman" w:cs="Times New Roman"/>
          <w:sz w:val="24"/>
          <w:szCs w:val="24"/>
        </w:rPr>
        <w:t>„PSG”).</w:t>
      </w:r>
    </w:p>
    <w:p w14:paraId="423335E3" w14:textId="4C4313F7" w:rsidR="00DD0CDF" w:rsidRPr="007F28C1" w:rsidRDefault="00DD0CDF" w:rsidP="007F28C1">
      <w:pPr>
        <w:pStyle w:val="Akapitzlist"/>
        <w:numPr>
          <w:ilvl w:val="0"/>
          <w:numId w:val="14"/>
        </w:numPr>
        <w:tabs>
          <w:tab w:val="left" w:pos="434"/>
        </w:tabs>
        <w:suppressAutoHyphens/>
        <w:spacing w:before="240" w:after="0" w:line="360" w:lineRule="auto"/>
        <w:ind w:left="1077" w:hanging="924"/>
        <w:contextualSpacing w:val="0"/>
        <w:jc w:val="both"/>
        <w:rPr>
          <w:rFonts w:ascii="Times New Roman" w:hAnsi="Times New Roman" w:cs="Times New Roman"/>
          <w:b/>
          <w:bCs/>
          <w:sz w:val="24"/>
          <w:szCs w:val="24"/>
        </w:rPr>
      </w:pPr>
      <w:r w:rsidRPr="007F28C1">
        <w:rPr>
          <w:rFonts w:ascii="Times New Roman" w:hAnsi="Times New Roman" w:cs="Times New Roman"/>
          <w:b/>
          <w:bCs/>
          <w:sz w:val="24"/>
          <w:szCs w:val="24"/>
        </w:rPr>
        <w:t>Ochrona złóż kopalin</w:t>
      </w:r>
    </w:p>
    <w:p w14:paraId="43CD607B" w14:textId="6A7BBB1A" w:rsidR="00DD0CDF" w:rsidRPr="007F28C1" w:rsidRDefault="00DD0CDF" w:rsidP="007F28C1">
      <w:pPr>
        <w:pStyle w:val="Akapitzlist"/>
        <w:numPr>
          <w:ilvl w:val="0"/>
          <w:numId w:val="15"/>
        </w:numPr>
        <w:suppressAutoHyphens/>
        <w:spacing w:before="240" w:after="0" w:line="360" w:lineRule="auto"/>
        <w:ind w:left="420" w:hanging="420"/>
        <w:contextualSpacing w:val="0"/>
        <w:jc w:val="both"/>
        <w:rPr>
          <w:rFonts w:ascii="Times New Roman" w:hAnsi="Times New Roman" w:cs="Times New Roman"/>
          <w:b/>
          <w:bCs/>
          <w:sz w:val="24"/>
          <w:szCs w:val="24"/>
        </w:rPr>
      </w:pPr>
      <w:r w:rsidRPr="007F28C1">
        <w:rPr>
          <w:rFonts w:ascii="Times New Roman" w:hAnsi="Times New Roman" w:cs="Times New Roman"/>
          <w:b/>
          <w:bCs/>
          <w:sz w:val="24"/>
          <w:szCs w:val="24"/>
        </w:rPr>
        <w:t>Wprowadzenie</w:t>
      </w:r>
    </w:p>
    <w:p w14:paraId="7AA3BC36" w14:textId="3B5B5D20"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Złoża kopalin stanowią istotny z punktu widzenia gospodarki narodowej element środowiska naturalnego. Obowiązujące przepisy nie zapewniają jednak dostatecznej ochrony</w:t>
      </w:r>
      <w:r w:rsidR="00F6277F" w:rsidRPr="007F28C1">
        <w:rPr>
          <w:rFonts w:ascii="Times New Roman" w:hAnsi="Times New Roman" w:cs="Times New Roman"/>
          <w:sz w:val="24"/>
          <w:szCs w:val="24"/>
        </w:rPr>
        <w:t xml:space="preserve"> złóż kopalin</w:t>
      </w:r>
      <w:r w:rsidRPr="007F28C1">
        <w:rPr>
          <w:rFonts w:ascii="Times New Roman" w:hAnsi="Times New Roman" w:cs="Times New Roman"/>
          <w:sz w:val="24"/>
          <w:szCs w:val="24"/>
        </w:rPr>
        <w:t>, przede wszystkim przed trwałą zabudową, wykluczającą eksploatację złóż w przyszłości. Jednym z</w:t>
      </w:r>
      <w:r w:rsidR="00F90A05">
        <w:rPr>
          <w:rFonts w:ascii="Times New Roman" w:hAnsi="Times New Roman" w:cs="Times New Roman"/>
          <w:sz w:val="24"/>
          <w:szCs w:val="24"/>
        </w:rPr>
        <w:t xml:space="preserve"> </w:t>
      </w:r>
      <w:r w:rsidRPr="007F28C1">
        <w:rPr>
          <w:rFonts w:ascii="Times New Roman" w:hAnsi="Times New Roman" w:cs="Times New Roman"/>
          <w:sz w:val="24"/>
          <w:szCs w:val="24"/>
        </w:rPr>
        <w:t>głównych celów projektu nowelizacji jest wprowadzenie ram prawnych, które pozwolą na objęcie występujących w Polsce złóż kopalin skutecznym i kompleksowym system</w:t>
      </w:r>
      <w:r w:rsidR="00590F58" w:rsidRPr="007F28C1">
        <w:rPr>
          <w:rFonts w:ascii="Times New Roman" w:hAnsi="Times New Roman" w:cs="Times New Roman"/>
          <w:sz w:val="24"/>
          <w:szCs w:val="24"/>
        </w:rPr>
        <w:t>em</w:t>
      </w:r>
      <w:r w:rsidRPr="007F28C1">
        <w:rPr>
          <w:rFonts w:ascii="Times New Roman" w:hAnsi="Times New Roman" w:cs="Times New Roman"/>
          <w:sz w:val="24"/>
          <w:szCs w:val="24"/>
        </w:rPr>
        <w:t xml:space="preserve"> ochrony prawnej. Ma to szczególne znaczenie w kontekście dwóch kluczowych cech, jakimi odznaczają się złoża kopalin: po pierwsze </w:t>
      </w:r>
      <w:r w:rsidR="000B36BF" w:rsidRPr="007F28C1">
        <w:rPr>
          <w:rFonts w:ascii="Times New Roman" w:hAnsi="Times New Roman" w:cs="Times New Roman"/>
          <w:sz w:val="24"/>
          <w:szCs w:val="24"/>
        </w:rPr>
        <w:t xml:space="preserve">– </w:t>
      </w:r>
      <w:r w:rsidR="00CE004C">
        <w:rPr>
          <w:rFonts w:ascii="Times New Roman" w:hAnsi="Times New Roman" w:cs="Times New Roman"/>
          <w:sz w:val="24"/>
          <w:szCs w:val="24"/>
        </w:rPr>
        <w:t xml:space="preserve">ich nieodnawialnością, po </w:t>
      </w:r>
      <w:r w:rsidRPr="007F28C1">
        <w:rPr>
          <w:rFonts w:ascii="Times New Roman" w:hAnsi="Times New Roman" w:cs="Times New Roman"/>
          <w:sz w:val="24"/>
          <w:szCs w:val="24"/>
        </w:rPr>
        <w:t xml:space="preserve">wtóre </w:t>
      </w:r>
      <w:r w:rsidR="000B36BF" w:rsidRPr="007F28C1">
        <w:rPr>
          <w:rFonts w:ascii="Times New Roman" w:hAnsi="Times New Roman" w:cs="Times New Roman"/>
          <w:sz w:val="24"/>
          <w:szCs w:val="24"/>
        </w:rPr>
        <w:t xml:space="preserve">– </w:t>
      </w:r>
      <w:r w:rsidRPr="007F28C1">
        <w:rPr>
          <w:rFonts w:ascii="Times New Roman" w:hAnsi="Times New Roman" w:cs="Times New Roman"/>
          <w:sz w:val="24"/>
          <w:szCs w:val="24"/>
        </w:rPr>
        <w:t>korzyściami gospodarczymi płynącymi z ich wydobywania.</w:t>
      </w:r>
    </w:p>
    <w:p w14:paraId="767861A5" w14:textId="6F08B36E"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Na istnienie luki prawnej w zakresie ochrony złóż ko</w:t>
      </w:r>
      <w:r w:rsidR="00CE004C">
        <w:rPr>
          <w:rFonts w:ascii="Times New Roman" w:hAnsi="Times New Roman" w:cs="Times New Roman"/>
          <w:sz w:val="24"/>
          <w:szCs w:val="24"/>
        </w:rPr>
        <w:t xml:space="preserve">palin zwróciła uwagę NIK w </w:t>
      </w:r>
      <w:r w:rsidRPr="007F28C1">
        <w:rPr>
          <w:rFonts w:ascii="Times New Roman" w:hAnsi="Times New Roman" w:cs="Times New Roman"/>
          <w:sz w:val="24"/>
          <w:szCs w:val="24"/>
        </w:rPr>
        <w:t>wystąpieniu pokontrolnym sporządzonym w związku z kontrolą przeprowadzoną w 2017 r. w Ministerstwie Środowiska w przedmiocie gospodarki złożami strategiczny</w:t>
      </w:r>
      <w:r w:rsidR="00F6277F" w:rsidRPr="007F28C1">
        <w:rPr>
          <w:rFonts w:ascii="Times New Roman" w:hAnsi="Times New Roman" w:cs="Times New Roman"/>
          <w:sz w:val="24"/>
          <w:szCs w:val="24"/>
        </w:rPr>
        <w:t>ch</w:t>
      </w:r>
      <w:r w:rsidRPr="007F28C1">
        <w:rPr>
          <w:rFonts w:ascii="Times New Roman" w:hAnsi="Times New Roman" w:cs="Times New Roman"/>
          <w:sz w:val="24"/>
          <w:szCs w:val="24"/>
        </w:rPr>
        <w:t xml:space="preserve"> surowców kopalnych. W swoich zaleceniach NIK oceniła działalność Ministra Środowiska w zakresie zarządzania </w:t>
      </w:r>
      <w:r w:rsidR="003A38CB" w:rsidRPr="007F28C1">
        <w:rPr>
          <w:rFonts w:ascii="Times New Roman" w:hAnsi="Times New Roman" w:cs="Times New Roman"/>
          <w:sz w:val="24"/>
          <w:szCs w:val="24"/>
        </w:rPr>
        <w:t xml:space="preserve">udokumentowanymi złożami kopalin </w:t>
      </w:r>
      <w:r w:rsidRPr="007F28C1">
        <w:rPr>
          <w:rFonts w:ascii="Times New Roman" w:hAnsi="Times New Roman" w:cs="Times New Roman"/>
          <w:sz w:val="24"/>
          <w:szCs w:val="24"/>
        </w:rPr>
        <w:t xml:space="preserve">i </w:t>
      </w:r>
      <w:r w:rsidR="003A38CB" w:rsidRPr="007F28C1">
        <w:rPr>
          <w:rFonts w:ascii="Times New Roman" w:hAnsi="Times New Roman" w:cs="Times New Roman"/>
          <w:sz w:val="24"/>
          <w:szCs w:val="24"/>
        </w:rPr>
        <w:t xml:space="preserve">ich </w:t>
      </w:r>
      <w:r w:rsidRPr="007F28C1">
        <w:rPr>
          <w:rFonts w:ascii="Times New Roman" w:hAnsi="Times New Roman" w:cs="Times New Roman"/>
          <w:sz w:val="24"/>
          <w:szCs w:val="24"/>
        </w:rPr>
        <w:t>ochrony jako n</w:t>
      </w:r>
      <w:r w:rsidR="000B2B42">
        <w:rPr>
          <w:rFonts w:ascii="Times New Roman" w:hAnsi="Times New Roman" w:cs="Times New Roman"/>
          <w:sz w:val="24"/>
          <w:szCs w:val="24"/>
        </w:rPr>
        <w:t>iewystarczającą. Do obszarów, w </w:t>
      </w:r>
      <w:r w:rsidRPr="007F28C1">
        <w:rPr>
          <w:rFonts w:ascii="Times New Roman" w:hAnsi="Times New Roman" w:cs="Times New Roman"/>
          <w:sz w:val="24"/>
          <w:szCs w:val="24"/>
        </w:rPr>
        <w:t xml:space="preserve">których </w:t>
      </w:r>
      <w:r w:rsidR="003A38CB" w:rsidRPr="007F28C1">
        <w:rPr>
          <w:rFonts w:ascii="Times New Roman" w:hAnsi="Times New Roman" w:cs="Times New Roman"/>
          <w:sz w:val="24"/>
          <w:szCs w:val="24"/>
        </w:rPr>
        <w:t xml:space="preserve">zostały </w:t>
      </w:r>
      <w:r w:rsidRPr="007F28C1">
        <w:rPr>
          <w:rFonts w:ascii="Times New Roman" w:hAnsi="Times New Roman" w:cs="Times New Roman"/>
          <w:sz w:val="24"/>
          <w:szCs w:val="24"/>
        </w:rPr>
        <w:t>stwierdzone nieprawidłowości</w:t>
      </w:r>
      <w:r w:rsidR="00985D6C" w:rsidRPr="007F28C1">
        <w:rPr>
          <w:rFonts w:ascii="Times New Roman" w:hAnsi="Times New Roman" w:cs="Times New Roman"/>
          <w:sz w:val="24"/>
          <w:szCs w:val="24"/>
        </w:rPr>
        <w:t>,</w:t>
      </w:r>
      <w:r w:rsidRPr="007F28C1">
        <w:rPr>
          <w:rFonts w:ascii="Times New Roman" w:hAnsi="Times New Roman" w:cs="Times New Roman"/>
          <w:sz w:val="24"/>
          <w:szCs w:val="24"/>
        </w:rPr>
        <w:t xml:space="preserve"> NIK zaliczyła przede wszystkim:</w:t>
      </w:r>
    </w:p>
    <w:p w14:paraId="0346E4DE" w14:textId="2662B4F8" w:rsidR="00C961E9" w:rsidRPr="007F28C1" w:rsidRDefault="00C961E9" w:rsidP="007F28C1">
      <w:pPr>
        <w:pStyle w:val="Akapitzlist"/>
        <w:numPr>
          <w:ilvl w:val="0"/>
          <w:numId w:val="16"/>
        </w:numPr>
        <w:suppressAutoHyphens/>
        <w:spacing w:before="120" w:after="0" w:line="360" w:lineRule="auto"/>
        <w:ind w:left="426"/>
        <w:contextualSpacing w:val="0"/>
        <w:jc w:val="both"/>
        <w:rPr>
          <w:rFonts w:ascii="Times New Roman" w:hAnsi="Times New Roman" w:cs="Times New Roman"/>
          <w:sz w:val="24"/>
          <w:szCs w:val="24"/>
        </w:rPr>
      </w:pPr>
      <w:r w:rsidRPr="007F28C1">
        <w:rPr>
          <w:rFonts w:ascii="Times New Roman" w:hAnsi="Times New Roman" w:cs="Times New Roman"/>
          <w:sz w:val="24"/>
          <w:szCs w:val="24"/>
        </w:rPr>
        <w:lastRenderedPageBreak/>
        <w:t>nieopracowanie wykazu złóż kopalin mających strategiczne znaczenie dla gospodarki państwa oraz niewprowadzenie skutecznych mechanizmów zapewniających zachowanie wartości użytkowych takich złóż i ich ochronę przed stałą zabudową i inwestycjami liniowymi</w:t>
      </w:r>
      <w:r w:rsidR="003A38CB" w:rsidRPr="007F28C1">
        <w:rPr>
          <w:rFonts w:ascii="Times New Roman" w:hAnsi="Times New Roman" w:cs="Times New Roman"/>
          <w:sz w:val="24"/>
          <w:szCs w:val="24"/>
        </w:rPr>
        <w:t>;</w:t>
      </w:r>
    </w:p>
    <w:p w14:paraId="51C6B7BE" w14:textId="33C550C8" w:rsidR="00C961E9" w:rsidRPr="007F28C1" w:rsidRDefault="00C961E9" w:rsidP="007F28C1">
      <w:pPr>
        <w:pStyle w:val="Akapitzlist"/>
        <w:numPr>
          <w:ilvl w:val="0"/>
          <w:numId w:val="16"/>
        </w:numPr>
        <w:suppressAutoHyphens/>
        <w:spacing w:before="120" w:after="0" w:line="360" w:lineRule="auto"/>
        <w:ind w:left="426"/>
        <w:contextualSpacing w:val="0"/>
        <w:jc w:val="both"/>
        <w:rPr>
          <w:rFonts w:ascii="Times New Roman" w:hAnsi="Times New Roman" w:cs="Times New Roman"/>
          <w:sz w:val="24"/>
          <w:szCs w:val="24"/>
        </w:rPr>
      </w:pPr>
      <w:r w:rsidRPr="007F28C1">
        <w:rPr>
          <w:rFonts w:ascii="Times New Roman" w:hAnsi="Times New Roman" w:cs="Times New Roman"/>
          <w:sz w:val="24"/>
          <w:szCs w:val="24"/>
        </w:rPr>
        <w:t>niewykonywanie przez Ministra Środowiska obowiązku nakładania kar pieniężnych na wojewodów z tytułu niewydania zarządzeń zastępczych</w:t>
      </w:r>
      <w:r w:rsidR="003A38CB" w:rsidRPr="007F28C1">
        <w:rPr>
          <w:rFonts w:ascii="Times New Roman" w:hAnsi="Times New Roman" w:cs="Times New Roman"/>
          <w:sz w:val="24"/>
          <w:szCs w:val="24"/>
        </w:rPr>
        <w:t>;</w:t>
      </w:r>
    </w:p>
    <w:p w14:paraId="4F83DC7A" w14:textId="58047B1C" w:rsidR="00C961E9" w:rsidRPr="007F28C1" w:rsidRDefault="00C961E9" w:rsidP="007F28C1">
      <w:pPr>
        <w:pStyle w:val="Akapitzlist"/>
        <w:numPr>
          <w:ilvl w:val="0"/>
          <w:numId w:val="16"/>
        </w:numPr>
        <w:suppressAutoHyphens/>
        <w:spacing w:before="120" w:after="0" w:line="360" w:lineRule="auto"/>
        <w:ind w:left="426"/>
        <w:contextualSpacing w:val="0"/>
        <w:jc w:val="both"/>
        <w:rPr>
          <w:rFonts w:ascii="Times New Roman" w:hAnsi="Times New Roman" w:cs="Times New Roman"/>
          <w:sz w:val="24"/>
          <w:szCs w:val="24"/>
        </w:rPr>
      </w:pPr>
      <w:r w:rsidRPr="007F28C1">
        <w:rPr>
          <w:rFonts w:ascii="Times New Roman" w:hAnsi="Times New Roman" w:cs="Times New Roman"/>
          <w:sz w:val="24"/>
          <w:szCs w:val="24"/>
        </w:rPr>
        <w:t>nieegzekwowanie od jednostek samorządu terytorialnego informacji o realizacji obowiązku ujawniania udokumentowanych złóż kopalin w studium uwarunkowań</w:t>
      </w:r>
      <w:r w:rsidR="005B7604" w:rsidRPr="007F28C1">
        <w:rPr>
          <w:rFonts w:ascii="Times New Roman" w:hAnsi="Times New Roman" w:cs="Times New Roman"/>
          <w:sz w:val="24"/>
          <w:szCs w:val="24"/>
        </w:rPr>
        <w:t xml:space="preserve"> </w:t>
      </w:r>
      <w:r w:rsidR="001055C7">
        <w:rPr>
          <w:rFonts w:ascii="Times New Roman" w:hAnsi="Times New Roman" w:cs="Times New Roman"/>
          <w:sz w:val="24"/>
          <w:szCs w:val="24"/>
        </w:rPr>
        <w:t>i </w:t>
      </w:r>
      <w:r w:rsidRPr="007F28C1">
        <w:rPr>
          <w:rFonts w:ascii="Times New Roman" w:hAnsi="Times New Roman" w:cs="Times New Roman"/>
          <w:sz w:val="24"/>
          <w:szCs w:val="24"/>
        </w:rPr>
        <w:t>kierunków zagospodarowania przestrzennego gminy (dalej również „studium”)</w:t>
      </w:r>
      <w:r w:rsidR="003A38CB" w:rsidRPr="007F28C1">
        <w:rPr>
          <w:rFonts w:ascii="Times New Roman" w:hAnsi="Times New Roman" w:cs="Times New Roman"/>
          <w:sz w:val="24"/>
          <w:szCs w:val="24"/>
        </w:rPr>
        <w:t xml:space="preserve"> </w:t>
      </w:r>
      <w:r w:rsidR="001055C7">
        <w:rPr>
          <w:rFonts w:ascii="Times New Roman" w:hAnsi="Times New Roman" w:cs="Times New Roman"/>
          <w:sz w:val="24"/>
          <w:szCs w:val="24"/>
        </w:rPr>
        <w:t>oraz o </w:t>
      </w:r>
      <w:r w:rsidRPr="007F28C1">
        <w:rPr>
          <w:rFonts w:ascii="Times New Roman" w:hAnsi="Times New Roman" w:cs="Times New Roman"/>
          <w:sz w:val="24"/>
          <w:szCs w:val="24"/>
        </w:rPr>
        <w:t>wprowadzanych ograniczeniach co do sposobu zagospodarowania na terenach udokumentowanych złóż kopalin.</w:t>
      </w:r>
    </w:p>
    <w:p w14:paraId="10AE06BF" w14:textId="0C15D53C" w:rsidR="00C961E9" w:rsidRPr="007F28C1" w:rsidRDefault="00C961E9" w:rsidP="007F28C1">
      <w:pPr>
        <w:suppressAutoHyphens/>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Jednocześnie jednak NIK zwróciła uwagę, że powyższa negatywna ocena wynika m.in. z faktu, że</w:t>
      </w:r>
      <w:r w:rsidR="004618D4" w:rsidRPr="007F28C1">
        <w:rPr>
          <w:rFonts w:ascii="Times New Roman" w:hAnsi="Times New Roman" w:cs="Times New Roman"/>
          <w:sz w:val="24"/>
          <w:szCs w:val="24"/>
        </w:rPr>
        <w:t> </w:t>
      </w:r>
      <w:r w:rsidRPr="007F28C1">
        <w:rPr>
          <w:rFonts w:ascii="Times New Roman" w:hAnsi="Times New Roman" w:cs="Times New Roman"/>
          <w:sz w:val="24"/>
          <w:szCs w:val="24"/>
        </w:rPr>
        <w:t>obowiązujące przepisy nie dają ministrowi skutecznych instrumentów prawnych umożliwiających wywiązywanie się z obowiązku ochrony polegającej na racjonalnym gospodarowaniu zasobami złóż kopalin oraz na komple</w:t>
      </w:r>
      <w:r w:rsidR="001055C7">
        <w:rPr>
          <w:rFonts w:ascii="Times New Roman" w:hAnsi="Times New Roman" w:cs="Times New Roman"/>
          <w:sz w:val="24"/>
          <w:szCs w:val="24"/>
        </w:rPr>
        <w:t>ksowym wykorzystaniu kopalin. W </w:t>
      </w:r>
      <w:r w:rsidRPr="007F28C1">
        <w:rPr>
          <w:rFonts w:ascii="Times New Roman" w:hAnsi="Times New Roman" w:cs="Times New Roman"/>
          <w:sz w:val="24"/>
          <w:szCs w:val="24"/>
        </w:rPr>
        <w:t>związku z powyższym NIK uznała za konieczne przeprowadzenie odpowiednich zmian legislacyjnych umożliwiających skuteczne zarządzanie złożami kopalin oraz ich ochronę przed utratą możliwości ich eksploatacji w przyszłości. Szczególny nacisk w swoich uwagach NIK położyła na zagadnienie ochrony złóż tych kopalin, które mają strategiczne znaczenie dla polskiej gospodarki.</w:t>
      </w:r>
    </w:p>
    <w:p w14:paraId="7F45795E" w14:textId="521D7E3B" w:rsidR="00C961E9" w:rsidRPr="007F28C1" w:rsidRDefault="00C961E9" w:rsidP="007F28C1">
      <w:pPr>
        <w:suppressAutoHyphens/>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Najważniejszymi zaleceniami pokontrolnymi NIK skierowanymi do Mini</w:t>
      </w:r>
      <w:r w:rsidR="001055C7">
        <w:rPr>
          <w:rFonts w:ascii="Times New Roman" w:hAnsi="Times New Roman" w:cs="Times New Roman"/>
          <w:sz w:val="24"/>
          <w:szCs w:val="24"/>
        </w:rPr>
        <w:t>stra Środowiska w </w:t>
      </w:r>
      <w:r w:rsidRPr="007F28C1">
        <w:rPr>
          <w:rFonts w:ascii="Times New Roman" w:hAnsi="Times New Roman" w:cs="Times New Roman"/>
          <w:sz w:val="24"/>
          <w:szCs w:val="24"/>
        </w:rPr>
        <w:t>ww. zakresie były:</w:t>
      </w:r>
    </w:p>
    <w:p w14:paraId="274DFCE4" w14:textId="77777777" w:rsidR="00C961E9" w:rsidRPr="007F28C1" w:rsidRDefault="00C961E9" w:rsidP="007F28C1">
      <w:pPr>
        <w:pStyle w:val="Akapitzlist"/>
        <w:numPr>
          <w:ilvl w:val="0"/>
          <w:numId w:val="17"/>
        </w:numPr>
        <w:suppressAutoHyphens/>
        <w:spacing w:before="120" w:after="0" w:line="360" w:lineRule="auto"/>
        <w:ind w:left="425"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 xml:space="preserve">zapewnienie wytypowania strategicznych złóż kopalin wraz z wprowadzeniem mechanizmów zabezpieczenia możliwości ich eksploatacji oraz </w:t>
      </w:r>
    </w:p>
    <w:p w14:paraId="75EB8679" w14:textId="77777777" w:rsidR="00C961E9" w:rsidRPr="007F28C1" w:rsidRDefault="00C961E9" w:rsidP="007F28C1">
      <w:pPr>
        <w:pStyle w:val="Akapitzlist"/>
        <w:numPr>
          <w:ilvl w:val="0"/>
          <w:numId w:val="17"/>
        </w:numPr>
        <w:suppressAutoHyphens/>
        <w:spacing w:before="120" w:after="0" w:line="360" w:lineRule="auto"/>
        <w:ind w:left="425"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usprawnienie procedur związanych z:</w:t>
      </w:r>
    </w:p>
    <w:p w14:paraId="6792D361" w14:textId="3052C8A9" w:rsidR="00C961E9" w:rsidRPr="007F28C1" w:rsidRDefault="00C961E9" w:rsidP="007F28C1">
      <w:pPr>
        <w:pStyle w:val="Akapitzlist"/>
        <w:numPr>
          <w:ilvl w:val="1"/>
          <w:numId w:val="18"/>
        </w:numPr>
        <w:suppressAutoHyphens/>
        <w:spacing w:before="120" w:after="0" w:line="360" w:lineRule="auto"/>
        <w:ind w:left="845"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ujawnianiem przez jednostki samorządu terytorialnego udokumentowanych złóż kopalin w</w:t>
      </w:r>
      <w:r w:rsidR="004618D4" w:rsidRPr="007F28C1">
        <w:rPr>
          <w:rFonts w:ascii="Times New Roman" w:hAnsi="Times New Roman" w:cs="Times New Roman"/>
          <w:sz w:val="24"/>
          <w:szCs w:val="24"/>
        </w:rPr>
        <w:t> </w:t>
      </w:r>
      <w:r w:rsidRPr="007F28C1">
        <w:rPr>
          <w:rFonts w:ascii="Times New Roman" w:hAnsi="Times New Roman" w:cs="Times New Roman"/>
          <w:sz w:val="24"/>
          <w:szCs w:val="24"/>
        </w:rPr>
        <w:t>dokumentach planistycznych</w:t>
      </w:r>
      <w:r w:rsidR="003A38CB" w:rsidRPr="007F28C1">
        <w:rPr>
          <w:rFonts w:ascii="Times New Roman" w:hAnsi="Times New Roman" w:cs="Times New Roman"/>
          <w:sz w:val="24"/>
          <w:szCs w:val="24"/>
        </w:rPr>
        <w:t>,</w:t>
      </w:r>
    </w:p>
    <w:p w14:paraId="06C42129" w14:textId="0013A37F" w:rsidR="00C961E9" w:rsidRPr="007F28C1" w:rsidRDefault="00C961E9" w:rsidP="007F28C1">
      <w:pPr>
        <w:pStyle w:val="Akapitzlist"/>
        <w:numPr>
          <w:ilvl w:val="1"/>
          <w:numId w:val="18"/>
        </w:numPr>
        <w:suppressAutoHyphens/>
        <w:spacing w:before="120" w:after="0" w:line="360" w:lineRule="auto"/>
        <w:ind w:left="845"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 xml:space="preserve">wydawaniem przez wojewodów zarządzeń zastępczych, a w przypadku zwłoki wojewodów z wydawaniem ww. dokumentów </w:t>
      </w:r>
      <w:r w:rsidR="007253A3">
        <w:rPr>
          <w:rFonts w:ascii="Times New Roman" w:hAnsi="Times New Roman" w:cs="Times New Roman"/>
          <w:sz w:val="24"/>
          <w:szCs w:val="24"/>
        </w:rPr>
        <w:t xml:space="preserve">– </w:t>
      </w:r>
      <w:r w:rsidRPr="007F28C1">
        <w:rPr>
          <w:rFonts w:ascii="Times New Roman" w:hAnsi="Times New Roman" w:cs="Times New Roman"/>
          <w:sz w:val="24"/>
          <w:szCs w:val="24"/>
        </w:rPr>
        <w:t>usprawnienie postępowania związanego z</w:t>
      </w:r>
      <w:r w:rsidR="004618D4" w:rsidRPr="007F28C1">
        <w:rPr>
          <w:rFonts w:ascii="Times New Roman" w:hAnsi="Times New Roman" w:cs="Times New Roman"/>
          <w:sz w:val="24"/>
          <w:szCs w:val="24"/>
        </w:rPr>
        <w:t> </w:t>
      </w:r>
      <w:r w:rsidRPr="007F28C1">
        <w:rPr>
          <w:rFonts w:ascii="Times New Roman" w:hAnsi="Times New Roman" w:cs="Times New Roman"/>
          <w:sz w:val="24"/>
          <w:szCs w:val="24"/>
        </w:rPr>
        <w:t>nakładaniem przez Ministra Środowiska kar pieniężnych na wojewodów.</w:t>
      </w:r>
    </w:p>
    <w:p w14:paraId="20E078B5" w14:textId="0E184031" w:rsidR="00C961E9" w:rsidRPr="007F28C1" w:rsidRDefault="00DD0CDF" w:rsidP="007F28C1">
      <w:pPr>
        <w:pStyle w:val="Akapitzlist"/>
        <w:numPr>
          <w:ilvl w:val="0"/>
          <w:numId w:val="15"/>
        </w:numPr>
        <w:suppressAutoHyphens/>
        <w:spacing w:before="120" w:after="0" w:line="360" w:lineRule="auto"/>
        <w:ind w:left="397" w:hanging="397"/>
        <w:contextualSpacing w:val="0"/>
        <w:jc w:val="both"/>
        <w:rPr>
          <w:rFonts w:ascii="Times New Roman" w:hAnsi="Times New Roman" w:cs="Times New Roman"/>
          <w:b/>
          <w:bCs/>
          <w:sz w:val="24"/>
          <w:szCs w:val="24"/>
        </w:rPr>
      </w:pPr>
      <w:r w:rsidRPr="007F28C1">
        <w:rPr>
          <w:rFonts w:ascii="Times New Roman" w:hAnsi="Times New Roman" w:cs="Times New Roman"/>
          <w:b/>
          <w:bCs/>
          <w:sz w:val="24"/>
          <w:szCs w:val="24"/>
        </w:rPr>
        <w:lastRenderedPageBreak/>
        <w:t>Zmiany w P</w:t>
      </w:r>
      <w:r w:rsidR="005B7604" w:rsidRPr="007F28C1">
        <w:rPr>
          <w:rFonts w:ascii="Times New Roman" w:hAnsi="Times New Roman" w:cs="Times New Roman"/>
          <w:b/>
          <w:bCs/>
          <w:sz w:val="24"/>
          <w:szCs w:val="24"/>
        </w:rPr>
        <w:t>.g.g.</w:t>
      </w:r>
    </w:p>
    <w:p w14:paraId="42C76D52" w14:textId="75C33571"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Uznając zalecenia NIK za słuszne, projekt nowelizacji zakłada wprowadzenie do </w:t>
      </w:r>
      <w:r w:rsidR="00D651E5" w:rsidRPr="007F28C1">
        <w:rPr>
          <w:rFonts w:ascii="Times New Roman" w:hAnsi="Times New Roman" w:cs="Times New Roman"/>
          <w:sz w:val="24"/>
          <w:szCs w:val="24"/>
        </w:rPr>
        <w:t xml:space="preserve">przepisów </w:t>
      </w:r>
      <w:r w:rsidRPr="007F28C1">
        <w:rPr>
          <w:rFonts w:ascii="Times New Roman" w:hAnsi="Times New Roman" w:cs="Times New Roman"/>
          <w:sz w:val="24"/>
          <w:szCs w:val="24"/>
        </w:rPr>
        <w:t xml:space="preserve">P.g.g. definicji ustawowej „złoża strategicznego”. Zgodnie z projektem nowelizacji złożem strategicznym </w:t>
      </w:r>
      <w:r w:rsidR="0076345E" w:rsidRPr="007F28C1">
        <w:rPr>
          <w:rFonts w:ascii="Times New Roman" w:hAnsi="Times New Roman" w:cs="Times New Roman"/>
          <w:sz w:val="24"/>
          <w:szCs w:val="24"/>
        </w:rPr>
        <w:t>jest złoże</w:t>
      </w:r>
      <w:r w:rsidR="00E26A70" w:rsidRPr="007F28C1">
        <w:rPr>
          <w:rFonts w:ascii="Times New Roman" w:hAnsi="Times New Roman" w:cs="Times New Roman"/>
          <w:sz w:val="24"/>
          <w:szCs w:val="24"/>
        </w:rPr>
        <w:t xml:space="preserve"> kopaliny</w:t>
      </w:r>
      <w:r w:rsidR="0076345E" w:rsidRPr="007F28C1">
        <w:rPr>
          <w:rFonts w:ascii="Times New Roman" w:hAnsi="Times New Roman" w:cs="Times New Roman"/>
          <w:sz w:val="24"/>
          <w:szCs w:val="24"/>
        </w:rPr>
        <w:t>, które ze względu na jego znaczenie dla gospodarki lub bezpieczeństwa kraju podlega szczególnej ochronie prawnej</w:t>
      </w:r>
      <w:r w:rsidR="00C03089" w:rsidRPr="007F28C1">
        <w:rPr>
          <w:rFonts w:ascii="Times New Roman" w:hAnsi="Times New Roman" w:cs="Times New Roman"/>
          <w:sz w:val="24"/>
          <w:szCs w:val="24"/>
        </w:rPr>
        <w:t xml:space="preserve"> </w:t>
      </w:r>
      <w:r w:rsidR="00A30507" w:rsidRPr="007F28C1">
        <w:rPr>
          <w:rFonts w:ascii="Times New Roman" w:hAnsi="Times New Roman" w:cs="Times New Roman"/>
          <w:sz w:val="24"/>
          <w:szCs w:val="24"/>
        </w:rPr>
        <w:t>(projektowany art. 6 ust. 1 pkt 19a P.g.g.)</w:t>
      </w:r>
      <w:r w:rsidRPr="007F28C1">
        <w:rPr>
          <w:rFonts w:ascii="Times New Roman" w:hAnsi="Times New Roman" w:cs="Times New Roman"/>
          <w:sz w:val="24"/>
          <w:szCs w:val="24"/>
        </w:rPr>
        <w:t xml:space="preserve">. Zdefiniowanie tego pojęcia jest niezbędne, gdyż pozwoli uniknąć wątpliwości interpretacyjnych w zakresie tego, czy dane złoże kopaliny można uznać za strategiczne. Wprowadzenie ww. definicji legalnej bez wątpienia usankcjonuje też szczególne miejsce, jakie zajmą złoża strategiczne (dotychczas w sposób nieformalny) w hierarchii krajowych złóż kopalin. </w:t>
      </w:r>
    </w:p>
    <w:p w14:paraId="4D6D9881" w14:textId="7F6C19A6" w:rsidR="00503732"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 odniesieniu do pierwszej grupy zaleceń NIK projekt ustawy zmieniającej przewiduje</w:t>
      </w:r>
      <w:r w:rsidR="00B85208" w:rsidRPr="007F28C1">
        <w:rPr>
          <w:rFonts w:ascii="Times New Roman" w:hAnsi="Times New Roman" w:cs="Times New Roman"/>
          <w:sz w:val="24"/>
          <w:szCs w:val="24"/>
        </w:rPr>
        <w:t>, że</w:t>
      </w:r>
      <w:r w:rsidRPr="007F28C1">
        <w:rPr>
          <w:rFonts w:ascii="Times New Roman" w:hAnsi="Times New Roman" w:cs="Times New Roman"/>
          <w:sz w:val="24"/>
          <w:szCs w:val="24"/>
        </w:rPr>
        <w:t xml:space="preserve"> </w:t>
      </w:r>
      <w:r w:rsidR="00B85208" w:rsidRPr="007F28C1">
        <w:rPr>
          <w:rFonts w:ascii="Times New Roman" w:hAnsi="Times New Roman" w:cs="Times New Roman"/>
          <w:sz w:val="24"/>
          <w:szCs w:val="24"/>
        </w:rPr>
        <w:t>u</w:t>
      </w:r>
      <w:r w:rsidR="008863FE" w:rsidRPr="007F28C1">
        <w:rPr>
          <w:rFonts w:ascii="Times New Roman" w:hAnsi="Times New Roman" w:cs="Times New Roman"/>
          <w:sz w:val="24"/>
          <w:szCs w:val="24"/>
        </w:rPr>
        <w:t>znanie</w:t>
      </w:r>
      <w:r w:rsidR="00503732" w:rsidRPr="007F28C1">
        <w:rPr>
          <w:rFonts w:ascii="Times New Roman" w:hAnsi="Times New Roman" w:cs="Times New Roman"/>
          <w:sz w:val="24"/>
          <w:szCs w:val="24"/>
        </w:rPr>
        <w:t xml:space="preserve"> złoża </w:t>
      </w:r>
      <w:r w:rsidR="008863FE" w:rsidRPr="007F28C1">
        <w:rPr>
          <w:rFonts w:ascii="Times New Roman" w:hAnsi="Times New Roman" w:cs="Times New Roman"/>
          <w:sz w:val="24"/>
          <w:szCs w:val="24"/>
        </w:rPr>
        <w:t xml:space="preserve">za </w:t>
      </w:r>
      <w:r w:rsidR="00503732" w:rsidRPr="007F28C1">
        <w:rPr>
          <w:rFonts w:ascii="Times New Roman" w:hAnsi="Times New Roman" w:cs="Times New Roman"/>
          <w:sz w:val="24"/>
          <w:szCs w:val="24"/>
        </w:rPr>
        <w:t>strategiczne</w:t>
      </w:r>
      <w:r w:rsidR="008863FE" w:rsidRPr="007F28C1">
        <w:rPr>
          <w:rFonts w:ascii="Times New Roman" w:hAnsi="Times New Roman" w:cs="Times New Roman"/>
          <w:sz w:val="24"/>
          <w:szCs w:val="24"/>
        </w:rPr>
        <w:t xml:space="preserve"> będzie </w:t>
      </w:r>
      <w:r w:rsidR="00B85208" w:rsidRPr="007F28C1">
        <w:rPr>
          <w:rFonts w:ascii="Times New Roman" w:hAnsi="Times New Roman" w:cs="Times New Roman"/>
          <w:sz w:val="24"/>
          <w:szCs w:val="24"/>
        </w:rPr>
        <w:t xml:space="preserve">się </w:t>
      </w:r>
      <w:r w:rsidR="00503732" w:rsidRPr="007F28C1">
        <w:rPr>
          <w:rFonts w:ascii="Times New Roman" w:hAnsi="Times New Roman" w:cs="Times New Roman"/>
          <w:sz w:val="24"/>
          <w:szCs w:val="24"/>
        </w:rPr>
        <w:t>odbywać na podstawie decyzji administracyjnej.</w:t>
      </w:r>
    </w:p>
    <w:p w14:paraId="4A009932" w14:textId="304FBD85" w:rsidR="00C961E9" w:rsidRPr="007F28C1" w:rsidRDefault="005D616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w:t>
      </w:r>
      <w:r w:rsidR="00A30507" w:rsidRPr="007F28C1">
        <w:rPr>
          <w:rFonts w:ascii="Times New Roman" w:hAnsi="Times New Roman" w:cs="Times New Roman"/>
          <w:sz w:val="24"/>
          <w:szCs w:val="24"/>
        </w:rPr>
        <w:t xml:space="preserve">ostępowanie </w:t>
      </w:r>
      <w:r w:rsidRPr="007F28C1">
        <w:rPr>
          <w:rFonts w:ascii="Times New Roman" w:hAnsi="Times New Roman" w:cs="Times New Roman"/>
          <w:sz w:val="24"/>
          <w:szCs w:val="24"/>
        </w:rPr>
        <w:t xml:space="preserve">w sprawie uznania złoża za strategiczne </w:t>
      </w:r>
      <w:r w:rsidR="00A30507" w:rsidRPr="007F28C1">
        <w:rPr>
          <w:rFonts w:ascii="Times New Roman" w:hAnsi="Times New Roman" w:cs="Times New Roman"/>
          <w:sz w:val="24"/>
          <w:szCs w:val="24"/>
        </w:rPr>
        <w:t xml:space="preserve">będzie </w:t>
      </w:r>
      <w:r w:rsidR="00C961E9" w:rsidRPr="007F28C1">
        <w:rPr>
          <w:rFonts w:ascii="Times New Roman" w:hAnsi="Times New Roman" w:cs="Times New Roman"/>
          <w:sz w:val="24"/>
          <w:szCs w:val="24"/>
        </w:rPr>
        <w:t xml:space="preserve">mogło zostać wszczęte z urzędu przez </w:t>
      </w:r>
      <w:r w:rsidR="00A71B1C" w:rsidRPr="007F28C1">
        <w:rPr>
          <w:rFonts w:ascii="Times New Roman" w:hAnsi="Times New Roman" w:cs="Times New Roman"/>
          <w:sz w:val="24"/>
          <w:szCs w:val="24"/>
        </w:rPr>
        <w:t xml:space="preserve">ministra właściwego do spraw środowiska </w:t>
      </w:r>
      <w:r w:rsidR="00C961E9" w:rsidRPr="007F28C1">
        <w:rPr>
          <w:rFonts w:ascii="Times New Roman" w:hAnsi="Times New Roman" w:cs="Times New Roman"/>
          <w:sz w:val="24"/>
          <w:szCs w:val="24"/>
        </w:rPr>
        <w:t>po zatwierdzeniu</w:t>
      </w:r>
      <w:r w:rsidR="005B7604"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dokumentacji geologicznej obejmującej złoże, o którym mowa w art. 10 ust. 1</w:t>
      </w:r>
      <w:r w:rsidR="004618D4" w:rsidRPr="007F28C1">
        <w:rPr>
          <w:rFonts w:ascii="Times New Roman" w:hAnsi="Times New Roman" w:cs="Times New Roman"/>
          <w:sz w:val="24"/>
          <w:szCs w:val="24"/>
        </w:rPr>
        <w:t xml:space="preserve"> P.g.g.</w:t>
      </w:r>
      <w:r w:rsidR="00C961E9" w:rsidRPr="007F28C1">
        <w:rPr>
          <w:rFonts w:ascii="Times New Roman" w:hAnsi="Times New Roman" w:cs="Times New Roman"/>
          <w:sz w:val="24"/>
          <w:szCs w:val="24"/>
        </w:rPr>
        <w:t xml:space="preserve"> Postępowanie to zostało uregulowane we wprowadzonym nowelizacją art. 9</w:t>
      </w:r>
      <w:r w:rsidR="00641266" w:rsidRPr="007F28C1">
        <w:rPr>
          <w:rFonts w:ascii="Times New Roman" w:hAnsi="Times New Roman" w:cs="Times New Roman"/>
          <w:sz w:val="24"/>
          <w:szCs w:val="24"/>
        </w:rPr>
        <w:t>4a</w:t>
      </w:r>
      <w:r w:rsidR="00C961E9" w:rsidRPr="007F28C1">
        <w:rPr>
          <w:rFonts w:ascii="Times New Roman" w:hAnsi="Times New Roman" w:cs="Times New Roman"/>
          <w:sz w:val="24"/>
          <w:szCs w:val="24"/>
        </w:rPr>
        <w:t xml:space="preserve"> P.g.g</w:t>
      </w:r>
      <w:r w:rsidR="00DA6C30">
        <w:rPr>
          <w:rFonts w:ascii="Times New Roman" w:hAnsi="Times New Roman" w:cs="Times New Roman"/>
          <w:sz w:val="24"/>
          <w:szCs w:val="24"/>
        </w:rPr>
        <w:t>.</w:t>
      </w:r>
      <w:r w:rsidR="00C961E9" w:rsidRPr="007F28C1">
        <w:rPr>
          <w:rFonts w:ascii="Times New Roman" w:hAnsi="Times New Roman" w:cs="Times New Roman"/>
          <w:sz w:val="24"/>
          <w:szCs w:val="24"/>
        </w:rPr>
        <w:t xml:space="preserve"> i będzie mogło zostać wszczęte nie później niż miesiąc od dnia zatwierdzenia dokumentacji geologicznej</w:t>
      </w:r>
      <w:r w:rsidR="00641266" w:rsidRPr="007F28C1">
        <w:rPr>
          <w:rFonts w:ascii="Times New Roman" w:hAnsi="Times New Roman" w:cs="Times New Roman"/>
          <w:sz w:val="24"/>
          <w:szCs w:val="24"/>
        </w:rPr>
        <w:t xml:space="preserve"> albo dodatku do niej</w:t>
      </w:r>
      <w:r w:rsidR="00C961E9" w:rsidRPr="007F28C1">
        <w:rPr>
          <w:rFonts w:ascii="Times New Roman" w:hAnsi="Times New Roman" w:cs="Times New Roman"/>
          <w:sz w:val="24"/>
          <w:szCs w:val="24"/>
        </w:rPr>
        <w:t>. Powyższe ograniczenie czasowe jest uwarunkowane odmiennymi obowiązkami gmin w zakresie ujawniania złóż strategicznych w dokumentach planistycznych, o czym jest mowa w dalszej części. Stroną takiego postępowania będzie podmiot</w:t>
      </w:r>
      <w:r w:rsidR="004618D4" w:rsidRPr="007F28C1">
        <w:rPr>
          <w:rFonts w:ascii="Times New Roman" w:hAnsi="Times New Roman" w:cs="Times New Roman"/>
          <w:sz w:val="24"/>
          <w:szCs w:val="24"/>
        </w:rPr>
        <w:t>,</w:t>
      </w:r>
      <w:r w:rsidR="00303F0F" w:rsidRPr="007F28C1">
        <w:rPr>
          <w:rFonts w:ascii="Times New Roman" w:hAnsi="Times New Roman" w:cs="Times New Roman"/>
          <w:sz w:val="24"/>
          <w:szCs w:val="24"/>
        </w:rPr>
        <w:t xml:space="preserve"> na rzecz którego zatwierdzono dokumentację geologiczną lub dodatek do dokumentacji geologicznej</w:t>
      </w:r>
      <w:r w:rsidR="00C961E9" w:rsidRPr="007F28C1">
        <w:rPr>
          <w:rFonts w:ascii="Times New Roman" w:hAnsi="Times New Roman" w:cs="Times New Roman"/>
          <w:sz w:val="24"/>
          <w:szCs w:val="24"/>
        </w:rPr>
        <w:t xml:space="preserve">. Założeniem projektu nowelizacji jest, aby </w:t>
      </w:r>
      <w:r w:rsidR="003A38CB" w:rsidRPr="007F28C1">
        <w:rPr>
          <w:rFonts w:ascii="Times New Roman" w:hAnsi="Times New Roman" w:cs="Times New Roman"/>
          <w:sz w:val="24"/>
          <w:szCs w:val="24"/>
        </w:rPr>
        <w:t>m</w:t>
      </w:r>
      <w:r w:rsidR="00A71B1C" w:rsidRPr="007F28C1">
        <w:rPr>
          <w:rFonts w:ascii="Times New Roman" w:hAnsi="Times New Roman" w:cs="Times New Roman"/>
          <w:sz w:val="24"/>
          <w:szCs w:val="24"/>
        </w:rPr>
        <w:t>inister</w:t>
      </w:r>
      <w:r w:rsidR="00FA37C0" w:rsidRPr="007F28C1">
        <w:rPr>
          <w:rFonts w:ascii="Times New Roman" w:hAnsi="Times New Roman" w:cs="Times New Roman"/>
          <w:sz w:val="24"/>
          <w:szCs w:val="24"/>
        </w:rPr>
        <w:t xml:space="preserve"> </w:t>
      </w:r>
      <w:r w:rsidR="003A38CB" w:rsidRPr="007F28C1">
        <w:rPr>
          <w:rFonts w:ascii="Times New Roman" w:hAnsi="Times New Roman" w:cs="Times New Roman"/>
          <w:sz w:val="24"/>
          <w:szCs w:val="24"/>
        </w:rPr>
        <w:t xml:space="preserve">właściwy do spraw środowiska </w:t>
      </w:r>
      <w:r w:rsidR="00C961E9" w:rsidRPr="007F28C1">
        <w:rPr>
          <w:rFonts w:ascii="Times New Roman" w:hAnsi="Times New Roman" w:cs="Times New Roman"/>
          <w:sz w:val="24"/>
          <w:szCs w:val="24"/>
        </w:rPr>
        <w:t xml:space="preserve">po zatwierdzaniu dokumentacji </w:t>
      </w:r>
      <w:r w:rsidR="00F6277F" w:rsidRPr="007F28C1">
        <w:rPr>
          <w:rFonts w:ascii="Times New Roman" w:hAnsi="Times New Roman" w:cs="Times New Roman"/>
          <w:sz w:val="24"/>
          <w:szCs w:val="24"/>
        </w:rPr>
        <w:t xml:space="preserve">geologicznych </w:t>
      </w:r>
      <w:r w:rsidR="00C961E9" w:rsidRPr="007F28C1">
        <w:rPr>
          <w:rFonts w:ascii="Times New Roman" w:hAnsi="Times New Roman" w:cs="Times New Roman"/>
          <w:sz w:val="24"/>
          <w:szCs w:val="24"/>
        </w:rPr>
        <w:t>obejmujących złoża wymienione w art. 10 ust. 1 P.g.g</w:t>
      </w:r>
      <w:r w:rsidR="00A026DF" w:rsidRPr="007F28C1">
        <w:rPr>
          <w:rFonts w:ascii="Times New Roman" w:hAnsi="Times New Roman" w:cs="Times New Roman"/>
          <w:sz w:val="24"/>
          <w:szCs w:val="24"/>
        </w:rPr>
        <w:t>.</w:t>
      </w:r>
      <w:r w:rsidR="00C961E9" w:rsidRPr="007F28C1">
        <w:rPr>
          <w:rFonts w:ascii="Times New Roman" w:hAnsi="Times New Roman" w:cs="Times New Roman"/>
          <w:sz w:val="24"/>
          <w:szCs w:val="24"/>
        </w:rPr>
        <w:t xml:space="preserve"> każdorazowo rozstrzygał, czy </w:t>
      </w:r>
      <w:r w:rsidR="00DE3A59" w:rsidRPr="007F28C1">
        <w:rPr>
          <w:rFonts w:ascii="Times New Roman" w:hAnsi="Times New Roman" w:cs="Times New Roman"/>
          <w:sz w:val="24"/>
          <w:szCs w:val="24"/>
        </w:rPr>
        <w:t xml:space="preserve">jest </w:t>
      </w:r>
      <w:r w:rsidR="002E0807" w:rsidRPr="007F28C1">
        <w:rPr>
          <w:rFonts w:ascii="Times New Roman" w:hAnsi="Times New Roman" w:cs="Times New Roman"/>
          <w:sz w:val="24"/>
          <w:szCs w:val="24"/>
        </w:rPr>
        <w:t>zasadne wszczęcie postępowania w sprawie uznania złoża za strategiczne.</w:t>
      </w:r>
      <w:r w:rsidR="00C961E9" w:rsidRPr="007F28C1">
        <w:rPr>
          <w:rFonts w:ascii="Times New Roman" w:hAnsi="Times New Roman" w:cs="Times New Roman"/>
          <w:sz w:val="24"/>
          <w:szCs w:val="24"/>
        </w:rPr>
        <w:t xml:space="preserve"> Złoże kopaliny będzie mogło zostać uznane za strategiczne w</w:t>
      </w:r>
      <w:r w:rsidR="00D479D1" w:rsidRPr="007F28C1">
        <w:rPr>
          <w:rFonts w:ascii="Times New Roman" w:hAnsi="Times New Roman" w:cs="Times New Roman"/>
          <w:sz w:val="24"/>
          <w:szCs w:val="24"/>
        </w:rPr>
        <w:t> </w:t>
      </w:r>
      <w:r w:rsidR="00C961E9" w:rsidRPr="007F28C1">
        <w:rPr>
          <w:rFonts w:ascii="Times New Roman" w:hAnsi="Times New Roman" w:cs="Times New Roman"/>
          <w:sz w:val="24"/>
          <w:szCs w:val="24"/>
        </w:rPr>
        <w:t xml:space="preserve">drodze decyzji </w:t>
      </w:r>
      <w:r w:rsidR="003A38CB" w:rsidRPr="007F28C1">
        <w:rPr>
          <w:rFonts w:ascii="Times New Roman" w:hAnsi="Times New Roman" w:cs="Times New Roman"/>
          <w:sz w:val="24"/>
          <w:szCs w:val="24"/>
        </w:rPr>
        <w:t>m</w:t>
      </w:r>
      <w:r w:rsidR="00A71B1C" w:rsidRPr="007F28C1">
        <w:rPr>
          <w:rFonts w:ascii="Times New Roman" w:hAnsi="Times New Roman" w:cs="Times New Roman"/>
          <w:sz w:val="24"/>
          <w:szCs w:val="24"/>
        </w:rPr>
        <w:t>inistra</w:t>
      </w:r>
      <w:r w:rsidR="003A38CB" w:rsidRPr="007F28C1">
        <w:rPr>
          <w:rFonts w:ascii="Times New Roman" w:hAnsi="Times New Roman" w:cs="Times New Roman"/>
          <w:sz w:val="24"/>
          <w:szCs w:val="24"/>
        </w:rPr>
        <w:t xml:space="preserve"> właściw</w:t>
      </w:r>
      <w:r w:rsidR="002C0EDB">
        <w:rPr>
          <w:rFonts w:ascii="Times New Roman" w:hAnsi="Times New Roman" w:cs="Times New Roman"/>
          <w:sz w:val="24"/>
          <w:szCs w:val="24"/>
        </w:rPr>
        <w:t>ego</w:t>
      </w:r>
      <w:r w:rsidR="003A38CB" w:rsidRPr="007F28C1">
        <w:rPr>
          <w:rFonts w:ascii="Times New Roman" w:hAnsi="Times New Roman" w:cs="Times New Roman"/>
          <w:sz w:val="24"/>
          <w:szCs w:val="24"/>
        </w:rPr>
        <w:t xml:space="preserve"> do spraw środowiska</w:t>
      </w:r>
      <w:r w:rsidR="003B0EE9"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(art. 9</w:t>
      </w:r>
      <w:r w:rsidR="00641266" w:rsidRPr="007F28C1">
        <w:rPr>
          <w:rFonts w:ascii="Times New Roman" w:hAnsi="Times New Roman" w:cs="Times New Roman"/>
          <w:sz w:val="24"/>
          <w:szCs w:val="24"/>
        </w:rPr>
        <w:t>4a</w:t>
      </w:r>
      <w:r w:rsidR="00C961E9" w:rsidRPr="007F28C1">
        <w:rPr>
          <w:rFonts w:ascii="Times New Roman" w:hAnsi="Times New Roman" w:cs="Times New Roman"/>
          <w:sz w:val="24"/>
          <w:szCs w:val="24"/>
        </w:rPr>
        <w:t xml:space="preserve"> ust. </w:t>
      </w:r>
      <w:r w:rsidR="008863FE" w:rsidRPr="007F28C1">
        <w:rPr>
          <w:rFonts w:ascii="Times New Roman" w:hAnsi="Times New Roman" w:cs="Times New Roman"/>
          <w:sz w:val="24"/>
          <w:szCs w:val="24"/>
        </w:rPr>
        <w:t>2</w:t>
      </w:r>
      <w:r w:rsidR="00C961E9" w:rsidRPr="007F28C1">
        <w:rPr>
          <w:rFonts w:ascii="Times New Roman" w:hAnsi="Times New Roman" w:cs="Times New Roman"/>
          <w:sz w:val="24"/>
          <w:szCs w:val="24"/>
        </w:rPr>
        <w:t xml:space="preserve"> P.g.g.). Przy podejmowaniu decyzji o uznaniu złoża za strategiczne </w:t>
      </w:r>
      <w:r w:rsidR="003A38CB" w:rsidRPr="007F28C1">
        <w:rPr>
          <w:rFonts w:ascii="Times New Roman" w:hAnsi="Times New Roman" w:cs="Times New Roman"/>
          <w:sz w:val="24"/>
          <w:szCs w:val="24"/>
        </w:rPr>
        <w:t>m</w:t>
      </w:r>
      <w:r w:rsidR="00A71B1C" w:rsidRPr="007F28C1">
        <w:rPr>
          <w:rFonts w:ascii="Times New Roman" w:hAnsi="Times New Roman" w:cs="Times New Roman"/>
          <w:sz w:val="24"/>
          <w:szCs w:val="24"/>
        </w:rPr>
        <w:t xml:space="preserve">inister </w:t>
      </w:r>
      <w:r w:rsidR="003A38CB" w:rsidRPr="007F28C1">
        <w:rPr>
          <w:rFonts w:ascii="Times New Roman" w:hAnsi="Times New Roman" w:cs="Times New Roman"/>
          <w:sz w:val="24"/>
          <w:szCs w:val="24"/>
        </w:rPr>
        <w:t xml:space="preserve">właściwy do spraw środowiska </w:t>
      </w:r>
      <w:r w:rsidR="00C961E9" w:rsidRPr="007F28C1">
        <w:rPr>
          <w:rFonts w:ascii="Times New Roman" w:hAnsi="Times New Roman" w:cs="Times New Roman"/>
          <w:sz w:val="24"/>
          <w:szCs w:val="24"/>
        </w:rPr>
        <w:t xml:space="preserve">będzie kierował się </w:t>
      </w:r>
      <w:r w:rsidR="00CA0056" w:rsidRPr="007F28C1">
        <w:rPr>
          <w:rFonts w:ascii="Times New Roman" w:hAnsi="Times New Roman" w:cs="Times New Roman"/>
          <w:sz w:val="24"/>
          <w:szCs w:val="24"/>
        </w:rPr>
        <w:t>nie tylko wyżej wymienioną definicją ustawową złoża strategicznego, ale także badał</w:t>
      </w:r>
      <w:r w:rsidR="002C0EDB">
        <w:rPr>
          <w:rFonts w:ascii="Times New Roman" w:hAnsi="Times New Roman" w:cs="Times New Roman"/>
          <w:sz w:val="24"/>
          <w:szCs w:val="24"/>
        </w:rPr>
        <w:t>,</w:t>
      </w:r>
      <w:r w:rsidR="00CA0056" w:rsidRPr="007F28C1">
        <w:rPr>
          <w:rFonts w:ascii="Times New Roman" w:hAnsi="Times New Roman" w:cs="Times New Roman"/>
          <w:sz w:val="24"/>
          <w:szCs w:val="24"/>
        </w:rPr>
        <w:t xml:space="preserve"> czy zachodzą </w:t>
      </w:r>
      <w:r w:rsidR="00823F37" w:rsidRPr="007F28C1">
        <w:rPr>
          <w:rFonts w:ascii="Times New Roman" w:hAnsi="Times New Roman" w:cs="Times New Roman"/>
          <w:sz w:val="24"/>
          <w:szCs w:val="24"/>
        </w:rPr>
        <w:t>kryteria</w:t>
      </w:r>
      <w:r w:rsidR="00C961E9" w:rsidRPr="007F28C1">
        <w:rPr>
          <w:rFonts w:ascii="Times New Roman" w:hAnsi="Times New Roman" w:cs="Times New Roman"/>
          <w:sz w:val="24"/>
          <w:szCs w:val="24"/>
        </w:rPr>
        <w:t>, o których mowa</w:t>
      </w:r>
      <w:r w:rsidR="000D4FF9"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w projektowanym art. 9</w:t>
      </w:r>
      <w:r w:rsidR="00641266" w:rsidRPr="007F28C1">
        <w:rPr>
          <w:rFonts w:ascii="Times New Roman" w:hAnsi="Times New Roman" w:cs="Times New Roman"/>
          <w:sz w:val="24"/>
          <w:szCs w:val="24"/>
        </w:rPr>
        <w:t>4a</w:t>
      </w:r>
      <w:r w:rsidR="00C961E9" w:rsidRPr="007F28C1">
        <w:rPr>
          <w:rFonts w:ascii="Times New Roman" w:hAnsi="Times New Roman" w:cs="Times New Roman"/>
          <w:sz w:val="24"/>
          <w:szCs w:val="24"/>
        </w:rPr>
        <w:t xml:space="preserve"> ust. 5 P.g.g.</w:t>
      </w:r>
      <w:r w:rsidR="00DE1DB5" w:rsidRPr="007F28C1">
        <w:rPr>
          <w:rFonts w:ascii="Times New Roman" w:hAnsi="Times New Roman" w:cs="Times New Roman"/>
          <w:sz w:val="24"/>
          <w:szCs w:val="24"/>
        </w:rPr>
        <w:t>,</w:t>
      </w:r>
      <w:r w:rsidR="00C961E9" w:rsidRPr="007F28C1">
        <w:rPr>
          <w:rFonts w:ascii="Times New Roman" w:hAnsi="Times New Roman" w:cs="Times New Roman"/>
          <w:sz w:val="24"/>
          <w:szCs w:val="24"/>
        </w:rPr>
        <w:t xml:space="preserve"> tj. dostęp do złoża związany ze stanem zagospodarowania terenu, podstawowe znaczenie dla gospodarki kraju lub dla interesu surowcowego państwa, </w:t>
      </w:r>
      <w:r w:rsidR="00267B8F" w:rsidRPr="007F28C1">
        <w:rPr>
          <w:rFonts w:ascii="Times New Roman" w:hAnsi="Times New Roman" w:cs="Times New Roman"/>
          <w:sz w:val="24"/>
          <w:szCs w:val="24"/>
        </w:rPr>
        <w:t xml:space="preserve">lub </w:t>
      </w:r>
      <w:r w:rsidR="00CE14CF" w:rsidRPr="007F28C1">
        <w:rPr>
          <w:rFonts w:ascii="Times New Roman" w:hAnsi="Times New Roman" w:cs="Times New Roman"/>
          <w:sz w:val="24"/>
          <w:szCs w:val="24"/>
        </w:rPr>
        <w:t>ponadprzeciętn</w:t>
      </w:r>
      <w:r w:rsidR="00447A85" w:rsidRPr="007F28C1">
        <w:rPr>
          <w:rFonts w:ascii="Times New Roman" w:hAnsi="Times New Roman" w:cs="Times New Roman"/>
          <w:sz w:val="24"/>
          <w:szCs w:val="24"/>
        </w:rPr>
        <w:t>a</w:t>
      </w:r>
      <w:r w:rsidR="00CE14CF"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dla danej kopaliny wielkość zasobów</w:t>
      </w:r>
      <w:r w:rsidR="00267B8F" w:rsidRPr="007F28C1">
        <w:rPr>
          <w:rFonts w:ascii="Times New Roman" w:hAnsi="Times New Roman" w:cs="Times New Roman"/>
          <w:sz w:val="24"/>
          <w:szCs w:val="24"/>
        </w:rPr>
        <w:t>, lub</w:t>
      </w:r>
      <w:r w:rsidR="00C961E9" w:rsidRPr="007F28C1">
        <w:rPr>
          <w:rFonts w:ascii="Times New Roman" w:hAnsi="Times New Roman" w:cs="Times New Roman"/>
          <w:sz w:val="24"/>
          <w:szCs w:val="24"/>
        </w:rPr>
        <w:t xml:space="preserve"> unikalne parametry</w:t>
      </w:r>
      <w:r w:rsidR="00CE14CF" w:rsidRPr="007F28C1">
        <w:rPr>
          <w:rFonts w:ascii="Times New Roman" w:hAnsi="Times New Roman" w:cs="Times New Roman"/>
          <w:sz w:val="24"/>
          <w:szCs w:val="24"/>
        </w:rPr>
        <w:t xml:space="preserve"> kopaliny znajdującej się w</w:t>
      </w:r>
      <w:r w:rsidR="00621E21" w:rsidRPr="007F28C1">
        <w:rPr>
          <w:rFonts w:ascii="Times New Roman" w:hAnsi="Times New Roman" w:cs="Times New Roman"/>
          <w:sz w:val="24"/>
          <w:szCs w:val="24"/>
        </w:rPr>
        <w:t> </w:t>
      </w:r>
      <w:r w:rsidR="00CE14CF" w:rsidRPr="007F28C1">
        <w:rPr>
          <w:rFonts w:ascii="Times New Roman" w:hAnsi="Times New Roman" w:cs="Times New Roman"/>
          <w:sz w:val="24"/>
          <w:szCs w:val="24"/>
        </w:rPr>
        <w:t>złożu</w:t>
      </w:r>
      <w:r w:rsidR="008F0904" w:rsidRPr="007F28C1">
        <w:rPr>
          <w:rFonts w:ascii="Times New Roman" w:hAnsi="Times New Roman" w:cs="Times New Roman"/>
          <w:sz w:val="24"/>
          <w:szCs w:val="24"/>
        </w:rPr>
        <w:t>.</w:t>
      </w:r>
      <w:r w:rsidR="00C961E9" w:rsidRPr="007F28C1">
        <w:rPr>
          <w:rFonts w:ascii="Times New Roman" w:hAnsi="Times New Roman" w:cs="Times New Roman"/>
          <w:sz w:val="24"/>
          <w:szCs w:val="24"/>
        </w:rPr>
        <w:t xml:space="preserve"> </w:t>
      </w:r>
      <w:r w:rsidR="00B645E3" w:rsidRPr="007F28C1">
        <w:rPr>
          <w:rFonts w:ascii="Times New Roman" w:hAnsi="Times New Roman" w:cs="Times New Roman"/>
          <w:sz w:val="24"/>
          <w:szCs w:val="24"/>
        </w:rPr>
        <w:t xml:space="preserve">Kryteria </w:t>
      </w:r>
      <w:r w:rsidR="00CA0056" w:rsidRPr="007F28C1">
        <w:rPr>
          <w:rFonts w:ascii="Times New Roman" w:hAnsi="Times New Roman" w:cs="Times New Roman"/>
          <w:sz w:val="24"/>
          <w:szCs w:val="24"/>
        </w:rPr>
        <w:t xml:space="preserve">te precyzują bowiem, jakimi właściwościami powinno charakteryzować </w:t>
      </w:r>
      <w:r w:rsidR="007B6742" w:rsidRPr="007F28C1">
        <w:rPr>
          <w:rFonts w:ascii="Times New Roman" w:hAnsi="Times New Roman" w:cs="Times New Roman"/>
          <w:sz w:val="24"/>
          <w:szCs w:val="24"/>
        </w:rPr>
        <w:t xml:space="preserve">się </w:t>
      </w:r>
      <w:r w:rsidR="00CA0056" w:rsidRPr="007F28C1">
        <w:rPr>
          <w:rFonts w:ascii="Times New Roman" w:hAnsi="Times New Roman" w:cs="Times New Roman"/>
          <w:sz w:val="24"/>
          <w:szCs w:val="24"/>
        </w:rPr>
        <w:t xml:space="preserve">złoże, </w:t>
      </w:r>
      <w:r w:rsidR="003A38CB" w:rsidRPr="007F28C1">
        <w:rPr>
          <w:rFonts w:ascii="Times New Roman" w:hAnsi="Times New Roman" w:cs="Times New Roman"/>
          <w:sz w:val="24"/>
          <w:szCs w:val="24"/>
        </w:rPr>
        <w:t>a</w:t>
      </w:r>
      <w:r w:rsidR="00CA0056" w:rsidRPr="007F28C1">
        <w:rPr>
          <w:rFonts w:ascii="Times New Roman" w:hAnsi="Times New Roman" w:cs="Times New Roman"/>
          <w:sz w:val="24"/>
          <w:szCs w:val="24"/>
        </w:rPr>
        <w:t xml:space="preserve">by mogło zostać uznane za mające </w:t>
      </w:r>
      <w:r w:rsidR="00CA0056" w:rsidRPr="007F28C1">
        <w:rPr>
          <w:rFonts w:ascii="Times New Roman" w:hAnsi="Times New Roman" w:cs="Times New Roman"/>
          <w:sz w:val="24"/>
          <w:szCs w:val="24"/>
        </w:rPr>
        <w:lastRenderedPageBreak/>
        <w:t xml:space="preserve">znaczenie dla gospodarki lub bezpieczeństwa kraju. W celu uznania złoża za strategiczne </w:t>
      </w:r>
      <w:r w:rsidR="00413764" w:rsidRPr="007F28C1">
        <w:rPr>
          <w:rFonts w:ascii="Times New Roman" w:hAnsi="Times New Roman" w:cs="Times New Roman"/>
          <w:sz w:val="24"/>
          <w:szCs w:val="24"/>
        </w:rPr>
        <w:t>będzie</w:t>
      </w:r>
      <w:r w:rsidR="00CA0056" w:rsidRPr="007F28C1">
        <w:rPr>
          <w:rFonts w:ascii="Times New Roman" w:hAnsi="Times New Roman" w:cs="Times New Roman"/>
          <w:sz w:val="24"/>
          <w:szCs w:val="24"/>
        </w:rPr>
        <w:t xml:space="preserve"> </w:t>
      </w:r>
      <w:r w:rsidR="009E52EB" w:rsidRPr="007F28C1">
        <w:rPr>
          <w:rFonts w:ascii="Times New Roman" w:hAnsi="Times New Roman" w:cs="Times New Roman"/>
          <w:sz w:val="24"/>
          <w:szCs w:val="24"/>
        </w:rPr>
        <w:t>zatem</w:t>
      </w:r>
      <w:r w:rsidR="00A05CE8" w:rsidRPr="007F28C1">
        <w:rPr>
          <w:rFonts w:ascii="Times New Roman" w:hAnsi="Times New Roman" w:cs="Times New Roman"/>
          <w:sz w:val="24"/>
          <w:szCs w:val="24"/>
        </w:rPr>
        <w:t xml:space="preserve"> </w:t>
      </w:r>
      <w:r w:rsidR="00B05F78" w:rsidRPr="007F28C1">
        <w:rPr>
          <w:rFonts w:ascii="Times New Roman" w:hAnsi="Times New Roman" w:cs="Times New Roman"/>
          <w:sz w:val="24"/>
          <w:szCs w:val="24"/>
        </w:rPr>
        <w:t xml:space="preserve">konieczne </w:t>
      </w:r>
      <w:r w:rsidR="00A05CE8" w:rsidRPr="007F28C1">
        <w:rPr>
          <w:rFonts w:ascii="Times New Roman" w:hAnsi="Times New Roman" w:cs="Times New Roman"/>
          <w:sz w:val="24"/>
          <w:szCs w:val="24"/>
        </w:rPr>
        <w:t>także</w:t>
      </w:r>
      <w:r w:rsidR="009E52EB" w:rsidRPr="007F28C1">
        <w:rPr>
          <w:rFonts w:ascii="Times New Roman" w:hAnsi="Times New Roman" w:cs="Times New Roman"/>
          <w:sz w:val="24"/>
          <w:szCs w:val="24"/>
        </w:rPr>
        <w:t xml:space="preserve"> </w:t>
      </w:r>
      <w:r w:rsidR="00CA0056" w:rsidRPr="007F28C1">
        <w:rPr>
          <w:rFonts w:ascii="Times New Roman" w:hAnsi="Times New Roman" w:cs="Times New Roman"/>
          <w:sz w:val="24"/>
          <w:szCs w:val="24"/>
        </w:rPr>
        <w:t xml:space="preserve">spełnienie </w:t>
      </w:r>
      <w:r w:rsidR="00823F37" w:rsidRPr="007F28C1">
        <w:rPr>
          <w:rFonts w:ascii="Times New Roman" w:hAnsi="Times New Roman" w:cs="Times New Roman"/>
          <w:sz w:val="24"/>
          <w:szCs w:val="24"/>
        </w:rPr>
        <w:t xml:space="preserve">kryteriów </w:t>
      </w:r>
      <w:r w:rsidR="00CA0056" w:rsidRPr="007F28C1">
        <w:rPr>
          <w:rFonts w:ascii="Times New Roman" w:hAnsi="Times New Roman" w:cs="Times New Roman"/>
          <w:sz w:val="24"/>
          <w:szCs w:val="24"/>
        </w:rPr>
        <w:t>zawartych</w:t>
      </w:r>
      <w:r w:rsidR="00267B8F" w:rsidRPr="007F28C1">
        <w:rPr>
          <w:rFonts w:ascii="Times New Roman" w:hAnsi="Times New Roman" w:cs="Times New Roman"/>
          <w:sz w:val="24"/>
          <w:szCs w:val="24"/>
        </w:rPr>
        <w:t xml:space="preserve"> </w:t>
      </w:r>
      <w:r w:rsidR="00CA0056" w:rsidRPr="007F28C1">
        <w:rPr>
          <w:rFonts w:ascii="Times New Roman" w:hAnsi="Times New Roman" w:cs="Times New Roman"/>
          <w:sz w:val="24"/>
          <w:szCs w:val="24"/>
        </w:rPr>
        <w:t>w art. 94a ust. 5 P.g.g.</w:t>
      </w:r>
      <w:r w:rsidR="00267B8F" w:rsidRPr="007F28C1">
        <w:rPr>
          <w:rFonts w:ascii="Times New Roman" w:hAnsi="Times New Roman" w:cs="Times New Roman"/>
          <w:sz w:val="24"/>
          <w:szCs w:val="24"/>
        </w:rPr>
        <w:t xml:space="preserve"> Projekt przewiduje, że do uznania złoża za strategiczne zawsze będzie musiała być spełniona przesłanka dostęp</w:t>
      </w:r>
      <w:r w:rsidR="00A11945" w:rsidRPr="007F28C1">
        <w:rPr>
          <w:rFonts w:ascii="Times New Roman" w:hAnsi="Times New Roman" w:cs="Times New Roman"/>
          <w:sz w:val="24"/>
          <w:szCs w:val="24"/>
        </w:rPr>
        <w:t>u</w:t>
      </w:r>
      <w:r w:rsidR="004A3AEA" w:rsidRPr="007F28C1">
        <w:rPr>
          <w:rFonts w:ascii="Times New Roman" w:hAnsi="Times New Roman" w:cs="Times New Roman"/>
          <w:sz w:val="24"/>
          <w:szCs w:val="24"/>
        </w:rPr>
        <w:t xml:space="preserve"> do złoża</w:t>
      </w:r>
      <w:r w:rsidR="00A11945" w:rsidRPr="007F28C1">
        <w:rPr>
          <w:rFonts w:ascii="Times New Roman" w:hAnsi="Times New Roman" w:cs="Times New Roman"/>
          <w:sz w:val="24"/>
          <w:szCs w:val="24"/>
        </w:rPr>
        <w:t xml:space="preserve"> wynikającego ze stanu zagospodarowania terenu</w:t>
      </w:r>
      <w:r w:rsidR="004A3AEA" w:rsidRPr="007F28C1">
        <w:rPr>
          <w:rFonts w:ascii="Times New Roman" w:hAnsi="Times New Roman" w:cs="Times New Roman"/>
          <w:sz w:val="24"/>
          <w:szCs w:val="24"/>
        </w:rPr>
        <w:t>.</w:t>
      </w:r>
      <w:r w:rsidR="00267B8F" w:rsidRPr="007F28C1">
        <w:rPr>
          <w:rFonts w:ascii="Times New Roman" w:hAnsi="Times New Roman" w:cs="Times New Roman"/>
          <w:sz w:val="24"/>
          <w:szCs w:val="24"/>
        </w:rPr>
        <w:t xml:space="preserve"> </w:t>
      </w:r>
      <w:r w:rsidR="004A3AEA" w:rsidRPr="007F28C1">
        <w:rPr>
          <w:rFonts w:ascii="Times New Roman" w:hAnsi="Times New Roman" w:cs="Times New Roman"/>
          <w:sz w:val="24"/>
          <w:szCs w:val="24"/>
        </w:rPr>
        <w:t>N</w:t>
      </w:r>
      <w:r w:rsidR="001055C7">
        <w:rPr>
          <w:rFonts w:ascii="Times New Roman" w:hAnsi="Times New Roman" w:cs="Times New Roman"/>
          <w:sz w:val="24"/>
          <w:szCs w:val="24"/>
        </w:rPr>
        <w:t>atomiast w </w:t>
      </w:r>
      <w:r w:rsidR="00267B8F" w:rsidRPr="007F28C1">
        <w:rPr>
          <w:rFonts w:ascii="Times New Roman" w:hAnsi="Times New Roman" w:cs="Times New Roman"/>
          <w:sz w:val="24"/>
          <w:szCs w:val="24"/>
        </w:rPr>
        <w:t xml:space="preserve">przypadku </w:t>
      </w:r>
      <w:r w:rsidR="004A3AEA" w:rsidRPr="007F28C1">
        <w:rPr>
          <w:rFonts w:ascii="Times New Roman" w:hAnsi="Times New Roman" w:cs="Times New Roman"/>
          <w:sz w:val="24"/>
          <w:szCs w:val="24"/>
        </w:rPr>
        <w:t xml:space="preserve">pozostałych </w:t>
      </w:r>
      <w:r w:rsidR="00B645E3" w:rsidRPr="007F28C1">
        <w:rPr>
          <w:rFonts w:ascii="Times New Roman" w:hAnsi="Times New Roman" w:cs="Times New Roman"/>
          <w:sz w:val="24"/>
          <w:szCs w:val="24"/>
        </w:rPr>
        <w:t xml:space="preserve">kryteriów </w:t>
      </w:r>
      <w:r w:rsidR="00B05F78" w:rsidRPr="007F28C1">
        <w:rPr>
          <w:rFonts w:ascii="Times New Roman" w:hAnsi="Times New Roman" w:cs="Times New Roman"/>
          <w:sz w:val="24"/>
          <w:szCs w:val="24"/>
        </w:rPr>
        <w:t xml:space="preserve">została </w:t>
      </w:r>
      <w:r w:rsidR="004A3AEA" w:rsidRPr="007F28C1">
        <w:rPr>
          <w:rFonts w:ascii="Times New Roman" w:hAnsi="Times New Roman" w:cs="Times New Roman"/>
          <w:sz w:val="24"/>
          <w:szCs w:val="24"/>
        </w:rPr>
        <w:t xml:space="preserve">zastosowana alternatywa łączna, zatem </w:t>
      </w:r>
      <w:r w:rsidR="00B05F78" w:rsidRPr="007F28C1">
        <w:rPr>
          <w:rFonts w:ascii="Times New Roman" w:hAnsi="Times New Roman" w:cs="Times New Roman"/>
          <w:sz w:val="24"/>
          <w:szCs w:val="24"/>
        </w:rPr>
        <w:t xml:space="preserve">będzie </w:t>
      </w:r>
      <w:r w:rsidR="004A3AEA" w:rsidRPr="007F28C1">
        <w:rPr>
          <w:rFonts w:ascii="Times New Roman" w:hAnsi="Times New Roman" w:cs="Times New Roman"/>
          <w:sz w:val="24"/>
          <w:szCs w:val="24"/>
        </w:rPr>
        <w:t>wystarczając</w:t>
      </w:r>
      <w:r w:rsidR="00B05F78" w:rsidRPr="007F28C1">
        <w:rPr>
          <w:rFonts w:ascii="Times New Roman" w:hAnsi="Times New Roman" w:cs="Times New Roman"/>
          <w:sz w:val="24"/>
          <w:szCs w:val="24"/>
        </w:rPr>
        <w:t>e</w:t>
      </w:r>
      <w:r w:rsidR="004A3AEA" w:rsidRPr="007F28C1">
        <w:rPr>
          <w:rFonts w:ascii="Times New Roman" w:hAnsi="Times New Roman" w:cs="Times New Roman"/>
          <w:sz w:val="24"/>
          <w:szCs w:val="24"/>
        </w:rPr>
        <w:t xml:space="preserve"> </w:t>
      </w:r>
      <w:r w:rsidR="00A75E6C" w:rsidRPr="007F28C1">
        <w:rPr>
          <w:rFonts w:ascii="Times New Roman" w:hAnsi="Times New Roman" w:cs="Times New Roman"/>
          <w:sz w:val="24"/>
          <w:szCs w:val="24"/>
        </w:rPr>
        <w:t>spełnienie jednego z tych kryteriów</w:t>
      </w:r>
      <w:r w:rsidR="004A3AEA"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 xml:space="preserve">Projektowana nowelizacja przewiduje, że </w:t>
      </w:r>
      <w:r w:rsidR="000D4FF9" w:rsidRPr="007F28C1">
        <w:rPr>
          <w:rFonts w:ascii="Times New Roman" w:hAnsi="Times New Roman" w:cs="Times New Roman"/>
          <w:sz w:val="24"/>
          <w:szCs w:val="24"/>
        </w:rPr>
        <w:t xml:space="preserve">jest </w:t>
      </w:r>
      <w:r w:rsidR="00C961E9" w:rsidRPr="007F28C1">
        <w:rPr>
          <w:rFonts w:ascii="Times New Roman" w:hAnsi="Times New Roman" w:cs="Times New Roman"/>
          <w:sz w:val="24"/>
          <w:szCs w:val="24"/>
        </w:rPr>
        <w:t>możliwe uznanie za strategiczne jedynie częś</w:t>
      </w:r>
      <w:r w:rsidR="0023035F" w:rsidRPr="007F28C1">
        <w:rPr>
          <w:rFonts w:ascii="Times New Roman" w:hAnsi="Times New Roman" w:cs="Times New Roman"/>
          <w:sz w:val="24"/>
          <w:szCs w:val="24"/>
        </w:rPr>
        <w:t>ci</w:t>
      </w:r>
      <w:r w:rsidR="00C961E9" w:rsidRPr="007F28C1">
        <w:rPr>
          <w:rFonts w:ascii="Times New Roman" w:hAnsi="Times New Roman" w:cs="Times New Roman"/>
          <w:sz w:val="24"/>
          <w:szCs w:val="24"/>
        </w:rPr>
        <w:t xml:space="preserve"> złoża kopaliny w okolicznościach, o</w:t>
      </w:r>
      <w:r w:rsidR="004618D4" w:rsidRPr="007F28C1">
        <w:rPr>
          <w:rFonts w:ascii="Times New Roman" w:hAnsi="Times New Roman" w:cs="Times New Roman"/>
          <w:sz w:val="24"/>
          <w:szCs w:val="24"/>
        </w:rPr>
        <w:t> </w:t>
      </w:r>
      <w:r w:rsidR="00C961E9" w:rsidRPr="007F28C1">
        <w:rPr>
          <w:rFonts w:ascii="Times New Roman" w:hAnsi="Times New Roman" w:cs="Times New Roman"/>
          <w:sz w:val="24"/>
          <w:szCs w:val="24"/>
        </w:rPr>
        <w:t xml:space="preserve">których mowa w projektowanym art. </w:t>
      </w:r>
      <w:r w:rsidR="00372137" w:rsidRPr="007F28C1">
        <w:rPr>
          <w:rFonts w:ascii="Times New Roman" w:hAnsi="Times New Roman" w:cs="Times New Roman"/>
          <w:sz w:val="24"/>
          <w:szCs w:val="24"/>
        </w:rPr>
        <w:t>94a</w:t>
      </w:r>
      <w:r w:rsidR="00CE14CF"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ust. 6 P.g.g. Należy mieć bowiem na uwadze okoliczność, że w wielu przypadkach ochrona całego obszaru, na którym znajduje się złoże kopaliny, jest bezcelowa</w:t>
      </w:r>
      <w:r w:rsidR="00A30507" w:rsidRPr="007F28C1">
        <w:rPr>
          <w:rFonts w:ascii="Times New Roman" w:hAnsi="Times New Roman" w:cs="Times New Roman"/>
          <w:sz w:val="24"/>
          <w:szCs w:val="24"/>
        </w:rPr>
        <w:t xml:space="preserve"> z uwagi chociażby na </w:t>
      </w:r>
      <w:r w:rsidR="00DE3A59" w:rsidRPr="007F28C1">
        <w:rPr>
          <w:rFonts w:ascii="Times New Roman" w:hAnsi="Times New Roman" w:cs="Times New Roman"/>
          <w:sz w:val="24"/>
          <w:szCs w:val="24"/>
        </w:rPr>
        <w:t xml:space="preserve">istniejącą już </w:t>
      </w:r>
      <w:r w:rsidR="00A30507" w:rsidRPr="007F28C1">
        <w:rPr>
          <w:rFonts w:ascii="Times New Roman" w:hAnsi="Times New Roman" w:cs="Times New Roman"/>
          <w:sz w:val="24"/>
          <w:szCs w:val="24"/>
        </w:rPr>
        <w:t>gęst</w:t>
      </w:r>
      <w:r w:rsidR="00DE3A59" w:rsidRPr="007F28C1">
        <w:rPr>
          <w:rFonts w:ascii="Times New Roman" w:hAnsi="Times New Roman" w:cs="Times New Roman"/>
          <w:sz w:val="24"/>
          <w:szCs w:val="24"/>
        </w:rPr>
        <w:t>ą</w:t>
      </w:r>
      <w:r w:rsidR="00A30507" w:rsidRPr="007F28C1">
        <w:rPr>
          <w:rFonts w:ascii="Times New Roman" w:hAnsi="Times New Roman" w:cs="Times New Roman"/>
          <w:sz w:val="24"/>
          <w:szCs w:val="24"/>
        </w:rPr>
        <w:t xml:space="preserve"> zabudowę</w:t>
      </w:r>
      <w:r w:rsidR="00C961E9" w:rsidRPr="007F28C1">
        <w:rPr>
          <w:rFonts w:ascii="Times New Roman" w:hAnsi="Times New Roman" w:cs="Times New Roman"/>
          <w:sz w:val="24"/>
          <w:szCs w:val="24"/>
        </w:rPr>
        <w:t xml:space="preserve">. Zamierzeniem nowelizacji jest, </w:t>
      </w:r>
      <w:r w:rsidR="000D4FF9" w:rsidRPr="007F28C1">
        <w:rPr>
          <w:rFonts w:ascii="Times New Roman" w:hAnsi="Times New Roman" w:cs="Times New Roman"/>
          <w:sz w:val="24"/>
          <w:szCs w:val="24"/>
        </w:rPr>
        <w:t>a</w:t>
      </w:r>
      <w:r w:rsidR="00C961E9" w:rsidRPr="007F28C1">
        <w:rPr>
          <w:rFonts w:ascii="Times New Roman" w:hAnsi="Times New Roman" w:cs="Times New Roman"/>
          <w:sz w:val="24"/>
          <w:szCs w:val="24"/>
        </w:rPr>
        <w:t>by złoże strategiczne</w:t>
      </w:r>
      <w:r w:rsidR="00CE14CF" w:rsidRPr="007F28C1">
        <w:rPr>
          <w:rFonts w:ascii="Times New Roman" w:hAnsi="Times New Roman" w:cs="Times New Roman"/>
          <w:sz w:val="24"/>
          <w:szCs w:val="24"/>
        </w:rPr>
        <w:t xml:space="preserve"> albo część złoża uznana za strategiczn</w:t>
      </w:r>
      <w:r w:rsidR="000D4FF9" w:rsidRPr="007F28C1">
        <w:rPr>
          <w:rFonts w:ascii="Times New Roman" w:hAnsi="Times New Roman" w:cs="Times New Roman"/>
          <w:sz w:val="24"/>
          <w:szCs w:val="24"/>
        </w:rPr>
        <w:t>e</w:t>
      </w:r>
      <w:r w:rsidR="00DE3A59" w:rsidRPr="007F28C1">
        <w:rPr>
          <w:rFonts w:ascii="Times New Roman" w:hAnsi="Times New Roman" w:cs="Times New Roman"/>
          <w:sz w:val="24"/>
          <w:szCs w:val="24"/>
        </w:rPr>
        <w:t>,</w:t>
      </w:r>
      <w:r w:rsidR="00C961E9" w:rsidRPr="007F28C1">
        <w:rPr>
          <w:rFonts w:ascii="Times New Roman" w:hAnsi="Times New Roman" w:cs="Times New Roman"/>
          <w:sz w:val="24"/>
          <w:szCs w:val="24"/>
        </w:rPr>
        <w:t xml:space="preserve"> został</w:t>
      </w:r>
      <w:r w:rsidR="00CE14CF" w:rsidRPr="007F28C1">
        <w:rPr>
          <w:rFonts w:ascii="Times New Roman" w:hAnsi="Times New Roman" w:cs="Times New Roman"/>
          <w:sz w:val="24"/>
          <w:szCs w:val="24"/>
        </w:rPr>
        <w:t>y</w:t>
      </w:r>
      <w:r w:rsidR="00C961E9" w:rsidRPr="007F28C1">
        <w:rPr>
          <w:rFonts w:ascii="Times New Roman" w:hAnsi="Times New Roman" w:cs="Times New Roman"/>
          <w:sz w:val="24"/>
          <w:szCs w:val="24"/>
        </w:rPr>
        <w:t xml:space="preserve"> objęte zwiększoną ochroną.</w:t>
      </w:r>
      <w:r w:rsidR="00C961E9" w:rsidRPr="007F28C1">
        <w:rPr>
          <w:rFonts w:ascii="Times New Roman" w:hAnsi="Times New Roman" w:cs="Times New Roman"/>
          <w:color w:val="000000" w:themeColor="text1"/>
          <w:sz w:val="24"/>
          <w:szCs w:val="24"/>
        </w:rPr>
        <w:t xml:space="preserve"> Dzięki temu </w:t>
      </w:r>
      <w:r w:rsidR="000D4FF9" w:rsidRPr="007F28C1">
        <w:rPr>
          <w:rFonts w:ascii="Times New Roman" w:hAnsi="Times New Roman" w:cs="Times New Roman"/>
          <w:color w:val="000000" w:themeColor="text1"/>
          <w:sz w:val="24"/>
          <w:szCs w:val="24"/>
        </w:rPr>
        <w:t xml:space="preserve">będzie </w:t>
      </w:r>
      <w:r w:rsidR="00C961E9" w:rsidRPr="007F28C1">
        <w:rPr>
          <w:rFonts w:ascii="Times New Roman" w:hAnsi="Times New Roman" w:cs="Times New Roman"/>
          <w:color w:val="000000" w:themeColor="text1"/>
          <w:sz w:val="24"/>
          <w:szCs w:val="24"/>
        </w:rPr>
        <w:t>możliwe określenie w</w:t>
      </w:r>
      <w:r w:rsidR="005B7604" w:rsidRPr="007F28C1">
        <w:rPr>
          <w:rFonts w:ascii="Times New Roman" w:hAnsi="Times New Roman" w:cs="Times New Roman"/>
          <w:color w:val="000000" w:themeColor="text1"/>
          <w:sz w:val="24"/>
          <w:szCs w:val="24"/>
        </w:rPr>
        <w:t xml:space="preserve"> </w:t>
      </w:r>
      <w:r w:rsidR="00C961E9" w:rsidRPr="007F28C1">
        <w:rPr>
          <w:rFonts w:ascii="Times New Roman" w:hAnsi="Times New Roman" w:cs="Times New Roman"/>
          <w:color w:val="000000" w:themeColor="text1"/>
          <w:sz w:val="24"/>
          <w:szCs w:val="24"/>
        </w:rPr>
        <w:t>decyzji</w:t>
      </w:r>
      <w:r w:rsidR="008F0904" w:rsidRPr="007F28C1">
        <w:rPr>
          <w:rFonts w:ascii="Times New Roman" w:hAnsi="Times New Roman" w:cs="Times New Roman"/>
          <w:color w:val="000000" w:themeColor="text1"/>
          <w:sz w:val="24"/>
          <w:szCs w:val="24"/>
        </w:rPr>
        <w:t xml:space="preserve"> o uznaniu złoża za strategiczne</w:t>
      </w:r>
      <w:r w:rsidR="00C961E9" w:rsidRPr="007F28C1">
        <w:rPr>
          <w:rFonts w:ascii="Times New Roman" w:hAnsi="Times New Roman" w:cs="Times New Roman"/>
          <w:color w:val="000000" w:themeColor="text1"/>
          <w:sz w:val="24"/>
          <w:szCs w:val="24"/>
        </w:rPr>
        <w:t xml:space="preserve"> </w:t>
      </w:r>
      <w:r w:rsidR="00C961E9" w:rsidRPr="007F28C1">
        <w:rPr>
          <w:rFonts w:ascii="Times New Roman" w:hAnsi="Times New Roman" w:cs="Times New Roman"/>
          <w:sz w:val="24"/>
          <w:szCs w:val="24"/>
        </w:rPr>
        <w:t>warunków, jakie gmina powinna uwzględnić</w:t>
      </w:r>
      <w:r w:rsidR="0010751E"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 xml:space="preserve">w toku realizacji obowiązków, związanych z </w:t>
      </w:r>
      <w:r w:rsidR="004629A1" w:rsidRPr="007F28C1">
        <w:rPr>
          <w:rFonts w:ascii="Times New Roman" w:hAnsi="Times New Roman" w:cs="Times New Roman"/>
          <w:sz w:val="24"/>
          <w:szCs w:val="24"/>
        </w:rPr>
        <w:t xml:space="preserve">ujawnieniem </w:t>
      </w:r>
      <w:r w:rsidR="00C961E9" w:rsidRPr="007F28C1">
        <w:rPr>
          <w:rFonts w:ascii="Times New Roman" w:hAnsi="Times New Roman" w:cs="Times New Roman"/>
          <w:sz w:val="24"/>
          <w:szCs w:val="24"/>
        </w:rPr>
        <w:t>złoża</w:t>
      </w:r>
      <w:r w:rsidR="00194D07" w:rsidRPr="007F28C1">
        <w:rPr>
          <w:rFonts w:ascii="Times New Roman" w:hAnsi="Times New Roman" w:cs="Times New Roman"/>
          <w:sz w:val="24"/>
          <w:szCs w:val="24"/>
        </w:rPr>
        <w:t xml:space="preserve"> </w:t>
      </w:r>
      <w:r w:rsidR="00C961E9" w:rsidRPr="007F28C1">
        <w:rPr>
          <w:rFonts w:ascii="Times New Roman" w:hAnsi="Times New Roman" w:cs="Times New Roman"/>
          <w:sz w:val="24"/>
          <w:szCs w:val="24"/>
        </w:rPr>
        <w:t xml:space="preserve">w dokumentach planistycznych, a w szczególności konieczność wprowadzenia zakazu trwałej zabudowy lub zakazu innego zagospodarowania wyznaczonego obszaru złoża strategicznego w sposób, który skutkowałby wyłączeniem możliwości zagospodarowania tego złoża. </w:t>
      </w:r>
    </w:p>
    <w:p w14:paraId="1401EEBB" w14:textId="3468BCD3" w:rsidR="00C961E9" w:rsidRPr="004D6CBA"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Przy podejmowaniu decyzji </w:t>
      </w:r>
      <w:r w:rsidR="004629A1" w:rsidRPr="007F28C1">
        <w:rPr>
          <w:rFonts w:ascii="Times New Roman" w:hAnsi="Times New Roman" w:cs="Times New Roman"/>
          <w:sz w:val="24"/>
          <w:szCs w:val="24"/>
        </w:rPr>
        <w:t>m</w:t>
      </w:r>
      <w:r w:rsidR="00B51124" w:rsidRPr="007F28C1">
        <w:rPr>
          <w:rFonts w:ascii="Times New Roman" w:hAnsi="Times New Roman" w:cs="Times New Roman"/>
          <w:sz w:val="24"/>
          <w:szCs w:val="24"/>
        </w:rPr>
        <w:t>inister</w:t>
      </w:r>
      <w:r w:rsidR="00C03089" w:rsidRPr="007F28C1">
        <w:rPr>
          <w:rFonts w:ascii="Times New Roman" w:hAnsi="Times New Roman" w:cs="Times New Roman"/>
          <w:sz w:val="24"/>
          <w:szCs w:val="24"/>
        </w:rPr>
        <w:t xml:space="preserve"> </w:t>
      </w:r>
      <w:r w:rsidR="004629A1" w:rsidRPr="007F28C1">
        <w:rPr>
          <w:rFonts w:ascii="Times New Roman" w:hAnsi="Times New Roman" w:cs="Times New Roman"/>
          <w:sz w:val="24"/>
          <w:szCs w:val="24"/>
        </w:rPr>
        <w:t xml:space="preserve">właściwy do spraw środowiska będzie </w:t>
      </w:r>
      <w:r w:rsidRPr="007F28C1">
        <w:rPr>
          <w:rFonts w:ascii="Times New Roman" w:hAnsi="Times New Roman" w:cs="Times New Roman"/>
          <w:sz w:val="24"/>
          <w:szCs w:val="24"/>
        </w:rPr>
        <w:t>posiłkować się opinią państwowej służby geologicznej</w:t>
      </w:r>
      <w:r w:rsidR="009B2573" w:rsidRPr="007F28C1">
        <w:rPr>
          <w:rFonts w:ascii="Times New Roman" w:hAnsi="Times New Roman" w:cs="Times New Roman"/>
          <w:sz w:val="24"/>
          <w:szCs w:val="24"/>
        </w:rPr>
        <w:t xml:space="preserve"> oraz </w:t>
      </w:r>
      <w:r w:rsidR="00794717" w:rsidRPr="007F28C1">
        <w:rPr>
          <w:rFonts w:ascii="Times New Roman" w:hAnsi="Times New Roman" w:cs="Times New Roman"/>
          <w:sz w:val="24"/>
          <w:szCs w:val="24"/>
        </w:rPr>
        <w:t xml:space="preserve">opinią </w:t>
      </w:r>
      <w:r w:rsidR="009B2573" w:rsidRPr="007F28C1">
        <w:rPr>
          <w:rFonts w:ascii="Times New Roman" w:hAnsi="Times New Roman" w:cs="Times New Roman"/>
          <w:sz w:val="24"/>
          <w:szCs w:val="24"/>
        </w:rPr>
        <w:t xml:space="preserve">wójta (burmistrza, prezydenta miasta) gmin, na </w:t>
      </w:r>
      <w:r w:rsidR="004629A1" w:rsidRPr="007F28C1">
        <w:rPr>
          <w:rFonts w:ascii="Times New Roman" w:hAnsi="Times New Roman" w:cs="Times New Roman"/>
          <w:sz w:val="24"/>
          <w:szCs w:val="24"/>
        </w:rPr>
        <w:t xml:space="preserve">terenie </w:t>
      </w:r>
      <w:r w:rsidR="009B2573" w:rsidRPr="007F28C1">
        <w:rPr>
          <w:rFonts w:ascii="Times New Roman" w:hAnsi="Times New Roman" w:cs="Times New Roman"/>
          <w:sz w:val="24"/>
          <w:szCs w:val="24"/>
        </w:rPr>
        <w:t>których znajduje się złoże kopaliny, którego dotyczy dokumentacja geologiczna albo dodatek do dokumentacji geologicznej</w:t>
      </w:r>
      <w:r w:rsidRPr="007F28C1">
        <w:rPr>
          <w:rFonts w:ascii="Times New Roman" w:hAnsi="Times New Roman" w:cs="Times New Roman"/>
          <w:sz w:val="24"/>
          <w:szCs w:val="24"/>
        </w:rPr>
        <w:t xml:space="preserve">. Opinia PSG </w:t>
      </w:r>
      <w:r w:rsidR="004629A1" w:rsidRPr="007F28C1">
        <w:rPr>
          <w:rFonts w:ascii="Times New Roman" w:hAnsi="Times New Roman" w:cs="Times New Roman"/>
          <w:sz w:val="24"/>
          <w:szCs w:val="24"/>
        </w:rPr>
        <w:t xml:space="preserve">będzie </w:t>
      </w:r>
      <w:r w:rsidRPr="007F28C1">
        <w:rPr>
          <w:rFonts w:ascii="Times New Roman" w:hAnsi="Times New Roman" w:cs="Times New Roman"/>
          <w:sz w:val="24"/>
          <w:szCs w:val="24"/>
        </w:rPr>
        <w:t>dotyczyć tego, czy złoże spełnia kryteria do objęcia go szczególną ochroną prawną wyrażającą się w uznaniu złoża kopaliny za strategiczne</w:t>
      </w:r>
      <w:r w:rsidR="00297386" w:rsidRPr="007F28C1">
        <w:rPr>
          <w:rFonts w:ascii="Times New Roman" w:hAnsi="Times New Roman" w:cs="Times New Roman"/>
          <w:sz w:val="24"/>
          <w:szCs w:val="24"/>
        </w:rPr>
        <w:t xml:space="preserve">, a także czy </w:t>
      </w:r>
      <w:r w:rsidR="004629A1" w:rsidRPr="007F28C1">
        <w:rPr>
          <w:rFonts w:ascii="Times New Roman" w:hAnsi="Times New Roman" w:cs="Times New Roman"/>
          <w:sz w:val="24"/>
          <w:szCs w:val="24"/>
        </w:rPr>
        <w:t xml:space="preserve">jest </w:t>
      </w:r>
      <w:r w:rsidR="00297386" w:rsidRPr="007F28C1">
        <w:rPr>
          <w:rFonts w:ascii="Times New Roman" w:hAnsi="Times New Roman" w:cs="Times New Roman"/>
          <w:sz w:val="24"/>
          <w:szCs w:val="24"/>
        </w:rPr>
        <w:t>uzasadnione wskazywanie warunków</w:t>
      </w:r>
      <w:r w:rsidR="00986D74" w:rsidRPr="007F28C1">
        <w:rPr>
          <w:rFonts w:ascii="Times New Roman" w:hAnsi="Times New Roman" w:cs="Times New Roman"/>
          <w:sz w:val="24"/>
          <w:szCs w:val="24"/>
        </w:rPr>
        <w:t>, jakie gmina powinna uwzględnić w toku realizacji obowiązków z</w:t>
      </w:r>
      <w:r w:rsidR="001055C7">
        <w:rPr>
          <w:rFonts w:ascii="Times New Roman" w:hAnsi="Times New Roman" w:cs="Times New Roman"/>
          <w:sz w:val="24"/>
          <w:szCs w:val="24"/>
        </w:rPr>
        <w:t>wiązanych z ujawnieniem złoża w </w:t>
      </w:r>
      <w:r w:rsidR="00986D74" w:rsidRPr="007F28C1">
        <w:rPr>
          <w:rFonts w:ascii="Times New Roman" w:hAnsi="Times New Roman" w:cs="Times New Roman"/>
          <w:sz w:val="24"/>
          <w:szCs w:val="24"/>
        </w:rPr>
        <w:t>dokumentach planistycznych</w:t>
      </w:r>
      <w:r w:rsidRPr="007F28C1">
        <w:rPr>
          <w:rFonts w:ascii="Times New Roman" w:hAnsi="Times New Roman" w:cs="Times New Roman"/>
          <w:sz w:val="24"/>
          <w:szCs w:val="24"/>
        </w:rPr>
        <w:t xml:space="preserve">. Państwowy Instytut Geologiczny – Państwowy Instytut Badawczy jest wyspecjalizowaną instytucją, dysponującą zasobem kadrowym składającym się z fachowców uprawnionych do formułowania opinii o potrzebie </w:t>
      </w:r>
      <w:r w:rsidR="008863FE" w:rsidRPr="007F28C1">
        <w:rPr>
          <w:rFonts w:ascii="Times New Roman" w:hAnsi="Times New Roman" w:cs="Times New Roman"/>
          <w:sz w:val="24"/>
          <w:szCs w:val="24"/>
        </w:rPr>
        <w:t>uznania</w:t>
      </w:r>
      <w:r w:rsidRPr="007F28C1">
        <w:rPr>
          <w:rFonts w:ascii="Times New Roman" w:hAnsi="Times New Roman" w:cs="Times New Roman"/>
          <w:sz w:val="24"/>
          <w:szCs w:val="24"/>
        </w:rPr>
        <w:t xml:space="preserve"> złoża</w:t>
      </w:r>
      <w:r w:rsidR="008863FE" w:rsidRPr="007F28C1">
        <w:rPr>
          <w:rFonts w:ascii="Times New Roman" w:hAnsi="Times New Roman" w:cs="Times New Roman"/>
          <w:sz w:val="24"/>
          <w:szCs w:val="24"/>
        </w:rPr>
        <w:t xml:space="preserve"> za</w:t>
      </w:r>
      <w:r w:rsidRPr="007F28C1">
        <w:rPr>
          <w:rFonts w:ascii="Times New Roman" w:hAnsi="Times New Roman" w:cs="Times New Roman"/>
          <w:sz w:val="24"/>
          <w:szCs w:val="24"/>
        </w:rPr>
        <w:t xml:space="preserve"> strategiczne. Dlatego zajęte przez PSG stanowisko będzie miało istotne znaczenie w podjęciu decyzji przez</w:t>
      </w:r>
      <w:r w:rsidR="00C03089" w:rsidRPr="007F28C1">
        <w:rPr>
          <w:rFonts w:ascii="Times New Roman" w:hAnsi="Times New Roman" w:cs="Times New Roman"/>
          <w:sz w:val="24"/>
          <w:szCs w:val="24"/>
        </w:rPr>
        <w:t xml:space="preserve"> </w:t>
      </w:r>
      <w:r w:rsidR="004629A1" w:rsidRPr="007F28C1">
        <w:rPr>
          <w:rFonts w:ascii="Times New Roman" w:hAnsi="Times New Roman" w:cs="Times New Roman"/>
          <w:sz w:val="24"/>
          <w:szCs w:val="24"/>
        </w:rPr>
        <w:t>m</w:t>
      </w:r>
      <w:r w:rsidR="00B51124" w:rsidRPr="007F28C1">
        <w:rPr>
          <w:rFonts w:ascii="Times New Roman" w:hAnsi="Times New Roman" w:cs="Times New Roman"/>
          <w:sz w:val="24"/>
          <w:szCs w:val="24"/>
        </w:rPr>
        <w:t>inistra</w:t>
      </w:r>
      <w:r w:rsidR="004629A1" w:rsidRPr="007F28C1">
        <w:rPr>
          <w:rFonts w:ascii="Times New Roman" w:hAnsi="Times New Roman" w:cs="Times New Roman"/>
          <w:sz w:val="24"/>
          <w:szCs w:val="24"/>
        </w:rPr>
        <w:t xml:space="preserve"> właściwego do spraw środowiska</w:t>
      </w:r>
      <w:r w:rsidRPr="007F28C1">
        <w:rPr>
          <w:rFonts w:ascii="Times New Roman" w:hAnsi="Times New Roman" w:cs="Times New Roman"/>
          <w:sz w:val="24"/>
          <w:szCs w:val="24"/>
        </w:rPr>
        <w:t xml:space="preserve">. </w:t>
      </w:r>
      <w:r w:rsidR="009B2573" w:rsidRPr="007F28C1">
        <w:rPr>
          <w:rFonts w:ascii="Times New Roman" w:hAnsi="Times New Roman" w:cs="Times New Roman"/>
          <w:sz w:val="24"/>
          <w:szCs w:val="24"/>
        </w:rPr>
        <w:t xml:space="preserve">Natomiast organ wykonawczy gminy będzie przygotowywał opinię w zakresie projektowanych granic złoża strategicznego lub jego części oraz sposobu zagospodarowania terenu, na którym znajduje się </w:t>
      </w:r>
      <w:r w:rsidR="00DE3A59" w:rsidRPr="007F28C1">
        <w:rPr>
          <w:rFonts w:ascii="Times New Roman" w:hAnsi="Times New Roman" w:cs="Times New Roman"/>
          <w:sz w:val="24"/>
          <w:szCs w:val="24"/>
        </w:rPr>
        <w:t xml:space="preserve">to </w:t>
      </w:r>
      <w:r w:rsidR="009B2573" w:rsidRPr="007F28C1">
        <w:rPr>
          <w:rFonts w:ascii="Times New Roman" w:hAnsi="Times New Roman" w:cs="Times New Roman"/>
          <w:sz w:val="24"/>
          <w:szCs w:val="24"/>
        </w:rPr>
        <w:t xml:space="preserve">złoże, z uwzględnieniem uwarunkowań urbanistycznych, gospodarczych, środowiskowych i kulturowych tego terenu. </w:t>
      </w:r>
      <w:r w:rsidR="006411DB" w:rsidRPr="007F28C1">
        <w:rPr>
          <w:rFonts w:ascii="Times New Roman" w:hAnsi="Times New Roman" w:cs="Times New Roman"/>
          <w:sz w:val="24"/>
          <w:szCs w:val="24"/>
        </w:rPr>
        <w:t>Dzięki powyższemu w</w:t>
      </w:r>
      <w:r w:rsidR="00705A7E" w:rsidRPr="007F28C1">
        <w:rPr>
          <w:rFonts w:ascii="Times New Roman" w:hAnsi="Times New Roman" w:cs="Times New Roman"/>
          <w:sz w:val="24"/>
          <w:szCs w:val="24"/>
        </w:rPr>
        <w:t> </w:t>
      </w:r>
      <w:r w:rsidR="006411DB" w:rsidRPr="007F28C1">
        <w:rPr>
          <w:rFonts w:ascii="Times New Roman" w:hAnsi="Times New Roman" w:cs="Times New Roman"/>
          <w:sz w:val="24"/>
          <w:szCs w:val="24"/>
        </w:rPr>
        <w:t xml:space="preserve">postępowaniu </w:t>
      </w:r>
      <w:r w:rsidR="00DF2222" w:rsidRPr="007F28C1">
        <w:rPr>
          <w:rFonts w:ascii="Times New Roman" w:hAnsi="Times New Roman" w:cs="Times New Roman"/>
          <w:sz w:val="24"/>
          <w:szCs w:val="24"/>
        </w:rPr>
        <w:t xml:space="preserve">zostanie </w:t>
      </w:r>
      <w:r w:rsidR="006411DB" w:rsidRPr="007F28C1">
        <w:rPr>
          <w:rFonts w:ascii="Times New Roman" w:hAnsi="Times New Roman" w:cs="Times New Roman"/>
          <w:sz w:val="24"/>
          <w:szCs w:val="24"/>
        </w:rPr>
        <w:t>uwzględnion</w:t>
      </w:r>
      <w:r w:rsidR="00BB0041" w:rsidRPr="007F28C1">
        <w:rPr>
          <w:rFonts w:ascii="Times New Roman" w:hAnsi="Times New Roman" w:cs="Times New Roman"/>
          <w:sz w:val="24"/>
          <w:szCs w:val="24"/>
        </w:rPr>
        <w:t xml:space="preserve">e także </w:t>
      </w:r>
      <w:r w:rsidR="0083223E" w:rsidRPr="007F28C1">
        <w:rPr>
          <w:rFonts w:ascii="Times New Roman" w:hAnsi="Times New Roman" w:cs="Times New Roman"/>
          <w:sz w:val="24"/>
          <w:szCs w:val="24"/>
        </w:rPr>
        <w:t xml:space="preserve">stanowisko organów </w:t>
      </w:r>
      <w:r w:rsidR="0083223E" w:rsidRPr="007F28C1">
        <w:rPr>
          <w:rFonts w:ascii="Times New Roman" w:hAnsi="Times New Roman" w:cs="Times New Roman"/>
          <w:sz w:val="24"/>
          <w:szCs w:val="24"/>
        </w:rPr>
        <w:lastRenderedPageBreak/>
        <w:t>wykonawczych gminy.</w:t>
      </w:r>
      <w:r w:rsidR="00BB0041" w:rsidRPr="007F28C1">
        <w:rPr>
          <w:rFonts w:ascii="Times New Roman" w:hAnsi="Times New Roman" w:cs="Times New Roman"/>
          <w:sz w:val="24"/>
          <w:szCs w:val="24"/>
        </w:rPr>
        <w:t xml:space="preserve"> </w:t>
      </w:r>
      <w:r w:rsidRPr="007F28C1">
        <w:rPr>
          <w:rFonts w:ascii="Times New Roman" w:hAnsi="Times New Roman" w:cs="Times New Roman"/>
          <w:sz w:val="24"/>
          <w:szCs w:val="24"/>
        </w:rPr>
        <w:t>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przypadku</w:t>
      </w:r>
      <w:r w:rsidR="004618D4" w:rsidRPr="007F28C1">
        <w:rPr>
          <w:rFonts w:ascii="Times New Roman" w:hAnsi="Times New Roman" w:cs="Times New Roman"/>
          <w:sz w:val="24"/>
          <w:szCs w:val="24"/>
        </w:rPr>
        <w:t xml:space="preserve"> gdy</w:t>
      </w:r>
      <w:r w:rsidR="001E7CB6" w:rsidRPr="007F28C1">
        <w:rPr>
          <w:rFonts w:ascii="Times New Roman" w:hAnsi="Times New Roman" w:cs="Times New Roman"/>
          <w:sz w:val="24"/>
          <w:szCs w:val="24"/>
        </w:rPr>
        <w:t xml:space="preserve"> </w:t>
      </w:r>
      <w:r w:rsidR="00DF2222" w:rsidRPr="007F28C1">
        <w:rPr>
          <w:rFonts w:ascii="Times New Roman" w:hAnsi="Times New Roman" w:cs="Times New Roman"/>
          <w:sz w:val="24"/>
          <w:szCs w:val="24"/>
        </w:rPr>
        <w:t>m</w:t>
      </w:r>
      <w:r w:rsidR="00B51124" w:rsidRPr="007F28C1">
        <w:rPr>
          <w:rFonts w:ascii="Times New Roman" w:hAnsi="Times New Roman" w:cs="Times New Roman"/>
          <w:sz w:val="24"/>
          <w:szCs w:val="24"/>
        </w:rPr>
        <w:t>inister</w:t>
      </w:r>
      <w:r w:rsidR="00DF2222" w:rsidRPr="007F28C1">
        <w:rPr>
          <w:rFonts w:ascii="Times New Roman" w:hAnsi="Times New Roman" w:cs="Times New Roman"/>
          <w:sz w:val="24"/>
          <w:szCs w:val="24"/>
        </w:rPr>
        <w:t xml:space="preserve"> właściwy do spraw środowiska</w:t>
      </w:r>
      <w:r w:rsidRPr="007F28C1">
        <w:rPr>
          <w:rFonts w:ascii="Times New Roman" w:hAnsi="Times New Roman" w:cs="Times New Roman"/>
          <w:sz w:val="24"/>
          <w:szCs w:val="24"/>
        </w:rPr>
        <w:t xml:space="preserve"> uzna, że złoże nie spełnia kryteriów, zostanie wydana decyzja o umorzeniu postępowania (art. 9</w:t>
      </w:r>
      <w:r w:rsidR="00641266" w:rsidRPr="007F28C1">
        <w:rPr>
          <w:rFonts w:ascii="Times New Roman" w:hAnsi="Times New Roman" w:cs="Times New Roman"/>
          <w:sz w:val="24"/>
          <w:szCs w:val="24"/>
        </w:rPr>
        <w:t>4a</w:t>
      </w:r>
      <w:r w:rsidRPr="007F28C1">
        <w:rPr>
          <w:rFonts w:ascii="Times New Roman" w:hAnsi="Times New Roman" w:cs="Times New Roman"/>
          <w:sz w:val="24"/>
          <w:szCs w:val="24"/>
        </w:rPr>
        <w:t xml:space="preserve"> ust.</w:t>
      </w:r>
      <w:r w:rsidR="00B74302" w:rsidRPr="007F28C1">
        <w:rPr>
          <w:rFonts w:ascii="Times New Roman" w:hAnsi="Times New Roman" w:cs="Times New Roman"/>
          <w:sz w:val="24"/>
          <w:szCs w:val="24"/>
        </w:rPr>
        <w:t> </w:t>
      </w:r>
      <w:r w:rsidRPr="007F28C1">
        <w:rPr>
          <w:rFonts w:ascii="Times New Roman" w:hAnsi="Times New Roman" w:cs="Times New Roman"/>
          <w:sz w:val="24"/>
          <w:szCs w:val="24"/>
        </w:rPr>
        <w:t>1</w:t>
      </w:r>
      <w:r w:rsidR="00823F37" w:rsidRPr="007F28C1">
        <w:rPr>
          <w:rFonts w:ascii="Times New Roman" w:hAnsi="Times New Roman" w:cs="Times New Roman"/>
          <w:sz w:val="24"/>
          <w:szCs w:val="24"/>
        </w:rPr>
        <w:t>3</w:t>
      </w:r>
      <w:r w:rsidR="004618D4" w:rsidRPr="007F28C1">
        <w:rPr>
          <w:rFonts w:ascii="Times New Roman" w:hAnsi="Times New Roman" w:cs="Times New Roman"/>
          <w:sz w:val="24"/>
          <w:szCs w:val="24"/>
        </w:rPr>
        <w:t xml:space="preserve"> P.g.g.</w:t>
      </w:r>
      <w:r w:rsidRPr="007F28C1">
        <w:rPr>
          <w:rFonts w:ascii="Times New Roman" w:hAnsi="Times New Roman" w:cs="Times New Roman"/>
          <w:sz w:val="24"/>
          <w:szCs w:val="24"/>
        </w:rPr>
        <w:t xml:space="preserve">). </w:t>
      </w:r>
      <w:r w:rsidRPr="002021DC">
        <w:rPr>
          <w:rFonts w:ascii="Times New Roman" w:hAnsi="Times New Roman" w:cs="Times New Roman"/>
          <w:sz w:val="24"/>
          <w:szCs w:val="24"/>
        </w:rPr>
        <w:t>Projekt uwzględnia także sytuację, w której złoże</w:t>
      </w:r>
      <w:r w:rsidR="00461590" w:rsidRPr="002021DC">
        <w:rPr>
          <w:rFonts w:ascii="Times New Roman" w:hAnsi="Times New Roman" w:cs="Times New Roman"/>
          <w:sz w:val="24"/>
          <w:szCs w:val="24"/>
        </w:rPr>
        <w:t xml:space="preserve"> lub jego część</w:t>
      </w:r>
      <w:r w:rsidRPr="002021DC">
        <w:rPr>
          <w:rFonts w:ascii="Times New Roman" w:hAnsi="Times New Roman" w:cs="Times New Roman"/>
          <w:sz w:val="24"/>
          <w:szCs w:val="24"/>
        </w:rPr>
        <w:t xml:space="preserve"> przestanie spełniać</w:t>
      </w:r>
      <w:r w:rsidR="005B7604" w:rsidRPr="00AC746E">
        <w:rPr>
          <w:rFonts w:ascii="Times New Roman" w:hAnsi="Times New Roman" w:cs="Times New Roman"/>
          <w:sz w:val="24"/>
          <w:szCs w:val="24"/>
        </w:rPr>
        <w:t xml:space="preserve"> </w:t>
      </w:r>
      <w:r w:rsidR="00823F37" w:rsidRPr="00AC746E">
        <w:rPr>
          <w:rFonts w:ascii="Times New Roman" w:hAnsi="Times New Roman" w:cs="Times New Roman"/>
          <w:sz w:val="24"/>
          <w:szCs w:val="24"/>
        </w:rPr>
        <w:t>kryteria</w:t>
      </w:r>
      <w:r w:rsidR="00A75E6C" w:rsidRPr="00AC746E">
        <w:rPr>
          <w:rFonts w:ascii="Times New Roman" w:hAnsi="Times New Roman" w:cs="Times New Roman"/>
          <w:sz w:val="24"/>
          <w:szCs w:val="24"/>
        </w:rPr>
        <w:t xml:space="preserve"> </w:t>
      </w:r>
      <w:r w:rsidRPr="00AC746E">
        <w:rPr>
          <w:rFonts w:ascii="Times New Roman" w:hAnsi="Times New Roman" w:cs="Times New Roman"/>
          <w:sz w:val="24"/>
          <w:szCs w:val="24"/>
        </w:rPr>
        <w:t xml:space="preserve">z projektowanego art. </w:t>
      </w:r>
      <w:r w:rsidR="00641266" w:rsidRPr="00AC746E">
        <w:rPr>
          <w:rFonts w:ascii="Times New Roman" w:hAnsi="Times New Roman" w:cs="Times New Roman"/>
          <w:sz w:val="24"/>
          <w:szCs w:val="24"/>
        </w:rPr>
        <w:t xml:space="preserve">94a </w:t>
      </w:r>
      <w:r w:rsidRPr="00BC3E69">
        <w:rPr>
          <w:rFonts w:ascii="Times New Roman" w:hAnsi="Times New Roman" w:cs="Times New Roman"/>
          <w:sz w:val="24"/>
          <w:szCs w:val="24"/>
        </w:rPr>
        <w:t>ust.</w:t>
      </w:r>
      <w:r w:rsidR="00B74302" w:rsidRPr="00BC3E69">
        <w:rPr>
          <w:rFonts w:ascii="Times New Roman" w:hAnsi="Times New Roman" w:cs="Times New Roman"/>
          <w:sz w:val="24"/>
          <w:szCs w:val="24"/>
        </w:rPr>
        <w:t> </w:t>
      </w:r>
      <w:r w:rsidRPr="00BC3E69">
        <w:rPr>
          <w:rFonts w:ascii="Times New Roman" w:hAnsi="Times New Roman" w:cs="Times New Roman"/>
          <w:sz w:val="24"/>
          <w:szCs w:val="24"/>
        </w:rPr>
        <w:t>5</w:t>
      </w:r>
      <w:r w:rsidR="00CD71E0" w:rsidRPr="00BC3E69">
        <w:rPr>
          <w:rFonts w:ascii="Times New Roman" w:hAnsi="Times New Roman" w:cs="Times New Roman"/>
          <w:sz w:val="24"/>
          <w:szCs w:val="24"/>
        </w:rPr>
        <w:t xml:space="preserve"> P.g.g.</w:t>
      </w:r>
      <w:r w:rsidR="0083223E" w:rsidRPr="00BC3E69">
        <w:rPr>
          <w:rFonts w:ascii="Times New Roman" w:hAnsi="Times New Roman" w:cs="Times New Roman"/>
          <w:sz w:val="24"/>
          <w:szCs w:val="24"/>
        </w:rPr>
        <w:t> </w:t>
      </w:r>
      <w:r w:rsidR="00CE14CF" w:rsidRPr="00191BB7">
        <w:rPr>
          <w:rFonts w:ascii="Times New Roman" w:hAnsi="Times New Roman" w:cs="Times New Roman"/>
          <w:sz w:val="24"/>
          <w:szCs w:val="24"/>
        </w:rPr>
        <w:t>i</w:t>
      </w:r>
      <w:r w:rsidR="001C6511" w:rsidRPr="004D6CBA">
        <w:rPr>
          <w:rFonts w:ascii="Times New Roman" w:hAnsi="Times New Roman" w:cs="Times New Roman"/>
          <w:sz w:val="24"/>
          <w:szCs w:val="24"/>
        </w:rPr>
        <w:t> </w:t>
      </w:r>
      <w:r w:rsidR="00F6277F" w:rsidRPr="004D6CBA">
        <w:rPr>
          <w:rFonts w:ascii="Times New Roman" w:hAnsi="Times New Roman" w:cs="Times New Roman"/>
          <w:sz w:val="24"/>
          <w:szCs w:val="24"/>
        </w:rPr>
        <w:t>w</w:t>
      </w:r>
      <w:r w:rsidR="001C6511" w:rsidRPr="004D6CBA">
        <w:rPr>
          <w:rFonts w:ascii="Times New Roman" w:hAnsi="Times New Roman" w:cs="Times New Roman"/>
          <w:sz w:val="24"/>
          <w:szCs w:val="24"/>
        </w:rPr>
        <w:t> </w:t>
      </w:r>
      <w:r w:rsidR="00F6277F" w:rsidRPr="004D6CBA">
        <w:rPr>
          <w:rFonts w:ascii="Times New Roman" w:hAnsi="Times New Roman" w:cs="Times New Roman"/>
          <w:sz w:val="24"/>
          <w:szCs w:val="24"/>
        </w:rPr>
        <w:t xml:space="preserve">takim przypadku </w:t>
      </w:r>
      <w:r w:rsidRPr="004D6CBA">
        <w:rPr>
          <w:rFonts w:ascii="Times New Roman" w:hAnsi="Times New Roman" w:cs="Times New Roman"/>
          <w:sz w:val="24"/>
          <w:szCs w:val="24"/>
        </w:rPr>
        <w:t xml:space="preserve">decyzja o </w:t>
      </w:r>
      <w:r w:rsidR="00F6277F" w:rsidRPr="004D6CBA">
        <w:rPr>
          <w:rFonts w:ascii="Times New Roman" w:hAnsi="Times New Roman" w:cs="Times New Roman"/>
          <w:sz w:val="24"/>
          <w:szCs w:val="24"/>
        </w:rPr>
        <w:t xml:space="preserve">uznaniu </w:t>
      </w:r>
      <w:r w:rsidRPr="002021DC">
        <w:rPr>
          <w:rFonts w:ascii="Times New Roman" w:hAnsi="Times New Roman" w:cs="Times New Roman"/>
          <w:sz w:val="24"/>
          <w:szCs w:val="24"/>
        </w:rPr>
        <w:t>złoża za strategiczne będzie mogła zostać zmieniona lub uchylona przez</w:t>
      </w:r>
      <w:r w:rsidR="00C03089" w:rsidRPr="002021DC">
        <w:rPr>
          <w:rFonts w:ascii="Times New Roman" w:hAnsi="Times New Roman" w:cs="Times New Roman"/>
          <w:sz w:val="24"/>
          <w:szCs w:val="24"/>
        </w:rPr>
        <w:t xml:space="preserve"> </w:t>
      </w:r>
      <w:r w:rsidR="00DF2222" w:rsidRPr="002021DC">
        <w:rPr>
          <w:rFonts w:ascii="Times New Roman" w:hAnsi="Times New Roman" w:cs="Times New Roman"/>
          <w:sz w:val="24"/>
          <w:szCs w:val="24"/>
        </w:rPr>
        <w:t>m</w:t>
      </w:r>
      <w:r w:rsidR="00B51124" w:rsidRPr="002021DC">
        <w:rPr>
          <w:rFonts w:ascii="Times New Roman" w:hAnsi="Times New Roman" w:cs="Times New Roman"/>
          <w:sz w:val="24"/>
          <w:szCs w:val="24"/>
        </w:rPr>
        <w:t>inistra</w:t>
      </w:r>
      <w:r w:rsidRPr="002021DC">
        <w:rPr>
          <w:rFonts w:ascii="Times New Roman" w:hAnsi="Times New Roman" w:cs="Times New Roman"/>
          <w:sz w:val="24"/>
          <w:szCs w:val="24"/>
        </w:rPr>
        <w:t>. Postępowanie będzie wszcz</w:t>
      </w:r>
      <w:r w:rsidR="00DE3A59" w:rsidRPr="002021DC">
        <w:rPr>
          <w:rFonts w:ascii="Times New Roman" w:hAnsi="Times New Roman" w:cs="Times New Roman"/>
          <w:sz w:val="24"/>
          <w:szCs w:val="24"/>
        </w:rPr>
        <w:t>ynane</w:t>
      </w:r>
      <w:r w:rsidRPr="002021DC">
        <w:rPr>
          <w:rFonts w:ascii="Times New Roman" w:hAnsi="Times New Roman" w:cs="Times New Roman"/>
          <w:sz w:val="24"/>
          <w:szCs w:val="24"/>
        </w:rPr>
        <w:t xml:space="preserve"> odpowiednio także po zatwierdzeniu dodatku do dokumentacji geologicznej.</w:t>
      </w:r>
      <w:r w:rsidR="00800D13" w:rsidRPr="002021DC">
        <w:rPr>
          <w:rFonts w:ascii="Times New Roman" w:hAnsi="Times New Roman" w:cs="Times New Roman"/>
          <w:sz w:val="24"/>
          <w:szCs w:val="24"/>
        </w:rPr>
        <w:t xml:space="preserve"> W</w:t>
      </w:r>
      <w:r w:rsidR="004618D4" w:rsidRPr="002021DC">
        <w:rPr>
          <w:rFonts w:ascii="Times New Roman" w:hAnsi="Times New Roman" w:cs="Times New Roman"/>
          <w:sz w:val="24"/>
          <w:szCs w:val="24"/>
        </w:rPr>
        <w:t> </w:t>
      </w:r>
      <w:r w:rsidR="00800D13" w:rsidRPr="002021DC">
        <w:rPr>
          <w:rFonts w:ascii="Times New Roman" w:hAnsi="Times New Roman" w:cs="Times New Roman"/>
          <w:sz w:val="24"/>
          <w:szCs w:val="24"/>
        </w:rPr>
        <w:t xml:space="preserve">przypadku </w:t>
      </w:r>
      <w:r w:rsidR="004618D4" w:rsidRPr="002021DC">
        <w:rPr>
          <w:rFonts w:ascii="Times New Roman" w:hAnsi="Times New Roman" w:cs="Times New Roman"/>
          <w:sz w:val="24"/>
          <w:szCs w:val="24"/>
        </w:rPr>
        <w:t>gdy</w:t>
      </w:r>
      <w:r w:rsidR="00800D13" w:rsidRPr="002021DC">
        <w:rPr>
          <w:rFonts w:ascii="Times New Roman" w:hAnsi="Times New Roman" w:cs="Times New Roman"/>
          <w:sz w:val="24"/>
          <w:szCs w:val="24"/>
        </w:rPr>
        <w:t xml:space="preserve"> postępowanie będzie wszczynane po zatwierdzeniu dodatku do dokumentacji geologicznej</w:t>
      </w:r>
      <w:r w:rsidR="00AC746E">
        <w:rPr>
          <w:rFonts w:ascii="Times New Roman" w:hAnsi="Times New Roman" w:cs="Times New Roman"/>
          <w:sz w:val="24"/>
          <w:szCs w:val="24"/>
        </w:rPr>
        <w:t>,</w:t>
      </w:r>
      <w:r w:rsidR="00800D13" w:rsidRPr="00AC746E">
        <w:rPr>
          <w:rFonts w:ascii="Times New Roman" w:hAnsi="Times New Roman" w:cs="Times New Roman"/>
          <w:sz w:val="24"/>
          <w:szCs w:val="24"/>
        </w:rPr>
        <w:t xml:space="preserve"> analiza spełnienia </w:t>
      </w:r>
      <w:r w:rsidR="00823F37" w:rsidRPr="00AC746E">
        <w:rPr>
          <w:rFonts w:ascii="Times New Roman" w:hAnsi="Times New Roman" w:cs="Times New Roman"/>
          <w:sz w:val="24"/>
          <w:szCs w:val="24"/>
        </w:rPr>
        <w:t>kryteriów</w:t>
      </w:r>
      <w:r w:rsidR="00800D13" w:rsidRPr="00BC3E69">
        <w:rPr>
          <w:rFonts w:ascii="Times New Roman" w:hAnsi="Times New Roman" w:cs="Times New Roman"/>
          <w:sz w:val="24"/>
          <w:szCs w:val="24"/>
        </w:rPr>
        <w:t>,</w:t>
      </w:r>
      <w:r w:rsidR="0083223E" w:rsidRPr="00BC3E69">
        <w:rPr>
          <w:rFonts w:ascii="Times New Roman" w:hAnsi="Times New Roman" w:cs="Times New Roman"/>
          <w:sz w:val="24"/>
          <w:szCs w:val="24"/>
        </w:rPr>
        <w:t xml:space="preserve"> </w:t>
      </w:r>
      <w:r w:rsidR="00800D13" w:rsidRPr="00BC3E69">
        <w:rPr>
          <w:rFonts w:ascii="Times New Roman" w:hAnsi="Times New Roman" w:cs="Times New Roman"/>
          <w:sz w:val="24"/>
          <w:szCs w:val="24"/>
        </w:rPr>
        <w:t>o których mowa w</w:t>
      </w:r>
      <w:r w:rsidR="001C6511" w:rsidRPr="004D6CBA">
        <w:rPr>
          <w:rFonts w:ascii="Times New Roman" w:hAnsi="Times New Roman" w:cs="Times New Roman"/>
          <w:sz w:val="24"/>
          <w:szCs w:val="24"/>
        </w:rPr>
        <w:t> </w:t>
      </w:r>
      <w:r w:rsidR="00F6277F" w:rsidRPr="004D6CBA">
        <w:rPr>
          <w:rFonts w:ascii="Times New Roman" w:hAnsi="Times New Roman" w:cs="Times New Roman"/>
          <w:sz w:val="24"/>
          <w:szCs w:val="24"/>
        </w:rPr>
        <w:t xml:space="preserve">art. 94a </w:t>
      </w:r>
      <w:r w:rsidR="00800D13" w:rsidRPr="004D6CBA">
        <w:rPr>
          <w:rFonts w:ascii="Times New Roman" w:hAnsi="Times New Roman" w:cs="Times New Roman"/>
          <w:sz w:val="24"/>
          <w:szCs w:val="24"/>
        </w:rPr>
        <w:t>ust. 5</w:t>
      </w:r>
      <w:r w:rsidR="001C6511" w:rsidRPr="004D6CBA">
        <w:rPr>
          <w:rFonts w:ascii="Times New Roman" w:hAnsi="Times New Roman" w:cs="Times New Roman"/>
          <w:sz w:val="24"/>
          <w:szCs w:val="24"/>
        </w:rPr>
        <w:t xml:space="preserve"> P.g.g.</w:t>
      </w:r>
      <w:r w:rsidR="00800D13" w:rsidRPr="004D6CBA">
        <w:rPr>
          <w:rFonts w:ascii="Times New Roman" w:hAnsi="Times New Roman" w:cs="Times New Roman"/>
          <w:sz w:val="24"/>
          <w:szCs w:val="24"/>
        </w:rPr>
        <w:t>, będzie dotyczyć całego złoża kopaliny.</w:t>
      </w:r>
    </w:p>
    <w:p w14:paraId="121E32E8" w14:textId="7E26573A" w:rsidR="00812E12" w:rsidRPr="007F28C1" w:rsidRDefault="00812E12" w:rsidP="000B21C0">
      <w:pPr>
        <w:spacing w:before="120" w:after="0" w:line="360" w:lineRule="auto"/>
        <w:jc w:val="both"/>
        <w:rPr>
          <w:rFonts w:ascii="Times New Roman" w:hAnsi="Times New Roman" w:cs="Times New Roman"/>
          <w:sz w:val="24"/>
          <w:szCs w:val="24"/>
        </w:rPr>
      </w:pPr>
      <w:r w:rsidRPr="000B21C0">
        <w:rPr>
          <w:rFonts w:ascii="Times New Roman" w:hAnsi="Times New Roman" w:cs="Times New Roman"/>
          <w:sz w:val="24"/>
          <w:szCs w:val="24"/>
        </w:rPr>
        <w:t>Postępowanie w sprawie uznania złoża kopaliny za złoże strategiczne będzie dotyczyć przede wszystkim złóż kopalin, o których mowa w art. 10 ust.</w:t>
      </w:r>
      <w:r w:rsidR="00B74302" w:rsidRPr="000B21C0">
        <w:rPr>
          <w:rFonts w:ascii="Times New Roman" w:hAnsi="Times New Roman" w:cs="Times New Roman"/>
          <w:sz w:val="24"/>
          <w:szCs w:val="24"/>
        </w:rPr>
        <w:t> </w:t>
      </w:r>
      <w:r w:rsidRPr="000B21C0">
        <w:rPr>
          <w:rFonts w:ascii="Times New Roman" w:hAnsi="Times New Roman" w:cs="Times New Roman"/>
          <w:sz w:val="24"/>
          <w:szCs w:val="24"/>
        </w:rPr>
        <w:t>1 P.g.g., które są obecnie najbardziej istotne dla gospodarki. Jednakże projektowana nowelizacja przewiduje</w:t>
      </w:r>
      <w:r w:rsidR="00BE3467" w:rsidRPr="000B21C0">
        <w:rPr>
          <w:rFonts w:ascii="Times New Roman" w:hAnsi="Times New Roman" w:cs="Times New Roman"/>
          <w:sz w:val="24"/>
          <w:szCs w:val="24"/>
        </w:rPr>
        <w:t xml:space="preserve"> także</w:t>
      </w:r>
      <w:r w:rsidRPr="000B21C0">
        <w:rPr>
          <w:rFonts w:ascii="Times New Roman" w:hAnsi="Times New Roman" w:cs="Times New Roman"/>
          <w:sz w:val="24"/>
          <w:szCs w:val="24"/>
        </w:rPr>
        <w:t>, że może za</w:t>
      </w:r>
      <w:r w:rsidR="004618D4" w:rsidRPr="00D15EA3">
        <w:rPr>
          <w:rFonts w:ascii="Times New Roman" w:hAnsi="Times New Roman" w:cs="Times New Roman"/>
          <w:sz w:val="24"/>
          <w:szCs w:val="24"/>
        </w:rPr>
        <w:t xml:space="preserve">istnieć </w:t>
      </w:r>
      <w:r w:rsidRPr="00D15EA3">
        <w:rPr>
          <w:rFonts w:ascii="Times New Roman" w:hAnsi="Times New Roman" w:cs="Times New Roman"/>
          <w:sz w:val="24"/>
          <w:szCs w:val="24"/>
        </w:rPr>
        <w:t xml:space="preserve">sytuacja, w której </w:t>
      </w:r>
      <w:r w:rsidR="00823F37" w:rsidRPr="00D15EA3">
        <w:rPr>
          <w:rFonts w:ascii="Times New Roman" w:hAnsi="Times New Roman" w:cs="Times New Roman"/>
          <w:sz w:val="24"/>
          <w:szCs w:val="24"/>
        </w:rPr>
        <w:t xml:space="preserve">kryteria </w:t>
      </w:r>
      <w:r w:rsidRPr="00D15EA3">
        <w:rPr>
          <w:rFonts w:ascii="Times New Roman" w:hAnsi="Times New Roman" w:cs="Times New Roman"/>
          <w:sz w:val="24"/>
          <w:szCs w:val="24"/>
        </w:rPr>
        <w:t>wskazane w doda</w:t>
      </w:r>
      <w:r w:rsidR="00B67606" w:rsidRPr="00D15EA3">
        <w:rPr>
          <w:rFonts w:ascii="Times New Roman" w:hAnsi="Times New Roman" w:cs="Times New Roman"/>
          <w:sz w:val="24"/>
          <w:szCs w:val="24"/>
        </w:rPr>
        <w:t>wa</w:t>
      </w:r>
      <w:r w:rsidRPr="00D15EA3">
        <w:rPr>
          <w:rFonts w:ascii="Times New Roman" w:hAnsi="Times New Roman" w:cs="Times New Roman"/>
          <w:sz w:val="24"/>
          <w:szCs w:val="24"/>
        </w:rPr>
        <w:t xml:space="preserve">nym przepisie art. </w:t>
      </w:r>
      <w:r w:rsidR="00F6277F" w:rsidRPr="00D15EA3">
        <w:rPr>
          <w:rFonts w:ascii="Times New Roman" w:hAnsi="Times New Roman" w:cs="Times New Roman"/>
          <w:sz w:val="24"/>
          <w:szCs w:val="24"/>
        </w:rPr>
        <w:t>94a </w:t>
      </w:r>
      <w:r w:rsidRPr="00D15EA3">
        <w:rPr>
          <w:rFonts w:ascii="Times New Roman" w:hAnsi="Times New Roman" w:cs="Times New Roman"/>
          <w:sz w:val="24"/>
          <w:szCs w:val="24"/>
        </w:rPr>
        <w:t>ust.</w:t>
      </w:r>
      <w:r w:rsidR="00B74302" w:rsidRPr="00D15EA3">
        <w:rPr>
          <w:rFonts w:ascii="Times New Roman" w:hAnsi="Times New Roman" w:cs="Times New Roman"/>
          <w:sz w:val="24"/>
          <w:szCs w:val="24"/>
        </w:rPr>
        <w:t> </w:t>
      </w:r>
      <w:r w:rsidRPr="00D15EA3">
        <w:rPr>
          <w:rFonts w:ascii="Times New Roman" w:hAnsi="Times New Roman" w:cs="Times New Roman"/>
          <w:sz w:val="24"/>
          <w:szCs w:val="24"/>
        </w:rPr>
        <w:t>5</w:t>
      </w:r>
      <w:r w:rsidR="004618D4" w:rsidRPr="000F5DE6">
        <w:rPr>
          <w:rFonts w:ascii="Times New Roman" w:hAnsi="Times New Roman" w:cs="Times New Roman"/>
          <w:sz w:val="24"/>
          <w:szCs w:val="24"/>
        </w:rPr>
        <w:t xml:space="preserve"> P.g.g.</w:t>
      </w:r>
      <w:r w:rsidRPr="000F5DE6">
        <w:rPr>
          <w:rFonts w:ascii="Times New Roman" w:hAnsi="Times New Roman" w:cs="Times New Roman"/>
          <w:sz w:val="24"/>
          <w:szCs w:val="24"/>
        </w:rPr>
        <w:t xml:space="preserve"> </w:t>
      </w:r>
      <w:r w:rsidR="00A30507" w:rsidRPr="000F5DE6">
        <w:rPr>
          <w:rFonts w:ascii="Times New Roman" w:hAnsi="Times New Roman" w:cs="Times New Roman"/>
          <w:sz w:val="24"/>
          <w:szCs w:val="24"/>
        </w:rPr>
        <w:t xml:space="preserve">będą </w:t>
      </w:r>
      <w:r w:rsidRPr="000B21C0">
        <w:rPr>
          <w:rFonts w:ascii="Times New Roman" w:hAnsi="Times New Roman" w:cs="Times New Roman"/>
          <w:sz w:val="24"/>
          <w:szCs w:val="24"/>
        </w:rPr>
        <w:t>spełnione przez złoże kopaliny objęte prawem własności nieruchomości gruntowej</w:t>
      </w:r>
      <w:r w:rsidR="00F6277F" w:rsidRPr="000B21C0">
        <w:rPr>
          <w:rFonts w:ascii="Times New Roman" w:hAnsi="Times New Roman" w:cs="Times New Roman"/>
          <w:sz w:val="24"/>
          <w:szCs w:val="24"/>
        </w:rPr>
        <w:t>,</w:t>
      </w:r>
      <w:r w:rsidRPr="000B21C0">
        <w:rPr>
          <w:rFonts w:ascii="Times New Roman" w:hAnsi="Times New Roman" w:cs="Times New Roman"/>
          <w:sz w:val="24"/>
          <w:szCs w:val="24"/>
        </w:rPr>
        <w:t xml:space="preserve"> z uwagi</w:t>
      </w:r>
      <w:r w:rsidR="006318DF" w:rsidRPr="000B21C0">
        <w:rPr>
          <w:rFonts w:ascii="Times New Roman" w:hAnsi="Times New Roman" w:cs="Times New Roman"/>
          <w:sz w:val="24"/>
          <w:szCs w:val="24"/>
        </w:rPr>
        <w:t xml:space="preserve"> na</w:t>
      </w:r>
      <w:r w:rsidRPr="000B21C0">
        <w:rPr>
          <w:rFonts w:ascii="Times New Roman" w:hAnsi="Times New Roman" w:cs="Times New Roman"/>
          <w:sz w:val="24"/>
          <w:szCs w:val="24"/>
        </w:rPr>
        <w:t xml:space="preserve"> zmieniające się uwarunkowania ekonomiczne czy też unikalne parametry danej kopaliny. Dlatego</w:t>
      </w:r>
      <w:r w:rsidR="00DF2222" w:rsidRPr="000B21C0">
        <w:rPr>
          <w:rFonts w:ascii="Times New Roman" w:hAnsi="Times New Roman" w:cs="Times New Roman"/>
          <w:sz w:val="24"/>
          <w:szCs w:val="24"/>
        </w:rPr>
        <w:t>,</w:t>
      </w:r>
      <w:r w:rsidRPr="000B21C0">
        <w:rPr>
          <w:rFonts w:ascii="Times New Roman" w:hAnsi="Times New Roman" w:cs="Times New Roman"/>
          <w:sz w:val="24"/>
          <w:szCs w:val="24"/>
        </w:rPr>
        <w:t xml:space="preserve"> zgodnie z</w:t>
      </w:r>
      <w:r w:rsidR="004618D4" w:rsidRPr="000B21C0">
        <w:rPr>
          <w:rFonts w:ascii="Times New Roman" w:hAnsi="Times New Roman" w:cs="Times New Roman"/>
          <w:sz w:val="24"/>
          <w:szCs w:val="24"/>
        </w:rPr>
        <w:t> </w:t>
      </w:r>
      <w:r w:rsidRPr="000B21C0">
        <w:rPr>
          <w:rFonts w:ascii="Times New Roman" w:hAnsi="Times New Roman" w:cs="Times New Roman"/>
          <w:sz w:val="24"/>
          <w:szCs w:val="24"/>
        </w:rPr>
        <w:t>projektowanym art.</w:t>
      </w:r>
      <w:r w:rsidR="00B74302" w:rsidRPr="000B21C0">
        <w:rPr>
          <w:rFonts w:ascii="Times New Roman" w:hAnsi="Times New Roman" w:cs="Times New Roman"/>
          <w:sz w:val="24"/>
          <w:szCs w:val="24"/>
        </w:rPr>
        <w:t> </w:t>
      </w:r>
      <w:r w:rsidR="00641266" w:rsidRPr="000B21C0">
        <w:rPr>
          <w:rFonts w:ascii="Times New Roman" w:hAnsi="Times New Roman" w:cs="Times New Roman"/>
          <w:sz w:val="24"/>
          <w:szCs w:val="24"/>
        </w:rPr>
        <w:t>94b </w:t>
      </w:r>
      <w:r w:rsidRPr="000B21C0">
        <w:rPr>
          <w:rFonts w:ascii="Times New Roman" w:hAnsi="Times New Roman" w:cs="Times New Roman"/>
          <w:sz w:val="24"/>
          <w:szCs w:val="24"/>
        </w:rPr>
        <w:t>P.g.g.</w:t>
      </w:r>
      <w:r w:rsidR="00BC3E69" w:rsidRPr="000B21C0">
        <w:rPr>
          <w:rFonts w:ascii="Times New Roman" w:hAnsi="Times New Roman" w:cs="Times New Roman"/>
          <w:sz w:val="24"/>
          <w:szCs w:val="24"/>
        </w:rPr>
        <w:t>,</w:t>
      </w:r>
      <w:r w:rsidRPr="000B21C0">
        <w:rPr>
          <w:rFonts w:ascii="Times New Roman" w:hAnsi="Times New Roman" w:cs="Times New Roman"/>
          <w:sz w:val="24"/>
          <w:szCs w:val="24"/>
        </w:rPr>
        <w:t xml:space="preserve"> </w:t>
      </w:r>
      <w:r w:rsidR="00DF2222" w:rsidRPr="000B21C0">
        <w:rPr>
          <w:rFonts w:ascii="Times New Roman" w:hAnsi="Times New Roman" w:cs="Times New Roman"/>
          <w:sz w:val="24"/>
          <w:szCs w:val="24"/>
        </w:rPr>
        <w:t>m</w:t>
      </w:r>
      <w:r w:rsidR="003533C8" w:rsidRPr="000B21C0">
        <w:rPr>
          <w:rFonts w:ascii="Times New Roman" w:hAnsi="Times New Roman" w:cs="Times New Roman"/>
          <w:sz w:val="24"/>
          <w:szCs w:val="24"/>
        </w:rPr>
        <w:t xml:space="preserve">inister </w:t>
      </w:r>
      <w:r w:rsidR="00DF2222" w:rsidRPr="000B21C0">
        <w:rPr>
          <w:rFonts w:ascii="Times New Roman" w:hAnsi="Times New Roman" w:cs="Times New Roman"/>
          <w:sz w:val="24"/>
          <w:szCs w:val="24"/>
        </w:rPr>
        <w:t xml:space="preserve">właściwy do spraw środowiska </w:t>
      </w:r>
      <w:r w:rsidRPr="000B21C0">
        <w:rPr>
          <w:rFonts w:ascii="Times New Roman" w:hAnsi="Times New Roman" w:cs="Times New Roman"/>
          <w:sz w:val="24"/>
          <w:szCs w:val="24"/>
        </w:rPr>
        <w:t xml:space="preserve">będzie </w:t>
      </w:r>
      <w:r w:rsidR="000A7149" w:rsidRPr="000B21C0">
        <w:rPr>
          <w:rFonts w:ascii="Times New Roman" w:hAnsi="Times New Roman" w:cs="Times New Roman"/>
          <w:sz w:val="24"/>
          <w:szCs w:val="24"/>
        </w:rPr>
        <w:t>również</w:t>
      </w:r>
      <w:r w:rsidR="00641266" w:rsidRPr="000B21C0">
        <w:rPr>
          <w:rFonts w:ascii="Times New Roman" w:hAnsi="Times New Roman" w:cs="Times New Roman"/>
          <w:sz w:val="24"/>
          <w:szCs w:val="24"/>
        </w:rPr>
        <w:t xml:space="preserve"> </w:t>
      </w:r>
      <w:r w:rsidRPr="000B21C0">
        <w:rPr>
          <w:rFonts w:ascii="Times New Roman" w:hAnsi="Times New Roman" w:cs="Times New Roman"/>
          <w:sz w:val="24"/>
          <w:szCs w:val="24"/>
        </w:rPr>
        <w:t>uprawniony do wszczęcia postępowania w</w:t>
      </w:r>
      <w:r w:rsidR="007545C8" w:rsidRPr="000B21C0">
        <w:rPr>
          <w:rFonts w:ascii="Times New Roman" w:hAnsi="Times New Roman" w:cs="Times New Roman"/>
          <w:sz w:val="24"/>
          <w:szCs w:val="24"/>
        </w:rPr>
        <w:t> </w:t>
      </w:r>
      <w:r w:rsidRPr="000B21C0">
        <w:rPr>
          <w:rFonts w:ascii="Times New Roman" w:hAnsi="Times New Roman" w:cs="Times New Roman"/>
          <w:sz w:val="24"/>
          <w:szCs w:val="24"/>
        </w:rPr>
        <w:t>przedmiocie uznania złoża</w:t>
      </w:r>
      <w:r w:rsidR="00BE3467" w:rsidRPr="000B21C0">
        <w:rPr>
          <w:rFonts w:ascii="Times New Roman" w:hAnsi="Times New Roman" w:cs="Times New Roman"/>
          <w:sz w:val="24"/>
          <w:szCs w:val="24"/>
        </w:rPr>
        <w:t xml:space="preserve"> kopaliny</w:t>
      </w:r>
      <w:r w:rsidR="0083223E" w:rsidRPr="000B21C0">
        <w:rPr>
          <w:rFonts w:ascii="Times New Roman" w:hAnsi="Times New Roman" w:cs="Times New Roman"/>
          <w:sz w:val="24"/>
          <w:szCs w:val="24"/>
        </w:rPr>
        <w:t>,</w:t>
      </w:r>
      <w:r w:rsidR="00BE3467" w:rsidRPr="000B21C0">
        <w:rPr>
          <w:rFonts w:ascii="Times New Roman" w:hAnsi="Times New Roman" w:cs="Times New Roman"/>
          <w:sz w:val="24"/>
          <w:szCs w:val="24"/>
        </w:rPr>
        <w:t xml:space="preserve"> objętego prawem własności nieruchomości gruntowej</w:t>
      </w:r>
      <w:r w:rsidR="0083223E" w:rsidRPr="000B21C0">
        <w:rPr>
          <w:rFonts w:ascii="Times New Roman" w:hAnsi="Times New Roman" w:cs="Times New Roman"/>
          <w:sz w:val="24"/>
          <w:szCs w:val="24"/>
        </w:rPr>
        <w:t>,</w:t>
      </w:r>
      <w:r w:rsidRPr="000B21C0">
        <w:rPr>
          <w:rFonts w:ascii="Times New Roman" w:hAnsi="Times New Roman" w:cs="Times New Roman"/>
          <w:sz w:val="24"/>
          <w:szCs w:val="24"/>
        </w:rPr>
        <w:t xml:space="preserve"> za złoże strategiczne</w:t>
      </w:r>
      <w:r w:rsidR="00BE3467" w:rsidRPr="000B21C0">
        <w:rPr>
          <w:rFonts w:ascii="Times New Roman" w:hAnsi="Times New Roman" w:cs="Times New Roman"/>
          <w:sz w:val="24"/>
          <w:szCs w:val="24"/>
        </w:rPr>
        <w:t xml:space="preserve">. </w:t>
      </w:r>
      <w:r w:rsidR="00641266" w:rsidRPr="000B21C0">
        <w:rPr>
          <w:rFonts w:ascii="Times New Roman" w:hAnsi="Times New Roman" w:cs="Times New Roman"/>
          <w:sz w:val="24"/>
          <w:szCs w:val="24"/>
        </w:rPr>
        <w:t>W</w:t>
      </w:r>
      <w:r w:rsidR="00705A7E" w:rsidRPr="000B21C0">
        <w:rPr>
          <w:rFonts w:ascii="Times New Roman" w:hAnsi="Times New Roman" w:cs="Times New Roman"/>
          <w:sz w:val="24"/>
          <w:szCs w:val="24"/>
        </w:rPr>
        <w:t> </w:t>
      </w:r>
      <w:r w:rsidR="00641266" w:rsidRPr="000B21C0">
        <w:rPr>
          <w:rFonts w:ascii="Times New Roman" w:hAnsi="Times New Roman" w:cs="Times New Roman"/>
          <w:sz w:val="24"/>
          <w:szCs w:val="24"/>
        </w:rPr>
        <w:t xml:space="preserve">stosunku do takiego postępowania </w:t>
      </w:r>
      <w:r w:rsidR="00BE3467" w:rsidRPr="000B21C0">
        <w:rPr>
          <w:rFonts w:ascii="Times New Roman" w:hAnsi="Times New Roman" w:cs="Times New Roman"/>
          <w:sz w:val="24"/>
          <w:szCs w:val="24"/>
        </w:rPr>
        <w:t>zastosowanie znajdą odpowiednio te same regulacje jak w</w:t>
      </w:r>
      <w:r w:rsidR="00705A7E" w:rsidRPr="000B21C0">
        <w:rPr>
          <w:rFonts w:ascii="Times New Roman" w:hAnsi="Times New Roman" w:cs="Times New Roman"/>
          <w:sz w:val="24"/>
          <w:szCs w:val="24"/>
        </w:rPr>
        <w:t> </w:t>
      </w:r>
      <w:r w:rsidR="00BE3467" w:rsidRPr="000B21C0">
        <w:rPr>
          <w:rFonts w:ascii="Times New Roman" w:hAnsi="Times New Roman" w:cs="Times New Roman"/>
          <w:sz w:val="24"/>
          <w:szCs w:val="24"/>
        </w:rPr>
        <w:t>odniesieniu do złóż kopalin, o których mowa w art.</w:t>
      </w:r>
      <w:r w:rsidR="00B74302" w:rsidRPr="000B21C0">
        <w:rPr>
          <w:rFonts w:ascii="Times New Roman" w:hAnsi="Times New Roman" w:cs="Times New Roman"/>
          <w:sz w:val="24"/>
          <w:szCs w:val="24"/>
        </w:rPr>
        <w:t> </w:t>
      </w:r>
      <w:r w:rsidR="00BE3467" w:rsidRPr="000B21C0">
        <w:rPr>
          <w:rFonts w:ascii="Times New Roman" w:hAnsi="Times New Roman" w:cs="Times New Roman"/>
          <w:sz w:val="24"/>
          <w:szCs w:val="24"/>
        </w:rPr>
        <w:t>10 ust.</w:t>
      </w:r>
      <w:r w:rsidR="00B74302" w:rsidRPr="000B21C0">
        <w:rPr>
          <w:rFonts w:ascii="Times New Roman" w:hAnsi="Times New Roman" w:cs="Times New Roman"/>
          <w:sz w:val="24"/>
          <w:szCs w:val="24"/>
        </w:rPr>
        <w:t> </w:t>
      </w:r>
      <w:r w:rsidR="00BE3467" w:rsidRPr="000B21C0">
        <w:rPr>
          <w:rFonts w:ascii="Times New Roman" w:hAnsi="Times New Roman" w:cs="Times New Roman"/>
          <w:sz w:val="24"/>
          <w:szCs w:val="24"/>
        </w:rPr>
        <w:t>1 P.g.g.</w:t>
      </w:r>
      <w:r w:rsidR="00BE3467" w:rsidRPr="007F28C1">
        <w:rPr>
          <w:rFonts w:ascii="Times New Roman" w:hAnsi="Times New Roman" w:cs="Times New Roman"/>
          <w:sz w:val="24"/>
          <w:szCs w:val="24"/>
        </w:rPr>
        <w:t xml:space="preserve"> </w:t>
      </w:r>
    </w:p>
    <w:p w14:paraId="2D5C380D" w14:textId="1FED49F4" w:rsidR="002B32BB" w:rsidRPr="007F28C1" w:rsidRDefault="00641266" w:rsidP="000B21C0">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Przepisy przejściowe nowelizacji uwzględniają także sytuację, w której</w:t>
      </w:r>
      <w:r w:rsidR="005B7604" w:rsidRPr="007F28C1">
        <w:rPr>
          <w:rFonts w:ascii="Times New Roman" w:hAnsi="Times New Roman" w:cs="Times New Roman"/>
          <w:sz w:val="24"/>
          <w:szCs w:val="24"/>
        </w:rPr>
        <w:t xml:space="preserve"> </w:t>
      </w:r>
      <w:r w:rsidR="00D15EA3">
        <w:rPr>
          <w:rFonts w:ascii="Times New Roman" w:hAnsi="Times New Roman" w:cs="Times New Roman"/>
          <w:sz w:val="24"/>
          <w:szCs w:val="24"/>
        </w:rPr>
        <w:t>m</w:t>
      </w:r>
      <w:r w:rsidR="003533C8" w:rsidRPr="007F28C1">
        <w:rPr>
          <w:rFonts w:ascii="Times New Roman" w:hAnsi="Times New Roman" w:cs="Times New Roman"/>
          <w:sz w:val="24"/>
          <w:szCs w:val="24"/>
        </w:rPr>
        <w:t>inister</w:t>
      </w:r>
      <w:r w:rsidR="00E639AE"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będzie chciał uznać za strategiczne </w:t>
      </w:r>
      <w:r w:rsidR="006318DF" w:rsidRPr="007F28C1">
        <w:rPr>
          <w:rFonts w:ascii="Times New Roman" w:hAnsi="Times New Roman" w:cs="Times New Roman"/>
          <w:sz w:val="24"/>
          <w:szCs w:val="24"/>
        </w:rPr>
        <w:t>złoże, które zostało udokumentowane przed dniem wejścia w życie niniejszej ustawy</w:t>
      </w:r>
      <w:r w:rsidRPr="007F28C1">
        <w:rPr>
          <w:rFonts w:ascii="Times New Roman" w:hAnsi="Times New Roman" w:cs="Times New Roman"/>
          <w:sz w:val="24"/>
          <w:szCs w:val="24"/>
        </w:rPr>
        <w:t>.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przypadku takich złóż za stronę będzie uznany podmiot, któremu przysługuje prawo do informacji geologicznej lub prawo do korzystania z informacji geologicznej </w:t>
      </w:r>
      <w:r w:rsidR="006318DF" w:rsidRPr="007F28C1">
        <w:rPr>
          <w:rFonts w:ascii="Times New Roman" w:hAnsi="Times New Roman" w:cs="Times New Roman"/>
          <w:sz w:val="24"/>
          <w:szCs w:val="24"/>
        </w:rPr>
        <w:t>zawartej</w:t>
      </w:r>
      <w:r w:rsidR="00CE3570" w:rsidRPr="007F28C1">
        <w:rPr>
          <w:rFonts w:ascii="Times New Roman" w:hAnsi="Times New Roman" w:cs="Times New Roman"/>
          <w:sz w:val="24"/>
          <w:szCs w:val="24"/>
        </w:rPr>
        <w:t xml:space="preserve"> </w:t>
      </w:r>
      <w:r w:rsidR="006318DF" w:rsidRPr="007F28C1">
        <w:rPr>
          <w:rFonts w:ascii="Times New Roman" w:hAnsi="Times New Roman" w:cs="Times New Roman"/>
          <w:sz w:val="24"/>
          <w:szCs w:val="24"/>
        </w:rPr>
        <w:t xml:space="preserve">w dokumentacji geologicznej </w:t>
      </w:r>
      <w:r w:rsidRPr="007F28C1">
        <w:rPr>
          <w:rFonts w:ascii="Times New Roman" w:hAnsi="Times New Roman" w:cs="Times New Roman"/>
          <w:sz w:val="24"/>
          <w:szCs w:val="24"/>
        </w:rPr>
        <w:t xml:space="preserve">złoża lub dodatku do dokumentacji geologicznej złoża. </w:t>
      </w:r>
      <w:r w:rsidR="002B32BB" w:rsidRPr="007F28C1">
        <w:rPr>
          <w:rFonts w:ascii="Times New Roman" w:hAnsi="Times New Roman" w:cs="Times New Roman"/>
          <w:sz w:val="24"/>
          <w:szCs w:val="24"/>
        </w:rPr>
        <w:t>Jednakże w</w:t>
      </w:r>
      <w:r w:rsidR="00621E21" w:rsidRPr="007F28C1">
        <w:rPr>
          <w:rFonts w:ascii="Times New Roman" w:hAnsi="Times New Roman" w:cs="Times New Roman"/>
          <w:sz w:val="24"/>
          <w:szCs w:val="24"/>
        </w:rPr>
        <w:t> </w:t>
      </w:r>
      <w:r w:rsidR="00720A68" w:rsidRPr="007F28C1">
        <w:rPr>
          <w:rFonts w:ascii="Times New Roman" w:hAnsi="Times New Roman" w:cs="Times New Roman"/>
          <w:sz w:val="24"/>
          <w:szCs w:val="24"/>
        </w:rPr>
        <w:t xml:space="preserve">stosunku do dokumentacji geologicznych powstałych przed </w:t>
      </w:r>
      <w:r w:rsidR="00B67606" w:rsidRPr="007F28C1">
        <w:rPr>
          <w:rFonts w:ascii="Times New Roman" w:hAnsi="Times New Roman" w:cs="Times New Roman"/>
          <w:sz w:val="24"/>
          <w:szCs w:val="24"/>
        </w:rPr>
        <w:t xml:space="preserve">dniem </w:t>
      </w:r>
      <w:r w:rsidR="00720A68" w:rsidRPr="007F28C1">
        <w:rPr>
          <w:rFonts w:ascii="Times New Roman" w:hAnsi="Times New Roman" w:cs="Times New Roman"/>
          <w:sz w:val="24"/>
          <w:szCs w:val="24"/>
        </w:rPr>
        <w:t xml:space="preserve">1 lutego 1989 r. prawo do informacji geologicznej przysługuje </w:t>
      </w:r>
      <w:r w:rsidR="002B32BB" w:rsidRPr="007F28C1">
        <w:rPr>
          <w:rFonts w:ascii="Times New Roman" w:hAnsi="Times New Roman" w:cs="Times New Roman"/>
          <w:sz w:val="24"/>
          <w:szCs w:val="24"/>
        </w:rPr>
        <w:t xml:space="preserve">zazwyczaj jedynie </w:t>
      </w:r>
      <w:r w:rsidR="00720A68" w:rsidRPr="007F28C1">
        <w:rPr>
          <w:rFonts w:ascii="Times New Roman" w:hAnsi="Times New Roman" w:cs="Times New Roman"/>
          <w:sz w:val="24"/>
          <w:szCs w:val="24"/>
        </w:rPr>
        <w:t>Skarbowi Państwa (zasada jednolitej władzy państwowej uniemożliwiała nabywanie tego prawa przez przedsiębiorstwa państwowe)</w:t>
      </w:r>
      <w:r w:rsidR="002B32BB" w:rsidRPr="007F28C1">
        <w:rPr>
          <w:rFonts w:ascii="Times New Roman" w:hAnsi="Times New Roman" w:cs="Times New Roman"/>
          <w:sz w:val="24"/>
          <w:szCs w:val="24"/>
        </w:rPr>
        <w:t>.</w:t>
      </w:r>
      <w:r w:rsidR="00720A68" w:rsidRPr="007F28C1">
        <w:rPr>
          <w:rFonts w:ascii="Times New Roman" w:hAnsi="Times New Roman" w:cs="Times New Roman"/>
          <w:sz w:val="24"/>
          <w:szCs w:val="24"/>
        </w:rPr>
        <w:t xml:space="preserve"> </w:t>
      </w:r>
      <w:r w:rsidR="002B32BB" w:rsidRPr="007F28C1">
        <w:rPr>
          <w:rFonts w:ascii="Times New Roman" w:hAnsi="Times New Roman" w:cs="Times New Roman"/>
          <w:sz w:val="24"/>
          <w:szCs w:val="24"/>
        </w:rPr>
        <w:t>Może zaistnieć sytuacja,</w:t>
      </w:r>
      <w:r w:rsidR="0010751E" w:rsidRPr="007F28C1">
        <w:rPr>
          <w:rFonts w:ascii="Times New Roman" w:hAnsi="Times New Roman" w:cs="Times New Roman"/>
          <w:sz w:val="24"/>
          <w:szCs w:val="24"/>
        </w:rPr>
        <w:t xml:space="preserve"> </w:t>
      </w:r>
      <w:r w:rsidR="002B32BB" w:rsidRPr="007F28C1">
        <w:rPr>
          <w:rFonts w:ascii="Times New Roman" w:hAnsi="Times New Roman" w:cs="Times New Roman"/>
          <w:sz w:val="24"/>
          <w:szCs w:val="24"/>
        </w:rPr>
        <w:t>w której jedynym podmiotem uprawnionym do informacji geologicznej będzie Skarb Państwa. W takiej sytuacji jedyną stroną postępowania będzie Skarb Państwa reprezentowany przez wojewodę.</w:t>
      </w:r>
      <w:r w:rsidR="00461590" w:rsidRPr="007F28C1">
        <w:rPr>
          <w:rFonts w:ascii="Times New Roman" w:hAnsi="Times New Roman" w:cs="Times New Roman"/>
          <w:sz w:val="24"/>
          <w:szCs w:val="24"/>
        </w:rPr>
        <w:t xml:space="preserve"> Rozwiązanie to jest uzasadnione okolicznością, że wojewoda jest reprezentantem Skarbu Państwa na szczeblu województwa, a także </w:t>
      </w:r>
      <w:r w:rsidR="00CD6EA7" w:rsidRPr="007F28C1">
        <w:rPr>
          <w:rFonts w:ascii="Times New Roman" w:hAnsi="Times New Roman" w:cs="Times New Roman"/>
          <w:sz w:val="24"/>
          <w:szCs w:val="24"/>
        </w:rPr>
        <w:t xml:space="preserve">wykonuje obecnie zadania związane z ujawnieniem </w:t>
      </w:r>
      <w:r w:rsidR="00CD6EA7" w:rsidRPr="007F28C1">
        <w:rPr>
          <w:rFonts w:ascii="Times New Roman" w:hAnsi="Times New Roman" w:cs="Times New Roman"/>
          <w:sz w:val="24"/>
          <w:szCs w:val="24"/>
        </w:rPr>
        <w:lastRenderedPageBreak/>
        <w:t xml:space="preserve">w </w:t>
      </w:r>
      <w:r w:rsidR="00814C5D" w:rsidRPr="007F28C1">
        <w:rPr>
          <w:rFonts w:ascii="Times New Roman" w:hAnsi="Times New Roman" w:cs="Times New Roman"/>
          <w:sz w:val="24"/>
          <w:szCs w:val="24"/>
        </w:rPr>
        <w:t xml:space="preserve">studium w </w:t>
      </w:r>
      <w:r w:rsidR="00CD6EA7" w:rsidRPr="007F28C1">
        <w:rPr>
          <w:rFonts w:ascii="Times New Roman" w:hAnsi="Times New Roman" w:cs="Times New Roman"/>
          <w:sz w:val="24"/>
          <w:szCs w:val="24"/>
        </w:rPr>
        <w:t>celu ochrony udokumentowanych złóż kopalin (w trybie zarządzenia zastępczego)</w:t>
      </w:r>
      <w:r w:rsidR="00461590" w:rsidRPr="007F28C1">
        <w:rPr>
          <w:rFonts w:ascii="Times New Roman" w:hAnsi="Times New Roman" w:cs="Times New Roman"/>
          <w:sz w:val="24"/>
          <w:szCs w:val="24"/>
        </w:rPr>
        <w:t>.</w:t>
      </w:r>
      <w:r w:rsidR="002B32BB" w:rsidRPr="007F28C1">
        <w:rPr>
          <w:rFonts w:ascii="Times New Roman" w:hAnsi="Times New Roman" w:cs="Times New Roman"/>
          <w:sz w:val="24"/>
          <w:szCs w:val="24"/>
        </w:rPr>
        <w:t xml:space="preserve"> Możliwość wszczęcia postępowania w odniesieniu do takich złóż będzie ograniczona terminem 2 lat </w:t>
      </w:r>
      <w:r w:rsidR="00CD6EA7" w:rsidRPr="007F28C1">
        <w:rPr>
          <w:rFonts w:ascii="Times New Roman" w:hAnsi="Times New Roman" w:cs="Times New Roman"/>
          <w:sz w:val="24"/>
          <w:szCs w:val="24"/>
        </w:rPr>
        <w:t xml:space="preserve">od </w:t>
      </w:r>
      <w:r w:rsidR="005B7604" w:rsidRPr="007F28C1">
        <w:rPr>
          <w:rFonts w:ascii="Times New Roman" w:hAnsi="Times New Roman" w:cs="Times New Roman"/>
          <w:sz w:val="24"/>
          <w:szCs w:val="24"/>
        </w:rPr>
        <w:t xml:space="preserve">dnia </w:t>
      </w:r>
      <w:r w:rsidR="002B32BB" w:rsidRPr="007F28C1">
        <w:rPr>
          <w:rFonts w:ascii="Times New Roman" w:hAnsi="Times New Roman" w:cs="Times New Roman"/>
          <w:sz w:val="24"/>
          <w:szCs w:val="24"/>
        </w:rPr>
        <w:t>wejścia w</w:t>
      </w:r>
      <w:r w:rsidR="00621E21" w:rsidRPr="007F28C1">
        <w:rPr>
          <w:rFonts w:ascii="Times New Roman" w:hAnsi="Times New Roman" w:cs="Times New Roman"/>
          <w:sz w:val="24"/>
          <w:szCs w:val="24"/>
        </w:rPr>
        <w:t> </w:t>
      </w:r>
      <w:r w:rsidR="002B32BB" w:rsidRPr="007F28C1">
        <w:rPr>
          <w:rFonts w:ascii="Times New Roman" w:hAnsi="Times New Roman" w:cs="Times New Roman"/>
          <w:sz w:val="24"/>
          <w:szCs w:val="24"/>
        </w:rPr>
        <w:t>życie projektowanej nowelizacji, co ma służyć m.in. mobilizacji organu do dokonania przeglądu złóż kopalin w celu ustalenia, które z nich spełniają przesłanki złoża strategicznego.</w:t>
      </w:r>
      <w:r w:rsidR="005B7604" w:rsidRPr="007F28C1">
        <w:rPr>
          <w:rFonts w:ascii="Times New Roman" w:hAnsi="Times New Roman" w:cs="Times New Roman"/>
          <w:sz w:val="24"/>
          <w:szCs w:val="24"/>
        </w:rPr>
        <w:t xml:space="preserve"> </w:t>
      </w:r>
    </w:p>
    <w:p w14:paraId="48D87A35" w14:textId="6D3ACF1C" w:rsidR="00720A68" w:rsidRPr="007F28C1" w:rsidRDefault="002B32BB"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Ponieważ złoża będą uznawane za strategiczne w drodze odrębnych postępowań administracyjnych</w:t>
      </w:r>
      <w:r w:rsidR="00D479D1" w:rsidRPr="007F28C1">
        <w:rPr>
          <w:rFonts w:ascii="Times New Roman" w:hAnsi="Times New Roman" w:cs="Times New Roman"/>
          <w:sz w:val="24"/>
          <w:szCs w:val="24"/>
        </w:rPr>
        <w:t>,</w:t>
      </w:r>
      <w:r w:rsidRPr="007F28C1">
        <w:rPr>
          <w:rFonts w:ascii="Times New Roman" w:hAnsi="Times New Roman" w:cs="Times New Roman"/>
          <w:sz w:val="24"/>
          <w:szCs w:val="24"/>
        </w:rPr>
        <w:t xml:space="preserve"> </w:t>
      </w:r>
      <w:r w:rsidR="00715C8C"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wskazane opracowanie wykazu</w:t>
      </w:r>
      <w:r w:rsidR="00800D13" w:rsidRPr="007F28C1">
        <w:rPr>
          <w:rFonts w:ascii="Times New Roman" w:hAnsi="Times New Roman" w:cs="Times New Roman"/>
          <w:sz w:val="24"/>
          <w:szCs w:val="24"/>
        </w:rPr>
        <w:t xml:space="preserve"> obejmującego wszystkie </w:t>
      </w:r>
      <w:r w:rsidR="002B4D1B" w:rsidRPr="007F28C1">
        <w:rPr>
          <w:rFonts w:ascii="Times New Roman" w:hAnsi="Times New Roman" w:cs="Times New Roman"/>
          <w:sz w:val="24"/>
          <w:szCs w:val="24"/>
        </w:rPr>
        <w:t>złoża strategiczne</w:t>
      </w:r>
      <w:r w:rsidR="00303F0F" w:rsidRPr="007F28C1">
        <w:rPr>
          <w:rFonts w:ascii="Times New Roman" w:hAnsi="Times New Roman" w:cs="Times New Roman"/>
          <w:sz w:val="24"/>
          <w:szCs w:val="24"/>
        </w:rPr>
        <w:t xml:space="preserve"> tak, aby zapewnić zainteresowanym podmiotom kompleksową informację w tym zakresie</w:t>
      </w:r>
      <w:r w:rsidR="00800D13" w:rsidRPr="007F28C1">
        <w:rPr>
          <w:rFonts w:ascii="Times New Roman" w:hAnsi="Times New Roman" w:cs="Times New Roman"/>
          <w:sz w:val="24"/>
          <w:szCs w:val="24"/>
        </w:rPr>
        <w:t xml:space="preserve">. Dlatego też projektowana nowelizacja </w:t>
      </w:r>
      <w:r w:rsidR="005A7786" w:rsidRPr="007F28C1">
        <w:rPr>
          <w:rFonts w:ascii="Times New Roman" w:hAnsi="Times New Roman" w:cs="Times New Roman"/>
          <w:sz w:val="24"/>
          <w:szCs w:val="24"/>
        </w:rPr>
        <w:t>przewiduje wprowadzenie art. 9</w:t>
      </w:r>
      <w:r w:rsidRPr="007F28C1">
        <w:rPr>
          <w:rFonts w:ascii="Times New Roman" w:hAnsi="Times New Roman" w:cs="Times New Roman"/>
          <w:sz w:val="24"/>
          <w:szCs w:val="24"/>
        </w:rPr>
        <w:t>4c</w:t>
      </w:r>
      <w:r w:rsidR="005A7786" w:rsidRPr="007F28C1">
        <w:rPr>
          <w:rFonts w:ascii="Times New Roman" w:hAnsi="Times New Roman" w:cs="Times New Roman"/>
          <w:sz w:val="24"/>
          <w:szCs w:val="24"/>
        </w:rPr>
        <w:t xml:space="preserve"> P.g.g., </w:t>
      </w:r>
      <w:r w:rsidR="00D23928" w:rsidRPr="007F28C1">
        <w:rPr>
          <w:rFonts w:ascii="Times New Roman" w:hAnsi="Times New Roman" w:cs="Times New Roman"/>
          <w:sz w:val="24"/>
          <w:szCs w:val="24"/>
        </w:rPr>
        <w:t xml:space="preserve">w myśl którego </w:t>
      </w:r>
      <w:r w:rsidR="00D15EA3">
        <w:rPr>
          <w:rFonts w:ascii="Times New Roman" w:hAnsi="Times New Roman" w:cs="Times New Roman"/>
          <w:sz w:val="24"/>
          <w:szCs w:val="24"/>
        </w:rPr>
        <w:t>m</w:t>
      </w:r>
      <w:r w:rsidR="003533C8" w:rsidRPr="007F28C1">
        <w:rPr>
          <w:rFonts w:ascii="Times New Roman" w:hAnsi="Times New Roman" w:cs="Times New Roman"/>
          <w:sz w:val="24"/>
          <w:szCs w:val="24"/>
        </w:rPr>
        <w:t>inister</w:t>
      </w:r>
      <w:r w:rsidR="00E639AE" w:rsidRPr="007F28C1">
        <w:rPr>
          <w:rFonts w:ascii="Times New Roman" w:hAnsi="Times New Roman" w:cs="Times New Roman"/>
          <w:sz w:val="24"/>
          <w:szCs w:val="24"/>
        </w:rPr>
        <w:t xml:space="preserve"> </w:t>
      </w:r>
      <w:r w:rsidR="005A7786" w:rsidRPr="007F28C1">
        <w:rPr>
          <w:rFonts w:ascii="Times New Roman" w:hAnsi="Times New Roman" w:cs="Times New Roman"/>
          <w:sz w:val="24"/>
          <w:szCs w:val="24"/>
        </w:rPr>
        <w:t>prowadz</w:t>
      </w:r>
      <w:r w:rsidR="00D23928" w:rsidRPr="007F28C1">
        <w:rPr>
          <w:rFonts w:ascii="Times New Roman" w:hAnsi="Times New Roman" w:cs="Times New Roman"/>
          <w:sz w:val="24"/>
          <w:szCs w:val="24"/>
        </w:rPr>
        <w:t>i</w:t>
      </w:r>
      <w:r w:rsidR="005A7786" w:rsidRPr="007F28C1">
        <w:rPr>
          <w:rFonts w:ascii="Times New Roman" w:hAnsi="Times New Roman" w:cs="Times New Roman"/>
          <w:sz w:val="24"/>
          <w:szCs w:val="24"/>
        </w:rPr>
        <w:t xml:space="preserve"> w swoim Biuletynie Informacji Publicznej</w:t>
      </w:r>
      <w:r w:rsidRPr="007F28C1">
        <w:rPr>
          <w:rFonts w:ascii="Times New Roman" w:hAnsi="Times New Roman" w:cs="Times New Roman"/>
          <w:sz w:val="24"/>
          <w:szCs w:val="24"/>
        </w:rPr>
        <w:t xml:space="preserve"> wykaz</w:t>
      </w:r>
      <w:r w:rsidR="005A7786" w:rsidRPr="007F28C1">
        <w:rPr>
          <w:rFonts w:ascii="Times New Roman" w:hAnsi="Times New Roman" w:cs="Times New Roman"/>
          <w:sz w:val="24"/>
          <w:szCs w:val="24"/>
        </w:rPr>
        <w:t xml:space="preserve"> złóż strategicznych, o których mowa</w:t>
      </w:r>
      <w:r w:rsidR="0010751E" w:rsidRPr="007F28C1">
        <w:rPr>
          <w:rFonts w:ascii="Times New Roman" w:hAnsi="Times New Roman" w:cs="Times New Roman"/>
          <w:sz w:val="24"/>
          <w:szCs w:val="24"/>
        </w:rPr>
        <w:t xml:space="preserve"> </w:t>
      </w:r>
      <w:r w:rsidR="005A7786" w:rsidRPr="007F28C1">
        <w:rPr>
          <w:rFonts w:ascii="Times New Roman" w:hAnsi="Times New Roman" w:cs="Times New Roman"/>
          <w:sz w:val="24"/>
          <w:szCs w:val="24"/>
        </w:rPr>
        <w:t>w art. 6 ust.</w:t>
      </w:r>
      <w:r w:rsidR="0077761F" w:rsidRPr="007F28C1">
        <w:rPr>
          <w:rFonts w:ascii="Times New Roman" w:hAnsi="Times New Roman" w:cs="Times New Roman"/>
          <w:sz w:val="24"/>
          <w:szCs w:val="24"/>
        </w:rPr>
        <w:t> </w:t>
      </w:r>
      <w:r w:rsidR="005A7786" w:rsidRPr="007F28C1">
        <w:rPr>
          <w:rFonts w:ascii="Times New Roman" w:hAnsi="Times New Roman" w:cs="Times New Roman"/>
          <w:sz w:val="24"/>
          <w:szCs w:val="24"/>
        </w:rPr>
        <w:t xml:space="preserve">1 pkt 19a P.g.g. </w:t>
      </w:r>
      <w:r w:rsidR="00303F0F" w:rsidRPr="007F28C1">
        <w:rPr>
          <w:rFonts w:ascii="Times New Roman" w:hAnsi="Times New Roman" w:cs="Times New Roman"/>
          <w:sz w:val="24"/>
          <w:szCs w:val="24"/>
        </w:rPr>
        <w:t xml:space="preserve">Projektowane przepisy wskazują zakres informacji dotyczących danego złoża, które zostaną ujęte w </w:t>
      </w:r>
      <w:r w:rsidR="0009452A" w:rsidRPr="007F28C1">
        <w:rPr>
          <w:rFonts w:ascii="Times New Roman" w:hAnsi="Times New Roman" w:cs="Times New Roman"/>
          <w:sz w:val="24"/>
          <w:szCs w:val="24"/>
        </w:rPr>
        <w:t>wykazie</w:t>
      </w:r>
      <w:r w:rsidR="00303F0F" w:rsidRPr="007F28C1">
        <w:rPr>
          <w:rFonts w:ascii="Times New Roman" w:hAnsi="Times New Roman" w:cs="Times New Roman"/>
          <w:sz w:val="24"/>
          <w:szCs w:val="24"/>
        </w:rPr>
        <w:t xml:space="preserve">. </w:t>
      </w:r>
    </w:p>
    <w:p w14:paraId="29302E10" w14:textId="04284B3A"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Do skutecznej realizacji obowiązku ochrony złóż kopalin </w:t>
      </w:r>
      <w:r w:rsidR="00715C8C"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konieczna modyfikacja przepisów P.g.g. w zakresie dotyczącym ujawniania złóż w dokumentach planistycznych gminy czy województwa (art. 95 i </w:t>
      </w:r>
      <w:r w:rsidR="00A6313F" w:rsidRPr="007F28C1">
        <w:rPr>
          <w:rFonts w:ascii="Times New Roman" w:hAnsi="Times New Roman" w:cs="Times New Roman"/>
          <w:sz w:val="24"/>
          <w:szCs w:val="24"/>
        </w:rPr>
        <w:t xml:space="preserve">art. </w:t>
      </w:r>
      <w:r w:rsidRPr="007F28C1">
        <w:rPr>
          <w:rFonts w:ascii="Times New Roman" w:hAnsi="Times New Roman" w:cs="Times New Roman"/>
          <w:sz w:val="24"/>
          <w:szCs w:val="24"/>
        </w:rPr>
        <w:t>96 P.g.g.). Obecnie obowiązujące przepisy przewidują, że jednostki samorządu terytorialnego powinny ujawniać m.in. udokumentowane złoża kopalin, w celu ich ochrony, w studium oraz w</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miejscowych planach zagospodarowania przestrzennego</w:t>
      </w:r>
      <w:r w:rsidR="005B7604" w:rsidRPr="007F28C1">
        <w:rPr>
          <w:rFonts w:ascii="Times New Roman" w:hAnsi="Times New Roman" w:cs="Times New Roman"/>
          <w:sz w:val="24"/>
          <w:szCs w:val="24"/>
        </w:rPr>
        <w:t>, zwany</w:t>
      </w:r>
      <w:r w:rsidR="00C32809">
        <w:rPr>
          <w:rFonts w:ascii="Times New Roman" w:hAnsi="Times New Roman" w:cs="Times New Roman"/>
          <w:sz w:val="24"/>
          <w:szCs w:val="24"/>
        </w:rPr>
        <w:t>ch</w:t>
      </w:r>
      <w:r w:rsidRPr="007F28C1">
        <w:rPr>
          <w:rFonts w:ascii="Times New Roman" w:hAnsi="Times New Roman" w:cs="Times New Roman"/>
          <w:sz w:val="24"/>
          <w:szCs w:val="24"/>
        </w:rPr>
        <w:t xml:space="preserve"> dalej „plan</w:t>
      </w:r>
      <w:r w:rsidR="00C32809">
        <w:rPr>
          <w:rFonts w:ascii="Times New Roman" w:hAnsi="Times New Roman" w:cs="Times New Roman"/>
          <w:sz w:val="24"/>
          <w:szCs w:val="24"/>
        </w:rPr>
        <w:t>ami</w:t>
      </w:r>
      <w:r w:rsidRPr="007F28C1">
        <w:rPr>
          <w:rFonts w:ascii="Times New Roman" w:hAnsi="Times New Roman" w:cs="Times New Roman"/>
          <w:sz w:val="24"/>
          <w:szCs w:val="24"/>
        </w:rPr>
        <w:t xml:space="preserve"> miejscowy</w:t>
      </w:r>
      <w:r w:rsidR="005B7604" w:rsidRPr="007F28C1">
        <w:rPr>
          <w:rFonts w:ascii="Times New Roman" w:hAnsi="Times New Roman" w:cs="Times New Roman"/>
          <w:sz w:val="24"/>
          <w:szCs w:val="24"/>
        </w:rPr>
        <w:t>m</w:t>
      </w:r>
      <w:r w:rsidR="00C32809">
        <w:rPr>
          <w:rFonts w:ascii="Times New Roman" w:hAnsi="Times New Roman" w:cs="Times New Roman"/>
          <w:sz w:val="24"/>
          <w:szCs w:val="24"/>
        </w:rPr>
        <w:t>i</w:t>
      </w:r>
      <w:r w:rsidRPr="007F28C1">
        <w:rPr>
          <w:rFonts w:ascii="Times New Roman" w:hAnsi="Times New Roman" w:cs="Times New Roman"/>
          <w:sz w:val="24"/>
          <w:szCs w:val="24"/>
        </w:rPr>
        <w:t>”</w:t>
      </w:r>
      <w:r w:rsidR="00A6313F"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w</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 xml:space="preserve">planach zagospodarowania przestrzennego województwa. </w:t>
      </w:r>
      <w:r w:rsidR="006133B9" w:rsidRPr="007F28C1">
        <w:rPr>
          <w:rFonts w:ascii="Times New Roman" w:hAnsi="Times New Roman" w:cs="Times New Roman"/>
          <w:sz w:val="24"/>
          <w:szCs w:val="24"/>
        </w:rPr>
        <w:t>Z</w:t>
      </w:r>
      <w:r w:rsidRPr="007F28C1">
        <w:rPr>
          <w:rFonts w:ascii="Times New Roman" w:hAnsi="Times New Roman" w:cs="Times New Roman"/>
          <w:sz w:val="24"/>
          <w:szCs w:val="24"/>
        </w:rPr>
        <w:t>awarty w przepisie art. 95 ust. 2 P.g.g. termin 2 lat dotyczy obowiązku wprowadzenia udokumentowanych złóż kopalin wyłącznie do studium. Tymczasem to plan miejscowy stanowi dokument planistyczny o podstawowym znaczeniu dla kształtowania ładu przestrzennego na szczeblu gminnym</w:t>
      </w:r>
      <w:r w:rsidR="000232AE" w:rsidRPr="007F28C1">
        <w:rPr>
          <w:rFonts w:ascii="Times New Roman" w:hAnsi="Times New Roman" w:cs="Times New Roman"/>
          <w:sz w:val="24"/>
          <w:szCs w:val="24"/>
        </w:rPr>
        <w:t>, będąc</w:t>
      </w:r>
      <w:r w:rsidR="00B57BD9" w:rsidRPr="007F28C1">
        <w:rPr>
          <w:rFonts w:ascii="Times New Roman" w:hAnsi="Times New Roman" w:cs="Times New Roman"/>
          <w:sz w:val="24"/>
          <w:szCs w:val="24"/>
        </w:rPr>
        <w:t xml:space="preserve"> </w:t>
      </w:r>
      <w:r w:rsidRPr="007F28C1">
        <w:rPr>
          <w:rFonts w:ascii="Times New Roman" w:hAnsi="Times New Roman" w:cs="Times New Roman"/>
          <w:sz w:val="24"/>
          <w:szCs w:val="24"/>
        </w:rPr>
        <w:t>aktem prawa miejscowego. Zdarzają się sytuacje,</w:t>
      </w:r>
      <w:r w:rsidR="00621E21" w:rsidRPr="007F28C1">
        <w:rPr>
          <w:rFonts w:ascii="Times New Roman" w:hAnsi="Times New Roman" w:cs="Times New Roman"/>
          <w:sz w:val="24"/>
          <w:szCs w:val="24"/>
        </w:rPr>
        <w:t xml:space="preserve"> </w:t>
      </w:r>
      <w:r w:rsidRPr="007F28C1">
        <w:rPr>
          <w:rFonts w:ascii="Times New Roman" w:hAnsi="Times New Roman" w:cs="Times New Roman"/>
          <w:sz w:val="24"/>
          <w:szCs w:val="24"/>
        </w:rPr>
        <w:t>w którym gmina ujawnia złoże w studium, jednak nie ujawnia go w planie miejscowym, co prowadzi do zabudowy terenów znajdujących się nad cennymi złożami kopalin. Ponadto brakuje także określenia w przepisach, w jaki sposób złoża kopalin powinny być ujawniane w dokumentach planistycznych.</w:t>
      </w:r>
    </w:p>
    <w:p w14:paraId="3863E325" w14:textId="64CC0181"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Istniejące luki w przepisach otwierają drogę samorządom do celowego nieujawniania złóż kopalin w</w:t>
      </w:r>
      <w:r w:rsidR="007545C8" w:rsidRPr="007F28C1">
        <w:rPr>
          <w:rFonts w:ascii="Times New Roman" w:hAnsi="Times New Roman" w:cs="Times New Roman"/>
          <w:sz w:val="24"/>
          <w:szCs w:val="24"/>
        </w:rPr>
        <w:t> </w:t>
      </w:r>
      <w:r w:rsidRPr="007F28C1">
        <w:rPr>
          <w:rFonts w:ascii="Times New Roman" w:hAnsi="Times New Roman" w:cs="Times New Roman"/>
          <w:sz w:val="24"/>
          <w:szCs w:val="24"/>
        </w:rPr>
        <w:t xml:space="preserve">dokumentach planistycznych po to, aby na tych terenach </w:t>
      </w:r>
      <w:r w:rsidR="00850DF0" w:rsidRPr="007F28C1">
        <w:rPr>
          <w:rFonts w:ascii="Times New Roman" w:hAnsi="Times New Roman" w:cs="Times New Roman"/>
          <w:sz w:val="24"/>
          <w:szCs w:val="24"/>
        </w:rPr>
        <w:t xml:space="preserve">zostało </w:t>
      </w:r>
      <w:r w:rsidRPr="007F28C1">
        <w:rPr>
          <w:rFonts w:ascii="Times New Roman" w:hAnsi="Times New Roman" w:cs="Times New Roman"/>
          <w:sz w:val="24"/>
          <w:szCs w:val="24"/>
        </w:rPr>
        <w:t>dopuszczone zagospodarowanie, które wprawdzie w krótkiej perspektywie czasu będzie korzystne dla gminy i jej mieszkańców (zwiększenie wpływów z podatków od nieruchomości), jednak z perspektywy gospodarki krajowej,</w:t>
      </w:r>
      <w:r w:rsidR="000D4FF9" w:rsidRPr="007F28C1">
        <w:rPr>
          <w:rFonts w:ascii="Times New Roman" w:hAnsi="Times New Roman" w:cs="Times New Roman"/>
          <w:sz w:val="24"/>
          <w:szCs w:val="24"/>
        </w:rPr>
        <w:t xml:space="preserve"> </w:t>
      </w:r>
      <w:r w:rsidRPr="007F28C1">
        <w:rPr>
          <w:rFonts w:ascii="Times New Roman" w:hAnsi="Times New Roman" w:cs="Times New Roman"/>
          <w:sz w:val="24"/>
          <w:szCs w:val="24"/>
        </w:rPr>
        <w:t>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tym dostępności do surowców, które mają charakter nieodnawialny oraz ściśle powiązany</w:t>
      </w:r>
      <w:r w:rsidR="000D4FF9" w:rsidRPr="007F28C1">
        <w:rPr>
          <w:rFonts w:ascii="Times New Roman" w:hAnsi="Times New Roman" w:cs="Times New Roman"/>
          <w:sz w:val="24"/>
          <w:szCs w:val="24"/>
        </w:rPr>
        <w:t xml:space="preserve"> </w:t>
      </w:r>
      <w:r w:rsidRPr="007F28C1">
        <w:rPr>
          <w:rFonts w:ascii="Times New Roman" w:hAnsi="Times New Roman" w:cs="Times New Roman"/>
          <w:sz w:val="24"/>
          <w:szCs w:val="24"/>
        </w:rPr>
        <w:t>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określonym </w:t>
      </w:r>
      <w:r w:rsidR="000232AE" w:rsidRPr="007F28C1">
        <w:rPr>
          <w:rFonts w:ascii="Times New Roman" w:hAnsi="Times New Roman" w:cs="Times New Roman"/>
          <w:sz w:val="24"/>
          <w:szCs w:val="24"/>
        </w:rPr>
        <w:t>obszarem</w:t>
      </w:r>
      <w:r w:rsidRPr="007F28C1">
        <w:rPr>
          <w:rFonts w:ascii="Times New Roman" w:hAnsi="Times New Roman" w:cs="Times New Roman"/>
          <w:sz w:val="24"/>
          <w:szCs w:val="24"/>
        </w:rPr>
        <w:t xml:space="preserve">, jest to praktyka niewłaściwa. Ponadto należy wskazać, że zabezpieczenie możliwości prowadzenia działalności górniczej </w:t>
      </w:r>
      <w:r w:rsidRPr="007F28C1">
        <w:rPr>
          <w:rFonts w:ascii="Times New Roman" w:hAnsi="Times New Roman" w:cs="Times New Roman"/>
          <w:sz w:val="24"/>
          <w:szCs w:val="24"/>
        </w:rPr>
        <w:lastRenderedPageBreak/>
        <w:t>może w przyszłości przynieść gminie dużo wymiernych korzyści (opłata eksploatacyjna, podatek od nieruchomości, nowe miejsca pracy w</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 xml:space="preserve">górnictwie oraz branży współpracującej z górnictwem). </w:t>
      </w:r>
    </w:p>
    <w:p w14:paraId="6B0DD948" w14:textId="29B53F35"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Projekt nowelizacji przewiduje, że </w:t>
      </w:r>
      <w:r w:rsidR="006133B9" w:rsidRPr="007F28C1">
        <w:rPr>
          <w:rFonts w:ascii="Times New Roman" w:hAnsi="Times New Roman" w:cs="Times New Roman"/>
          <w:sz w:val="24"/>
          <w:szCs w:val="24"/>
        </w:rPr>
        <w:t>d</w:t>
      </w:r>
      <w:r w:rsidRPr="007F28C1">
        <w:rPr>
          <w:rFonts w:ascii="Times New Roman" w:hAnsi="Times New Roman" w:cs="Times New Roman"/>
          <w:sz w:val="24"/>
          <w:szCs w:val="24"/>
        </w:rPr>
        <w:t xml:space="preserve">otychczasowy termin 2 lat pozostanie aktualny dla obowiązku ujawniania wszystkich złóż kopalin innych niż złoża strategiczne, </w:t>
      </w:r>
      <w:r w:rsidR="00BE3467" w:rsidRPr="007F28C1">
        <w:rPr>
          <w:rFonts w:ascii="Times New Roman" w:hAnsi="Times New Roman" w:cs="Times New Roman"/>
          <w:sz w:val="24"/>
          <w:szCs w:val="24"/>
        </w:rPr>
        <w:t>udokumentowanych kompleksów podziemnego składowania dwutlenku węgla, obszarów udokumentowanych wód podziemnych, w</w:t>
      </w:r>
      <w:r w:rsidR="0010751E" w:rsidRPr="007F28C1">
        <w:rPr>
          <w:rFonts w:ascii="Times New Roman" w:hAnsi="Times New Roman" w:cs="Times New Roman"/>
          <w:sz w:val="24"/>
          <w:szCs w:val="24"/>
        </w:rPr>
        <w:t> </w:t>
      </w:r>
      <w:r w:rsidR="00BE3467" w:rsidRPr="007F28C1">
        <w:rPr>
          <w:rFonts w:ascii="Times New Roman" w:hAnsi="Times New Roman" w:cs="Times New Roman"/>
          <w:sz w:val="24"/>
          <w:szCs w:val="24"/>
        </w:rPr>
        <w:t xml:space="preserve">granicach projektowanych stref ochronnych ujęć oraz obszarów ochronnych zbiorników wód podziemnych, a także </w:t>
      </w:r>
      <w:r w:rsidR="004908AF" w:rsidRPr="007F28C1">
        <w:rPr>
          <w:rFonts w:ascii="Times New Roman" w:hAnsi="Times New Roman" w:cs="Times New Roman"/>
          <w:sz w:val="24"/>
          <w:szCs w:val="24"/>
        </w:rPr>
        <w:t xml:space="preserve">podziemnych </w:t>
      </w:r>
      <w:r w:rsidR="00BE3467" w:rsidRPr="007F28C1">
        <w:rPr>
          <w:rFonts w:ascii="Times New Roman" w:hAnsi="Times New Roman" w:cs="Times New Roman"/>
          <w:sz w:val="24"/>
          <w:szCs w:val="24"/>
        </w:rPr>
        <w:t>bezzbiornikowych magazynów substancji</w:t>
      </w:r>
      <w:r w:rsidRPr="007F28C1">
        <w:rPr>
          <w:rFonts w:ascii="Times New Roman" w:hAnsi="Times New Roman" w:cs="Times New Roman"/>
          <w:sz w:val="24"/>
          <w:szCs w:val="24"/>
        </w:rPr>
        <w:t>. W przypadku wszczęcia nowo</w:t>
      </w:r>
      <w:r w:rsidR="00FF562A" w:rsidRPr="007F28C1">
        <w:rPr>
          <w:rFonts w:ascii="Times New Roman" w:hAnsi="Times New Roman" w:cs="Times New Roman"/>
          <w:sz w:val="24"/>
          <w:szCs w:val="24"/>
        </w:rPr>
        <w:t xml:space="preserve"> </w:t>
      </w:r>
      <w:r w:rsidRPr="007F28C1">
        <w:rPr>
          <w:rFonts w:ascii="Times New Roman" w:hAnsi="Times New Roman" w:cs="Times New Roman"/>
          <w:sz w:val="24"/>
          <w:szCs w:val="24"/>
        </w:rPr>
        <w:t>wprowadzonego postępowania w zakresie uznania złoża za strategiczne obowiązki organów samorządu terytorialnego dotyczące ujawnienia złoża będą zależeć od rodzaju rozstrzygnięcia</w:t>
      </w:r>
      <w:r w:rsidR="00AF2E15" w:rsidRPr="007F28C1">
        <w:rPr>
          <w:rFonts w:ascii="Times New Roman" w:hAnsi="Times New Roman" w:cs="Times New Roman"/>
          <w:sz w:val="24"/>
          <w:szCs w:val="24"/>
        </w:rPr>
        <w:t xml:space="preserve"> </w:t>
      </w:r>
      <w:r w:rsidR="00850DF0" w:rsidRPr="007F28C1">
        <w:rPr>
          <w:rFonts w:ascii="Times New Roman" w:hAnsi="Times New Roman" w:cs="Times New Roman"/>
          <w:sz w:val="24"/>
          <w:szCs w:val="24"/>
        </w:rPr>
        <w:t>m</w:t>
      </w:r>
      <w:r w:rsidR="003533C8" w:rsidRPr="007F28C1">
        <w:rPr>
          <w:rFonts w:ascii="Times New Roman" w:hAnsi="Times New Roman" w:cs="Times New Roman"/>
          <w:sz w:val="24"/>
          <w:szCs w:val="24"/>
        </w:rPr>
        <w:t>inistra</w:t>
      </w:r>
      <w:r w:rsidR="00850DF0" w:rsidRPr="007F28C1">
        <w:rPr>
          <w:rFonts w:ascii="Times New Roman" w:hAnsi="Times New Roman" w:cs="Times New Roman"/>
          <w:sz w:val="24"/>
          <w:szCs w:val="24"/>
        </w:rPr>
        <w:t xml:space="preserve"> właściwego do spraw środowiska</w:t>
      </w:r>
      <w:r w:rsidRPr="007F28C1">
        <w:rPr>
          <w:rFonts w:ascii="Times New Roman" w:hAnsi="Times New Roman" w:cs="Times New Roman"/>
          <w:sz w:val="24"/>
          <w:szCs w:val="24"/>
        </w:rPr>
        <w:t>. W przypadku uznania złoża za</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strategiczne będzie on wynosił rok od dnia doręczenia gminie</w:t>
      </w:r>
      <w:r w:rsidR="00A1297B" w:rsidRPr="007F28C1">
        <w:rPr>
          <w:rFonts w:ascii="Times New Roman" w:hAnsi="Times New Roman" w:cs="Times New Roman"/>
          <w:sz w:val="24"/>
          <w:szCs w:val="24"/>
        </w:rPr>
        <w:t xml:space="preserve"> kopii</w:t>
      </w:r>
      <w:r w:rsidRPr="007F28C1">
        <w:rPr>
          <w:rFonts w:ascii="Times New Roman" w:hAnsi="Times New Roman" w:cs="Times New Roman"/>
          <w:sz w:val="24"/>
          <w:szCs w:val="24"/>
        </w:rPr>
        <w:t xml:space="preserve"> decyzji uznającej złoże kopaliny</w:t>
      </w:r>
      <w:r w:rsidR="00A1297B" w:rsidRPr="007F28C1">
        <w:rPr>
          <w:rFonts w:ascii="Times New Roman" w:hAnsi="Times New Roman" w:cs="Times New Roman"/>
          <w:sz w:val="24"/>
          <w:szCs w:val="24"/>
        </w:rPr>
        <w:t xml:space="preserve"> lub jego część</w:t>
      </w:r>
      <w:r w:rsidRPr="007F28C1">
        <w:rPr>
          <w:rFonts w:ascii="Times New Roman" w:hAnsi="Times New Roman" w:cs="Times New Roman"/>
          <w:sz w:val="24"/>
          <w:szCs w:val="24"/>
        </w:rPr>
        <w:t xml:space="preserve"> za złoże strategiczne. Jeśli </w:t>
      </w:r>
      <w:r w:rsidR="00850DF0" w:rsidRPr="007F28C1">
        <w:rPr>
          <w:rFonts w:ascii="Times New Roman" w:hAnsi="Times New Roman" w:cs="Times New Roman"/>
          <w:sz w:val="24"/>
          <w:szCs w:val="24"/>
        </w:rPr>
        <w:t>m</w:t>
      </w:r>
      <w:r w:rsidR="003533C8" w:rsidRPr="007F28C1">
        <w:rPr>
          <w:rFonts w:ascii="Times New Roman" w:hAnsi="Times New Roman" w:cs="Times New Roman"/>
          <w:sz w:val="24"/>
          <w:szCs w:val="24"/>
        </w:rPr>
        <w:t>inister</w:t>
      </w:r>
      <w:r w:rsidR="00AF2E15" w:rsidRPr="007F28C1">
        <w:rPr>
          <w:rFonts w:ascii="Times New Roman" w:hAnsi="Times New Roman" w:cs="Times New Roman"/>
          <w:sz w:val="24"/>
          <w:szCs w:val="24"/>
        </w:rPr>
        <w:t xml:space="preserve"> </w:t>
      </w:r>
      <w:r w:rsidR="00850DF0" w:rsidRPr="007F28C1">
        <w:rPr>
          <w:rFonts w:ascii="Times New Roman" w:hAnsi="Times New Roman" w:cs="Times New Roman"/>
          <w:sz w:val="24"/>
          <w:szCs w:val="24"/>
        </w:rPr>
        <w:t xml:space="preserve">właściwy do spraw środowiska </w:t>
      </w:r>
      <w:r w:rsidRPr="007F28C1">
        <w:rPr>
          <w:rFonts w:ascii="Times New Roman" w:hAnsi="Times New Roman" w:cs="Times New Roman"/>
          <w:sz w:val="24"/>
          <w:szCs w:val="24"/>
        </w:rPr>
        <w:t>uzna, że złoże nie spełnia przesłanek do uznania go za strategiczne, termin na jego ujawnienie będzie wynosił 2 lata od dnia doręczenia gminie decyzji o</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umorzeniu postępowania. Z analiz przeprowadzonych w Ministerstwie Klimatu i Środowiska wynika, że obecnie obowiązujący 6-miesięczny termin na ujawnienie w studium</w:t>
      </w:r>
      <w:r w:rsidR="00850DF0" w:rsidRPr="007F28C1">
        <w:rPr>
          <w:rFonts w:ascii="Times New Roman" w:hAnsi="Times New Roman" w:cs="Times New Roman"/>
          <w:sz w:val="24"/>
          <w:szCs w:val="24"/>
        </w:rPr>
        <w:t xml:space="preserve"> uwarunkowań i kierunków zagospodarowania przestrzennego gminy, zwanym dalej „studium”,</w:t>
      </w:r>
      <w:r w:rsidRPr="007F28C1">
        <w:rPr>
          <w:rFonts w:ascii="Times New Roman" w:hAnsi="Times New Roman" w:cs="Times New Roman"/>
          <w:sz w:val="24"/>
          <w:szCs w:val="24"/>
        </w:rPr>
        <w:t xml:space="preserve"> złóż węglowodorów nie jest terminem realnym do dochowania przez gminy. W związku z tym nowelizacja przewiduje, że</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w</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 xml:space="preserve">odniesieniu do węglowodorów termin ulegnie odpowiedniemu wydłużeniu </w:t>
      </w:r>
      <w:r w:rsidR="00823F37" w:rsidRPr="007F28C1">
        <w:rPr>
          <w:rFonts w:ascii="Times New Roman" w:hAnsi="Times New Roman" w:cs="Times New Roman"/>
          <w:sz w:val="24"/>
          <w:szCs w:val="24"/>
        </w:rPr>
        <w:t>do roku, a rozpoczęcie biegu terminu</w:t>
      </w:r>
      <w:r w:rsidRPr="007F28C1">
        <w:rPr>
          <w:rFonts w:ascii="Times New Roman" w:hAnsi="Times New Roman" w:cs="Times New Roman"/>
          <w:sz w:val="24"/>
          <w:szCs w:val="24"/>
        </w:rPr>
        <w:t xml:space="preserve"> będzie </w:t>
      </w:r>
      <w:r w:rsidR="00823F37" w:rsidRPr="007F28C1">
        <w:rPr>
          <w:rFonts w:ascii="Times New Roman" w:hAnsi="Times New Roman" w:cs="Times New Roman"/>
          <w:sz w:val="24"/>
          <w:szCs w:val="24"/>
        </w:rPr>
        <w:t xml:space="preserve">zależne </w:t>
      </w:r>
      <w:r w:rsidRPr="007F28C1">
        <w:rPr>
          <w:rFonts w:ascii="Times New Roman" w:hAnsi="Times New Roman" w:cs="Times New Roman"/>
          <w:sz w:val="24"/>
          <w:szCs w:val="24"/>
        </w:rPr>
        <w:t>od</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ww. decyzji odnośnie</w:t>
      </w:r>
      <w:r w:rsidR="00850DF0" w:rsidRPr="007F28C1">
        <w:rPr>
          <w:rFonts w:ascii="Times New Roman" w:hAnsi="Times New Roman" w:cs="Times New Roman"/>
          <w:sz w:val="24"/>
          <w:szCs w:val="24"/>
        </w:rPr>
        <w:t xml:space="preserve"> do</w:t>
      </w:r>
      <w:r w:rsidRPr="007F28C1">
        <w:rPr>
          <w:rFonts w:ascii="Times New Roman" w:hAnsi="Times New Roman" w:cs="Times New Roman"/>
          <w:sz w:val="24"/>
          <w:szCs w:val="24"/>
        </w:rPr>
        <w:t xml:space="preserve"> wszczęcia postępowania dotyczącego uznania złoża za strategiczne, a</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następnie od rodzaju rozstrzygnięcia w tym postępowaniu.</w:t>
      </w:r>
      <w:r w:rsidR="005B7604" w:rsidRPr="007F28C1">
        <w:rPr>
          <w:rFonts w:ascii="Times New Roman" w:hAnsi="Times New Roman" w:cs="Times New Roman"/>
          <w:sz w:val="24"/>
          <w:szCs w:val="24"/>
        </w:rPr>
        <w:t xml:space="preserve"> </w:t>
      </w:r>
    </w:p>
    <w:p w14:paraId="0D558D01" w14:textId="18DAB2D6"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Projekt ustawy zmieniającej likwiduje dotychczasową lukę prawną ochrony złóż przez wprowadzenie terminu </w:t>
      </w:r>
      <w:r w:rsidR="00850DF0" w:rsidRPr="007F28C1">
        <w:rPr>
          <w:rFonts w:ascii="Times New Roman" w:hAnsi="Times New Roman" w:cs="Times New Roman"/>
          <w:sz w:val="24"/>
          <w:szCs w:val="24"/>
        </w:rPr>
        <w:t xml:space="preserve">na </w:t>
      </w:r>
      <w:r w:rsidRPr="007F28C1">
        <w:rPr>
          <w:rFonts w:ascii="Times New Roman" w:hAnsi="Times New Roman" w:cs="Times New Roman"/>
          <w:sz w:val="24"/>
          <w:szCs w:val="24"/>
        </w:rPr>
        <w:t>realizacj</w:t>
      </w:r>
      <w:r w:rsidR="00850DF0" w:rsidRPr="007F28C1">
        <w:rPr>
          <w:rFonts w:ascii="Times New Roman" w:hAnsi="Times New Roman" w:cs="Times New Roman"/>
          <w:sz w:val="24"/>
          <w:szCs w:val="24"/>
        </w:rPr>
        <w:t>ę</w:t>
      </w:r>
      <w:r w:rsidRPr="007F28C1">
        <w:rPr>
          <w:rFonts w:ascii="Times New Roman" w:hAnsi="Times New Roman" w:cs="Times New Roman"/>
          <w:sz w:val="24"/>
          <w:szCs w:val="24"/>
        </w:rPr>
        <w:t xml:space="preserve"> obowiązku ujawniania złóż kopalin w </w:t>
      </w:r>
      <w:r w:rsidR="00850DF0" w:rsidRPr="007F28C1">
        <w:rPr>
          <w:rFonts w:ascii="Times New Roman" w:hAnsi="Times New Roman" w:cs="Times New Roman"/>
          <w:sz w:val="24"/>
          <w:szCs w:val="24"/>
        </w:rPr>
        <w:t xml:space="preserve">miejscowym </w:t>
      </w:r>
      <w:r w:rsidRPr="007F28C1">
        <w:rPr>
          <w:rFonts w:ascii="Times New Roman" w:hAnsi="Times New Roman" w:cs="Times New Roman"/>
          <w:sz w:val="24"/>
          <w:szCs w:val="24"/>
        </w:rPr>
        <w:t>planie</w:t>
      </w:r>
      <w:r w:rsidR="00850DF0" w:rsidRPr="007F28C1">
        <w:rPr>
          <w:rFonts w:ascii="Times New Roman" w:hAnsi="Times New Roman" w:cs="Times New Roman"/>
          <w:sz w:val="24"/>
          <w:szCs w:val="24"/>
        </w:rPr>
        <w:t xml:space="preserve"> zagospodarowania przestrzennego</w:t>
      </w:r>
      <w:r w:rsidR="00A6313F"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(obecnie termin dotyczy tylko studium). Ma to kluczowe znaczenie, ponieważ możliwość realizacji inwestycji budowlanej zależy w pierwszej kolejności od </w:t>
      </w:r>
      <w:r w:rsidR="00850DF0" w:rsidRPr="007F28C1">
        <w:rPr>
          <w:rFonts w:ascii="Times New Roman" w:hAnsi="Times New Roman" w:cs="Times New Roman"/>
          <w:sz w:val="24"/>
          <w:szCs w:val="24"/>
        </w:rPr>
        <w:t xml:space="preserve">ustaleń </w:t>
      </w:r>
      <w:r w:rsidRPr="007F28C1">
        <w:rPr>
          <w:rFonts w:ascii="Times New Roman" w:hAnsi="Times New Roman" w:cs="Times New Roman"/>
          <w:sz w:val="24"/>
          <w:szCs w:val="24"/>
        </w:rPr>
        <w:t xml:space="preserve">planu miejscowego, dlatego </w:t>
      </w:r>
      <w:r w:rsidR="00850DF0"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konieczne jak najszybsze doprowadzenie do zgodności </w:t>
      </w:r>
      <w:r w:rsidR="00850DF0" w:rsidRPr="007F28C1">
        <w:rPr>
          <w:rFonts w:ascii="Times New Roman" w:hAnsi="Times New Roman" w:cs="Times New Roman"/>
          <w:sz w:val="24"/>
          <w:szCs w:val="24"/>
        </w:rPr>
        <w:t xml:space="preserve">ustaleń </w:t>
      </w:r>
      <w:r w:rsidRPr="007F28C1">
        <w:rPr>
          <w:rFonts w:ascii="Times New Roman" w:hAnsi="Times New Roman" w:cs="Times New Roman"/>
          <w:sz w:val="24"/>
          <w:szCs w:val="24"/>
        </w:rPr>
        <w:t xml:space="preserve">studium oraz planu miejscowego. Projektowane rozwiązania mają zapobiec praktyce uchylania się lub przedłużania w czasie ujawniania złóż w planach miejscowych oraz doprowadzić do tego, aby planowane przeznaczenie nieruchomości znajdujących się ponad złożami kopalin uwzględniało potrzebę zachowania dostępności do złoża kopaliny. </w:t>
      </w:r>
    </w:p>
    <w:p w14:paraId="260F1DEE" w14:textId="5ED5AF34"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lastRenderedPageBreak/>
        <w:t>Nowością jest regulacja przewidując</w:t>
      </w:r>
      <w:r w:rsidR="00F63B4C" w:rsidRPr="007F28C1">
        <w:rPr>
          <w:rFonts w:ascii="Times New Roman" w:hAnsi="Times New Roman" w:cs="Times New Roman"/>
          <w:sz w:val="24"/>
          <w:szCs w:val="24"/>
        </w:rPr>
        <w:t>a</w:t>
      </w:r>
      <w:r w:rsidRPr="007F28C1">
        <w:rPr>
          <w:rFonts w:ascii="Times New Roman" w:hAnsi="Times New Roman" w:cs="Times New Roman"/>
          <w:sz w:val="24"/>
          <w:szCs w:val="24"/>
        </w:rPr>
        <w:t>, że zmian</w:t>
      </w:r>
      <w:r w:rsidR="00040192">
        <w:rPr>
          <w:rFonts w:ascii="Times New Roman" w:hAnsi="Times New Roman" w:cs="Times New Roman"/>
          <w:sz w:val="24"/>
          <w:szCs w:val="24"/>
        </w:rPr>
        <w:t>y</w:t>
      </w:r>
      <w:r w:rsidRPr="007F28C1">
        <w:rPr>
          <w:rFonts w:ascii="Times New Roman" w:hAnsi="Times New Roman" w:cs="Times New Roman"/>
          <w:sz w:val="24"/>
          <w:szCs w:val="24"/>
        </w:rPr>
        <w:t xml:space="preserve"> studium i planu miejscowego wynikając</w:t>
      </w:r>
      <w:r w:rsidR="00850DF0" w:rsidRPr="007F28C1">
        <w:rPr>
          <w:rFonts w:ascii="Times New Roman" w:hAnsi="Times New Roman" w:cs="Times New Roman"/>
          <w:sz w:val="24"/>
          <w:szCs w:val="24"/>
        </w:rPr>
        <w:t>e</w:t>
      </w:r>
      <w:r w:rsidRPr="007F28C1">
        <w:rPr>
          <w:rFonts w:ascii="Times New Roman" w:hAnsi="Times New Roman" w:cs="Times New Roman"/>
          <w:sz w:val="24"/>
          <w:szCs w:val="24"/>
        </w:rPr>
        <w:t xml:space="preserve"> z realizacji przez gminę obowiązku wprowadzenia obszarów udokumentowanych złóż kopalin mo</w:t>
      </w:r>
      <w:r w:rsidR="00040192">
        <w:rPr>
          <w:rFonts w:ascii="Times New Roman" w:hAnsi="Times New Roman" w:cs="Times New Roman"/>
          <w:sz w:val="24"/>
          <w:szCs w:val="24"/>
        </w:rPr>
        <w:t>gą</w:t>
      </w:r>
      <w:r w:rsidRPr="007F28C1">
        <w:rPr>
          <w:rFonts w:ascii="Times New Roman" w:hAnsi="Times New Roman" w:cs="Times New Roman"/>
          <w:sz w:val="24"/>
          <w:szCs w:val="24"/>
        </w:rPr>
        <w:t xml:space="preserve"> nastąpić jednocześnie. Jest to przepis szczególny w stosunku do przepisu art. 20 ust. 1 z dnia 27 marca 2003 r. ustawy o planowaniu i zagospodarowaniu przestrzennym</w:t>
      </w:r>
      <w:r w:rsidR="00D651E5" w:rsidRPr="007F28C1">
        <w:rPr>
          <w:rFonts w:ascii="Times New Roman" w:hAnsi="Times New Roman" w:cs="Times New Roman"/>
          <w:iCs/>
          <w:sz w:val="24"/>
          <w:szCs w:val="24"/>
        </w:rPr>
        <w:t xml:space="preserve"> </w:t>
      </w:r>
      <w:r w:rsidR="001611A6" w:rsidRPr="007F28C1">
        <w:rPr>
          <w:rFonts w:ascii="Times New Roman" w:hAnsi="Times New Roman" w:cs="Times New Roman"/>
          <w:sz w:val="24"/>
          <w:szCs w:val="24"/>
        </w:rPr>
        <w:t xml:space="preserve">(Dz. U. </w:t>
      </w:r>
      <w:r w:rsidR="00040192">
        <w:rPr>
          <w:rFonts w:ascii="Times New Roman" w:hAnsi="Times New Roman" w:cs="Times New Roman"/>
          <w:sz w:val="24"/>
          <w:szCs w:val="24"/>
        </w:rPr>
        <w:t xml:space="preserve">z </w:t>
      </w:r>
      <w:r w:rsidR="004E3FBB" w:rsidRPr="007F28C1">
        <w:rPr>
          <w:rFonts w:ascii="Times New Roman" w:hAnsi="Times New Roman" w:cs="Times New Roman"/>
          <w:sz w:val="24"/>
          <w:szCs w:val="24"/>
        </w:rPr>
        <w:t xml:space="preserve">2022 </w:t>
      </w:r>
      <w:r w:rsidR="001611A6" w:rsidRPr="007F28C1">
        <w:rPr>
          <w:rFonts w:ascii="Times New Roman" w:hAnsi="Times New Roman" w:cs="Times New Roman"/>
          <w:sz w:val="24"/>
          <w:szCs w:val="24"/>
        </w:rPr>
        <w:t>r. poz.</w:t>
      </w:r>
      <w:r w:rsidR="001F042A" w:rsidRPr="007F28C1">
        <w:rPr>
          <w:rFonts w:ascii="Times New Roman" w:hAnsi="Times New Roman" w:cs="Times New Roman"/>
          <w:sz w:val="24"/>
          <w:szCs w:val="24"/>
        </w:rPr>
        <w:t xml:space="preserve"> </w:t>
      </w:r>
      <w:r w:rsidR="004E3FBB" w:rsidRPr="007F28C1">
        <w:rPr>
          <w:rFonts w:ascii="Times New Roman" w:hAnsi="Times New Roman" w:cs="Times New Roman"/>
          <w:sz w:val="24"/>
          <w:szCs w:val="24"/>
        </w:rPr>
        <w:t>503</w:t>
      </w:r>
      <w:r w:rsidR="009A51BA" w:rsidRPr="007F28C1">
        <w:rPr>
          <w:rFonts w:ascii="Times New Roman" w:hAnsi="Times New Roman" w:cs="Times New Roman"/>
          <w:sz w:val="24"/>
          <w:szCs w:val="24"/>
        </w:rPr>
        <w:t>, z późn. zm.</w:t>
      </w:r>
      <w:r w:rsidR="001611A6" w:rsidRPr="007F28C1">
        <w:rPr>
          <w:rFonts w:ascii="Times New Roman" w:hAnsi="Times New Roman" w:cs="Times New Roman"/>
          <w:sz w:val="24"/>
          <w:szCs w:val="24"/>
        </w:rPr>
        <w:t>)</w:t>
      </w:r>
      <w:r w:rsidRPr="007F28C1">
        <w:rPr>
          <w:rFonts w:ascii="Times New Roman" w:hAnsi="Times New Roman" w:cs="Times New Roman"/>
          <w:iCs/>
          <w:sz w:val="24"/>
          <w:szCs w:val="24"/>
        </w:rPr>
        <w:t>,</w:t>
      </w:r>
      <w:r w:rsidRPr="007F28C1">
        <w:rPr>
          <w:rFonts w:ascii="Times New Roman" w:hAnsi="Times New Roman" w:cs="Times New Roman"/>
          <w:sz w:val="24"/>
          <w:szCs w:val="24"/>
        </w:rPr>
        <w:t xml:space="preserve"> </w:t>
      </w:r>
      <w:r w:rsidR="005B7604" w:rsidRPr="007F28C1">
        <w:rPr>
          <w:rFonts w:ascii="Times New Roman" w:hAnsi="Times New Roman" w:cs="Times New Roman"/>
          <w:sz w:val="24"/>
          <w:szCs w:val="24"/>
        </w:rPr>
        <w:t xml:space="preserve">zwanej </w:t>
      </w:r>
      <w:r w:rsidRPr="007F28C1">
        <w:rPr>
          <w:rFonts w:ascii="Times New Roman" w:hAnsi="Times New Roman" w:cs="Times New Roman"/>
          <w:sz w:val="24"/>
          <w:szCs w:val="24"/>
        </w:rPr>
        <w:t>dalej „u.p.z.p.”, z którego wynika zasada uchwalania planu miejscowego i jego zmiany w sposób zgodny z</w:t>
      </w:r>
      <w:r w:rsidR="007545C8" w:rsidRPr="007F28C1">
        <w:rPr>
          <w:rFonts w:ascii="Times New Roman" w:hAnsi="Times New Roman" w:cs="Times New Roman"/>
          <w:sz w:val="24"/>
          <w:szCs w:val="24"/>
        </w:rPr>
        <w:t> </w:t>
      </w:r>
      <w:r w:rsidRPr="007F28C1">
        <w:rPr>
          <w:rFonts w:ascii="Times New Roman" w:hAnsi="Times New Roman" w:cs="Times New Roman"/>
          <w:sz w:val="24"/>
          <w:szCs w:val="24"/>
        </w:rPr>
        <w:t xml:space="preserve">ustaleniami studium. Zasada ta oznacza, że do zmiany planu miejscowego </w:t>
      </w:r>
      <w:r w:rsidR="00850DF0"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konieczna zgodność zmiany z </w:t>
      </w:r>
      <w:r w:rsidR="008C37DB" w:rsidRPr="007F28C1">
        <w:rPr>
          <w:rFonts w:ascii="Times New Roman" w:hAnsi="Times New Roman" w:cs="Times New Roman"/>
          <w:sz w:val="24"/>
          <w:szCs w:val="24"/>
        </w:rPr>
        <w:t xml:space="preserve">ustaleniami </w:t>
      </w:r>
      <w:r w:rsidRPr="007F28C1">
        <w:rPr>
          <w:rFonts w:ascii="Times New Roman" w:hAnsi="Times New Roman" w:cs="Times New Roman"/>
          <w:sz w:val="24"/>
          <w:szCs w:val="24"/>
        </w:rPr>
        <w:t>studium. To z kolei determinuje kolejność zmiany dokumentów planistycznych; zawsze jako pierwsze zmieniane jest studium. Projektowany</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przepis będzie zatem </w:t>
      </w:r>
      <w:r w:rsidR="008C37DB" w:rsidRPr="007F28C1">
        <w:rPr>
          <w:rFonts w:ascii="Times New Roman" w:hAnsi="Times New Roman" w:cs="Times New Roman"/>
          <w:sz w:val="24"/>
          <w:szCs w:val="24"/>
        </w:rPr>
        <w:t xml:space="preserve">stanowić </w:t>
      </w:r>
      <w:r w:rsidRPr="007F28C1">
        <w:rPr>
          <w:rFonts w:ascii="Times New Roman" w:hAnsi="Times New Roman" w:cs="Times New Roman"/>
          <w:sz w:val="24"/>
          <w:szCs w:val="24"/>
        </w:rPr>
        <w:t>wyjątek od</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ww. zasady. Wprowadzenie tego wyjątku jest konieczne, aby zapewnić skuteczną ochronę złóż kopalin. Należy podkreślić, że w przypadku gdy na terenie występowania złoża kopaliny obowiązuje plan miejscowy, w którym nie</w:t>
      </w:r>
      <w:r w:rsidR="008C37DB" w:rsidRPr="007F28C1">
        <w:rPr>
          <w:rFonts w:ascii="Times New Roman" w:hAnsi="Times New Roman" w:cs="Times New Roman"/>
          <w:sz w:val="24"/>
          <w:szCs w:val="24"/>
        </w:rPr>
        <w:t xml:space="preserve"> zostały </w:t>
      </w:r>
      <w:r w:rsidRPr="007F28C1">
        <w:rPr>
          <w:rFonts w:ascii="Times New Roman" w:hAnsi="Times New Roman" w:cs="Times New Roman"/>
          <w:sz w:val="24"/>
          <w:szCs w:val="24"/>
        </w:rPr>
        <w:t xml:space="preserve">ujawnione złoża kopalin oraz nie </w:t>
      </w:r>
      <w:r w:rsidR="007545C8" w:rsidRPr="007F28C1">
        <w:rPr>
          <w:rFonts w:ascii="Times New Roman" w:hAnsi="Times New Roman" w:cs="Times New Roman"/>
          <w:sz w:val="24"/>
          <w:szCs w:val="24"/>
        </w:rPr>
        <w:t xml:space="preserve">zostały </w:t>
      </w:r>
      <w:r w:rsidRPr="007F28C1">
        <w:rPr>
          <w:rFonts w:ascii="Times New Roman" w:hAnsi="Times New Roman" w:cs="Times New Roman"/>
          <w:sz w:val="24"/>
          <w:szCs w:val="24"/>
        </w:rPr>
        <w:t xml:space="preserve">wprowadzone </w:t>
      </w:r>
      <w:r w:rsidR="008C37DB" w:rsidRPr="007F28C1">
        <w:rPr>
          <w:rFonts w:ascii="Times New Roman" w:hAnsi="Times New Roman" w:cs="Times New Roman"/>
          <w:sz w:val="24"/>
          <w:szCs w:val="24"/>
        </w:rPr>
        <w:t>ustalenia</w:t>
      </w:r>
      <w:r w:rsidRPr="007F28C1">
        <w:rPr>
          <w:rFonts w:ascii="Times New Roman" w:hAnsi="Times New Roman" w:cs="Times New Roman"/>
          <w:sz w:val="24"/>
          <w:szCs w:val="24"/>
        </w:rPr>
        <w:t xml:space="preserve">, które zapewniają ochronę dostępności do złoża, na etapie oceny wniosku o pozwolenie na budowę lub zgłoszenia budowlanego organ administracji architektoniczno-budowlanej uwzględni </w:t>
      </w:r>
      <w:r w:rsidR="008C37DB" w:rsidRPr="007F28C1">
        <w:rPr>
          <w:rFonts w:ascii="Times New Roman" w:hAnsi="Times New Roman" w:cs="Times New Roman"/>
          <w:sz w:val="24"/>
          <w:szCs w:val="24"/>
        </w:rPr>
        <w:t xml:space="preserve">ustalenia </w:t>
      </w:r>
      <w:r w:rsidRPr="007F28C1">
        <w:rPr>
          <w:rFonts w:ascii="Times New Roman" w:hAnsi="Times New Roman" w:cs="Times New Roman"/>
          <w:sz w:val="24"/>
          <w:szCs w:val="24"/>
        </w:rPr>
        <w:t>planu miejscowego, co oznaczałoby możliwość realizacji inwestycji na terenie występowania złoża strategicznego, które może być źródłem surowca cennego dla krajowej gospodarki. Takie zagrożenie nie występuje w przypadku terenów, na których nie obowiązują plany miejscowe, ponieważ w</w:t>
      </w:r>
      <w:r w:rsidR="00B0226F" w:rsidRPr="007F28C1">
        <w:rPr>
          <w:rFonts w:ascii="Times New Roman" w:hAnsi="Times New Roman" w:cs="Times New Roman"/>
          <w:sz w:val="24"/>
          <w:szCs w:val="24"/>
        </w:rPr>
        <w:t> </w:t>
      </w:r>
      <w:r w:rsidRPr="007F28C1">
        <w:rPr>
          <w:rFonts w:ascii="Times New Roman" w:hAnsi="Times New Roman" w:cs="Times New Roman"/>
          <w:sz w:val="24"/>
          <w:szCs w:val="24"/>
        </w:rPr>
        <w:t xml:space="preserve">przypadku występowania na nich udokumentowanych złóż kopalin decyzja o warunkach zabudowy podlega uzgodnieniu z właściwym </w:t>
      </w:r>
      <w:r w:rsidR="00CB3055" w:rsidRPr="007F28C1">
        <w:rPr>
          <w:rFonts w:ascii="Times New Roman" w:hAnsi="Times New Roman" w:cs="Times New Roman"/>
          <w:sz w:val="24"/>
          <w:szCs w:val="24"/>
        </w:rPr>
        <w:t>organem administracji geologicznej</w:t>
      </w:r>
      <w:r w:rsidRPr="007F28C1">
        <w:rPr>
          <w:rFonts w:ascii="Times New Roman" w:hAnsi="Times New Roman" w:cs="Times New Roman"/>
          <w:sz w:val="24"/>
          <w:szCs w:val="24"/>
        </w:rPr>
        <w:t xml:space="preserve">. Ponadto należy wskazać, że zmiana </w:t>
      </w:r>
      <w:r w:rsidR="008C37DB" w:rsidRPr="007F28C1">
        <w:rPr>
          <w:rFonts w:ascii="Times New Roman" w:hAnsi="Times New Roman" w:cs="Times New Roman"/>
          <w:sz w:val="24"/>
          <w:szCs w:val="24"/>
        </w:rPr>
        <w:t xml:space="preserve">ustaleń </w:t>
      </w:r>
      <w:r w:rsidRPr="007F28C1">
        <w:rPr>
          <w:rFonts w:ascii="Times New Roman" w:hAnsi="Times New Roman" w:cs="Times New Roman"/>
          <w:sz w:val="24"/>
          <w:szCs w:val="24"/>
        </w:rPr>
        <w:t>studium i planu miejscowego w zakresie wynikającym z ujawnienia w nich w celu ochrony udokumentowanych złóż kopalin (umożliwiania ich przyszłej eksploatacji) dotyczy niewielkiej części każdego z ww. dokumentów, a wspólne procedowanie ich zmiany zapewni spójność w tym zakresie. Istotne jest to, że w opisanych okolicznościach gmina będzie uprawniona, ale</w:t>
      </w:r>
      <w:r w:rsidR="0010751E" w:rsidRPr="007F28C1">
        <w:rPr>
          <w:rFonts w:ascii="Times New Roman" w:hAnsi="Times New Roman" w:cs="Times New Roman"/>
          <w:sz w:val="24"/>
          <w:szCs w:val="24"/>
        </w:rPr>
        <w:t> </w:t>
      </w:r>
      <w:r w:rsidRPr="007F28C1">
        <w:rPr>
          <w:rFonts w:ascii="Times New Roman" w:hAnsi="Times New Roman" w:cs="Times New Roman"/>
          <w:sz w:val="24"/>
          <w:szCs w:val="24"/>
        </w:rPr>
        <w:t>nie obowiązana do skorzystania z możliwości jednoczesnej zmiany obydwu dokumentów. Jeżeli z</w:t>
      </w:r>
      <w:r w:rsidR="0010751E" w:rsidRPr="007F28C1">
        <w:rPr>
          <w:rFonts w:ascii="Times New Roman" w:hAnsi="Times New Roman" w:cs="Times New Roman"/>
          <w:sz w:val="24"/>
          <w:szCs w:val="24"/>
        </w:rPr>
        <w:t> </w:t>
      </w:r>
      <w:r w:rsidRPr="007F28C1">
        <w:rPr>
          <w:rFonts w:ascii="Times New Roman" w:hAnsi="Times New Roman" w:cs="Times New Roman"/>
          <w:sz w:val="24"/>
          <w:szCs w:val="24"/>
        </w:rPr>
        <w:t xml:space="preserve">możliwości tej nie skorzysta, będzie musiała dochować terminu rocznego dla złóż strategicznych </w:t>
      </w:r>
      <w:r w:rsidR="00AF0F86" w:rsidRPr="007F28C1">
        <w:rPr>
          <w:rFonts w:ascii="Times New Roman" w:hAnsi="Times New Roman" w:cs="Times New Roman"/>
          <w:sz w:val="24"/>
          <w:szCs w:val="24"/>
        </w:rPr>
        <w:t xml:space="preserve">oraz złóż węglowodorów </w:t>
      </w:r>
      <w:r w:rsidRPr="007F28C1">
        <w:rPr>
          <w:rFonts w:ascii="Times New Roman" w:hAnsi="Times New Roman" w:cs="Times New Roman"/>
          <w:sz w:val="24"/>
          <w:szCs w:val="24"/>
        </w:rPr>
        <w:t>albo 2-letniego terminu dla pozostałych złóż kopalin na ujawnienie złóż zarówno w studium, jak i</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planie miejscowym</w:t>
      </w:r>
      <w:r w:rsidR="00B0226F" w:rsidRPr="007F28C1">
        <w:rPr>
          <w:rFonts w:ascii="Times New Roman" w:hAnsi="Times New Roman" w:cs="Times New Roman"/>
          <w:sz w:val="24"/>
          <w:szCs w:val="24"/>
        </w:rPr>
        <w:t xml:space="preserve"> (o ile taki plan</w:t>
      </w:r>
      <w:r w:rsidR="005B7604" w:rsidRPr="007F28C1">
        <w:rPr>
          <w:rFonts w:ascii="Times New Roman" w:hAnsi="Times New Roman" w:cs="Times New Roman"/>
          <w:sz w:val="24"/>
          <w:szCs w:val="24"/>
        </w:rPr>
        <w:t xml:space="preserve"> lub</w:t>
      </w:r>
      <w:r w:rsidR="00B0226F" w:rsidRPr="007F28C1">
        <w:rPr>
          <w:rFonts w:ascii="Times New Roman" w:hAnsi="Times New Roman" w:cs="Times New Roman"/>
          <w:sz w:val="24"/>
          <w:szCs w:val="24"/>
        </w:rPr>
        <w:t xml:space="preserve"> plany obowiązują na jej terenie)</w:t>
      </w:r>
      <w:r w:rsidRPr="007F28C1">
        <w:rPr>
          <w:rFonts w:ascii="Times New Roman" w:hAnsi="Times New Roman" w:cs="Times New Roman"/>
          <w:sz w:val="24"/>
          <w:szCs w:val="24"/>
        </w:rPr>
        <w:t>.</w:t>
      </w:r>
    </w:p>
    <w:p w14:paraId="2CFC00A3" w14:textId="19C92D98"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Nowelizowany przepis art. 95 P.g.g. zakłada ponadto zmianę zasad ponoszenia kosztów związanych ze</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 xml:space="preserve">zmianą studium </w:t>
      </w:r>
      <w:r w:rsidR="00CD6EA7" w:rsidRPr="007F28C1">
        <w:rPr>
          <w:rFonts w:ascii="Times New Roman" w:hAnsi="Times New Roman" w:cs="Times New Roman"/>
          <w:sz w:val="24"/>
          <w:szCs w:val="24"/>
        </w:rPr>
        <w:t xml:space="preserve">oraz </w:t>
      </w:r>
      <w:r w:rsidRPr="007F28C1">
        <w:rPr>
          <w:rFonts w:ascii="Times New Roman" w:hAnsi="Times New Roman" w:cs="Times New Roman"/>
          <w:sz w:val="24"/>
          <w:szCs w:val="24"/>
        </w:rPr>
        <w:t xml:space="preserve">zmianą planu miejscowego wynikających z realizacji przez gminę obowiązku ujawnienia </w:t>
      </w:r>
      <w:r w:rsidR="008762D9" w:rsidRPr="007F28C1">
        <w:rPr>
          <w:rFonts w:ascii="Times New Roman" w:hAnsi="Times New Roman" w:cs="Times New Roman"/>
          <w:sz w:val="24"/>
          <w:szCs w:val="24"/>
        </w:rPr>
        <w:t>złóż kopalin, o których mowa w art. 10 ust. 1</w:t>
      </w:r>
      <w:r w:rsidR="00B0226F" w:rsidRPr="007F28C1">
        <w:rPr>
          <w:rFonts w:ascii="Times New Roman" w:hAnsi="Times New Roman" w:cs="Times New Roman"/>
          <w:sz w:val="24"/>
          <w:szCs w:val="24"/>
        </w:rPr>
        <w:t xml:space="preserve"> P.g.g</w:t>
      </w:r>
      <w:r w:rsidRPr="007F28C1">
        <w:rPr>
          <w:rFonts w:ascii="Times New Roman" w:hAnsi="Times New Roman" w:cs="Times New Roman"/>
          <w:sz w:val="24"/>
          <w:szCs w:val="24"/>
        </w:rPr>
        <w:t xml:space="preserve">. Dotychczas koszty te obciążały właściwe jednostki samorządu terytorialnego. Wyjątkiem był przypadek </w:t>
      </w:r>
      <w:r w:rsidRPr="007F28C1">
        <w:rPr>
          <w:rFonts w:ascii="Times New Roman" w:hAnsi="Times New Roman" w:cs="Times New Roman"/>
          <w:sz w:val="24"/>
          <w:szCs w:val="24"/>
        </w:rPr>
        <w:lastRenderedPageBreak/>
        <w:t xml:space="preserve">wprowadzania do studium obszaru udokumentowanego złoża węglowodorów, </w:t>
      </w:r>
      <w:r w:rsidR="008C37DB" w:rsidRPr="007F28C1">
        <w:rPr>
          <w:rFonts w:ascii="Times New Roman" w:hAnsi="Times New Roman" w:cs="Times New Roman"/>
          <w:sz w:val="24"/>
          <w:szCs w:val="24"/>
        </w:rPr>
        <w:t xml:space="preserve">kiedy to </w:t>
      </w:r>
      <w:r w:rsidRPr="007F28C1">
        <w:rPr>
          <w:rFonts w:ascii="Times New Roman" w:hAnsi="Times New Roman" w:cs="Times New Roman"/>
          <w:sz w:val="24"/>
          <w:szCs w:val="24"/>
        </w:rPr>
        <w:t xml:space="preserve">wynikające </w:t>
      </w:r>
      <w:r w:rsidR="008C37DB" w:rsidRPr="007F28C1">
        <w:rPr>
          <w:rFonts w:ascii="Times New Roman" w:hAnsi="Times New Roman" w:cs="Times New Roman"/>
          <w:sz w:val="24"/>
          <w:szCs w:val="24"/>
        </w:rPr>
        <w:t xml:space="preserve">z tego </w:t>
      </w:r>
      <w:r w:rsidRPr="007F28C1">
        <w:rPr>
          <w:rFonts w:ascii="Times New Roman" w:hAnsi="Times New Roman" w:cs="Times New Roman"/>
          <w:sz w:val="24"/>
          <w:szCs w:val="24"/>
        </w:rPr>
        <w:t>koszty ponosił przedsiębiorca, który sporządził dokumentację geologiczno-inwestycyjną złoża węglowodorów. Projekt ustawy zmieniającej zakłada rozszerzenie obowiązku pokrycia przez podmioty sporządzające dokumentację geologiczną kosztów związanych ze zmianą dokumentów planistycznych w sytuacji opracowywania tych dokumentów w celu wywiązania się z obowiązku ujawnienia złóż</w:t>
      </w:r>
      <w:r w:rsidR="00FA037B" w:rsidRPr="007F28C1">
        <w:rPr>
          <w:rFonts w:ascii="Times New Roman" w:hAnsi="Times New Roman" w:cs="Times New Roman"/>
          <w:sz w:val="24"/>
          <w:szCs w:val="24"/>
        </w:rPr>
        <w:t xml:space="preserve"> kopalin</w:t>
      </w:r>
      <w:r w:rsidR="00867824" w:rsidRPr="007F28C1">
        <w:rPr>
          <w:rFonts w:ascii="Times New Roman" w:hAnsi="Times New Roman" w:cs="Times New Roman"/>
          <w:sz w:val="24"/>
          <w:szCs w:val="24"/>
        </w:rPr>
        <w:t xml:space="preserve"> </w:t>
      </w:r>
      <w:r w:rsidR="00120902" w:rsidRPr="007F28C1">
        <w:rPr>
          <w:rFonts w:ascii="Times New Roman" w:hAnsi="Times New Roman" w:cs="Times New Roman"/>
          <w:sz w:val="24"/>
          <w:szCs w:val="24"/>
        </w:rPr>
        <w:t>określonych</w:t>
      </w:r>
      <w:r w:rsidR="00CD71E0" w:rsidRPr="007F28C1">
        <w:rPr>
          <w:rFonts w:ascii="Times New Roman" w:hAnsi="Times New Roman" w:cs="Times New Roman"/>
          <w:sz w:val="24"/>
          <w:szCs w:val="24"/>
        </w:rPr>
        <w:t xml:space="preserve"> w art. 10 ust.</w:t>
      </w:r>
      <w:r w:rsidR="00867824" w:rsidRPr="007F28C1">
        <w:rPr>
          <w:rFonts w:ascii="Times New Roman" w:hAnsi="Times New Roman" w:cs="Times New Roman"/>
          <w:sz w:val="24"/>
          <w:szCs w:val="24"/>
        </w:rPr>
        <w:t xml:space="preserve"> 1</w:t>
      </w:r>
      <w:r w:rsidR="00CD71E0" w:rsidRPr="007F28C1">
        <w:rPr>
          <w:rFonts w:ascii="Times New Roman" w:hAnsi="Times New Roman" w:cs="Times New Roman"/>
          <w:sz w:val="24"/>
          <w:szCs w:val="24"/>
        </w:rPr>
        <w:t xml:space="preserve"> P.g.g</w:t>
      </w:r>
      <w:r w:rsidRPr="007F28C1">
        <w:rPr>
          <w:rFonts w:ascii="Times New Roman" w:hAnsi="Times New Roman" w:cs="Times New Roman"/>
          <w:sz w:val="24"/>
          <w:szCs w:val="24"/>
        </w:rPr>
        <w:t>.</w:t>
      </w:r>
      <w:r w:rsidR="009C2E67" w:rsidRPr="007F28C1">
        <w:rPr>
          <w:rFonts w:ascii="Times New Roman" w:hAnsi="Times New Roman" w:cs="Times New Roman"/>
          <w:sz w:val="24"/>
          <w:szCs w:val="24"/>
        </w:rPr>
        <w:t>, które zostały uznane za strategiczne.</w:t>
      </w:r>
      <w:r w:rsidRPr="007F28C1">
        <w:rPr>
          <w:rFonts w:ascii="Times New Roman" w:hAnsi="Times New Roman" w:cs="Times New Roman"/>
          <w:sz w:val="24"/>
          <w:szCs w:val="24"/>
        </w:rPr>
        <w:t xml:space="preserve"> Dzięki temu rozwiązaniu podmioty zainteresowane eksploatacją </w:t>
      </w:r>
      <w:r w:rsidR="008762D9" w:rsidRPr="007F28C1">
        <w:rPr>
          <w:rFonts w:ascii="Times New Roman" w:hAnsi="Times New Roman" w:cs="Times New Roman"/>
          <w:sz w:val="24"/>
          <w:szCs w:val="24"/>
        </w:rPr>
        <w:t>takich kopalin</w:t>
      </w:r>
      <w:r w:rsidRPr="007F28C1">
        <w:rPr>
          <w:rFonts w:ascii="Times New Roman" w:hAnsi="Times New Roman" w:cs="Times New Roman"/>
          <w:sz w:val="24"/>
          <w:szCs w:val="24"/>
        </w:rPr>
        <w:t xml:space="preserve"> uzyskają realny wpływ na </w:t>
      </w:r>
      <w:r w:rsidR="00CB3055" w:rsidRPr="007F28C1">
        <w:rPr>
          <w:rFonts w:ascii="Times New Roman" w:hAnsi="Times New Roman" w:cs="Times New Roman"/>
          <w:sz w:val="24"/>
          <w:szCs w:val="24"/>
        </w:rPr>
        <w:t xml:space="preserve">uruchomienie </w:t>
      </w:r>
      <w:r w:rsidRPr="007F28C1">
        <w:rPr>
          <w:rFonts w:ascii="Times New Roman" w:hAnsi="Times New Roman" w:cs="Times New Roman"/>
          <w:sz w:val="24"/>
          <w:szCs w:val="24"/>
        </w:rPr>
        <w:t>postępowania, w</w:t>
      </w:r>
      <w:r w:rsidR="00CD6EA7" w:rsidRPr="007F28C1">
        <w:rPr>
          <w:rFonts w:ascii="Times New Roman" w:hAnsi="Times New Roman" w:cs="Times New Roman"/>
          <w:sz w:val="24"/>
          <w:szCs w:val="24"/>
        </w:rPr>
        <w:t> </w:t>
      </w:r>
      <w:r w:rsidRPr="007F28C1">
        <w:rPr>
          <w:rFonts w:ascii="Times New Roman" w:hAnsi="Times New Roman" w:cs="Times New Roman"/>
          <w:sz w:val="24"/>
          <w:szCs w:val="24"/>
        </w:rPr>
        <w:t>ramach któr</w:t>
      </w:r>
      <w:r w:rsidR="00FA037B" w:rsidRPr="007F28C1">
        <w:rPr>
          <w:rFonts w:ascii="Times New Roman" w:hAnsi="Times New Roman" w:cs="Times New Roman"/>
          <w:sz w:val="24"/>
          <w:szCs w:val="24"/>
        </w:rPr>
        <w:t>ego</w:t>
      </w:r>
      <w:r w:rsidRPr="007F28C1">
        <w:rPr>
          <w:rFonts w:ascii="Times New Roman" w:hAnsi="Times New Roman" w:cs="Times New Roman"/>
          <w:sz w:val="24"/>
          <w:szCs w:val="24"/>
        </w:rPr>
        <w:t xml:space="preserve"> następuje wprowadzenie złóż kopalin do studium i planu miejscowego. Dotychczas procedury te często nie były w ogóle realizowane albo trwały latami, a gminy uzasadniały swoją opieszałość brakiem środków finansowych. </w:t>
      </w:r>
      <w:r w:rsidR="00AF0F86" w:rsidRPr="007F28C1">
        <w:rPr>
          <w:rFonts w:ascii="Times New Roman" w:hAnsi="Times New Roman" w:cs="Times New Roman"/>
          <w:sz w:val="24"/>
          <w:szCs w:val="24"/>
        </w:rPr>
        <w:t>W przypadku</w:t>
      </w:r>
      <w:r w:rsidRPr="007F28C1">
        <w:rPr>
          <w:rFonts w:ascii="Times New Roman" w:hAnsi="Times New Roman" w:cs="Times New Roman"/>
          <w:sz w:val="24"/>
          <w:szCs w:val="24"/>
        </w:rPr>
        <w:t xml:space="preserve"> </w:t>
      </w:r>
      <w:r w:rsidR="00AF0F86" w:rsidRPr="007F28C1">
        <w:rPr>
          <w:rFonts w:ascii="Times New Roman" w:hAnsi="Times New Roman" w:cs="Times New Roman"/>
          <w:sz w:val="24"/>
          <w:szCs w:val="24"/>
        </w:rPr>
        <w:t xml:space="preserve">złóż </w:t>
      </w:r>
      <w:r w:rsidR="00204AE3" w:rsidRPr="007F28C1">
        <w:rPr>
          <w:rFonts w:ascii="Times New Roman" w:hAnsi="Times New Roman" w:cs="Times New Roman"/>
          <w:sz w:val="24"/>
          <w:szCs w:val="24"/>
        </w:rPr>
        <w:t xml:space="preserve">kopalin </w:t>
      </w:r>
      <w:r w:rsidRPr="007F28C1">
        <w:rPr>
          <w:rFonts w:ascii="Times New Roman" w:hAnsi="Times New Roman" w:cs="Times New Roman"/>
          <w:sz w:val="24"/>
          <w:szCs w:val="24"/>
        </w:rPr>
        <w:t>inn</w:t>
      </w:r>
      <w:r w:rsidR="00AF0F86" w:rsidRPr="007F28C1">
        <w:rPr>
          <w:rFonts w:ascii="Times New Roman" w:hAnsi="Times New Roman" w:cs="Times New Roman"/>
          <w:sz w:val="24"/>
          <w:szCs w:val="24"/>
        </w:rPr>
        <w:t>ych</w:t>
      </w:r>
      <w:r w:rsidR="008762D9" w:rsidRPr="007F28C1">
        <w:rPr>
          <w:rFonts w:ascii="Times New Roman" w:hAnsi="Times New Roman" w:cs="Times New Roman"/>
          <w:sz w:val="24"/>
          <w:szCs w:val="24"/>
        </w:rPr>
        <w:t xml:space="preserve"> niż </w:t>
      </w:r>
      <w:r w:rsidR="00ED0C83" w:rsidRPr="007F28C1">
        <w:rPr>
          <w:rFonts w:ascii="Times New Roman" w:hAnsi="Times New Roman" w:cs="Times New Roman"/>
          <w:sz w:val="24"/>
          <w:szCs w:val="24"/>
        </w:rPr>
        <w:t>złoża strategiczne</w:t>
      </w:r>
      <w:r w:rsidRPr="007F28C1">
        <w:rPr>
          <w:rFonts w:ascii="Times New Roman" w:hAnsi="Times New Roman" w:cs="Times New Roman"/>
          <w:sz w:val="24"/>
          <w:szCs w:val="24"/>
        </w:rPr>
        <w:t xml:space="preserve"> </w:t>
      </w:r>
      <w:r w:rsidR="00AF0F86" w:rsidRPr="007F28C1">
        <w:rPr>
          <w:rFonts w:ascii="Times New Roman" w:hAnsi="Times New Roman" w:cs="Times New Roman"/>
          <w:sz w:val="24"/>
          <w:szCs w:val="24"/>
        </w:rPr>
        <w:t>i złoża węglowodorów, a także</w:t>
      </w:r>
      <w:r w:rsidR="0007161C" w:rsidRPr="007F28C1">
        <w:rPr>
          <w:rFonts w:ascii="Times New Roman" w:hAnsi="Times New Roman" w:cs="Times New Roman"/>
          <w:sz w:val="24"/>
          <w:szCs w:val="24"/>
        </w:rPr>
        <w:t xml:space="preserve"> </w:t>
      </w:r>
      <w:r w:rsidR="00204AE3" w:rsidRPr="007F28C1">
        <w:rPr>
          <w:rFonts w:ascii="Times New Roman" w:hAnsi="Times New Roman" w:cs="Times New Roman"/>
          <w:sz w:val="24"/>
          <w:szCs w:val="24"/>
        </w:rPr>
        <w:t>obszar</w:t>
      </w:r>
      <w:r w:rsidR="00AF0F86" w:rsidRPr="007F28C1">
        <w:rPr>
          <w:rFonts w:ascii="Times New Roman" w:hAnsi="Times New Roman" w:cs="Times New Roman"/>
          <w:sz w:val="24"/>
          <w:szCs w:val="24"/>
        </w:rPr>
        <w:t>ów</w:t>
      </w:r>
      <w:r w:rsidR="00204AE3" w:rsidRPr="007F28C1">
        <w:rPr>
          <w:rFonts w:ascii="Times New Roman" w:hAnsi="Times New Roman" w:cs="Times New Roman"/>
          <w:sz w:val="24"/>
          <w:szCs w:val="24"/>
        </w:rPr>
        <w:t xml:space="preserve"> udokumentowanych kompleksów podziemnego składowania dwutlenku węgla, obszar</w:t>
      </w:r>
      <w:r w:rsidR="00AF0F86" w:rsidRPr="007F28C1">
        <w:rPr>
          <w:rFonts w:ascii="Times New Roman" w:hAnsi="Times New Roman" w:cs="Times New Roman"/>
          <w:sz w:val="24"/>
          <w:szCs w:val="24"/>
        </w:rPr>
        <w:t>ów</w:t>
      </w:r>
      <w:r w:rsidR="00204AE3" w:rsidRPr="007F28C1">
        <w:rPr>
          <w:rFonts w:ascii="Times New Roman" w:hAnsi="Times New Roman" w:cs="Times New Roman"/>
          <w:sz w:val="24"/>
          <w:szCs w:val="24"/>
        </w:rPr>
        <w:t xml:space="preserve"> udokumentowanych wód podziemnych, w</w:t>
      </w:r>
      <w:r w:rsidR="006418B0" w:rsidRPr="007F28C1">
        <w:rPr>
          <w:rFonts w:ascii="Times New Roman" w:hAnsi="Times New Roman" w:cs="Times New Roman"/>
          <w:sz w:val="24"/>
          <w:szCs w:val="24"/>
        </w:rPr>
        <w:t> </w:t>
      </w:r>
      <w:r w:rsidR="00204AE3" w:rsidRPr="007F28C1">
        <w:rPr>
          <w:rFonts w:ascii="Times New Roman" w:hAnsi="Times New Roman" w:cs="Times New Roman"/>
          <w:sz w:val="24"/>
          <w:szCs w:val="24"/>
        </w:rPr>
        <w:t xml:space="preserve">granicach projektowanych stref ochronnych ujęć </w:t>
      </w:r>
      <w:r w:rsidR="00E1258A">
        <w:rPr>
          <w:rFonts w:ascii="Times New Roman" w:hAnsi="Times New Roman" w:cs="Times New Roman"/>
          <w:sz w:val="24"/>
          <w:szCs w:val="24"/>
        </w:rPr>
        <w:t xml:space="preserve">oraz </w:t>
      </w:r>
      <w:r w:rsidR="00204AE3" w:rsidRPr="007F28C1">
        <w:rPr>
          <w:rFonts w:ascii="Times New Roman" w:hAnsi="Times New Roman" w:cs="Times New Roman"/>
          <w:sz w:val="24"/>
          <w:szCs w:val="24"/>
        </w:rPr>
        <w:t>obszarów ochronnych zbiorników wód podziemnych</w:t>
      </w:r>
      <w:r w:rsidR="00E1258A">
        <w:rPr>
          <w:rFonts w:ascii="Times New Roman" w:hAnsi="Times New Roman" w:cs="Times New Roman"/>
          <w:sz w:val="24"/>
          <w:szCs w:val="24"/>
        </w:rPr>
        <w:t>, a także</w:t>
      </w:r>
      <w:r w:rsidR="00204AE3" w:rsidRPr="007F28C1">
        <w:rPr>
          <w:rFonts w:ascii="Times New Roman" w:hAnsi="Times New Roman" w:cs="Times New Roman"/>
          <w:sz w:val="24"/>
          <w:szCs w:val="24"/>
        </w:rPr>
        <w:t xml:space="preserve"> obszar</w:t>
      </w:r>
      <w:r w:rsidR="00AF0F86" w:rsidRPr="007F28C1">
        <w:rPr>
          <w:rFonts w:ascii="Times New Roman" w:hAnsi="Times New Roman" w:cs="Times New Roman"/>
          <w:sz w:val="24"/>
          <w:szCs w:val="24"/>
        </w:rPr>
        <w:t>ów</w:t>
      </w:r>
      <w:r w:rsidR="00204AE3" w:rsidRPr="007F28C1">
        <w:rPr>
          <w:rFonts w:ascii="Times New Roman" w:hAnsi="Times New Roman" w:cs="Times New Roman"/>
          <w:sz w:val="24"/>
          <w:szCs w:val="24"/>
        </w:rPr>
        <w:t xml:space="preserve"> udokumentowan</w:t>
      </w:r>
      <w:r w:rsidR="00ED0C83" w:rsidRPr="007F28C1">
        <w:rPr>
          <w:rFonts w:ascii="Times New Roman" w:hAnsi="Times New Roman" w:cs="Times New Roman"/>
          <w:sz w:val="24"/>
          <w:szCs w:val="24"/>
        </w:rPr>
        <w:t>ych</w:t>
      </w:r>
      <w:r w:rsidR="00204AE3" w:rsidRPr="007F28C1">
        <w:rPr>
          <w:rFonts w:ascii="Times New Roman" w:hAnsi="Times New Roman" w:cs="Times New Roman"/>
          <w:sz w:val="24"/>
          <w:szCs w:val="24"/>
        </w:rPr>
        <w:t xml:space="preserve"> podziemn</w:t>
      </w:r>
      <w:r w:rsidR="00ED0C83" w:rsidRPr="007F28C1">
        <w:rPr>
          <w:rFonts w:ascii="Times New Roman" w:hAnsi="Times New Roman" w:cs="Times New Roman"/>
          <w:sz w:val="24"/>
          <w:szCs w:val="24"/>
        </w:rPr>
        <w:t>ych</w:t>
      </w:r>
      <w:r w:rsidR="00204AE3" w:rsidRPr="007F28C1">
        <w:rPr>
          <w:rFonts w:ascii="Times New Roman" w:hAnsi="Times New Roman" w:cs="Times New Roman"/>
          <w:sz w:val="24"/>
          <w:szCs w:val="24"/>
        </w:rPr>
        <w:t xml:space="preserve"> bezzbiornikow</w:t>
      </w:r>
      <w:r w:rsidR="00ED0C83" w:rsidRPr="007F28C1">
        <w:rPr>
          <w:rFonts w:ascii="Times New Roman" w:hAnsi="Times New Roman" w:cs="Times New Roman"/>
          <w:sz w:val="24"/>
          <w:szCs w:val="24"/>
        </w:rPr>
        <w:t>ych</w:t>
      </w:r>
      <w:r w:rsidR="00204AE3" w:rsidRPr="007F28C1">
        <w:rPr>
          <w:rFonts w:ascii="Times New Roman" w:hAnsi="Times New Roman" w:cs="Times New Roman"/>
          <w:sz w:val="24"/>
          <w:szCs w:val="24"/>
        </w:rPr>
        <w:t xml:space="preserve"> magazyn</w:t>
      </w:r>
      <w:r w:rsidR="00ED0C83" w:rsidRPr="007F28C1">
        <w:rPr>
          <w:rFonts w:ascii="Times New Roman" w:hAnsi="Times New Roman" w:cs="Times New Roman"/>
          <w:sz w:val="24"/>
          <w:szCs w:val="24"/>
        </w:rPr>
        <w:t>ów</w:t>
      </w:r>
      <w:r w:rsidR="00204AE3" w:rsidRPr="007F28C1">
        <w:rPr>
          <w:rFonts w:ascii="Times New Roman" w:hAnsi="Times New Roman" w:cs="Times New Roman"/>
          <w:sz w:val="24"/>
          <w:szCs w:val="24"/>
        </w:rPr>
        <w:t xml:space="preserve"> substancji, </w:t>
      </w:r>
      <w:r w:rsidRPr="007F28C1">
        <w:rPr>
          <w:rFonts w:ascii="Times New Roman" w:hAnsi="Times New Roman" w:cs="Times New Roman"/>
          <w:sz w:val="24"/>
          <w:szCs w:val="24"/>
        </w:rPr>
        <w:t>przedsiębiorcy będą mieli możliwość poniesienia kosztów związanych z wprowadzeniem takich złóż</w:t>
      </w:r>
      <w:r w:rsidR="00AF0F86" w:rsidRPr="007F28C1">
        <w:rPr>
          <w:rFonts w:ascii="Times New Roman" w:hAnsi="Times New Roman" w:cs="Times New Roman"/>
          <w:sz w:val="24"/>
          <w:szCs w:val="24"/>
        </w:rPr>
        <w:t xml:space="preserve"> czy też obszarów</w:t>
      </w:r>
      <w:r w:rsidRPr="007F28C1">
        <w:rPr>
          <w:rFonts w:ascii="Times New Roman" w:hAnsi="Times New Roman" w:cs="Times New Roman"/>
          <w:sz w:val="24"/>
          <w:szCs w:val="24"/>
        </w:rPr>
        <w:t xml:space="preserve"> do dokumentów planistycznych.</w:t>
      </w:r>
    </w:p>
    <w:p w14:paraId="5AB14A80" w14:textId="4FE4EB26"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Ważnym, nowym przepisem będzie art. 95a P.g.g. przewidujący obowiązek wprowadzania przez gminy, jednocześnie z ujawnianiem obszarów udokumentowanych złóż </w:t>
      </w:r>
      <w:r w:rsidR="00FC29C8" w:rsidRPr="007F28C1">
        <w:rPr>
          <w:rFonts w:ascii="Times New Roman" w:hAnsi="Times New Roman" w:cs="Times New Roman"/>
          <w:sz w:val="24"/>
          <w:szCs w:val="24"/>
        </w:rPr>
        <w:t>strategicznych</w:t>
      </w:r>
      <w:r w:rsidRPr="007F28C1">
        <w:rPr>
          <w:rFonts w:ascii="Times New Roman" w:hAnsi="Times New Roman" w:cs="Times New Roman"/>
          <w:sz w:val="24"/>
          <w:szCs w:val="24"/>
        </w:rPr>
        <w:t xml:space="preserve"> w studiach i planach miejscowych, zakazu trwałej zabudowy lub zagospodarowania obszarów w sposób uniemożliwiający eksploatację takich złóż w przyszłości. Należ</w:t>
      </w:r>
      <w:r w:rsidR="006418B0" w:rsidRPr="007F28C1">
        <w:rPr>
          <w:rFonts w:ascii="Times New Roman" w:hAnsi="Times New Roman" w:cs="Times New Roman"/>
          <w:sz w:val="24"/>
          <w:szCs w:val="24"/>
        </w:rPr>
        <w:t xml:space="preserve">y przez to </w:t>
      </w:r>
      <w:r w:rsidRPr="007F28C1">
        <w:rPr>
          <w:rFonts w:ascii="Times New Roman" w:hAnsi="Times New Roman" w:cs="Times New Roman"/>
          <w:sz w:val="24"/>
          <w:szCs w:val="24"/>
        </w:rPr>
        <w:t>rozumieć zakaz (ograniczenie) zabudowy</w:t>
      </w:r>
      <w:r w:rsidR="0007161C" w:rsidRPr="007F28C1">
        <w:rPr>
          <w:rFonts w:ascii="Times New Roman" w:hAnsi="Times New Roman" w:cs="Times New Roman"/>
          <w:sz w:val="24"/>
          <w:szCs w:val="24"/>
        </w:rPr>
        <w:t xml:space="preserve"> </w:t>
      </w:r>
      <w:r w:rsidRPr="007F28C1">
        <w:rPr>
          <w:rFonts w:ascii="Times New Roman" w:hAnsi="Times New Roman" w:cs="Times New Roman"/>
          <w:sz w:val="24"/>
          <w:szCs w:val="24"/>
        </w:rPr>
        <w:t>i</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zagospodarowania terenu w rozumieniu art. 36 ust. 1a pkt 3 u.p.z.p. To z kolei oznacza, że zakaz ten wpisz</w:t>
      </w:r>
      <w:r w:rsidR="00ED0C83" w:rsidRPr="007F28C1">
        <w:rPr>
          <w:rFonts w:ascii="Times New Roman" w:hAnsi="Times New Roman" w:cs="Times New Roman"/>
          <w:sz w:val="24"/>
          <w:szCs w:val="24"/>
        </w:rPr>
        <w:t>e</w:t>
      </w:r>
      <w:r w:rsidRPr="007F28C1">
        <w:rPr>
          <w:rFonts w:ascii="Times New Roman" w:hAnsi="Times New Roman" w:cs="Times New Roman"/>
          <w:sz w:val="24"/>
          <w:szCs w:val="24"/>
        </w:rPr>
        <w:t xml:space="preserve"> się w katalog wyjątków wyłączających odpowiedzialność odszkodowawczą gmin, o której mowa w art. 36 ust. 1 u.p.z.p.</w:t>
      </w:r>
    </w:p>
    <w:p w14:paraId="5E83EFCF" w14:textId="171ECE15"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Uzasadnieniem dla zaproponowanego rozwiązania jest znaczenie ochrony złóż kopalin dla gospodarki i </w:t>
      </w:r>
      <w:r w:rsidR="000232AE" w:rsidRPr="007F28C1">
        <w:rPr>
          <w:rFonts w:ascii="Times New Roman" w:hAnsi="Times New Roman" w:cs="Times New Roman"/>
          <w:sz w:val="24"/>
          <w:szCs w:val="24"/>
        </w:rPr>
        <w:t xml:space="preserve">interesu </w:t>
      </w:r>
      <w:r w:rsidRPr="007F28C1">
        <w:rPr>
          <w:rFonts w:ascii="Times New Roman" w:hAnsi="Times New Roman" w:cs="Times New Roman"/>
          <w:sz w:val="24"/>
          <w:szCs w:val="24"/>
        </w:rPr>
        <w:t>surowcowego. Zważywszy jednak, że ww. zakaz nie stanowi samodzielnego ustalenia przez gminę społeczno-gospodarczego przeznaczenia terenu oraz sposobu korzystania z niego, gmina nie powinna ponosić odpowiedzialności odszkodowawczej. Wzmocnieniem przytoczonego uzasadnienia jest okoliczność, że gminy miały obowiązek (wynikający z przepisu art. 95 ust. 1 P.g.g.) ujawniania udokumentowanych złóż kopalin w</w:t>
      </w:r>
      <w:r w:rsidR="00FB57BA" w:rsidRPr="007F28C1">
        <w:rPr>
          <w:rFonts w:ascii="Times New Roman" w:hAnsi="Times New Roman" w:cs="Times New Roman"/>
          <w:sz w:val="24"/>
          <w:szCs w:val="24"/>
        </w:rPr>
        <w:t> </w:t>
      </w:r>
      <w:r w:rsidRPr="007F28C1">
        <w:rPr>
          <w:rFonts w:ascii="Times New Roman" w:hAnsi="Times New Roman" w:cs="Times New Roman"/>
          <w:sz w:val="24"/>
          <w:szCs w:val="24"/>
        </w:rPr>
        <w:t xml:space="preserve">studiach i planach miejscowych już w momencie wejścia w życie </w:t>
      </w:r>
      <w:r w:rsidR="00517634" w:rsidRPr="007F28C1">
        <w:rPr>
          <w:rFonts w:ascii="Times New Roman" w:hAnsi="Times New Roman" w:cs="Times New Roman"/>
          <w:sz w:val="24"/>
          <w:szCs w:val="24"/>
        </w:rPr>
        <w:t>P.g.g.</w:t>
      </w:r>
      <w:r w:rsidR="00FA037B" w:rsidRPr="007F28C1">
        <w:rPr>
          <w:rFonts w:ascii="Times New Roman" w:hAnsi="Times New Roman" w:cs="Times New Roman"/>
          <w:sz w:val="24"/>
          <w:szCs w:val="24"/>
        </w:rPr>
        <w:t>,</w:t>
      </w:r>
      <w:r w:rsidRPr="007F28C1">
        <w:rPr>
          <w:rFonts w:ascii="Times New Roman" w:hAnsi="Times New Roman" w:cs="Times New Roman"/>
          <w:sz w:val="24"/>
          <w:szCs w:val="24"/>
        </w:rPr>
        <w:t xml:space="preserve"> tj. począwszy od </w:t>
      </w:r>
      <w:r w:rsidR="00FA037B" w:rsidRPr="007F28C1">
        <w:rPr>
          <w:rFonts w:ascii="Times New Roman" w:hAnsi="Times New Roman" w:cs="Times New Roman"/>
          <w:sz w:val="24"/>
          <w:szCs w:val="24"/>
        </w:rPr>
        <w:t xml:space="preserve">dnia </w:t>
      </w:r>
      <w:r w:rsidRPr="007F28C1">
        <w:rPr>
          <w:rFonts w:ascii="Times New Roman" w:hAnsi="Times New Roman" w:cs="Times New Roman"/>
          <w:sz w:val="24"/>
          <w:szCs w:val="24"/>
        </w:rPr>
        <w:t xml:space="preserve">1 stycznia 2012 r. Nowelizacja nie wprowadza zatem żadnego nowego </w:t>
      </w:r>
      <w:r w:rsidRPr="007F28C1">
        <w:rPr>
          <w:rFonts w:ascii="Times New Roman" w:hAnsi="Times New Roman" w:cs="Times New Roman"/>
          <w:sz w:val="24"/>
          <w:szCs w:val="24"/>
        </w:rPr>
        <w:lastRenderedPageBreak/>
        <w:t xml:space="preserve">obowiązku ujawniania złóż kopalin, który mógłby skutkować obniżeniem wartości nieruchomości. </w:t>
      </w:r>
      <w:r w:rsidR="00AF1BC3" w:rsidRPr="007F28C1">
        <w:rPr>
          <w:rFonts w:ascii="Times New Roman" w:hAnsi="Times New Roman" w:cs="Times New Roman"/>
          <w:sz w:val="24"/>
          <w:szCs w:val="24"/>
        </w:rPr>
        <w:t>Należy przy tym d</w:t>
      </w:r>
      <w:r w:rsidRPr="007F28C1">
        <w:rPr>
          <w:rFonts w:ascii="Times New Roman" w:hAnsi="Times New Roman" w:cs="Times New Roman"/>
          <w:sz w:val="24"/>
          <w:szCs w:val="24"/>
        </w:rPr>
        <w:t>odać, że już w obecnym stanie prawnym prawa właściciela</w:t>
      </w:r>
      <w:r w:rsidR="00FA037B" w:rsidRPr="007F28C1">
        <w:rPr>
          <w:rFonts w:ascii="Times New Roman" w:hAnsi="Times New Roman" w:cs="Times New Roman"/>
          <w:sz w:val="24"/>
          <w:szCs w:val="24"/>
        </w:rPr>
        <w:t xml:space="preserve"> </w:t>
      </w:r>
      <w:r w:rsidRPr="007F28C1">
        <w:rPr>
          <w:rFonts w:ascii="Times New Roman" w:hAnsi="Times New Roman" w:cs="Times New Roman"/>
          <w:sz w:val="24"/>
          <w:szCs w:val="24"/>
        </w:rPr>
        <w:t>/</w:t>
      </w:r>
      <w:r w:rsidR="00FA037B" w:rsidRPr="007F28C1">
        <w:rPr>
          <w:rFonts w:ascii="Times New Roman" w:hAnsi="Times New Roman" w:cs="Times New Roman"/>
          <w:sz w:val="24"/>
          <w:szCs w:val="24"/>
        </w:rPr>
        <w:t xml:space="preserve"> </w:t>
      </w:r>
      <w:r w:rsidRPr="007F28C1">
        <w:rPr>
          <w:rFonts w:ascii="Times New Roman" w:hAnsi="Times New Roman" w:cs="Times New Roman"/>
          <w:sz w:val="24"/>
          <w:szCs w:val="24"/>
        </w:rPr>
        <w:t>użytkownika wieczystego gruntu położonego na złożu są ograniczone. Przepisy P.g.g. oraz u.p.z.p. dają możliwość odmowy uzgodnienia decyzji o warunkach zabudowy oraz decyzji o ustaleniu lokalizacji inwestycji celu publicznego przez organy administracji geologicznej w sytuacji, gdy</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inwestycja jest planowana na złożu kopalin, a jej realizacja uniemożliwiłaby lub ograniczyła możliwość przyszłej eksploatacji. Organy administracji geologicznej w praktyce, co do zasady</w:t>
      </w:r>
      <w:r w:rsidR="00FA037B" w:rsidRPr="007F28C1">
        <w:rPr>
          <w:rFonts w:ascii="Times New Roman" w:hAnsi="Times New Roman" w:cs="Times New Roman"/>
          <w:sz w:val="24"/>
          <w:szCs w:val="24"/>
        </w:rPr>
        <w:t>,</w:t>
      </w:r>
      <w:r w:rsidRPr="007F28C1">
        <w:rPr>
          <w:rFonts w:ascii="Times New Roman" w:hAnsi="Times New Roman" w:cs="Times New Roman"/>
          <w:sz w:val="24"/>
          <w:szCs w:val="24"/>
        </w:rPr>
        <w:t xml:space="preserve"> odmawiają uzgodnienia takich inwestycji, a </w:t>
      </w:r>
      <w:r w:rsidR="00543D07" w:rsidRPr="007F28C1">
        <w:rPr>
          <w:rFonts w:ascii="Times New Roman" w:hAnsi="Times New Roman" w:cs="Times New Roman"/>
          <w:sz w:val="24"/>
          <w:szCs w:val="24"/>
        </w:rPr>
        <w:t xml:space="preserve">orzecznictwo sądów administracyjnych potwierdza, że są do tego uprawnione </w:t>
      </w:r>
      <w:r w:rsidRPr="007F28C1">
        <w:rPr>
          <w:rFonts w:ascii="Times New Roman" w:hAnsi="Times New Roman" w:cs="Times New Roman"/>
          <w:sz w:val="24"/>
          <w:szCs w:val="24"/>
        </w:rPr>
        <w:t>(patrz: wyrok Wojewódzkiego Sądu Administracyjnego w</w:t>
      </w:r>
      <w:r w:rsidR="006418B0" w:rsidRPr="007F28C1">
        <w:rPr>
          <w:rFonts w:ascii="Times New Roman" w:hAnsi="Times New Roman" w:cs="Times New Roman"/>
          <w:sz w:val="24"/>
          <w:szCs w:val="24"/>
        </w:rPr>
        <w:t> </w:t>
      </w:r>
      <w:r w:rsidRPr="007F28C1">
        <w:rPr>
          <w:rFonts w:ascii="Times New Roman" w:hAnsi="Times New Roman" w:cs="Times New Roman"/>
          <w:sz w:val="24"/>
          <w:szCs w:val="24"/>
        </w:rPr>
        <w:t xml:space="preserve">Warszawie z dnia 22 stycznia 2020 r., sygn. akt IV SA/Wa 2523/19, wyrok Wojewódzkiego Sądu Administracyjnego w Warszawie z dnia 22 stycznia 2020 r., sygn. akt IV SA/Wa 2522/19, wyrok Wojewódzkiego Sądu Administracyjnego w Warszawie z dnia 21 kwietnia 2020 r., sygn. akt 2846/19). Należy zatem podkreślić, że projektowany art. 95a P.g.g. sankcjonuje linię orzeczniczą, ukształtowaną w oparciu o rozstrzygnięcia nadzorcze wojewodów oraz wyroki sądów administracyjnych dotyczące interpretacji pojęcia „ujawnienia udokumentowanych złóż kopalin w celu ochrony” w kontekście zarówno </w:t>
      </w:r>
      <w:r w:rsidR="00FA037B" w:rsidRPr="007F28C1">
        <w:rPr>
          <w:rFonts w:ascii="Times New Roman" w:hAnsi="Times New Roman" w:cs="Times New Roman"/>
          <w:sz w:val="24"/>
          <w:szCs w:val="24"/>
        </w:rPr>
        <w:t xml:space="preserve">ustaleń </w:t>
      </w:r>
      <w:r w:rsidRPr="007F28C1">
        <w:rPr>
          <w:rFonts w:ascii="Times New Roman" w:hAnsi="Times New Roman" w:cs="Times New Roman"/>
          <w:sz w:val="24"/>
          <w:szCs w:val="24"/>
        </w:rPr>
        <w:t>studium, planu miejscowego, jak również decyzji o warunkach zabudowy oraz decyzji o lokalizacji inwestycji celu publicznego. Nie jest właściwe, aby normy prawne obowiązujące w</w:t>
      </w:r>
      <w:r w:rsidR="006418B0" w:rsidRPr="007F28C1">
        <w:rPr>
          <w:rFonts w:ascii="Times New Roman" w:hAnsi="Times New Roman" w:cs="Times New Roman"/>
          <w:sz w:val="24"/>
          <w:szCs w:val="24"/>
        </w:rPr>
        <w:t> </w:t>
      </w:r>
      <w:r w:rsidRPr="007F28C1">
        <w:rPr>
          <w:rFonts w:ascii="Times New Roman" w:hAnsi="Times New Roman" w:cs="Times New Roman"/>
          <w:sz w:val="24"/>
          <w:szCs w:val="24"/>
        </w:rPr>
        <w:t>zakresie ochrony złóż kopalin były wywodzone 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orzecznictwa sądowego,</w:t>
      </w:r>
      <w:r w:rsidR="006418B0"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a prawidłowe </w:t>
      </w:r>
      <w:r w:rsidR="00FA037B" w:rsidRPr="007F28C1">
        <w:rPr>
          <w:rFonts w:ascii="Times New Roman" w:hAnsi="Times New Roman" w:cs="Times New Roman"/>
          <w:sz w:val="24"/>
          <w:szCs w:val="24"/>
        </w:rPr>
        <w:t xml:space="preserve">ustalenia </w:t>
      </w:r>
      <w:r w:rsidRPr="007F28C1">
        <w:rPr>
          <w:rFonts w:ascii="Times New Roman" w:hAnsi="Times New Roman" w:cs="Times New Roman"/>
          <w:sz w:val="24"/>
          <w:szCs w:val="24"/>
        </w:rPr>
        <w:t>w studium lub planie miejscowym poprzedzały długotrwałe postępowania sądowe.</w:t>
      </w:r>
    </w:p>
    <w:p w14:paraId="684CA619" w14:textId="13D4A8E3"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Proponowany obowiązek ponoszenia przez podmioty sporządzające dokumentację geologiczną kosztów ujawnienia złóż strategicznych przyczyni się do skrócenia czasu wprowadzania złóż strategicznych do</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 xml:space="preserve">dokumentów planistycznych. To zaś zapewni ww. złożom lepszą ochronę, zwłaszcza przed trwałą zabudową. </w:t>
      </w:r>
    </w:p>
    <w:p w14:paraId="5F8D0ABC" w14:textId="69541D48"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Modyfikacja art. 96 P.g.g. wynika niejako ze zmiany art. 95 P.g.g. i służy możliwie najpełniejszej realizacji zalecenia pokontrolnego NIK dotyczącego usprawnienia procedury wydawania zarządzeń zastępczych przez wojewodów. Główna zmiana polega na uzupełnieniu zakresu spraw objętych zarządzeniem zastępczym wojewody o sprawy wprowadzania obszarów udokumentowanych złóż kopalin</w:t>
      </w:r>
      <w:r w:rsidR="00BE3467" w:rsidRPr="007F28C1">
        <w:rPr>
          <w:rFonts w:ascii="Times New Roman" w:hAnsi="Times New Roman" w:cs="Times New Roman"/>
          <w:sz w:val="24"/>
          <w:szCs w:val="24"/>
        </w:rPr>
        <w:t xml:space="preserve">, </w:t>
      </w:r>
      <w:r w:rsidRPr="007F28C1">
        <w:rPr>
          <w:rFonts w:ascii="Times New Roman" w:hAnsi="Times New Roman" w:cs="Times New Roman"/>
          <w:sz w:val="24"/>
          <w:szCs w:val="24"/>
        </w:rPr>
        <w:t>obszarów udokumentowanego kompleksu podziemnego składowania dwutlenku węgla</w:t>
      </w:r>
      <w:r w:rsidR="00272CC8" w:rsidRPr="007F28C1">
        <w:rPr>
          <w:rFonts w:ascii="Times New Roman" w:hAnsi="Times New Roman" w:cs="Times New Roman"/>
          <w:sz w:val="24"/>
          <w:szCs w:val="24"/>
        </w:rPr>
        <w:t>, obszarów udokumentowanych wód podziemnych</w:t>
      </w:r>
      <w:r w:rsidR="00C800B9">
        <w:rPr>
          <w:rFonts w:ascii="Times New Roman" w:hAnsi="Times New Roman" w:cs="Times New Roman"/>
          <w:sz w:val="24"/>
          <w:szCs w:val="24"/>
        </w:rPr>
        <w:t>,</w:t>
      </w:r>
      <w:r w:rsidR="00272CC8" w:rsidRPr="007F28C1">
        <w:rPr>
          <w:rFonts w:ascii="Times New Roman" w:hAnsi="Times New Roman" w:cs="Times New Roman"/>
          <w:sz w:val="24"/>
          <w:szCs w:val="24"/>
        </w:rPr>
        <w:t xml:space="preserve"> w granicach projektowanych stref ochronnych ujęć oraz obszarów ochronnych zbiorników wód podziemnych, a także udokumentowanych podziemnych bezzbiornikowych magazynów substancji również </w:t>
      </w:r>
      <w:r w:rsidRPr="007F28C1">
        <w:rPr>
          <w:rFonts w:ascii="Times New Roman" w:hAnsi="Times New Roman" w:cs="Times New Roman"/>
          <w:sz w:val="24"/>
          <w:szCs w:val="24"/>
        </w:rPr>
        <w:t>do planów miejscowych (dotychczasowy przepis art.</w:t>
      </w:r>
      <w:r w:rsidR="00FC29C8" w:rsidRPr="007F28C1">
        <w:rPr>
          <w:rFonts w:ascii="Times New Roman" w:hAnsi="Times New Roman" w:cs="Times New Roman"/>
          <w:sz w:val="24"/>
          <w:szCs w:val="24"/>
        </w:rPr>
        <w:t> </w:t>
      </w:r>
      <w:r w:rsidRPr="007F28C1">
        <w:rPr>
          <w:rFonts w:ascii="Times New Roman" w:hAnsi="Times New Roman" w:cs="Times New Roman"/>
          <w:sz w:val="24"/>
          <w:szCs w:val="24"/>
        </w:rPr>
        <w:t xml:space="preserve">96 ust. 1 </w:t>
      </w:r>
      <w:r w:rsidRPr="007F28C1">
        <w:rPr>
          <w:rFonts w:ascii="Times New Roman" w:hAnsi="Times New Roman" w:cs="Times New Roman"/>
          <w:sz w:val="24"/>
          <w:szCs w:val="24"/>
        </w:rPr>
        <w:lastRenderedPageBreak/>
        <w:t xml:space="preserve">P.g.g. stanowił, że zarządzenie zastępcze </w:t>
      </w:r>
      <w:r w:rsidR="00AC2857" w:rsidRPr="007F28C1">
        <w:rPr>
          <w:rFonts w:ascii="Times New Roman" w:hAnsi="Times New Roman" w:cs="Times New Roman"/>
          <w:sz w:val="24"/>
          <w:szCs w:val="24"/>
        </w:rPr>
        <w:t xml:space="preserve">będzie </w:t>
      </w:r>
      <w:r w:rsidRPr="007F28C1">
        <w:rPr>
          <w:rFonts w:ascii="Times New Roman" w:hAnsi="Times New Roman" w:cs="Times New Roman"/>
          <w:sz w:val="24"/>
          <w:szCs w:val="24"/>
        </w:rPr>
        <w:t>dotyczyć spraw związanych</w:t>
      </w:r>
      <w:r w:rsidR="00517634" w:rsidRPr="007F28C1">
        <w:rPr>
          <w:rFonts w:ascii="Times New Roman" w:hAnsi="Times New Roman" w:cs="Times New Roman"/>
          <w:sz w:val="24"/>
          <w:szCs w:val="24"/>
        </w:rPr>
        <w:t xml:space="preserve"> </w:t>
      </w:r>
      <w:r w:rsidRPr="007F28C1">
        <w:rPr>
          <w:rFonts w:ascii="Times New Roman" w:hAnsi="Times New Roman" w:cs="Times New Roman"/>
          <w:sz w:val="24"/>
          <w:szCs w:val="24"/>
        </w:rPr>
        <w:t>z</w:t>
      </w:r>
      <w:r w:rsidR="00FC29C8" w:rsidRPr="007F28C1">
        <w:rPr>
          <w:rFonts w:ascii="Times New Roman" w:hAnsi="Times New Roman" w:cs="Times New Roman"/>
          <w:sz w:val="24"/>
          <w:szCs w:val="24"/>
        </w:rPr>
        <w:t> </w:t>
      </w:r>
      <w:r w:rsidRPr="007F28C1">
        <w:rPr>
          <w:rFonts w:ascii="Times New Roman" w:hAnsi="Times New Roman" w:cs="Times New Roman"/>
          <w:sz w:val="24"/>
          <w:szCs w:val="24"/>
        </w:rPr>
        <w:t xml:space="preserve">wprowadzeniem złóż wyłącznie do studium). Uprawnienie wojewody do ujawnienia </w:t>
      </w:r>
      <w:r w:rsidR="003B5A1C" w:rsidRPr="007F28C1">
        <w:rPr>
          <w:rFonts w:ascii="Times New Roman" w:hAnsi="Times New Roman" w:cs="Times New Roman"/>
          <w:sz w:val="24"/>
          <w:szCs w:val="24"/>
        </w:rPr>
        <w:t xml:space="preserve">zarządzeniem zastępczym </w:t>
      </w:r>
      <w:r w:rsidRPr="007F28C1">
        <w:rPr>
          <w:rFonts w:ascii="Times New Roman" w:hAnsi="Times New Roman" w:cs="Times New Roman"/>
          <w:sz w:val="24"/>
          <w:szCs w:val="24"/>
        </w:rPr>
        <w:t xml:space="preserve">obszaru udokumentowanego złoża </w:t>
      </w:r>
      <w:r w:rsidR="003B5A1C" w:rsidRPr="007F28C1">
        <w:rPr>
          <w:rFonts w:ascii="Times New Roman" w:hAnsi="Times New Roman" w:cs="Times New Roman"/>
          <w:sz w:val="24"/>
          <w:szCs w:val="24"/>
        </w:rPr>
        <w:t xml:space="preserve">w </w:t>
      </w:r>
      <w:r w:rsidR="00D86715" w:rsidRPr="007F28C1">
        <w:rPr>
          <w:rFonts w:ascii="Times New Roman" w:hAnsi="Times New Roman" w:cs="Times New Roman"/>
          <w:sz w:val="24"/>
          <w:szCs w:val="24"/>
        </w:rPr>
        <w:t xml:space="preserve">planie </w:t>
      </w:r>
      <w:r w:rsidR="003B5A1C" w:rsidRPr="007F28C1">
        <w:rPr>
          <w:rFonts w:ascii="Times New Roman" w:hAnsi="Times New Roman" w:cs="Times New Roman"/>
          <w:sz w:val="24"/>
          <w:szCs w:val="24"/>
        </w:rPr>
        <w:t xml:space="preserve">miejscowym </w:t>
      </w:r>
      <w:r w:rsidRPr="007F28C1">
        <w:rPr>
          <w:rFonts w:ascii="Times New Roman" w:hAnsi="Times New Roman" w:cs="Times New Roman"/>
          <w:sz w:val="24"/>
          <w:szCs w:val="24"/>
        </w:rPr>
        <w:t xml:space="preserve">będzie miało zastosowanie jedynie w sytuacji, gdy </w:t>
      </w:r>
      <w:r w:rsidR="00D86715" w:rsidRPr="007F28C1">
        <w:rPr>
          <w:rFonts w:ascii="Times New Roman" w:hAnsi="Times New Roman" w:cs="Times New Roman"/>
          <w:sz w:val="24"/>
          <w:szCs w:val="24"/>
        </w:rPr>
        <w:t xml:space="preserve">ten </w:t>
      </w:r>
      <w:r w:rsidRPr="007F28C1">
        <w:rPr>
          <w:rFonts w:ascii="Times New Roman" w:hAnsi="Times New Roman" w:cs="Times New Roman"/>
          <w:sz w:val="24"/>
          <w:szCs w:val="24"/>
        </w:rPr>
        <w:t xml:space="preserve">obszar jest objęty miejscowym planem. Ponadto </w:t>
      </w:r>
      <w:r w:rsidR="009B60B5" w:rsidRPr="007F28C1">
        <w:rPr>
          <w:rFonts w:ascii="Times New Roman" w:hAnsi="Times New Roman" w:cs="Times New Roman"/>
          <w:sz w:val="24"/>
          <w:szCs w:val="24"/>
        </w:rPr>
        <w:t xml:space="preserve">zostanie </w:t>
      </w:r>
      <w:r w:rsidRPr="007F28C1">
        <w:rPr>
          <w:rFonts w:ascii="Times New Roman" w:hAnsi="Times New Roman" w:cs="Times New Roman"/>
          <w:sz w:val="24"/>
          <w:szCs w:val="24"/>
        </w:rPr>
        <w:t xml:space="preserve">ujednolicony termin, jaki </w:t>
      </w:r>
      <w:r w:rsidR="00D86715" w:rsidRPr="007F28C1">
        <w:rPr>
          <w:rFonts w:ascii="Times New Roman" w:hAnsi="Times New Roman" w:cs="Times New Roman"/>
          <w:sz w:val="24"/>
          <w:szCs w:val="24"/>
        </w:rPr>
        <w:t xml:space="preserve">mają </w:t>
      </w:r>
      <w:r w:rsidRPr="007F28C1">
        <w:rPr>
          <w:rFonts w:ascii="Times New Roman" w:hAnsi="Times New Roman" w:cs="Times New Roman"/>
          <w:sz w:val="24"/>
          <w:szCs w:val="24"/>
        </w:rPr>
        <w:t xml:space="preserve">wojewodowie na wydanie zarządzenia zastępczego. Dotychczasowy przepis </w:t>
      </w:r>
      <w:r w:rsidR="00D86715" w:rsidRPr="007F28C1">
        <w:rPr>
          <w:rFonts w:ascii="Times New Roman" w:hAnsi="Times New Roman" w:cs="Times New Roman"/>
          <w:sz w:val="24"/>
          <w:szCs w:val="24"/>
        </w:rPr>
        <w:t>m</w:t>
      </w:r>
      <w:r w:rsidR="0051732A">
        <w:rPr>
          <w:rFonts w:ascii="Times New Roman" w:hAnsi="Times New Roman" w:cs="Times New Roman"/>
          <w:sz w:val="24"/>
          <w:szCs w:val="24"/>
        </w:rPr>
        <w:t>oże</w:t>
      </w:r>
      <w:r w:rsidR="00D86715" w:rsidRPr="007F28C1">
        <w:rPr>
          <w:rFonts w:ascii="Times New Roman" w:hAnsi="Times New Roman" w:cs="Times New Roman"/>
          <w:sz w:val="24"/>
          <w:szCs w:val="24"/>
        </w:rPr>
        <w:t xml:space="preserve"> </w:t>
      </w:r>
      <w:r w:rsidRPr="007F28C1">
        <w:rPr>
          <w:rFonts w:ascii="Times New Roman" w:hAnsi="Times New Roman" w:cs="Times New Roman"/>
          <w:sz w:val="24"/>
          <w:szCs w:val="24"/>
        </w:rPr>
        <w:t>budzić wątpliwości interpretacyjne, zwłaszcza jeśli chodzi o</w:t>
      </w:r>
      <w:r w:rsidR="00CB622E" w:rsidRPr="007F28C1">
        <w:rPr>
          <w:rFonts w:ascii="Times New Roman" w:hAnsi="Times New Roman" w:cs="Times New Roman"/>
          <w:sz w:val="24"/>
          <w:szCs w:val="24"/>
        </w:rPr>
        <w:t xml:space="preserve"> złoża</w:t>
      </w:r>
      <w:r w:rsidRPr="007F28C1">
        <w:rPr>
          <w:rFonts w:ascii="Times New Roman" w:hAnsi="Times New Roman" w:cs="Times New Roman"/>
          <w:sz w:val="24"/>
          <w:szCs w:val="24"/>
        </w:rPr>
        <w:t xml:space="preserve"> inne niż </w:t>
      </w:r>
      <w:r w:rsidR="00CB622E" w:rsidRPr="007F28C1">
        <w:rPr>
          <w:rFonts w:ascii="Times New Roman" w:hAnsi="Times New Roman" w:cs="Times New Roman"/>
          <w:sz w:val="24"/>
          <w:szCs w:val="24"/>
        </w:rPr>
        <w:t xml:space="preserve">złoża </w:t>
      </w:r>
      <w:r w:rsidRPr="007F28C1">
        <w:rPr>
          <w:rFonts w:ascii="Times New Roman" w:hAnsi="Times New Roman" w:cs="Times New Roman"/>
          <w:sz w:val="24"/>
          <w:szCs w:val="24"/>
        </w:rPr>
        <w:t>węglowodo</w:t>
      </w:r>
      <w:r w:rsidR="00CB622E" w:rsidRPr="007F28C1">
        <w:rPr>
          <w:rFonts w:ascii="Times New Roman" w:hAnsi="Times New Roman" w:cs="Times New Roman"/>
          <w:sz w:val="24"/>
          <w:szCs w:val="24"/>
        </w:rPr>
        <w:t>rów</w:t>
      </w:r>
      <w:r w:rsidRPr="007F28C1">
        <w:rPr>
          <w:rFonts w:ascii="Times New Roman" w:hAnsi="Times New Roman" w:cs="Times New Roman"/>
          <w:sz w:val="24"/>
          <w:szCs w:val="24"/>
        </w:rPr>
        <w:t>. Nie wiadomo bowiem, ile czasu ma wojewoda na wydanie zarządzenia zastępczego w</w:t>
      </w:r>
      <w:r w:rsidR="00FC29C8" w:rsidRPr="007F28C1">
        <w:rPr>
          <w:rFonts w:ascii="Times New Roman" w:hAnsi="Times New Roman" w:cs="Times New Roman"/>
          <w:sz w:val="24"/>
          <w:szCs w:val="24"/>
        </w:rPr>
        <w:t> </w:t>
      </w:r>
      <w:r w:rsidRPr="007F28C1">
        <w:rPr>
          <w:rFonts w:ascii="Times New Roman" w:hAnsi="Times New Roman" w:cs="Times New Roman"/>
          <w:sz w:val="24"/>
          <w:szCs w:val="24"/>
        </w:rPr>
        <w:t>sprawie wprowadzenia do studium np. obszaru udokumentowanego złoża węgla brunatnego</w:t>
      </w:r>
      <w:r w:rsidR="00B57BD9" w:rsidRPr="007F28C1">
        <w:rPr>
          <w:rFonts w:ascii="Times New Roman" w:hAnsi="Times New Roman" w:cs="Times New Roman"/>
          <w:sz w:val="24"/>
          <w:szCs w:val="24"/>
        </w:rPr>
        <w:t xml:space="preserve"> </w:t>
      </w:r>
      <w:r w:rsidRPr="007F28C1">
        <w:rPr>
          <w:rFonts w:ascii="Times New Roman" w:hAnsi="Times New Roman" w:cs="Times New Roman"/>
          <w:sz w:val="24"/>
          <w:szCs w:val="24"/>
        </w:rPr>
        <w:t>(</w:t>
      </w:r>
      <w:r w:rsidR="00B57BD9" w:rsidRPr="007F28C1">
        <w:rPr>
          <w:rFonts w:ascii="Times New Roman" w:hAnsi="Times New Roman" w:cs="Times New Roman"/>
          <w:sz w:val="24"/>
          <w:szCs w:val="24"/>
        </w:rPr>
        <w:t>p</w:t>
      </w:r>
      <w:r w:rsidRPr="007F28C1">
        <w:rPr>
          <w:rFonts w:ascii="Times New Roman" w:hAnsi="Times New Roman" w:cs="Times New Roman"/>
          <w:sz w:val="24"/>
          <w:szCs w:val="24"/>
        </w:rPr>
        <w:t xml:space="preserve">rzepis art. 96 ust. 1 pkt 1 P.g.g. stanowi, że w takiej sytuacji wojewoda wydaje zarządzenie po upływie 2-letniego terminu, jaki obowiązywał gminę). Nowelizacja zakłada, że termin na wydanie zarządzenia zastępczego </w:t>
      </w:r>
      <w:r w:rsidR="009B60B5" w:rsidRPr="007F28C1">
        <w:rPr>
          <w:rFonts w:ascii="Times New Roman" w:hAnsi="Times New Roman" w:cs="Times New Roman"/>
          <w:sz w:val="24"/>
          <w:szCs w:val="24"/>
        </w:rPr>
        <w:t xml:space="preserve">będzie </w:t>
      </w:r>
      <w:r w:rsidRPr="007F28C1">
        <w:rPr>
          <w:rFonts w:ascii="Times New Roman" w:hAnsi="Times New Roman" w:cs="Times New Roman"/>
          <w:sz w:val="24"/>
          <w:szCs w:val="24"/>
        </w:rPr>
        <w:t>wynosi</w:t>
      </w:r>
      <w:r w:rsidR="00A6313F" w:rsidRPr="007F28C1">
        <w:rPr>
          <w:rFonts w:ascii="Times New Roman" w:hAnsi="Times New Roman" w:cs="Times New Roman"/>
          <w:sz w:val="24"/>
          <w:szCs w:val="24"/>
        </w:rPr>
        <w:t>ł</w:t>
      </w:r>
      <w:r w:rsidRPr="007F28C1">
        <w:rPr>
          <w:rFonts w:ascii="Times New Roman" w:hAnsi="Times New Roman" w:cs="Times New Roman"/>
          <w:sz w:val="24"/>
          <w:szCs w:val="24"/>
        </w:rPr>
        <w:t xml:space="preserve"> 6 miesięcy dla złóż strategicznych</w:t>
      </w:r>
      <w:r w:rsidR="00FE6C7A" w:rsidRPr="007F28C1">
        <w:rPr>
          <w:rFonts w:ascii="Times New Roman" w:hAnsi="Times New Roman" w:cs="Times New Roman"/>
          <w:sz w:val="24"/>
          <w:szCs w:val="24"/>
        </w:rPr>
        <w:t xml:space="preserve"> oraz złóż węglowodorów</w:t>
      </w:r>
      <w:r w:rsidRPr="007F28C1">
        <w:rPr>
          <w:rFonts w:ascii="Times New Roman" w:hAnsi="Times New Roman" w:cs="Times New Roman"/>
          <w:sz w:val="24"/>
          <w:szCs w:val="24"/>
        </w:rPr>
        <w:t xml:space="preserve">, </w:t>
      </w:r>
      <w:r w:rsidR="00FE6C7A" w:rsidRPr="007F28C1">
        <w:rPr>
          <w:rFonts w:ascii="Times New Roman" w:hAnsi="Times New Roman" w:cs="Times New Roman"/>
          <w:sz w:val="24"/>
          <w:szCs w:val="24"/>
        </w:rPr>
        <w:t xml:space="preserve">a </w:t>
      </w:r>
      <w:r w:rsidRPr="007F28C1">
        <w:rPr>
          <w:rFonts w:ascii="Times New Roman" w:hAnsi="Times New Roman" w:cs="Times New Roman"/>
          <w:sz w:val="24"/>
          <w:szCs w:val="24"/>
        </w:rPr>
        <w:t xml:space="preserve">rozpoczęcie jego biegu nastąpi po bezskutecznym upływie terminów na ujawnienie przez gminy złóż w studium i planie miejscowym. </w:t>
      </w:r>
      <w:r w:rsidR="00695F64" w:rsidRPr="007F28C1">
        <w:rPr>
          <w:rFonts w:ascii="Times New Roman" w:hAnsi="Times New Roman" w:cs="Times New Roman"/>
          <w:sz w:val="24"/>
          <w:szCs w:val="24"/>
        </w:rPr>
        <w:t xml:space="preserve">Wojewoda będzie miał natomiast termin 2 lat na wydanie zarządzenia zastępczego dotyczącego ujawnienia </w:t>
      </w:r>
      <w:r w:rsidR="00C54BA5" w:rsidRPr="007F28C1">
        <w:rPr>
          <w:rFonts w:ascii="Times New Roman" w:hAnsi="Times New Roman" w:cs="Times New Roman"/>
          <w:sz w:val="24"/>
          <w:szCs w:val="24"/>
        </w:rPr>
        <w:t>w studium i planie miejscowym</w:t>
      </w:r>
      <w:r w:rsidR="00695F64" w:rsidRPr="007F28C1">
        <w:rPr>
          <w:rFonts w:ascii="Times New Roman" w:hAnsi="Times New Roman" w:cs="Times New Roman"/>
          <w:sz w:val="24"/>
          <w:szCs w:val="24"/>
        </w:rPr>
        <w:t xml:space="preserve"> pozostałych złóż, a także</w:t>
      </w:r>
      <w:r w:rsidR="00C06F12" w:rsidRPr="007F28C1">
        <w:rPr>
          <w:rFonts w:ascii="Times New Roman" w:hAnsi="Times New Roman" w:cs="Times New Roman"/>
          <w:sz w:val="24"/>
          <w:szCs w:val="24"/>
        </w:rPr>
        <w:t xml:space="preserve"> udokumentowanych kompleksów podziemnego składowania dwutlenku węgla, obszarów udokumentowanych wód podziemnych</w:t>
      </w:r>
      <w:r w:rsidR="00C800B9">
        <w:rPr>
          <w:rFonts w:ascii="Times New Roman" w:hAnsi="Times New Roman" w:cs="Times New Roman"/>
          <w:sz w:val="24"/>
          <w:szCs w:val="24"/>
        </w:rPr>
        <w:t>,</w:t>
      </w:r>
      <w:r w:rsidR="00C06F12" w:rsidRPr="007F28C1">
        <w:rPr>
          <w:rFonts w:ascii="Times New Roman" w:hAnsi="Times New Roman" w:cs="Times New Roman"/>
          <w:sz w:val="24"/>
          <w:szCs w:val="24"/>
        </w:rPr>
        <w:t xml:space="preserve"> w</w:t>
      </w:r>
      <w:r w:rsidR="00705A7E" w:rsidRPr="007F28C1">
        <w:rPr>
          <w:rFonts w:ascii="Times New Roman" w:hAnsi="Times New Roman" w:cs="Times New Roman"/>
          <w:sz w:val="24"/>
          <w:szCs w:val="24"/>
        </w:rPr>
        <w:t> </w:t>
      </w:r>
      <w:r w:rsidR="00C06F12" w:rsidRPr="007F28C1">
        <w:rPr>
          <w:rFonts w:ascii="Times New Roman" w:hAnsi="Times New Roman" w:cs="Times New Roman"/>
          <w:sz w:val="24"/>
          <w:szCs w:val="24"/>
        </w:rPr>
        <w:t>granicach projektowanych stref ochronnych ujęć oraz obszarów ochronnych zbiorników wód podziemnych, a</w:t>
      </w:r>
      <w:r w:rsidR="00FC29C8" w:rsidRPr="007F28C1">
        <w:rPr>
          <w:rFonts w:ascii="Times New Roman" w:hAnsi="Times New Roman" w:cs="Times New Roman"/>
          <w:sz w:val="24"/>
          <w:szCs w:val="24"/>
        </w:rPr>
        <w:t> </w:t>
      </w:r>
      <w:r w:rsidR="00C06F12" w:rsidRPr="007F28C1">
        <w:rPr>
          <w:rFonts w:ascii="Times New Roman" w:hAnsi="Times New Roman" w:cs="Times New Roman"/>
          <w:sz w:val="24"/>
          <w:szCs w:val="24"/>
        </w:rPr>
        <w:t>także podziemnych bezzbiornikowych magazynów substancji</w:t>
      </w:r>
      <w:r w:rsidR="00867824" w:rsidRPr="007F28C1">
        <w:rPr>
          <w:rFonts w:ascii="Times New Roman" w:hAnsi="Times New Roman" w:cs="Times New Roman"/>
          <w:sz w:val="24"/>
          <w:szCs w:val="24"/>
        </w:rPr>
        <w:t>.</w:t>
      </w:r>
    </w:p>
    <w:p w14:paraId="2F7FCFE9" w14:textId="4C4B0113"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Jednym z zaleceń NIK było wzmocnienie ochrony złóż kopalin przez usprawnienie procedury nakładania na wojewodów kar pieniężnych za zwłokę w wydawaniu zarządzeń zastępczych. Pojęcie „organu wyższego stopnia” uprawnionego do karania wojewody zastosowane w obowiązującym przepisie art. 96 ust. 4 P.g.g. budzi wątpliwości interpretacyjne. Nie jest jasne, czy organem wyższego stopnia w rozumieniu tego przepisu powinien być minister właściwy do spraw środowiska – na podstawie art. 157 P.g.g., czy też minister właściwy do spraw administracji publicznej – zgodnie</w:t>
      </w:r>
      <w:r w:rsidR="000278C1"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z art. 17 pkt 2 </w:t>
      </w:r>
      <w:r w:rsidR="00CC2002" w:rsidRPr="007F28C1">
        <w:rPr>
          <w:rFonts w:ascii="Times New Roman" w:hAnsi="Times New Roman" w:cs="Times New Roman"/>
          <w:sz w:val="24"/>
          <w:szCs w:val="24"/>
        </w:rPr>
        <w:t xml:space="preserve">ustawy z dnia 14 czerwca 1960 r. – </w:t>
      </w:r>
      <w:r w:rsidRPr="007F28C1">
        <w:rPr>
          <w:rFonts w:ascii="Times New Roman" w:hAnsi="Times New Roman" w:cs="Times New Roman"/>
          <w:sz w:val="24"/>
          <w:szCs w:val="24"/>
        </w:rPr>
        <w:t>Kodeks postępowania administracyjnego</w:t>
      </w:r>
      <w:r w:rsidR="00CC2002" w:rsidRPr="007F28C1">
        <w:rPr>
          <w:rFonts w:ascii="Times New Roman" w:hAnsi="Times New Roman" w:cs="Times New Roman"/>
          <w:sz w:val="24"/>
          <w:szCs w:val="24"/>
        </w:rPr>
        <w:t xml:space="preserve"> (Dz. U. z 2023 r. poz. 775)</w:t>
      </w:r>
      <w:r w:rsidR="00517634" w:rsidRPr="007F28C1">
        <w:rPr>
          <w:rFonts w:ascii="Times New Roman" w:hAnsi="Times New Roman" w:cs="Times New Roman"/>
          <w:iCs/>
          <w:sz w:val="24"/>
          <w:szCs w:val="24"/>
        </w:rPr>
        <w:t xml:space="preserve">, </w:t>
      </w:r>
      <w:r w:rsidR="00517634" w:rsidRPr="007F28C1">
        <w:rPr>
          <w:rFonts w:ascii="Times New Roman" w:hAnsi="Times New Roman" w:cs="Times New Roman"/>
          <w:sz w:val="24"/>
          <w:szCs w:val="24"/>
        </w:rPr>
        <w:t>zwanego dalej</w:t>
      </w:r>
      <w:r w:rsidRPr="007F28C1">
        <w:rPr>
          <w:rFonts w:ascii="Times New Roman" w:hAnsi="Times New Roman" w:cs="Times New Roman"/>
          <w:sz w:val="24"/>
          <w:szCs w:val="24"/>
        </w:rPr>
        <w:t xml:space="preserve"> „K.p.a.”</w:t>
      </w:r>
      <w:r w:rsidR="00517634" w:rsidRPr="007F28C1">
        <w:rPr>
          <w:rFonts w:ascii="Times New Roman" w:hAnsi="Times New Roman" w:cs="Times New Roman"/>
          <w:sz w:val="24"/>
          <w:szCs w:val="24"/>
        </w:rPr>
        <w:t>,</w:t>
      </w:r>
      <w:r w:rsidRPr="007F28C1">
        <w:rPr>
          <w:rFonts w:ascii="Times New Roman" w:hAnsi="Times New Roman" w:cs="Times New Roman"/>
          <w:sz w:val="24"/>
          <w:szCs w:val="24"/>
        </w:rPr>
        <w:t xml:space="preserve"> w zw. z art. 8 ust. 3 ustawy </w:t>
      </w:r>
      <w:r w:rsidR="00D86715" w:rsidRPr="007F28C1">
        <w:rPr>
          <w:rFonts w:ascii="Times New Roman" w:hAnsi="Times New Roman" w:cs="Times New Roman"/>
          <w:sz w:val="24"/>
          <w:szCs w:val="24"/>
        </w:rPr>
        <w:t xml:space="preserve">z dnia 23 stycznia 2009 r. </w:t>
      </w:r>
      <w:r w:rsidRPr="007F28C1">
        <w:rPr>
          <w:rFonts w:ascii="Times New Roman" w:hAnsi="Times New Roman" w:cs="Times New Roman"/>
          <w:sz w:val="24"/>
          <w:szCs w:val="24"/>
        </w:rPr>
        <w:t>o</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wojewodzie i administracji rządowej w województwie</w:t>
      </w:r>
      <w:r w:rsidR="001611A6" w:rsidRPr="007F28C1">
        <w:rPr>
          <w:rFonts w:ascii="Times New Roman" w:hAnsi="Times New Roman" w:cs="Times New Roman"/>
          <w:iCs/>
          <w:sz w:val="24"/>
          <w:szCs w:val="24"/>
        </w:rPr>
        <w:t xml:space="preserve"> </w:t>
      </w:r>
      <w:r w:rsidR="001611A6" w:rsidRPr="007F28C1">
        <w:rPr>
          <w:rFonts w:ascii="Times New Roman" w:hAnsi="Times New Roman" w:cs="Times New Roman"/>
          <w:sz w:val="24"/>
          <w:szCs w:val="24"/>
        </w:rPr>
        <w:t>(Dz.</w:t>
      </w:r>
      <w:r w:rsidR="00E2404C" w:rsidRPr="007F28C1">
        <w:rPr>
          <w:rFonts w:ascii="Times New Roman" w:hAnsi="Times New Roman" w:cs="Times New Roman"/>
          <w:sz w:val="24"/>
          <w:szCs w:val="24"/>
        </w:rPr>
        <w:t xml:space="preserve"> </w:t>
      </w:r>
      <w:r w:rsidR="001611A6" w:rsidRPr="007F28C1">
        <w:rPr>
          <w:rFonts w:ascii="Times New Roman" w:hAnsi="Times New Roman" w:cs="Times New Roman"/>
          <w:sz w:val="24"/>
          <w:szCs w:val="24"/>
        </w:rPr>
        <w:t xml:space="preserve">U. z </w:t>
      </w:r>
      <w:r w:rsidR="00D86715" w:rsidRPr="007F28C1">
        <w:rPr>
          <w:rFonts w:ascii="Times New Roman" w:hAnsi="Times New Roman" w:cs="Times New Roman"/>
          <w:sz w:val="24"/>
          <w:szCs w:val="24"/>
        </w:rPr>
        <w:t xml:space="preserve">2023 </w:t>
      </w:r>
      <w:r w:rsidR="001611A6" w:rsidRPr="007F28C1">
        <w:rPr>
          <w:rFonts w:ascii="Times New Roman" w:hAnsi="Times New Roman" w:cs="Times New Roman"/>
          <w:sz w:val="24"/>
          <w:szCs w:val="24"/>
        </w:rPr>
        <w:t xml:space="preserve">r. poz. </w:t>
      </w:r>
      <w:r w:rsidR="00D86715" w:rsidRPr="007F28C1">
        <w:rPr>
          <w:rFonts w:ascii="Times New Roman" w:hAnsi="Times New Roman" w:cs="Times New Roman"/>
          <w:sz w:val="24"/>
          <w:szCs w:val="24"/>
        </w:rPr>
        <w:t>190</w:t>
      </w:r>
      <w:r w:rsidR="001611A6" w:rsidRPr="007F28C1">
        <w:rPr>
          <w:rFonts w:ascii="Times New Roman" w:hAnsi="Times New Roman" w:cs="Times New Roman"/>
          <w:sz w:val="24"/>
          <w:szCs w:val="24"/>
        </w:rPr>
        <w:t>)</w:t>
      </w:r>
      <w:r w:rsidRPr="007F28C1">
        <w:rPr>
          <w:rFonts w:ascii="Times New Roman" w:hAnsi="Times New Roman" w:cs="Times New Roman"/>
          <w:sz w:val="24"/>
          <w:szCs w:val="24"/>
        </w:rPr>
        <w:t>. Pojawiające się wątpliwości interpretacyjne spowodowały, że przepis o karach pieniężnych dla wojewody nie był w</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praktyce stosowany. Aby zmienić tę sytuację, należało wskazać wyraźnie, że</w:t>
      </w:r>
      <w:r w:rsidR="003F1DA7" w:rsidRPr="007F28C1">
        <w:rPr>
          <w:rFonts w:ascii="Times New Roman" w:hAnsi="Times New Roman" w:cs="Times New Roman"/>
          <w:sz w:val="24"/>
          <w:szCs w:val="24"/>
        </w:rPr>
        <w:t> </w:t>
      </w:r>
      <w:r w:rsidRPr="007F28C1">
        <w:rPr>
          <w:rFonts w:ascii="Times New Roman" w:hAnsi="Times New Roman" w:cs="Times New Roman"/>
          <w:sz w:val="24"/>
          <w:szCs w:val="24"/>
        </w:rPr>
        <w:t xml:space="preserve">wymierzanie wojewodom kar pieniężnych </w:t>
      </w:r>
      <w:r w:rsidR="00D86715" w:rsidRPr="007F28C1">
        <w:rPr>
          <w:rFonts w:ascii="Times New Roman" w:hAnsi="Times New Roman" w:cs="Times New Roman"/>
          <w:sz w:val="24"/>
          <w:szCs w:val="24"/>
        </w:rPr>
        <w:t xml:space="preserve">będzie </w:t>
      </w:r>
      <w:r w:rsidR="00CB622E" w:rsidRPr="007F28C1">
        <w:rPr>
          <w:rFonts w:ascii="Times New Roman" w:hAnsi="Times New Roman" w:cs="Times New Roman"/>
          <w:sz w:val="24"/>
          <w:szCs w:val="24"/>
        </w:rPr>
        <w:t>należ</w:t>
      </w:r>
      <w:r w:rsidR="00603A5D">
        <w:rPr>
          <w:rFonts w:ascii="Times New Roman" w:hAnsi="Times New Roman" w:cs="Times New Roman"/>
          <w:sz w:val="24"/>
          <w:szCs w:val="24"/>
        </w:rPr>
        <w:t>ało</w:t>
      </w:r>
      <w:r w:rsidR="00CB622E"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do zadań </w:t>
      </w:r>
      <w:r w:rsidR="00E63EF3" w:rsidRPr="007F28C1">
        <w:rPr>
          <w:rFonts w:ascii="Times New Roman" w:hAnsi="Times New Roman" w:cs="Times New Roman"/>
          <w:sz w:val="24"/>
          <w:szCs w:val="24"/>
        </w:rPr>
        <w:t>ministra właściwego do spraw środowiska</w:t>
      </w:r>
      <w:r w:rsidR="00847D85" w:rsidRPr="007F28C1">
        <w:rPr>
          <w:rFonts w:ascii="Times New Roman" w:hAnsi="Times New Roman" w:cs="Times New Roman"/>
          <w:sz w:val="24"/>
          <w:szCs w:val="24"/>
        </w:rPr>
        <w:t xml:space="preserve">, ponieważ to </w:t>
      </w:r>
      <w:r w:rsidR="00847D85" w:rsidRPr="007F28C1">
        <w:rPr>
          <w:rFonts w:ascii="Times New Roman" w:hAnsi="Times New Roman" w:cs="Times New Roman"/>
          <w:sz w:val="24"/>
          <w:szCs w:val="24"/>
        </w:rPr>
        <w:lastRenderedPageBreak/>
        <w:t>ten organ jest najbardziej zainteresowany ochroną złóż kopalin oraz może w</w:t>
      </w:r>
      <w:r w:rsidR="00705A7E" w:rsidRPr="007F28C1">
        <w:rPr>
          <w:rFonts w:ascii="Times New Roman" w:hAnsi="Times New Roman" w:cs="Times New Roman"/>
          <w:sz w:val="24"/>
          <w:szCs w:val="24"/>
        </w:rPr>
        <w:t> </w:t>
      </w:r>
      <w:r w:rsidR="00847D85" w:rsidRPr="007F28C1">
        <w:rPr>
          <w:rFonts w:ascii="Times New Roman" w:hAnsi="Times New Roman" w:cs="Times New Roman"/>
          <w:sz w:val="24"/>
          <w:szCs w:val="24"/>
        </w:rPr>
        <w:t>łatwy sposób pozyskać dane niezbędne do realizacji zadania</w:t>
      </w:r>
      <w:r w:rsidRPr="007F28C1">
        <w:rPr>
          <w:rFonts w:ascii="Times New Roman" w:hAnsi="Times New Roman" w:cs="Times New Roman"/>
          <w:sz w:val="24"/>
          <w:szCs w:val="24"/>
        </w:rPr>
        <w:t>.</w:t>
      </w:r>
    </w:p>
    <w:p w14:paraId="5557DF22" w14:textId="604325E6"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Nowelizacja przepisu art. 96 P.g.g. przewiduje wreszcie, że gmina nie tylko pokryje koszty związane</w:t>
      </w:r>
      <w:r w:rsidR="000D4FF9" w:rsidRPr="007F28C1">
        <w:rPr>
          <w:rFonts w:ascii="Times New Roman" w:hAnsi="Times New Roman" w:cs="Times New Roman"/>
          <w:sz w:val="24"/>
          <w:szCs w:val="24"/>
        </w:rPr>
        <w:t xml:space="preserve"> </w:t>
      </w:r>
      <w:r w:rsidRPr="007F28C1">
        <w:rPr>
          <w:rFonts w:ascii="Times New Roman" w:hAnsi="Times New Roman" w:cs="Times New Roman"/>
          <w:sz w:val="24"/>
          <w:szCs w:val="24"/>
        </w:rPr>
        <w:t>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zarządzeniem zastępczym – jak było dotychczas, ale również przekaże wojewodzie równowartość kosztów, jakie </w:t>
      </w:r>
      <w:r w:rsidR="00D86715" w:rsidRPr="007F28C1">
        <w:rPr>
          <w:rFonts w:ascii="Times New Roman" w:hAnsi="Times New Roman" w:cs="Times New Roman"/>
          <w:sz w:val="24"/>
          <w:szCs w:val="24"/>
        </w:rPr>
        <w:t xml:space="preserve">poniósł </w:t>
      </w:r>
      <w:r w:rsidRPr="007F28C1">
        <w:rPr>
          <w:rFonts w:ascii="Times New Roman" w:hAnsi="Times New Roman" w:cs="Times New Roman"/>
          <w:sz w:val="24"/>
          <w:szCs w:val="24"/>
        </w:rPr>
        <w:t>przedsiębiorca, licząc na wprowadzenie przez gminę udokumentowanego złoża do studium i planu miejscowego, do którego to wprowadzenia jednak nie doszło z powodu zwłoki gminy. Takie rozwiązanie wynika z konieczności wprowadzenia realnej sankcji dla gmin za zwłokę we</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wprowadzaniu złóż do dokumentów planistycznych. Brak takiego uregulowania będzie skutkować dalszym unikaniem przez gminy odpowiedzialności za nieujawnianie złóż. Obowiązek ponoszenia przez gminy kosztów zmiany studium i sporządzenia planu miejscowego lub jego zmiany</w:t>
      </w:r>
      <w:r w:rsidR="000D4FF9" w:rsidRPr="007F28C1">
        <w:rPr>
          <w:rFonts w:ascii="Times New Roman" w:hAnsi="Times New Roman" w:cs="Times New Roman"/>
          <w:sz w:val="24"/>
          <w:szCs w:val="24"/>
        </w:rPr>
        <w:t xml:space="preserve"> </w:t>
      </w:r>
      <w:r w:rsidRPr="007F28C1">
        <w:rPr>
          <w:rFonts w:ascii="Times New Roman" w:hAnsi="Times New Roman" w:cs="Times New Roman"/>
          <w:sz w:val="24"/>
          <w:szCs w:val="24"/>
        </w:rPr>
        <w:t>w drodze zarządzenia zastępczego byłby bowiem tylko teoretyczny. W praktyce gminy mogłyby bowiem finansować przedsięwzięcie wojewody z funduszy uzyskanych wcześniej</w:t>
      </w:r>
      <w:r w:rsidR="003F1DA7" w:rsidRPr="007F28C1">
        <w:rPr>
          <w:rFonts w:ascii="Times New Roman" w:hAnsi="Times New Roman" w:cs="Times New Roman"/>
          <w:sz w:val="24"/>
          <w:szCs w:val="24"/>
        </w:rPr>
        <w:t xml:space="preserve"> </w:t>
      </w:r>
      <w:r w:rsidRPr="007F28C1">
        <w:rPr>
          <w:rFonts w:ascii="Times New Roman" w:hAnsi="Times New Roman" w:cs="Times New Roman"/>
          <w:sz w:val="24"/>
          <w:szCs w:val="24"/>
        </w:rPr>
        <w:t>od przedsiębiorców zainteresowanych szybkim ujawnieniem złóż w studium i planie miejscowym (nie byłyby w żaden sposób „stratne”). Z analiz przeprowadzonych przez Ministerstwo Klimatu</w:t>
      </w:r>
      <w:r w:rsidR="003F1DA7" w:rsidRPr="007F28C1">
        <w:rPr>
          <w:rFonts w:ascii="Times New Roman" w:hAnsi="Times New Roman" w:cs="Times New Roman"/>
          <w:sz w:val="24"/>
          <w:szCs w:val="24"/>
        </w:rPr>
        <w:t xml:space="preserve"> </w:t>
      </w:r>
      <w:r w:rsidRPr="007F28C1">
        <w:rPr>
          <w:rFonts w:ascii="Times New Roman" w:hAnsi="Times New Roman" w:cs="Times New Roman"/>
          <w:sz w:val="24"/>
          <w:szCs w:val="24"/>
        </w:rPr>
        <w:t>i Środowiska wynika, że</w:t>
      </w:r>
      <w:r w:rsidR="003F1DA7" w:rsidRPr="007F28C1">
        <w:rPr>
          <w:rFonts w:ascii="Times New Roman" w:hAnsi="Times New Roman" w:cs="Times New Roman"/>
          <w:sz w:val="24"/>
          <w:szCs w:val="24"/>
        </w:rPr>
        <w:t> </w:t>
      </w:r>
      <w:r w:rsidRPr="007F28C1">
        <w:rPr>
          <w:rFonts w:ascii="Times New Roman" w:hAnsi="Times New Roman" w:cs="Times New Roman"/>
          <w:sz w:val="24"/>
          <w:szCs w:val="24"/>
        </w:rPr>
        <w:t>zdarza się, że przedsiębiorcy prowadzący działalność gospodarczą uregulowaną ustawą P.g.g. finansują zmiany studiów i planów miejscowych wynikające z realizacji przez gminy obowiązku ujawnienia w tych dokumentach złóż kopalin.</w:t>
      </w:r>
    </w:p>
    <w:p w14:paraId="2717EBC0" w14:textId="74750BC4"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Przepisy przejściowe nowelizacji stanowią, że uregulowane w art. 95 i </w:t>
      </w:r>
      <w:r w:rsidR="000278C1" w:rsidRPr="007F28C1">
        <w:rPr>
          <w:rFonts w:ascii="Times New Roman" w:hAnsi="Times New Roman" w:cs="Times New Roman"/>
          <w:sz w:val="24"/>
          <w:szCs w:val="24"/>
        </w:rPr>
        <w:t xml:space="preserve">art. </w:t>
      </w:r>
      <w:r w:rsidRPr="007F28C1">
        <w:rPr>
          <w:rFonts w:ascii="Times New Roman" w:hAnsi="Times New Roman" w:cs="Times New Roman"/>
          <w:sz w:val="24"/>
          <w:szCs w:val="24"/>
        </w:rPr>
        <w:t xml:space="preserve">96 P.g.g. zasady ujawniania złóż kopalin w dokumentach planistycznych będą miały </w:t>
      </w:r>
      <w:r w:rsidR="002C39D3" w:rsidRPr="007F28C1">
        <w:rPr>
          <w:rFonts w:ascii="Times New Roman" w:hAnsi="Times New Roman" w:cs="Times New Roman"/>
          <w:sz w:val="24"/>
          <w:szCs w:val="24"/>
        </w:rPr>
        <w:t>odpowiednio zastosowanie także</w:t>
      </w:r>
      <w:r w:rsidR="002B4D1B" w:rsidRPr="007F28C1">
        <w:rPr>
          <w:rFonts w:ascii="Times New Roman" w:hAnsi="Times New Roman" w:cs="Times New Roman"/>
          <w:sz w:val="24"/>
          <w:szCs w:val="24"/>
        </w:rPr>
        <w:t xml:space="preserve"> do złóż udokumentowanych przed wejściem w życie projektowanej nowelizacji, w stosunku do których </w:t>
      </w:r>
      <w:r w:rsidR="00E63EF3" w:rsidRPr="007F28C1">
        <w:rPr>
          <w:rFonts w:ascii="Times New Roman" w:hAnsi="Times New Roman" w:cs="Times New Roman"/>
          <w:sz w:val="24"/>
          <w:szCs w:val="24"/>
        </w:rPr>
        <w:t xml:space="preserve">minister właściwy do spraw środowiska </w:t>
      </w:r>
      <w:r w:rsidR="002B4D1B" w:rsidRPr="007F28C1">
        <w:rPr>
          <w:rFonts w:ascii="Times New Roman" w:hAnsi="Times New Roman" w:cs="Times New Roman"/>
          <w:sz w:val="24"/>
          <w:szCs w:val="24"/>
        </w:rPr>
        <w:t>będzie mógł wszcząć postępowanie w sprawie uznania złoża za strategiczne</w:t>
      </w:r>
      <w:r w:rsidRPr="007F28C1">
        <w:rPr>
          <w:rFonts w:ascii="Times New Roman" w:hAnsi="Times New Roman" w:cs="Times New Roman"/>
          <w:sz w:val="24"/>
          <w:szCs w:val="24"/>
        </w:rPr>
        <w:t>.</w:t>
      </w:r>
      <w:r w:rsidR="008F368C" w:rsidRPr="007F28C1">
        <w:rPr>
          <w:rFonts w:ascii="Times New Roman" w:hAnsi="Times New Roman" w:cs="Times New Roman"/>
          <w:sz w:val="24"/>
          <w:szCs w:val="24"/>
        </w:rPr>
        <w:t xml:space="preserve"> </w:t>
      </w:r>
      <w:r w:rsidR="005D31A2" w:rsidRPr="007F28C1">
        <w:rPr>
          <w:rFonts w:ascii="Times New Roman" w:hAnsi="Times New Roman" w:cs="Times New Roman"/>
          <w:sz w:val="24"/>
          <w:szCs w:val="24"/>
        </w:rPr>
        <w:t>W przypadku</w:t>
      </w:r>
      <w:r w:rsidR="002C39D3" w:rsidRPr="007F28C1">
        <w:rPr>
          <w:rFonts w:ascii="Times New Roman" w:hAnsi="Times New Roman" w:cs="Times New Roman"/>
          <w:sz w:val="24"/>
          <w:szCs w:val="24"/>
        </w:rPr>
        <w:t xml:space="preserve"> takich</w:t>
      </w:r>
      <w:r w:rsidR="005D31A2" w:rsidRPr="007F28C1">
        <w:rPr>
          <w:rFonts w:ascii="Times New Roman" w:hAnsi="Times New Roman" w:cs="Times New Roman"/>
          <w:sz w:val="24"/>
          <w:szCs w:val="24"/>
        </w:rPr>
        <w:t xml:space="preserve"> złóż podmiot </w:t>
      </w:r>
      <w:r w:rsidR="00A30507" w:rsidRPr="007F28C1">
        <w:rPr>
          <w:rFonts w:ascii="Times New Roman" w:hAnsi="Times New Roman" w:cs="Times New Roman"/>
          <w:sz w:val="24"/>
          <w:szCs w:val="24"/>
        </w:rPr>
        <w:t>posiadający prawo do informacji geologicznej lub prawo do</w:t>
      </w:r>
      <w:r w:rsidR="00621E21" w:rsidRPr="007F28C1">
        <w:rPr>
          <w:rFonts w:ascii="Times New Roman" w:hAnsi="Times New Roman" w:cs="Times New Roman"/>
          <w:sz w:val="24"/>
          <w:szCs w:val="24"/>
        </w:rPr>
        <w:t> </w:t>
      </w:r>
      <w:r w:rsidR="00A30507" w:rsidRPr="007F28C1">
        <w:rPr>
          <w:rFonts w:ascii="Times New Roman" w:hAnsi="Times New Roman" w:cs="Times New Roman"/>
          <w:sz w:val="24"/>
          <w:szCs w:val="24"/>
        </w:rPr>
        <w:t xml:space="preserve">korzystania z informacji geologicznej zawartej w dokumentacji geologicznej złoża lub dodatku do niej będzie mógł ponieść koszty ujawnienia </w:t>
      </w:r>
      <w:r w:rsidR="002C39D3" w:rsidRPr="007F28C1">
        <w:rPr>
          <w:rFonts w:ascii="Times New Roman" w:hAnsi="Times New Roman" w:cs="Times New Roman"/>
          <w:sz w:val="24"/>
          <w:szCs w:val="24"/>
        </w:rPr>
        <w:t xml:space="preserve">złoża </w:t>
      </w:r>
      <w:r w:rsidR="00A30507" w:rsidRPr="007F28C1">
        <w:rPr>
          <w:rFonts w:ascii="Times New Roman" w:hAnsi="Times New Roman" w:cs="Times New Roman"/>
          <w:sz w:val="24"/>
          <w:szCs w:val="24"/>
        </w:rPr>
        <w:t>w studium lub planie miejscowym.</w:t>
      </w:r>
    </w:p>
    <w:p w14:paraId="5BBBFAC4" w14:textId="43933F6F" w:rsidR="00C961E9" w:rsidRPr="007F28C1" w:rsidRDefault="00D479D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Zadania realizowane przez organy administracji geologicznej w ramach współdziałania w procesie planowania przestrzennego, w szczególności opiniowanie projektów </w:t>
      </w:r>
      <w:r w:rsidR="009A0FDE" w:rsidRPr="007F28C1">
        <w:rPr>
          <w:rFonts w:ascii="Times New Roman" w:hAnsi="Times New Roman" w:cs="Times New Roman"/>
          <w:sz w:val="24"/>
          <w:szCs w:val="24"/>
        </w:rPr>
        <w:t xml:space="preserve">studium i </w:t>
      </w:r>
      <w:r w:rsidRPr="007F28C1">
        <w:rPr>
          <w:rFonts w:ascii="Times New Roman" w:hAnsi="Times New Roman" w:cs="Times New Roman"/>
          <w:sz w:val="24"/>
          <w:szCs w:val="24"/>
        </w:rPr>
        <w:t>planów</w:t>
      </w:r>
      <w:r w:rsidR="006A6C69" w:rsidRPr="007F28C1">
        <w:rPr>
          <w:rFonts w:ascii="Times New Roman" w:hAnsi="Times New Roman" w:cs="Times New Roman"/>
          <w:sz w:val="24"/>
          <w:szCs w:val="24"/>
        </w:rPr>
        <w:t xml:space="preserve"> miejscowych w</w:t>
      </w:r>
      <w:r w:rsidR="00A63889" w:rsidRPr="007F28C1">
        <w:rPr>
          <w:rFonts w:ascii="Times New Roman" w:hAnsi="Times New Roman" w:cs="Times New Roman"/>
          <w:sz w:val="24"/>
          <w:szCs w:val="24"/>
        </w:rPr>
        <w:t> </w:t>
      </w:r>
      <w:r w:rsidR="006A6C69" w:rsidRPr="007F28C1">
        <w:rPr>
          <w:rFonts w:ascii="Times New Roman" w:hAnsi="Times New Roman" w:cs="Times New Roman"/>
          <w:sz w:val="24"/>
          <w:szCs w:val="24"/>
        </w:rPr>
        <w:t>zakresie udokumentowanych złóż kopalin</w:t>
      </w:r>
      <w:r w:rsidR="009A0FDE" w:rsidRPr="007F28C1">
        <w:rPr>
          <w:rFonts w:ascii="Times New Roman" w:hAnsi="Times New Roman" w:cs="Times New Roman"/>
          <w:sz w:val="24"/>
          <w:szCs w:val="24"/>
        </w:rPr>
        <w:t>, a także</w:t>
      </w:r>
      <w:r w:rsidR="0072277E" w:rsidRPr="007F28C1">
        <w:rPr>
          <w:rFonts w:ascii="Times New Roman" w:hAnsi="Times New Roman" w:cs="Times New Roman"/>
          <w:sz w:val="24"/>
          <w:szCs w:val="24"/>
        </w:rPr>
        <w:t xml:space="preserve"> uzgadnianie</w:t>
      </w:r>
      <w:r w:rsidR="006A6C69" w:rsidRPr="007F28C1">
        <w:rPr>
          <w:rFonts w:ascii="Times New Roman" w:hAnsi="Times New Roman" w:cs="Times New Roman"/>
          <w:sz w:val="24"/>
          <w:szCs w:val="24"/>
        </w:rPr>
        <w:t xml:space="preserve"> projektów decyzji o warunkach zabudowy</w:t>
      </w:r>
      <w:r w:rsidR="00B419F6" w:rsidRPr="007F28C1">
        <w:rPr>
          <w:rFonts w:ascii="Times New Roman" w:hAnsi="Times New Roman" w:cs="Times New Roman"/>
          <w:sz w:val="24"/>
          <w:szCs w:val="24"/>
        </w:rPr>
        <w:t xml:space="preserve"> </w:t>
      </w:r>
      <w:r w:rsidR="009A0FDE" w:rsidRPr="007F28C1">
        <w:rPr>
          <w:rFonts w:ascii="Times New Roman" w:hAnsi="Times New Roman" w:cs="Times New Roman"/>
          <w:sz w:val="24"/>
          <w:szCs w:val="24"/>
        </w:rPr>
        <w:t>/ o lokalizacji inwestycji celu publicznego</w:t>
      </w:r>
      <w:r w:rsidR="006A6C69" w:rsidRPr="007F28C1">
        <w:rPr>
          <w:rFonts w:ascii="Times New Roman" w:hAnsi="Times New Roman" w:cs="Times New Roman"/>
          <w:sz w:val="24"/>
          <w:szCs w:val="24"/>
        </w:rPr>
        <w:t xml:space="preserve"> w odniesieniu do udokumentowanych złóż kopalin, stanowią zadania służące zapewnieniu ochrony złóż kopalin. Zadania te polegają na dokonaniu oceny</w:t>
      </w:r>
      <w:r w:rsidR="002A63B3">
        <w:rPr>
          <w:rFonts w:ascii="Times New Roman" w:hAnsi="Times New Roman" w:cs="Times New Roman"/>
          <w:sz w:val="24"/>
          <w:szCs w:val="24"/>
        </w:rPr>
        <w:t>,</w:t>
      </w:r>
      <w:r w:rsidR="006A6C69" w:rsidRPr="007F28C1">
        <w:rPr>
          <w:rFonts w:ascii="Times New Roman" w:hAnsi="Times New Roman" w:cs="Times New Roman"/>
          <w:sz w:val="24"/>
          <w:szCs w:val="24"/>
        </w:rPr>
        <w:t xml:space="preserve"> jak projektowane przeznaczenie lub projektowana konkretna inwestycja </w:t>
      </w:r>
      <w:r w:rsidR="00B419F6" w:rsidRPr="007F28C1">
        <w:rPr>
          <w:rFonts w:ascii="Times New Roman" w:hAnsi="Times New Roman" w:cs="Times New Roman"/>
          <w:sz w:val="24"/>
          <w:szCs w:val="24"/>
        </w:rPr>
        <w:t xml:space="preserve">mogą </w:t>
      </w:r>
      <w:r w:rsidR="006A6C69" w:rsidRPr="007F28C1">
        <w:rPr>
          <w:rFonts w:ascii="Times New Roman" w:hAnsi="Times New Roman" w:cs="Times New Roman"/>
          <w:sz w:val="24"/>
          <w:szCs w:val="24"/>
        </w:rPr>
        <w:t>wpłynąć na przyszłą ekspl</w:t>
      </w:r>
      <w:r w:rsidR="002A63B3">
        <w:rPr>
          <w:rFonts w:ascii="Times New Roman" w:hAnsi="Times New Roman" w:cs="Times New Roman"/>
          <w:sz w:val="24"/>
          <w:szCs w:val="24"/>
        </w:rPr>
        <w:t>oatację</w:t>
      </w:r>
      <w:r w:rsidR="006A6C69" w:rsidRPr="007F28C1">
        <w:rPr>
          <w:rFonts w:ascii="Times New Roman" w:hAnsi="Times New Roman" w:cs="Times New Roman"/>
          <w:sz w:val="24"/>
          <w:szCs w:val="24"/>
        </w:rPr>
        <w:t xml:space="preserve"> złóż kopalin, co jest dokonywane </w:t>
      </w:r>
      <w:r w:rsidR="006A6C69" w:rsidRPr="007F28C1">
        <w:rPr>
          <w:rFonts w:ascii="Times New Roman" w:hAnsi="Times New Roman" w:cs="Times New Roman"/>
          <w:sz w:val="24"/>
          <w:szCs w:val="24"/>
        </w:rPr>
        <w:lastRenderedPageBreak/>
        <w:t>na podstawie dokumentacji geologicznej złoża, w</w:t>
      </w:r>
      <w:r w:rsidR="003F1DA7" w:rsidRPr="007F28C1">
        <w:rPr>
          <w:rFonts w:ascii="Times New Roman" w:hAnsi="Times New Roman" w:cs="Times New Roman"/>
          <w:sz w:val="24"/>
          <w:szCs w:val="24"/>
        </w:rPr>
        <w:t> </w:t>
      </w:r>
      <w:r w:rsidR="006A6C69" w:rsidRPr="007F28C1">
        <w:rPr>
          <w:rFonts w:ascii="Times New Roman" w:hAnsi="Times New Roman" w:cs="Times New Roman"/>
          <w:sz w:val="24"/>
          <w:szCs w:val="24"/>
        </w:rPr>
        <w:t>szczególności części wskazującej na warunki jego ochrony. Przez pierwsze lat</w:t>
      </w:r>
      <w:r w:rsidR="00902F18" w:rsidRPr="007F28C1">
        <w:rPr>
          <w:rFonts w:ascii="Times New Roman" w:hAnsi="Times New Roman" w:cs="Times New Roman"/>
          <w:sz w:val="24"/>
          <w:szCs w:val="24"/>
        </w:rPr>
        <w:t>a</w:t>
      </w:r>
      <w:r w:rsidR="006A6C69" w:rsidRPr="007F28C1">
        <w:rPr>
          <w:rFonts w:ascii="Times New Roman" w:hAnsi="Times New Roman" w:cs="Times New Roman"/>
          <w:sz w:val="24"/>
          <w:szCs w:val="24"/>
        </w:rPr>
        <w:t xml:space="preserve"> obowiązywania ustawy nie było żadnych wątpliwości, że organem właściwym do zajęcia stanowiska w sprawach związanych ze złożami kopalin</w:t>
      </w:r>
      <w:r w:rsidR="00D64489" w:rsidRPr="007F28C1">
        <w:rPr>
          <w:rFonts w:ascii="Times New Roman" w:hAnsi="Times New Roman" w:cs="Times New Roman"/>
          <w:sz w:val="24"/>
          <w:szCs w:val="24"/>
        </w:rPr>
        <w:t>, o których mowa w art. 10 ust. 1</w:t>
      </w:r>
      <w:r w:rsidR="00B419F6" w:rsidRPr="007F28C1">
        <w:rPr>
          <w:rFonts w:ascii="Times New Roman" w:hAnsi="Times New Roman" w:cs="Times New Roman"/>
          <w:sz w:val="24"/>
          <w:szCs w:val="24"/>
        </w:rPr>
        <w:t xml:space="preserve"> P.g.g.</w:t>
      </w:r>
      <w:r w:rsidR="00D64489" w:rsidRPr="007F28C1">
        <w:rPr>
          <w:rFonts w:ascii="Times New Roman" w:hAnsi="Times New Roman" w:cs="Times New Roman"/>
          <w:sz w:val="24"/>
          <w:szCs w:val="24"/>
        </w:rPr>
        <w:t>,</w:t>
      </w:r>
      <w:r w:rsidR="006A6C69" w:rsidRPr="007F28C1">
        <w:rPr>
          <w:rFonts w:ascii="Times New Roman" w:hAnsi="Times New Roman" w:cs="Times New Roman"/>
          <w:sz w:val="24"/>
          <w:szCs w:val="24"/>
        </w:rPr>
        <w:t xml:space="preserve"> jest minister właściwy do spraw środowiska</w:t>
      </w:r>
      <w:r w:rsidR="00EE234C" w:rsidRPr="007F28C1">
        <w:rPr>
          <w:rFonts w:ascii="Times New Roman" w:hAnsi="Times New Roman" w:cs="Times New Roman"/>
          <w:sz w:val="24"/>
          <w:szCs w:val="24"/>
        </w:rPr>
        <w:t xml:space="preserve">. </w:t>
      </w:r>
      <w:r w:rsidR="006A6C69" w:rsidRPr="007F28C1">
        <w:rPr>
          <w:rFonts w:ascii="Times New Roman" w:hAnsi="Times New Roman" w:cs="Times New Roman"/>
          <w:sz w:val="24"/>
          <w:szCs w:val="24"/>
        </w:rPr>
        <w:t>Prawidłowość tej interpretacji potwierdził</w:t>
      </w:r>
      <w:r w:rsidR="00CA6FA0" w:rsidRPr="007F28C1">
        <w:rPr>
          <w:rFonts w:ascii="Times New Roman" w:hAnsi="Times New Roman" w:cs="Times New Roman"/>
          <w:sz w:val="24"/>
          <w:szCs w:val="24"/>
        </w:rPr>
        <w:t>y</w:t>
      </w:r>
      <w:r w:rsidR="006A6C69" w:rsidRPr="007F28C1">
        <w:rPr>
          <w:rFonts w:ascii="Times New Roman" w:hAnsi="Times New Roman" w:cs="Times New Roman"/>
          <w:sz w:val="24"/>
          <w:szCs w:val="24"/>
        </w:rPr>
        <w:t xml:space="preserve"> zarówno </w:t>
      </w:r>
      <w:r w:rsidR="00CA6FA0" w:rsidRPr="007F28C1">
        <w:rPr>
          <w:rFonts w:ascii="Times New Roman" w:hAnsi="Times New Roman" w:cs="Times New Roman"/>
          <w:sz w:val="24"/>
          <w:szCs w:val="24"/>
        </w:rPr>
        <w:t xml:space="preserve">wyniki </w:t>
      </w:r>
      <w:r w:rsidR="006A6C69" w:rsidRPr="007F28C1">
        <w:rPr>
          <w:rFonts w:ascii="Times New Roman" w:hAnsi="Times New Roman" w:cs="Times New Roman"/>
          <w:sz w:val="24"/>
          <w:szCs w:val="24"/>
        </w:rPr>
        <w:t>kontrol</w:t>
      </w:r>
      <w:r w:rsidR="00CA6FA0" w:rsidRPr="007F28C1">
        <w:rPr>
          <w:rFonts w:ascii="Times New Roman" w:hAnsi="Times New Roman" w:cs="Times New Roman"/>
          <w:sz w:val="24"/>
          <w:szCs w:val="24"/>
        </w:rPr>
        <w:t>i</w:t>
      </w:r>
      <w:r w:rsidR="006A6C69" w:rsidRPr="007F28C1">
        <w:rPr>
          <w:rFonts w:ascii="Times New Roman" w:hAnsi="Times New Roman" w:cs="Times New Roman"/>
          <w:sz w:val="24"/>
          <w:szCs w:val="24"/>
        </w:rPr>
        <w:t xml:space="preserve"> NIK w 2017</w:t>
      </w:r>
      <w:r w:rsidR="003F1DA7" w:rsidRPr="007F28C1">
        <w:rPr>
          <w:rFonts w:ascii="Times New Roman" w:hAnsi="Times New Roman" w:cs="Times New Roman"/>
          <w:sz w:val="24"/>
          <w:szCs w:val="24"/>
        </w:rPr>
        <w:t> </w:t>
      </w:r>
      <w:r w:rsidR="006A6C69" w:rsidRPr="007F28C1">
        <w:rPr>
          <w:rFonts w:ascii="Times New Roman" w:hAnsi="Times New Roman" w:cs="Times New Roman"/>
          <w:sz w:val="24"/>
          <w:szCs w:val="24"/>
        </w:rPr>
        <w:t>r.</w:t>
      </w:r>
      <w:r w:rsidR="00EE234C" w:rsidRPr="007F28C1">
        <w:rPr>
          <w:rFonts w:ascii="Times New Roman" w:hAnsi="Times New Roman" w:cs="Times New Roman"/>
          <w:sz w:val="24"/>
          <w:szCs w:val="24"/>
        </w:rPr>
        <w:t xml:space="preserve"> dotycząc</w:t>
      </w:r>
      <w:r w:rsidR="00B419F6" w:rsidRPr="007F28C1">
        <w:rPr>
          <w:rFonts w:ascii="Times New Roman" w:hAnsi="Times New Roman" w:cs="Times New Roman"/>
          <w:sz w:val="24"/>
          <w:szCs w:val="24"/>
        </w:rPr>
        <w:t>ej</w:t>
      </w:r>
      <w:r w:rsidR="00EE234C" w:rsidRPr="007F28C1">
        <w:rPr>
          <w:rFonts w:ascii="Times New Roman" w:hAnsi="Times New Roman" w:cs="Times New Roman"/>
          <w:sz w:val="24"/>
          <w:szCs w:val="24"/>
        </w:rPr>
        <w:t xml:space="preserve"> gospodarki strategicznymi surowcami kopalnymi</w:t>
      </w:r>
      <w:r w:rsidR="006A6C69" w:rsidRPr="007F28C1">
        <w:rPr>
          <w:rFonts w:ascii="Times New Roman" w:hAnsi="Times New Roman" w:cs="Times New Roman"/>
          <w:sz w:val="24"/>
          <w:szCs w:val="24"/>
        </w:rPr>
        <w:t>, jak również liczne orzeczenia Wojewódzkiego Sądu Administracyjnego</w:t>
      </w:r>
      <w:r w:rsidR="00EE234C" w:rsidRPr="007F28C1">
        <w:rPr>
          <w:rFonts w:ascii="Times New Roman" w:hAnsi="Times New Roman" w:cs="Times New Roman"/>
          <w:sz w:val="24"/>
          <w:szCs w:val="24"/>
        </w:rPr>
        <w:t xml:space="preserve"> w Warszawie</w:t>
      </w:r>
      <w:r w:rsidR="006A6C69" w:rsidRPr="007F28C1">
        <w:rPr>
          <w:rFonts w:ascii="Times New Roman" w:hAnsi="Times New Roman" w:cs="Times New Roman"/>
          <w:sz w:val="24"/>
          <w:szCs w:val="24"/>
        </w:rPr>
        <w:t>, któr</w:t>
      </w:r>
      <w:r w:rsidR="007041A0">
        <w:rPr>
          <w:rFonts w:ascii="Times New Roman" w:hAnsi="Times New Roman" w:cs="Times New Roman"/>
          <w:sz w:val="24"/>
          <w:szCs w:val="24"/>
        </w:rPr>
        <w:t>e</w:t>
      </w:r>
      <w:r w:rsidR="006A6C69" w:rsidRPr="007F28C1">
        <w:rPr>
          <w:rFonts w:ascii="Times New Roman" w:hAnsi="Times New Roman" w:cs="Times New Roman"/>
          <w:sz w:val="24"/>
          <w:szCs w:val="24"/>
        </w:rPr>
        <w:t xml:space="preserve"> utrzymywały w mocy postanowienia ministra</w:t>
      </w:r>
      <w:r w:rsidR="00D64489" w:rsidRPr="007F28C1">
        <w:rPr>
          <w:rFonts w:ascii="Times New Roman" w:hAnsi="Times New Roman" w:cs="Times New Roman"/>
          <w:sz w:val="24"/>
          <w:szCs w:val="24"/>
        </w:rPr>
        <w:t xml:space="preserve"> wydane w</w:t>
      </w:r>
      <w:r w:rsidR="00EE234C" w:rsidRPr="007F28C1">
        <w:rPr>
          <w:rFonts w:ascii="Times New Roman" w:hAnsi="Times New Roman" w:cs="Times New Roman"/>
          <w:sz w:val="24"/>
          <w:szCs w:val="24"/>
        </w:rPr>
        <w:t> </w:t>
      </w:r>
      <w:r w:rsidR="00D64489" w:rsidRPr="007F28C1">
        <w:rPr>
          <w:rFonts w:ascii="Times New Roman" w:hAnsi="Times New Roman" w:cs="Times New Roman"/>
          <w:sz w:val="24"/>
          <w:szCs w:val="24"/>
        </w:rPr>
        <w:t>procesie uzgadniania projektów decyzji o warunkach zabudowy. Natomiast z uwagi na dostrzeżoną zmianę linii orzeczniczej w zakresie właściwości rzeczowej organów administracji geologicznej,</w:t>
      </w:r>
      <w:r w:rsidR="0072277E" w:rsidRPr="007F28C1">
        <w:rPr>
          <w:rFonts w:ascii="Times New Roman" w:hAnsi="Times New Roman" w:cs="Times New Roman"/>
          <w:sz w:val="24"/>
          <w:szCs w:val="24"/>
        </w:rPr>
        <w:t xml:space="preserve"> zapoczątkowaną</w:t>
      </w:r>
      <w:r w:rsidR="005B7604" w:rsidRPr="007F28C1">
        <w:rPr>
          <w:rFonts w:ascii="Times New Roman" w:hAnsi="Times New Roman" w:cs="Times New Roman"/>
          <w:sz w:val="24"/>
          <w:szCs w:val="24"/>
        </w:rPr>
        <w:t xml:space="preserve"> </w:t>
      </w:r>
      <w:r w:rsidR="00D64489" w:rsidRPr="007F28C1">
        <w:rPr>
          <w:rFonts w:ascii="Times New Roman" w:hAnsi="Times New Roman" w:cs="Times New Roman"/>
          <w:sz w:val="24"/>
          <w:szCs w:val="24"/>
        </w:rPr>
        <w:t>wyrok</w:t>
      </w:r>
      <w:r w:rsidR="0072277E" w:rsidRPr="007F28C1">
        <w:rPr>
          <w:rFonts w:ascii="Times New Roman" w:hAnsi="Times New Roman" w:cs="Times New Roman"/>
          <w:sz w:val="24"/>
          <w:szCs w:val="24"/>
        </w:rPr>
        <w:t>iem</w:t>
      </w:r>
      <w:r w:rsidR="00D64489" w:rsidRPr="007F28C1">
        <w:rPr>
          <w:rFonts w:ascii="Times New Roman" w:hAnsi="Times New Roman" w:cs="Times New Roman"/>
          <w:sz w:val="24"/>
          <w:szCs w:val="24"/>
        </w:rPr>
        <w:t xml:space="preserve"> N</w:t>
      </w:r>
      <w:r w:rsidR="00B419F6" w:rsidRPr="007F28C1">
        <w:rPr>
          <w:rFonts w:ascii="Times New Roman" w:hAnsi="Times New Roman" w:cs="Times New Roman"/>
          <w:sz w:val="24"/>
          <w:szCs w:val="24"/>
        </w:rPr>
        <w:t xml:space="preserve">aczelnego </w:t>
      </w:r>
      <w:r w:rsidR="00D64489" w:rsidRPr="007F28C1">
        <w:rPr>
          <w:rFonts w:ascii="Times New Roman" w:hAnsi="Times New Roman" w:cs="Times New Roman"/>
          <w:sz w:val="24"/>
          <w:szCs w:val="24"/>
        </w:rPr>
        <w:t>S</w:t>
      </w:r>
      <w:r w:rsidR="00B419F6" w:rsidRPr="007F28C1">
        <w:rPr>
          <w:rFonts w:ascii="Times New Roman" w:hAnsi="Times New Roman" w:cs="Times New Roman"/>
          <w:sz w:val="24"/>
          <w:szCs w:val="24"/>
        </w:rPr>
        <w:t xml:space="preserve">ądu </w:t>
      </w:r>
      <w:r w:rsidR="00D64489" w:rsidRPr="007F28C1">
        <w:rPr>
          <w:rFonts w:ascii="Times New Roman" w:hAnsi="Times New Roman" w:cs="Times New Roman"/>
          <w:sz w:val="24"/>
          <w:szCs w:val="24"/>
        </w:rPr>
        <w:t>A</w:t>
      </w:r>
      <w:r w:rsidR="00B419F6" w:rsidRPr="007F28C1">
        <w:rPr>
          <w:rFonts w:ascii="Times New Roman" w:hAnsi="Times New Roman" w:cs="Times New Roman"/>
          <w:sz w:val="24"/>
          <w:szCs w:val="24"/>
        </w:rPr>
        <w:t>dministracyjnego</w:t>
      </w:r>
      <w:r w:rsidR="00D64489" w:rsidRPr="007F28C1">
        <w:rPr>
          <w:rFonts w:ascii="Times New Roman" w:hAnsi="Times New Roman" w:cs="Times New Roman"/>
          <w:sz w:val="24"/>
          <w:szCs w:val="24"/>
        </w:rPr>
        <w:t xml:space="preserve"> z</w:t>
      </w:r>
      <w:r w:rsidR="00D635BA" w:rsidRPr="007F28C1">
        <w:rPr>
          <w:rFonts w:ascii="Times New Roman" w:hAnsi="Times New Roman" w:cs="Times New Roman"/>
          <w:sz w:val="24"/>
          <w:szCs w:val="24"/>
        </w:rPr>
        <w:t> </w:t>
      </w:r>
      <w:r w:rsidR="00D64489" w:rsidRPr="007F28C1">
        <w:rPr>
          <w:rFonts w:ascii="Times New Roman" w:hAnsi="Times New Roman" w:cs="Times New Roman"/>
          <w:sz w:val="24"/>
          <w:szCs w:val="24"/>
        </w:rPr>
        <w:t>dnia 18.02.2021 r. w</w:t>
      </w:r>
      <w:r w:rsidR="00705A7E" w:rsidRPr="007F28C1">
        <w:rPr>
          <w:rFonts w:ascii="Times New Roman" w:hAnsi="Times New Roman" w:cs="Times New Roman"/>
          <w:sz w:val="24"/>
          <w:szCs w:val="24"/>
        </w:rPr>
        <w:t> </w:t>
      </w:r>
      <w:r w:rsidR="00D64489" w:rsidRPr="007F28C1">
        <w:rPr>
          <w:rFonts w:ascii="Times New Roman" w:hAnsi="Times New Roman" w:cs="Times New Roman"/>
          <w:sz w:val="24"/>
          <w:szCs w:val="24"/>
        </w:rPr>
        <w:t>sprawie</w:t>
      </w:r>
      <w:r w:rsidR="00D635BA" w:rsidRPr="007F28C1">
        <w:rPr>
          <w:rFonts w:ascii="Times New Roman" w:hAnsi="Times New Roman" w:cs="Times New Roman"/>
          <w:sz w:val="24"/>
          <w:szCs w:val="24"/>
        </w:rPr>
        <w:t xml:space="preserve"> </w:t>
      </w:r>
      <w:r w:rsidR="00EE234C" w:rsidRPr="007F28C1">
        <w:rPr>
          <w:rFonts w:ascii="Times New Roman" w:hAnsi="Times New Roman" w:cs="Times New Roman"/>
          <w:sz w:val="24"/>
          <w:szCs w:val="24"/>
        </w:rPr>
        <w:t xml:space="preserve">o sygn. </w:t>
      </w:r>
      <w:r w:rsidR="00D635BA" w:rsidRPr="007F28C1">
        <w:rPr>
          <w:rFonts w:ascii="Times New Roman" w:hAnsi="Times New Roman" w:cs="Times New Roman"/>
          <w:sz w:val="24"/>
          <w:szCs w:val="24"/>
        </w:rPr>
        <w:t xml:space="preserve">II OSK 3266/19, który wskazał, że </w:t>
      </w:r>
      <w:r w:rsidR="00EE234C" w:rsidRPr="007F28C1">
        <w:rPr>
          <w:rFonts w:ascii="Times New Roman" w:hAnsi="Times New Roman" w:cs="Times New Roman"/>
          <w:sz w:val="24"/>
          <w:szCs w:val="24"/>
        </w:rPr>
        <w:t xml:space="preserve">marszałek województwa jest </w:t>
      </w:r>
      <w:r w:rsidR="00D635BA" w:rsidRPr="007F28C1">
        <w:rPr>
          <w:rFonts w:ascii="Times New Roman" w:hAnsi="Times New Roman" w:cs="Times New Roman"/>
          <w:sz w:val="24"/>
          <w:szCs w:val="24"/>
        </w:rPr>
        <w:t>organem właściwym w sprawach uzgadniania projektów decyzji o</w:t>
      </w:r>
      <w:r w:rsidR="00EE234C" w:rsidRPr="007F28C1">
        <w:rPr>
          <w:rFonts w:ascii="Times New Roman" w:hAnsi="Times New Roman" w:cs="Times New Roman"/>
          <w:sz w:val="24"/>
          <w:szCs w:val="24"/>
        </w:rPr>
        <w:t> </w:t>
      </w:r>
      <w:r w:rsidR="00D635BA" w:rsidRPr="007F28C1">
        <w:rPr>
          <w:rFonts w:ascii="Times New Roman" w:hAnsi="Times New Roman" w:cs="Times New Roman"/>
          <w:sz w:val="24"/>
          <w:szCs w:val="24"/>
        </w:rPr>
        <w:t>warunkach zabudowy</w:t>
      </w:r>
      <w:r w:rsidR="00EE234C" w:rsidRPr="007F28C1">
        <w:rPr>
          <w:rFonts w:ascii="Times New Roman" w:hAnsi="Times New Roman" w:cs="Times New Roman"/>
          <w:sz w:val="24"/>
          <w:szCs w:val="24"/>
        </w:rPr>
        <w:t xml:space="preserve"> w stosunku do wszystkich udokumentowanych złóż kopalin,</w:t>
      </w:r>
      <w:r w:rsidR="00D635BA" w:rsidRPr="007F28C1">
        <w:rPr>
          <w:rFonts w:ascii="Times New Roman" w:hAnsi="Times New Roman" w:cs="Times New Roman"/>
          <w:sz w:val="24"/>
          <w:szCs w:val="24"/>
        </w:rPr>
        <w:t xml:space="preserve"> </w:t>
      </w:r>
      <w:r w:rsidR="00F9309A" w:rsidRPr="007F28C1">
        <w:rPr>
          <w:rFonts w:ascii="Times New Roman" w:hAnsi="Times New Roman" w:cs="Times New Roman"/>
          <w:sz w:val="24"/>
          <w:szCs w:val="24"/>
        </w:rPr>
        <w:t xml:space="preserve">konieczne </w:t>
      </w:r>
      <w:r w:rsidR="00EE234C" w:rsidRPr="007F28C1">
        <w:rPr>
          <w:rFonts w:ascii="Times New Roman" w:hAnsi="Times New Roman" w:cs="Times New Roman"/>
          <w:sz w:val="24"/>
          <w:szCs w:val="24"/>
        </w:rPr>
        <w:t>stało się</w:t>
      </w:r>
      <w:r w:rsidR="00794717" w:rsidRPr="007F28C1">
        <w:rPr>
          <w:rFonts w:ascii="Times New Roman" w:hAnsi="Times New Roman" w:cs="Times New Roman"/>
          <w:sz w:val="24"/>
          <w:szCs w:val="24"/>
        </w:rPr>
        <w:t xml:space="preserve"> </w:t>
      </w:r>
      <w:r w:rsidR="00223873" w:rsidRPr="007F28C1">
        <w:rPr>
          <w:rFonts w:ascii="Times New Roman" w:hAnsi="Times New Roman" w:cs="Times New Roman"/>
          <w:sz w:val="24"/>
          <w:szCs w:val="24"/>
        </w:rPr>
        <w:t>wpisanie wprost zadań z zakresu ochrony złóż kopalin do ustawy P.g.g.</w:t>
      </w:r>
      <w:r w:rsidR="00AD0EDB" w:rsidRPr="007F28C1">
        <w:rPr>
          <w:rFonts w:ascii="Times New Roman" w:hAnsi="Times New Roman" w:cs="Times New Roman"/>
          <w:sz w:val="24"/>
          <w:szCs w:val="24"/>
        </w:rPr>
        <w:t xml:space="preserve"> </w:t>
      </w:r>
      <w:r w:rsidR="007562F4" w:rsidRPr="007F28C1">
        <w:rPr>
          <w:rFonts w:ascii="Times New Roman" w:hAnsi="Times New Roman" w:cs="Times New Roman"/>
          <w:sz w:val="24"/>
          <w:szCs w:val="24"/>
        </w:rPr>
        <w:t xml:space="preserve">Linia ta znalazła potwierdzenie w postanowieniach Naczelnego Sądu Administracyjnego, rozstrzygających spory kompetencyjne między </w:t>
      </w:r>
      <w:r w:rsidR="00A67D7C" w:rsidRPr="007F28C1">
        <w:rPr>
          <w:rFonts w:ascii="Times New Roman" w:hAnsi="Times New Roman" w:cs="Times New Roman"/>
          <w:sz w:val="24"/>
          <w:szCs w:val="24"/>
        </w:rPr>
        <w:t>m</w:t>
      </w:r>
      <w:r w:rsidR="007562F4" w:rsidRPr="007F28C1">
        <w:rPr>
          <w:rFonts w:ascii="Times New Roman" w:hAnsi="Times New Roman" w:cs="Times New Roman"/>
          <w:sz w:val="24"/>
          <w:szCs w:val="24"/>
        </w:rPr>
        <w:t>inistrem</w:t>
      </w:r>
      <w:r w:rsidR="00A67D7C" w:rsidRPr="007F28C1">
        <w:rPr>
          <w:rFonts w:ascii="Times New Roman" w:hAnsi="Times New Roman" w:cs="Times New Roman"/>
          <w:sz w:val="24"/>
          <w:szCs w:val="24"/>
        </w:rPr>
        <w:t xml:space="preserve"> właściwym do spraw środowiska</w:t>
      </w:r>
      <w:r w:rsidR="007562F4" w:rsidRPr="007F28C1">
        <w:rPr>
          <w:rFonts w:ascii="Times New Roman" w:hAnsi="Times New Roman" w:cs="Times New Roman"/>
          <w:sz w:val="24"/>
          <w:szCs w:val="24"/>
        </w:rPr>
        <w:t xml:space="preserve"> a Marszałkiem Województwa Wielkopolskiego z dnia 23 listopada 2022 r. (II OW 26/22, II OW 34/22, II OW 90/22). </w:t>
      </w:r>
      <w:r w:rsidR="00AD0EDB" w:rsidRPr="007F28C1">
        <w:rPr>
          <w:rFonts w:ascii="Times New Roman" w:hAnsi="Times New Roman" w:cs="Times New Roman"/>
          <w:sz w:val="24"/>
          <w:szCs w:val="24"/>
        </w:rPr>
        <w:t>Projektowane przepisy za</w:t>
      </w:r>
      <w:r w:rsidR="007962BD" w:rsidRPr="007F28C1">
        <w:rPr>
          <w:rFonts w:ascii="Times New Roman" w:hAnsi="Times New Roman" w:cs="Times New Roman"/>
          <w:sz w:val="24"/>
          <w:szCs w:val="24"/>
        </w:rPr>
        <w:t>gwarant</w:t>
      </w:r>
      <w:r w:rsidR="00AD0EDB" w:rsidRPr="007F28C1">
        <w:rPr>
          <w:rFonts w:ascii="Times New Roman" w:hAnsi="Times New Roman" w:cs="Times New Roman"/>
          <w:sz w:val="24"/>
          <w:szCs w:val="24"/>
        </w:rPr>
        <w:t xml:space="preserve">ują, że </w:t>
      </w:r>
      <w:r w:rsidR="00EE234C" w:rsidRPr="007F28C1">
        <w:rPr>
          <w:rFonts w:ascii="Times New Roman" w:hAnsi="Times New Roman" w:cs="Times New Roman"/>
          <w:sz w:val="24"/>
          <w:szCs w:val="24"/>
        </w:rPr>
        <w:t xml:space="preserve">w procesie uzgadniania </w:t>
      </w:r>
      <w:r w:rsidR="00AD0EDB" w:rsidRPr="007F28C1">
        <w:rPr>
          <w:rFonts w:ascii="Times New Roman" w:hAnsi="Times New Roman" w:cs="Times New Roman"/>
          <w:sz w:val="24"/>
          <w:szCs w:val="24"/>
        </w:rPr>
        <w:t xml:space="preserve">będą </w:t>
      </w:r>
      <w:r w:rsidR="00EE234C" w:rsidRPr="007F28C1">
        <w:rPr>
          <w:rFonts w:ascii="Times New Roman" w:hAnsi="Times New Roman" w:cs="Times New Roman"/>
          <w:sz w:val="24"/>
          <w:szCs w:val="24"/>
        </w:rPr>
        <w:t>uczestniczyły wyspecjalizowane organy, które</w:t>
      </w:r>
      <w:r w:rsidR="007962BD" w:rsidRPr="007F28C1">
        <w:rPr>
          <w:rFonts w:ascii="Times New Roman" w:hAnsi="Times New Roman" w:cs="Times New Roman"/>
          <w:sz w:val="24"/>
          <w:szCs w:val="24"/>
        </w:rPr>
        <w:t xml:space="preserve"> posiadają wiedzę i doświadczenie w obszarze objętym współdziałaniem, tj. mają </w:t>
      </w:r>
      <w:r w:rsidR="00AD0EDB" w:rsidRPr="007F28C1">
        <w:rPr>
          <w:rFonts w:ascii="Times New Roman" w:hAnsi="Times New Roman" w:cs="Times New Roman"/>
          <w:sz w:val="24"/>
          <w:szCs w:val="24"/>
        </w:rPr>
        <w:t xml:space="preserve">na co dzień </w:t>
      </w:r>
      <w:r w:rsidR="007962BD" w:rsidRPr="007F28C1">
        <w:rPr>
          <w:rFonts w:ascii="Times New Roman" w:hAnsi="Times New Roman" w:cs="Times New Roman"/>
          <w:sz w:val="24"/>
          <w:szCs w:val="24"/>
        </w:rPr>
        <w:t>do czynienia z daną grupą złóż kopalin.</w:t>
      </w:r>
      <w:r w:rsidR="005B7604" w:rsidRPr="007F28C1">
        <w:rPr>
          <w:rFonts w:ascii="Times New Roman" w:hAnsi="Times New Roman" w:cs="Times New Roman"/>
          <w:sz w:val="24"/>
          <w:szCs w:val="24"/>
        </w:rPr>
        <w:t xml:space="preserve"> </w:t>
      </w:r>
    </w:p>
    <w:p w14:paraId="55901F1F" w14:textId="778163EA"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Mając na względzie powyższe, projekt nowelizacji przewiduje wprowadzenie po art. 161 P.g.g. nowego art. 161a stanowiącego, że do</w:t>
      </w:r>
      <w:r w:rsidR="0012626E" w:rsidRPr="007F28C1">
        <w:rPr>
          <w:rFonts w:ascii="Times New Roman" w:hAnsi="Times New Roman" w:cs="Times New Roman"/>
          <w:sz w:val="24"/>
          <w:szCs w:val="24"/>
        </w:rPr>
        <w:t xml:space="preserve"> </w:t>
      </w:r>
      <w:r w:rsidR="00E63EF3" w:rsidRPr="007F28C1">
        <w:rPr>
          <w:rFonts w:ascii="Times New Roman" w:hAnsi="Times New Roman" w:cs="Times New Roman"/>
          <w:sz w:val="24"/>
          <w:szCs w:val="24"/>
        </w:rPr>
        <w:t>ministra właściwego do spraw środowiska</w:t>
      </w:r>
      <w:r w:rsidRPr="007F28C1">
        <w:rPr>
          <w:rFonts w:ascii="Times New Roman" w:hAnsi="Times New Roman" w:cs="Times New Roman"/>
          <w:sz w:val="24"/>
          <w:szCs w:val="24"/>
        </w:rPr>
        <w:t xml:space="preserve"> jako </w:t>
      </w:r>
      <w:r w:rsidR="00B419F6" w:rsidRPr="007F28C1">
        <w:rPr>
          <w:rFonts w:ascii="Times New Roman" w:hAnsi="Times New Roman" w:cs="Times New Roman"/>
          <w:sz w:val="24"/>
          <w:szCs w:val="24"/>
        </w:rPr>
        <w:t xml:space="preserve">organu administracji geologicznej, zwanej dalej „OAG”, </w:t>
      </w:r>
      <w:r w:rsidRPr="007F28C1">
        <w:rPr>
          <w:rFonts w:ascii="Times New Roman" w:hAnsi="Times New Roman" w:cs="Times New Roman"/>
          <w:sz w:val="24"/>
          <w:szCs w:val="24"/>
        </w:rPr>
        <w:t xml:space="preserve">pierwszej instancji należą wszelkie sprawy związane z uzgadnianiem projektów studiów, planów miejscowych, planów zagospodarowania przestrzennego województwa </w:t>
      </w:r>
      <w:r w:rsidR="00B419F6"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w zakresie </w:t>
      </w:r>
      <w:r w:rsidR="003B01D0" w:rsidRPr="007F28C1">
        <w:rPr>
          <w:rFonts w:ascii="Times New Roman" w:hAnsi="Times New Roman" w:cs="Times New Roman"/>
          <w:sz w:val="24"/>
          <w:szCs w:val="24"/>
        </w:rPr>
        <w:t>u</w:t>
      </w:r>
      <w:r w:rsidRPr="007F28C1">
        <w:rPr>
          <w:rFonts w:ascii="Times New Roman" w:hAnsi="Times New Roman" w:cs="Times New Roman"/>
          <w:sz w:val="24"/>
          <w:szCs w:val="24"/>
        </w:rPr>
        <w:t>dokumentowanych złóż kopalin, o których mowa w</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art.</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10</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ust. 1 P.g.g.</w:t>
      </w:r>
      <w:r w:rsidR="004A3B83">
        <w:rPr>
          <w:rFonts w:ascii="Times New Roman" w:hAnsi="Times New Roman" w:cs="Times New Roman"/>
          <w:sz w:val="24"/>
          <w:szCs w:val="24"/>
        </w:rPr>
        <w:t>,</w:t>
      </w:r>
      <w:r w:rsidRPr="007F28C1">
        <w:rPr>
          <w:rFonts w:ascii="Times New Roman" w:hAnsi="Times New Roman" w:cs="Times New Roman"/>
          <w:sz w:val="24"/>
          <w:szCs w:val="24"/>
        </w:rPr>
        <w:t xml:space="preserve"> oraz </w:t>
      </w:r>
      <w:r w:rsidR="00E11006" w:rsidRPr="007F28C1">
        <w:rPr>
          <w:rFonts w:ascii="Times New Roman" w:hAnsi="Times New Roman" w:cs="Times New Roman"/>
          <w:sz w:val="24"/>
          <w:szCs w:val="24"/>
        </w:rPr>
        <w:t xml:space="preserve">złóż kopalin określonych w art. 10 ust. 3, które zostały uznane za strategiczne, a także </w:t>
      </w:r>
      <w:r w:rsidRPr="007F28C1">
        <w:rPr>
          <w:rFonts w:ascii="Times New Roman" w:hAnsi="Times New Roman" w:cs="Times New Roman"/>
          <w:sz w:val="24"/>
          <w:szCs w:val="24"/>
        </w:rPr>
        <w:t>w zakresie kompleksów podziemnego składowania dwutlenku węgla</w:t>
      </w:r>
      <w:r w:rsidR="00280A3A" w:rsidRPr="007F28C1">
        <w:rPr>
          <w:rFonts w:ascii="Times New Roman" w:hAnsi="Times New Roman" w:cs="Times New Roman"/>
          <w:sz w:val="24"/>
          <w:szCs w:val="24"/>
        </w:rPr>
        <w:t xml:space="preserve"> i</w:t>
      </w:r>
      <w:r w:rsidR="00621E21" w:rsidRPr="007F28C1">
        <w:rPr>
          <w:rFonts w:ascii="Times New Roman" w:hAnsi="Times New Roman" w:cs="Times New Roman"/>
          <w:sz w:val="24"/>
          <w:szCs w:val="24"/>
        </w:rPr>
        <w:t> </w:t>
      </w:r>
      <w:r w:rsidR="00280A3A" w:rsidRPr="007F28C1">
        <w:rPr>
          <w:rFonts w:ascii="Times New Roman" w:hAnsi="Times New Roman" w:cs="Times New Roman"/>
          <w:sz w:val="24"/>
          <w:szCs w:val="24"/>
        </w:rPr>
        <w:t>podziemnych bezzbiornikowych magazynów substancji</w:t>
      </w:r>
      <w:r w:rsidRPr="007F28C1">
        <w:rPr>
          <w:rFonts w:ascii="Times New Roman" w:hAnsi="Times New Roman" w:cs="Times New Roman"/>
          <w:sz w:val="24"/>
          <w:szCs w:val="24"/>
        </w:rPr>
        <w:t xml:space="preserve">. Proponowany przepis służy nie tylko usunięciu omówionych wyżej wątpliwości interpretacyjnych, ale przewiduje też wzmocnienie roli </w:t>
      </w:r>
      <w:r w:rsidR="00AF52CC" w:rsidRPr="007F28C1">
        <w:rPr>
          <w:rFonts w:ascii="Times New Roman" w:hAnsi="Times New Roman" w:cs="Times New Roman"/>
          <w:sz w:val="24"/>
          <w:szCs w:val="24"/>
        </w:rPr>
        <w:t xml:space="preserve">centralnego organu administracji geologicznej </w:t>
      </w:r>
      <w:r w:rsidRPr="007F28C1">
        <w:rPr>
          <w:rFonts w:ascii="Times New Roman" w:hAnsi="Times New Roman" w:cs="Times New Roman"/>
          <w:sz w:val="24"/>
          <w:szCs w:val="24"/>
        </w:rPr>
        <w:t xml:space="preserve">w zakresie ochrony złóż kopalin. Widoczne to będzie na gruncie procedury planistycznej, w ramach której </w:t>
      </w:r>
      <w:r w:rsidR="00B419F6" w:rsidRPr="007F28C1">
        <w:rPr>
          <w:rFonts w:ascii="Times New Roman" w:hAnsi="Times New Roman" w:cs="Times New Roman"/>
          <w:sz w:val="24"/>
          <w:szCs w:val="24"/>
        </w:rPr>
        <w:t>m</w:t>
      </w:r>
      <w:r w:rsidR="00E63EF3" w:rsidRPr="007F28C1">
        <w:rPr>
          <w:rFonts w:ascii="Times New Roman" w:hAnsi="Times New Roman" w:cs="Times New Roman"/>
          <w:sz w:val="24"/>
          <w:szCs w:val="24"/>
        </w:rPr>
        <w:t>inister</w:t>
      </w:r>
      <w:r w:rsidR="004E5DAA" w:rsidRPr="007F28C1">
        <w:rPr>
          <w:rFonts w:ascii="Times New Roman" w:hAnsi="Times New Roman" w:cs="Times New Roman"/>
          <w:sz w:val="24"/>
          <w:szCs w:val="24"/>
        </w:rPr>
        <w:t xml:space="preserve"> </w:t>
      </w:r>
      <w:r w:rsidR="00B419F6" w:rsidRPr="007F28C1">
        <w:rPr>
          <w:rFonts w:ascii="Times New Roman" w:hAnsi="Times New Roman" w:cs="Times New Roman"/>
          <w:sz w:val="24"/>
          <w:szCs w:val="24"/>
        </w:rPr>
        <w:t xml:space="preserve">właściwy do spraw środowiska </w:t>
      </w:r>
      <w:r w:rsidR="00AF52CC" w:rsidRPr="007F28C1">
        <w:rPr>
          <w:rFonts w:ascii="Times New Roman" w:hAnsi="Times New Roman" w:cs="Times New Roman"/>
          <w:sz w:val="24"/>
          <w:szCs w:val="24"/>
        </w:rPr>
        <w:t>u</w:t>
      </w:r>
      <w:r w:rsidRPr="007F28C1">
        <w:rPr>
          <w:rFonts w:ascii="Times New Roman" w:hAnsi="Times New Roman" w:cs="Times New Roman"/>
          <w:sz w:val="24"/>
          <w:szCs w:val="24"/>
        </w:rPr>
        <w:t>zyska uprawnienie do</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uzgadniania projektów dokumentów planistycznych w zakresie złóż kopalin, o których mowa</w:t>
      </w:r>
      <w:r w:rsidR="0083223E" w:rsidRPr="007F28C1">
        <w:rPr>
          <w:rFonts w:ascii="Times New Roman" w:hAnsi="Times New Roman" w:cs="Times New Roman"/>
          <w:sz w:val="24"/>
          <w:szCs w:val="24"/>
        </w:rPr>
        <w:t xml:space="preserve"> </w:t>
      </w:r>
      <w:r w:rsidRPr="007F28C1">
        <w:rPr>
          <w:rFonts w:ascii="Times New Roman" w:hAnsi="Times New Roman" w:cs="Times New Roman"/>
          <w:sz w:val="24"/>
          <w:szCs w:val="24"/>
        </w:rPr>
        <w:t>w art. 10 ust. 1 P.g.g. Dotychczas</w:t>
      </w:r>
      <w:r w:rsidR="005B7604" w:rsidRPr="007F28C1">
        <w:rPr>
          <w:rFonts w:ascii="Times New Roman" w:hAnsi="Times New Roman" w:cs="Times New Roman"/>
          <w:sz w:val="24"/>
          <w:szCs w:val="24"/>
        </w:rPr>
        <w:t xml:space="preserve"> </w:t>
      </w:r>
      <w:r w:rsidR="009A0FDE" w:rsidRPr="007F28C1">
        <w:rPr>
          <w:rFonts w:ascii="Times New Roman" w:hAnsi="Times New Roman" w:cs="Times New Roman"/>
          <w:sz w:val="24"/>
          <w:szCs w:val="24"/>
        </w:rPr>
        <w:t xml:space="preserve">organy administracji </w:t>
      </w:r>
      <w:r w:rsidR="009A0FDE" w:rsidRPr="007F28C1">
        <w:rPr>
          <w:rFonts w:ascii="Times New Roman" w:hAnsi="Times New Roman" w:cs="Times New Roman"/>
          <w:sz w:val="24"/>
          <w:szCs w:val="24"/>
        </w:rPr>
        <w:lastRenderedPageBreak/>
        <w:t xml:space="preserve">geologicznej </w:t>
      </w:r>
      <w:r w:rsidRPr="007F28C1">
        <w:rPr>
          <w:rFonts w:ascii="Times New Roman" w:hAnsi="Times New Roman" w:cs="Times New Roman"/>
          <w:sz w:val="24"/>
          <w:szCs w:val="24"/>
        </w:rPr>
        <w:t>m</w:t>
      </w:r>
      <w:r w:rsidR="009A0FDE" w:rsidRPr="007F28C1">
        <w:rPr>
          <w:rFonts w:ascii="Times New Roman" w:hAnsi="Times New Roman" w:cs="Times New Roman"/>
          <w:sz w:val="24"/>
          <w:szCs w:val="24"/>
        </w:rPr>
        <w:t>o</w:t>
      </w:r>
      <w:r w:rsidRPr="007F28C1">
        <w:rPr>
          <w:rFonts w:ascii="Times New Roman" w:hAnsi="Times New Roman" w:cs="Times New Roman"/>
          <w:sz w:val="24"/>
          <w:szCs w:val="24"/>
        </w:rPr>
        <w:t>gł</w:t>
      </w:r>
      <w:r w:rsidR="009A0FDE" w:rsidRPr="007F28C1">
        <w:rPr>
          <w:rFonts w:ascii="Times New Roman" w:hAnsi="Times New Roman" w:cs="Times New Roman"/>
          <w:sz w:val="24"/>
          <w:szCs w:val="24"/>
        </w:rPr>
        <w:t>y</w:t>
      </w:r>
      <w:r w:rsidRPr="007F28C1">
        <w:rPr>
          <w:rFonts w:ascii="Times New Roman" w:hAnsi="Times New Roman" w:cs="Times New Roman"/>
          <w:sz w:val="24"/>
          <w:szCs w:val="24"/>
        </w:rPr>
        <w:t xml:space="preserve"> wyrażać, w ramach współdziałania organów, jedynie opinię. Gminy, nie będąc związane takim stanowiskiem, niejednokrotnie dopuszczały zagospodarowanie swoich terenów wbrew wskazówkom</w:t>
      </w:r>
      <w:r w:rsidR="00B419F6" w:rsidRPr="007F28C1">
        <w:rPr>
          <w:rFonts w:ascii="Times New Roman" w:hAnsi="Times New Roman" w:cs="Times New Roman"/>
          <w:sz w:val="24"/>
          <w:szCs w:val="24"/>
        </w:rPr>
        <w:t xml:space="preserve"> OAG</w:t>
      </w:r>
      <w:r w:rsidRPr="007F28C1">
        <w:rPr>
          <w:rFonts w:ascii="Times New Roman" w:hAnsi="Times New Roman" w:cs="Times New Roman"/>
          <w:sz w:val="24"/>
          <w:szCs w:val="24"/>
        </w:rPr>
        <w:t xml:space="preserve">. Otwierało to drogę do dopuszczenia zabudowy terenu ze złożami kopalin w sposób uniemożliwiający późniejsze wydobycie takich złóż. Proponowana regulacja służy uniknięciu podobnych sytuacji, co ma szczególne znaczenie z punktu widzenia ochrony złóż strategicznych przed trwałą zabudową. </w:t>
      </w:r>
    </w:p>
    <w:p w14:paraId="1A2AF597" w14:textId="02F56E27" w:rsidR="001E5643"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Właściwość rzeczowa </w:t>
      </w:r>
      <w:r w:rsidR="00B419F6" w:rsidRPr="007F28C1">
        <w:rPr>
          <w:rFonts w:ascii="Times New Roman" w:hAnsi="Times New Roman" w:cs="Times New Roman"/>
          <w:sz w:val="24"/>
          <w:szCs w:val="24"/>
        </w:rPr>
        <w:t>m</w:t>
      </w:r>
      <w:r w:rsidR="00E63EF3" w:rsidRPr="007F28C1">
        <w:rPr>
          <w:rFonts w:ascii="Times New Roman" w:hAnsi="Times New Roman" w:cs="Times New Roman"/>
          <w:sz w:val="24"/>
          <w:szCs w:val="24"/>
        </w:rPr>
        <w:t>inistra</w:t>
      </w:r>
      <w:r w:rsidR="004E5DAA" w:rsidRPr="007F28C1">
        <w:rPr>
          <w:rFonts w:ascii="Times New Roman" w:hAnsi="Times New Roman" w:cs="Times New Roman"/>
          <w:sz w:val="24"/>
          <w:szCs w:val="24"/>
        </w:rPr>
        <w:t xml:space="preserve"> </w:t>
      </w:r>
      <w:r w:rsidR="00B419F6" w:rsidRPr="007F28C1">
        <w:rPr>
          <w:rFonts w:ascii="Times New Roman" w:hAnsi="Times New Roman" w:cs="Times New Roman"/>
          <w:sz w:val="24"/>
          <w:szCs w:val="24"/>
        </w:rPr>
        <w:t xml:space="preserve">właściwego do spraw środowiska </w:t>
      </w:r>
      <w:r w:rsidRPr="007F28C1">
        <w:rPr>
          <w:rFonts w:ascii="Times New Roman" w:hAnsi="Times New Roman" w:cs="Times New Roman"/>
          <w:sz w:val="24"/>
          <w:szCs w:val="24"/>
        </w:rPr>
        <w:t>będzie przewidziana również do uzgadniania</w:t>
      </w:r>
      <w:r w:rsidR="00656E74" w:rsidRPr="007F28C1">
        <w:rPr>
          <w:rFonts w:ascii="Times New Roman" w:hAnsi="Times New Roman" w:cs="Times New Roman"/>
          <w:sz w:val="24"/>
          <w:szCs w:val="24"/>
        </w:rPr>
        <w:t xml:space="preserve"> </w:t>
      </w:r>
      <w:r w:rsidR="008E38D8" w:rsidRPr="007F28C1">
        <w:rPr>
          <w:rFonts w:ascii="Times New Roman" w:hAnsi="Times New Roman" w:cs="Times New Roman"/>
          <w:sz w:val="24"/>
          <w:szCs w:val="24"/>
        </w:rPr>
        <w:t xml:space="preserve">decyzji o ustaleniu lokalizacji inwestycji celu publicznego oraz decyzji o warunkach zabudowy </w:t>
      </w:r>
      <w:r w:rsidRPr="007F28C1">
        <w:rPr>
          <w:rFonts w:ascii="Times New Roman" w:hAnsi="Times New Roman" w:cs="Times New Roman"/>
          <w:sz w:val="24"/>
          <w:szCs w:val="24"/>
        </w:rPr>
        <w:t>w</w:t>
      </w:r>
      <w:r w:rsidR="00FC29C8" w:rsidRPr="007F28C1">
        <w:rPr>
          <w:rFonts w:ascii="Times New Roman" w:hAnsi="Times New Roman" w:cs="Times New Roman"/>
          <w:sz w:val="24"/>
          <w:szCs w:val="24"/>
        </w:rPr>
        <w:t> </w:t>
      </w:r>
      <w:r w:rsidRPr="007F28C1">
        <w:rPr>
          <w:rFonts w:ascii="Times New Roman" w:hAnsi="Times New Roman" w:cs="Times New Roman"/>
          <w:sz w:val="24"/>
          <w:szCs w:val="24"/>
        </w:rPr>
        <w:t>zakresie złóż kopalin wymienionych w art. 10 ust. 1 P.g.g.</w:t>
      </w:r>
      <w:r w:rsidR="00272CC8" w:rsidRPr="007F28C1">
        <w:rPr>
          <w:rFonts w:ascii="Times New Roman" w:hAnsi="Times New Roman" w:cs="Times New Roman"/>
          <w:sz w:val="24"/>
          <w:szCs w:val="24"/>
        </w:rPr>
        <w:t xml:space="preserve"> </w:t>
      </w:r>
      <w:r w:rsidR="00E11006" w:rsidRPr="007F28C1">
        <w:rPr>
          <w:rFonts w:ascii="Times New Roman" w:hAnsi="Times New Roman" w:cs="Times New Roman"/>
          <w:sz w:val="24"/>
          <w:szCs w:val="24"/>
        </w:rPr>
        <w:t xml:space="preserve">oraz złóż kopalin określonych w art. 10 ust. 3, które zostały uznane za strategiczne, a także </w:t>
      </w:r>
      <w:r w:rsidRPr="007F28C1">
        <w:rPr>
          <w:rFonts w:ascii="Times New Roman" w:hAnsi="Times New Roman" w:cs="Times New Roman"/>
          <w:sz w:val="24"/>
          <w:szCs w:val="24"/>
        </w:rPr>
        <w:t>kompleksów podziemnego składowania dwutlenku węgla</w:t>
      </w:r>
      <w:r w:rsidR="00E11006" w:rsidRPr="007F28C1">
        <w:rPr>
          <w:rFonts w:ascii="Times New Roman" w:hAnsi="Times New Roman" w:cs="Times New Roman"/>
          <w:sz w:val="24"/>
          <w:szCs w:val="24"/>
        </w:rPr>
        <w:t xml:space="preserve"> i</w:t>
      </w:r>
      <w:r w:rsidR="00272CC8" w:rsidRPr="007F28C1">
        <w:rPr>
          <w:rFonts w:ascii="Times New Roman" w:hAnsi="Times New Roman" w:cs="Times New Roman"/>
          <w:sz w:val="24"/>
          <w:szCs w:val="24"/>
        </w:rPr>
        <w:t xml:space="preserve"> bezzbiornikowych magazynów substancji</w:t>
      </w:r>
      <w:r w:rsidRPr="007F28C1">
        <w:rPr>
          <w:rFonts w:ascii="Times New Roman" w:hAnsi="Times New Roman" w:cs="Times New Roman"/>
          <w:sz w:val="24"/>
          <w:szCs w:val="24"/>
        </w:rPr>
        <w:t>. Spod zakresu uzgadniania</w:t>
      </w:r>
      <w:r w:rsidR="002C39D3"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przez </w:t>
      </w:r>
      <w:r w:rsidR="00B419F6" w:rsidRPr="007F28C1">
        <w:rPr>
          <w:rFonts w:ascii="Times New Roman" w:hAnsi="Times New Roman" w:cs="Times New Roman"/>
          <w:sz w:val="24"/>
          <w:szCs w:val="24"/>
        </w:rPr>
        <w:t>m</w:t>
      </w:r>
      <w:r w:rsidR="00E63EF3" w:rsidRPr="007F28C1">
        <w:rPr>
          <w:rFonts w:ascii="Times New Roman" w:hAnsi="Times New Roman" w:cs="Times New Roman"/>
          <w:sz w:val="24"/>
          <w:szCs w:val="24"/>
        </w:rPr>
        <w:t>inistra</w:t>
      </w:r>
      <w:r w:rsidR="00D5115E" w:rsidRPr="007F28C1">
        <w:rPr>
          <w:rFonts w:ascii="Times New Roman" w:hAnsi="Times New Roman" w:cs="Times New Roman"/>
          <w:sz w:val="24"/>
          <w:szCs w:val="24"/>
        </w:rPr>
        <w:t xml:space="preserve"> właściwego do spraw środowiska</w:t>
      </w:r>
      <w:r w:rsidR="004E5DAA" w:rsidRPr="007F28C1">
        <w:rPr>
          <w:rFonts w:ascii="Times New Roman" w:hAnsi="Times New Roman" w:cs="Times New Roman"/>
          <w:sz w:val="24"/>
          <w:szCs w:val="24"/>
        </w:rPr>
        <w:t xml:space="preserve"> </w:t>
      </w:r>
      <w:r w:rsidR="009C1169" w:rsidRPr="007F28C1">
        <w:rPr>
          <w:rFonts w:ascii="Times New Roman" w:hAnsi="Times New Roman" w:cs="Times New Roman"/>
          <w:sz w:val="24"/>
          <w:szCs w:val="24"/>
        </w:rPr>
        <w:t xml:space="preserve">zostaną </w:t>
      </w:r>
      <w:r w:rsidRPr="007F28C1">
        <w:rPr>
          <w:rFonts w:ascii="Times New Roman" w:hAnsi="Times New Roman" w:cs="Times New Roman"/>
          <w:sz w:val="24"/>
          <w:szCs w:val="24"/>
        </w:rPr>
        <w:t xml:space="preserve">wyłączone projekty decyzji obejmujące wyłącznie zmianę sposobu użytkowania obiektu budowlanego. Tego typu projekty </w:t>
      </w:r>
      <w:r w:rsidR="00F62EA6" w:rsidRPr="007F28C1">
        <w:rPr>
          <w:rFonts w:ascii="Times New Roman" w:hAnsi="Times New Roman" w:cs="Times New Roman"/>
          <w:sz w:val="24"/>
          <w:szCs w:val="24"/>
        </w:rPr>
        <w:t xml:space="preserve">będzie </w:t>
      </w:r>
      <w:r w:rsidRPr="007F28C1">
        <w:rPr>
          <w:rFonts w:ascii="Times New Roman" w:hAnsi="Times New Roman" w:cs="Times New Roman"/>
          <w:sz w:val="24"/>
          <w:szCs w:val="24"/>
        </w:rPr>
        <w:t>uzgadniać marszałek województwa</w:t>
      </w:r>
      <w:r w:rsidR="002C39D3" w:rsidRPr="007F28C1">
        <w:rPr>
          <w:rFonts w:ascii="Times New Roman" w:hAnsi="Times New Roman" w:cs="Times New Roman"/>
          <w:sz w:val="24"/>
          <w:szCs w:val="24"/>
        </w:rPr>
        <w:t xml:space="preserve"> także w odniesieniu do złóż z art. 10 ust. 1 P.g.g</w:t>
      </w:r>
      <w:r w:rsidRPr="007F28C1">
        <w:rPr>
          <w:rFonts w:ascii="Times New Roman" w:hAnsi="Times New Roman" w:cs="Times New Roman"/>
          <w:sz w:val="24"/>
          <w:szCs w:val="24"/>
        </w:rPr>
        <w:t>. Wprowadzenie ww. rozwiązania jest uzasadnione potrzebą pozostawienia we właściwości naczelnego organu administracji tylko kluczowych – kierunkowych rozstrzygnięć,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tym dotyczących lokalizacji nowych obiektów budowlanych na terenach znajdujących się ponad złożami kopalin. </w:t>
      </w:r>
      <w:r w:rsidR="009747F8" w:rsidRPr="007F28C1">
        <w:rPr>
          <w:rFonts w:ascii="Times New Roman" w:hAnsi="Times New Roman" w:cs="Times New Roman"/>
          <w:sz w:val="24"/>
          <w:szCs w:val="24"/>
        </w:rPr>
        <w:t xml:space="preserve">Natomiast </w:t>
      </w:r>
      <w:r w:rsidRPr="007F28C1">
        <w:rPr>
          <w:rFonts w:ascii="Times New Roman" w:hAnsi="Times New Roman" w:cs="Times New Roman"/>
          <w:sz w:val="24"/>
          <w:szCs w:val="24"/>
        </w:rPr>
        <w:t>decyzje</w:t>
      </w:r>
      <w:r w:rsidR="009747F8" w:rsidRPr="007F28C1">
        <w:rPr>
          <w:rFonts w:ascii="Times New Roman" w:hAnsi="Times New Roman" w:cs="Times New Roman"/>
          <w:sz w:val="24"/>
          <w:szCs w:val="24"/>
        </w:rPr>
        <w:t xml:space="preserve"> związane np. z dobudową balkonu bez istotnej zmiany konstrukcji budynku lub przebudową dachu </w:t>
      </w:r>
      <w:r w:rsidRPr="007F28C1">
        <w:rPr>
          <w:rFonts w:ascii="Times New Roman" w:hAnsi="Times New Roman" w:cs="Times New Roman"/>
          <w:sz w:val="24"/>
          <w:szCs w:val="24"/>
        </w:rPr>
        <w:t xml:space="preserve">nie mogą w żaden sposób zagrażać złożom kopalin, </w:t>
      </w:r>
      <w:r w:rsidR="009747F8" w:rsidRPr="007F28C1">
        <w:rPr>
          <w:rFonts w:ascii="Times New Roman" w:hAnsi="Times New Roman" w:cs="Times New Roman"/>
          <w:sz w:val="24"/>
          <w:szCs w:val="24"/>
        </w:rPr>
        <w:t xml:space="preserve">dlatego </w:t>
      </w:r>
      <w:r w:rsidRPr="007F28C1">
        <w:rPr>
          <w:rFonts w:ascii="Times New Roman" w:hAnsi="Times New Roman" w:cs="Times New Roman"/>
          <w:sz w:val="24"/>
          <w:szCs w:val="24"/>
        </w:rPr>
        <w:t xml:space="preserve">regulacja zakłada, że sprawy te zostaną przekazane </w:t>
      </w:r>
      <w:r w:rsidR="00F62EA6"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bez uszczerbku dla ich ochrony </w:t>
      </w:r>
      <w:r w:rsidR="00F62EA6" w:rsidRPr="007F28C1">
        <w:rPr>
          <w:rFonts w:ascii="Times New Roman" w:hAnsi="Times New Roman" w:cs="Times New Roman"/>
          <w:sz w:val="24"/>
          <w:szCs w:val="24"/>
        </w:rPr>
        <w:t xml:space="preserve">– </w:t>
      </w:r>
      <w:r w:rsidRPr="007F28C1">
        <w:rPr>
          <w:rFonts w:ascii="Times New Roman" w:hAnsi="Times New Roman" w:cs="Times New Roman"/>
          <w:sz w:val="24"/>
          <w:szCs w:val="24"/>
        </w:rPr>
        <w:t>do</w:t>
      </w:r>
      <w:r w:rsidR="00FC29C8" w:rsidRPr="007F28C1">
        <w:rPr>
          <w:rFonts w:ascii="Times New Roman" w:hAnsi="Times New Roman" w:cs="Times New Roman"/>
          <w:sz w:val="24"/>
          <w:szCs w:val="24"/>
        </w:rPr>
        <w:t> </w:t>
      </w:r>
      <w:r w:rsidRPr="007F28C1">
        <w:rPr>
          <w:rFonts w:ascii="Times New Roman" w:hAnsi="Times New Roman" w:cs="Times New Roman"/>
          <w:sz w:val="24"/>
          <w:szCs w:val="24"/>
        </w:rPr>
        <w:t>właściwości marszałka województwa.</w:t>
      </w:r>
      <w:r w:rsidR="001E5643" w:rsidRPr="007F28C1">
        <w:rPr>
          <w:rFonts w:ascii="Times New Roman" w:hAnsi="Times New Roman" w:cs="Times New Roman"/>
          <w:sz w:val="24"/>
          <w:szCs w:val="24"/>
        </w:rPr>
        <w:t xml:space="preserve"> </w:t>
      </w:r>
    </w:p>
    <w:p w14:paraId="1506D403" w14:textId="1C8F8611" w:rsidR="00C961E9" w:rsidRPr="007F28C1" w:rsidRDefault="001E5643"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 przepisach przejściowych przewidziano, że nowe zasady dotyczące uzgadniania dokumentów planistycznych znajdą zastosowanie do wszczętych i niezakończonych postępowań w sprawie opiniowania i uzgadniania projektów dokumentów planistycznych.</w:t>
      </w:r>
      <w:r w:rsidR="00CB027F" w:rsidRPr="007F28C1">
        <w:rPr>
          <w:rFonts w:ascii="Times New Roman" w:hAnsi="Times New Roman" w:cs="Times New Roman"/>
          <w:sz w:val="24"/>
          <w:szCs w:val="24"/>
        </w:rPr>
        <w:t xml:space="preserve"> Zaprojektowane rozwiązanie wpisuje się w powszechną praktykę w zakresie uzgadniania projektów decyzji o warunkach zabudowy w odniesieniu do udokumentowanych złóż kopalin sprzed wydania wyroku NSA z dnia 18.02.2021 r. oraz zagwarantuje udział organów mających charakter wyspecjalizowany przy współdziałaniu, wynikający z realizowanych przez nie zadań.</w:t>
      </w:r>
    </w:p>
    <w:p w14:paraId="42003235" w14:textId="30B1C03D"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Dokonując ww. uzgodnień</w:t>
      </w:r>
      <w:r w:rsidR="00AD0EDB" w:rsidRPr="007F28C1">
        <w:rPr>
          <w:rFonts w:ascii="Times New Roman" w:hAnsi="Times New Roman" w:cs="Times New Roman"/>
          <w:sz w:val="24"/>
          <w:szCs w:val="24"/>
        </w:rPr>
        <w:t>,</w:t>
      </w:r>
      <w:r w:rsidRPr="007F28C1">
        <w:rPr>
          <w:rFonts w:ascii="Times New Roman" w:hAnsi="Times New Roman" w:cs="Times New Roman"/>
          <w:sz w:val="24"/>
          <w:szCs w:val="24"/>
        </w:rPr>
        <w:t xml:space="preserve"> OAG powinien kierować się przede wszystkim koniecznością ochrony udokumentowanych złóż kopalin (w szczególności złóż strategicznych) przed zagospodarowaniem</w:t>
      </w:r>
      <w:r w:rsidR="00F62EA6" w:rsidRPr="007F28C1">
        <w:rPr>
          <w:rFonts w:ascii="Times New Roman" w:hAnsi="Times New Roman" w:cs="Times New Roman"/>
          <w:sz w:val="24"/>
          <w:szCs w:val="24"/>
        </w:rPr>
        <w:t xml:space="preserve"> </w:t>
      </w:r>
      <w:r w:rsidRPr="007F28C1">
        <w:rPr>
          <w:rFonts w:ascii="Times New Roman" w:hAnsi="Times New Roman" w:cs="Times New Roman"/>
          <w:sz w:val="24"/>
          <w:szCs w:val="24"/>
        </w:rPr>
        <w:t>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sposób wykluczający ich eksploatację w przyszłości. Dzięki temu przepisy będą w bardziej wyraźny sposób odzwierciedlały zasadę ochrony złóż kopalin. </w:t>
      </w:r>
    </w:p>
    <w:p w14:paraId="1C930129" w14:textId="7733BCE4"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lastRenderedPageBreak/>
        <w:t xml:space="preserve">Zmiany przepisów P.g.g. z zakresu ochrony złóż kopalin przewidują też uzupełnienie zakresu zadań </w:t>
      </w:r>
      <w:r w:rsidR="00A65A69" w:rsidRPr="007F28C1">
        <w:rPr>
          <w:rFonts w:ascii="Times New Roman" w:hAnsi="Times New Roman" w:cs="Times New Roman"/>
          <w:sz w:val="24"/>
          <w:szCs w:val="24"/>
        </w:rPr>
        <w:t xml:space="preserve">PSG </w:t>
      </w:r>
      <w:r w:rsidRPr="007F28C1">
        <w:rPr>
          <w:rFonts w:ascii="Times New Roman" w:hAnsi="Times New Roman" w:cs="Times New Roman"/>
          <w:sz w:val="24"/>
          <w:szCs w:val="24"/>
        </w:rPr>
        <w:t>wymienionych w art. 162 P.g.g. o sporządzanie opinii, o któr</w:t>
      </w:r>
      <w:r w:rsidR="008B5884" w:rsidRPr="007F28C1">
        <w:rPr>
          <w:rFonts w:ascii="Times New Roman" w:hAnsi="Times New Roman" w:cs="Times New Roman"/>
          <w:sz w:val="24"/>
          <w:szCs w:val="24"/>
        </w:rPr>
        <w:t>ej</w:t>
      </w:r>
      <w:r w:rsidRPr="007F28C1">
        <w:rPr>
          <w:rFonts w:ascii="Times New Roman" w:hAnsi="Times New Roman" w:cs="Times New Roman"/>
          <w:sz w:val="24"/>
          <w:szCs w:val="24"/>
        </w:rPr>
        <w:t xml:space="preserve"> mowa w nowo</w:t>
      </w:r>
      <w:r w:rsidR="00235F1B">
        <w:rPr>
          <w:rFonts w:ascii="Times New Roman" w:hAnsi="Times New Roman" w:cs="Times New Roman"/>
          <w:sz w:val="24"/>
          <w:szCs w:val="24"/>
        </w:rPr>
        <w:t xml:space="preserve"> </w:t>
      </w:r>
      <w:r w:rsidRPr="007F28C1">
        <w:rPr>
          <w:rFonts w:ascii="Times New Roman" w:hAnsi="Times New Roman" w:cs="Times New Roman"/>
          <w:sz w:val="24"/>
          <w:szCs w:val="24"/>
        </w:rPr>
        <w:t>projektowanym</w:t>
      </w:r>
      <w:r w:rsidR="000D4FF9" w:rsidRPr="007F28C1">
        <w:rPr>
          <w:rFonts w:ascii="Times New Roman" w:hAnsi="Times New Roman" w:cs="Times New Roman"/>
          <w:sz w:val="24"/>
          <w:szCs w:val="24"/>
        </w:rPr>
        <w:t xml:space="preserve"> </w:t>
      </w:r>
      <w:r w:rsidRPr="007F28C1">
        <w:rPr>
          <w:rFonts w:ascii="Times New Roman" w:hAnsi="Times New Roman" w:cs="Times New Roman"/>
          <w:sz w:val="24"/>
          <w:szCs w:val="24"/>
        </w:rPr>
        <w:t>art.</w:t>
      </w:r>
      <w:r w:rsidR="0077761F" w:rsidRPr="007F28C1">
        <w:rPr>
          <w:rFonts w:ascii="Times New Roman" w:hAnsi="Times New Roman" w:cs="Times New Roman"/>
          <w:sz w:val="24"/>
          <w:szCs w:val="24"/>
        </w:rPr>
        <w:t> </w:t>
      </w:r>
      <w:r w:rsidRPr="007F28C1">
        <w:rPr>
          <w:rFonts w:ascii="Times New Roman" w:hAnsi="Times New Roman" w:cs="Times New Roman"/>
          <w:sz w:val="24"/>
          <w:szCs w:val="24"/>
        </w:rPr>
        <w:t>9</w:t>
      </w:r>
      <w:r w:rsidR="00197AC3" w:rsidRPr="007F28C1">
        <w:rPr>
          <w:rFonts w:ascii="Times New Roman" w:hAnsi="Times New Roman" w:cs="Times New Roman"/>
          <w:sz w:val="24"/>
          <w:szCs w:val="24"/>
        </w:rPr>
        <w:t>4</w:t>
      </w:r>
      <w:r w:rsidRPr="007F28C1">
        <w:rPr>
          <w:rFonts w:ascii="Times New Roman" w:hAnsi="Times New Roman" w:cs="Times New Roman"/>
          <w:sz w:val="24"/>
          <w:szCs w:val="24"/>
        </w:rPr>
        <w:t xml:space="preserve">a ust. </w:t>
      </w:r>
      <w:r w:rsidR="00197AC3" w:rsidRPr="007F28C1">
        <w:rPr>
          <w:rFonts w:ascii="Times New Roman" w:hAnsi="Times New Roman" w:cs="Times New Roman"/>
          <w:sz w:val="24"/>
          <w:szCs w:val="24"/>
        </w:rPr>
        <w:t>7</w:t>
      </w:r>
      <w:r w:rsidRPr="007F28C1">
        <w:rPr>
          <w:rFonts w:ascii="Times New Roman" w:hAnsi="Times New Roman" w:cs="Times New Roman"/>
          <w:sz w:val="24"/>
          <w:szCs w:val="24"/>
        </w:rPr>
        <w:t xml:space="preserve"> P.g.g., tj. opinii o </w:t>
      </w:r>
      <w:r w:rsidR="00AD0EDB" w:rsidRPr="007F28C1">
        <w:rPr>
          <w:rFonts w:ascii="Times New Roman" w:hAnsi="Times New Roman" w:cs="Times New Roman"/>
          <w:sz w:val="24"/>
          <w:szCs w:val="24"/>
        </w:rPr>
        <w:t xml:space="preserve">zasadności </w:t>
      </w:r>
      <w:r w:rsidR="008863FE" w:rsidRPr="007F28C1">
        <w:rPr>
          <w:rFonts w:ascii="Times New Roman" w:hAnsi="Times New Roman" w:cs="Times New Roman"/>
          <w:sz w:val="24"/>
          <w:szCs w:val="24"/>
        </w:rPr>
        <w:t>uznania</w:t>
      </w:r>
      <w:r w:rsidRPr="007F28C1">
        <w:rPr>
          <w:rFonts w:ascii="Times New Roman" w:hAnsi="Times New Roman" w:cs="Times New Roman"/>
          <w:sz w:val="24"/>
          <w:szCs w:val="24"/>
        </w:rPr>
        <w:t xml:space="preserve"> złoża </w:t>
      </w:r>
      <w:r w:rsidR="008863FE" w:rsidRPr="007F28C1">
        <w:rPr>
          <w:rFonts w:ascii="Times New Roman" w:hAnsi="Times New Roman" w:cs="Times New Roman"/>
          <w:sz w:val="24"/>
          <w:szCs w:val="24"/>
        </w:rPr>
        <w:t xml:space="preserve">kopaliny za </w:t>
      </w:r>
      <w:r w:rsidRPr="007F28C1">
        <w:rPr>
          <w:rFonts w:ascii="Times New Roman" w:hAnsi="Times New Roman" w:cs="Times New Roman"/>
          <w:sz w:val="24"/>
          <w:szCs w:val="24"/>
        </w:rPr>
        <w:t xml:space="preserve">strategiczne. Rozbudowa katalogu zadań PSG jest konsekwencją wprowadzenia do P.g.g. nowej procedury </w:t>
      </w:r>
      <w:r w:rsidR="008863FE" w:rsidRPr="007F28C1">
        <w:rPr>
          <w:rFonts w:ascii="Times New Roman" w:hAnsi="Times New Roman" w:cs="Times New Roman"/>
          <w:sz w:val="24"/>
          <w:szCs w:val="24"/>
        </w:rPr>
        <w:t xml:space="preserve">mającej </w:t>
      </w:r>
      <w:r w:rsidR="008B5884" w:rsidRPr="007F28C1">
        <w:rPr>
          <w:rFonts w:ascii="Times New Roman" w:hAnsi="Times New Roman" w:cs="Times New Roman"/>
          <w:sz w:val="24"/>
          <w:szCs w:val="24"/>
        </w:rPr>
        <w:t xml:space="preserve">na celu </w:t>
      </w:r>
      <w:r w:rsidR="008863FE" w:rsidRPr="007F28C1">
        <w:rPr>
          <w:rFonts w:ascii="Times New Roman" w:hAnsi="Times New Roman" w:cs="Times New Roman"/>
          <w:sz w:val="24"/>
          <w:szCs w:val="24"/>
        </w:rPr>
        <w:t>uznanie</w:t>
      </w:r>
      <w:r w:rsidRPr="007F28C1">
        <w:rPr>
          <w:rFonts w:ascii="Times New Roman" w:hAnsi="Times New Roman" w:cs="Times New Roman"/>
          <w:sz w:val="24"/>
          <w:szCs w:val="24"/>
        </w:rPr>
        <w:t xml:space="preserve"> złoż</w:t>
      </w:r>
      <w:r w:rsidR="008B5884" w:rsidRPr="007F28C1">
        <w:rPr>
          <w:rFonts w:ascii="Times New Roman" w:hAnsi="Times New Roman" w:cs="Times New Roman"/>
          <w:sz w:val="24"/>
          <w:szCs w:val="24"/>
        </w:rPr>
        <w:t>a</w:t>
      </w:r>
      <w:r w:rsidRPr="007F28C1">
        <w:rPr>
          <w:rFonts w:ascii="Times New Roman" w:hAnsi="Times New Roman" w:cs="Times New Roman"/>
          <w:sz w:val="24"/>
          <w:szCs w:val="24"/>
        </w:rPr>
        <w:t xml:space="preserve"> </w:t>
      </w:r>
      <w:r w:rsidR="008863FE" w:rsidRPr="007F28C1">
        <w:rPr>
          <w:rFonts w:ascii="Times New Roman" w:hAnsi="Times New Roman" w:cs="Times New Roman"/>
          <w:sz w:val="24"/>
          <w:szCs w:val="24"/>
        </w:rPr>
        <w:t xml:space="preserve">za </w:t>
      </w:r>
      <w:r w:rsidRPr="007F28C1">
        <w:rPr>
          <w:rFonts w:ascii="Times New Roman" w:hAnsi="Times New Roman" w:cs="Times New Roman"/>
          <w:sz w:val="24"/>
          <w:szCs w:val="24"/>
        </w:rPr>
        <w:t xml:space="preserve">strategiczne. </w:t>
      </w:r>
    </w:p>
    <w:p w14:paraId="68EE7100" w14:textId="6870B906" w:rsidR="003210AE" w:rsidRPr="007F28C1" w:rsidRDefault="00DD0CDF" w:rsidP="007F28C1">
      <w:pPr>
        <w:pStyle w:val="Akapitzlist"/>
        <w:numPr>
          <w:ilvl w:val="0"/>
          <w:numId w:val="15"/>
        </w:numPr>
        <w:suppressAutoHyphens/>
        <w:spacing w:before="240" w:after="0" w:line="360" w:lineRule="auto"/>
        <w:ind w:left="397" w:hanging="397"/>
        <w:contextualSpacing w:val="0"/>
        <w:jc w:val="both"/>
        <w:rPr>
          <w:rFonts w:ascii="Times New Roman" w:hAnsi="Times New Roman" w:cs="Times New Roman"/>
          <w:b/>
          <w:bCs/>
          <w:sz w:val="24"/>
          <w:szCs w:val="24"/>
        </w:rPr>
      </w:pPr>
      <w:r w:rsidRPr="007F28C1">
        <w:rPr>
          <w:rFonts w:ascii="Times New Roman" w:hAnsi="Times New Roman" w:cs="Times New Roman"/>
          <w:b/>
          <w:bCs/>
          <w:sz w:val="24"/>
          <w:szCs w:val="24"/>
        </w:rPr>
        <w:t>Zmiany w innych ustawach</w:t>
      </w:r>
    </w:p>
    <w:p w14:paraId="60C45548" w14:textId="491700FC"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zakresie dotyczącym ochrony złóż projekt nowelizacji zakłada również modyfikację przepisów innych ustaw, w tym przede wszystkim u.p.z.p. Zmiana ta jest wynikiem </w:t>
      </w:r>
      <w:r w:rsidR="00AD0EDB" w:rsidRPr="007F28C1">
        <w:rPr>
          <w:rFonts w:ascii="Times New Roman" w:hAnsi="Times New Roman" w:cs="Times New Roman"/>
          <w:sz w:val="24"/>
          <w:szCs w:val="24"/>
        </w:rPr>
        <w:t xml:space="preserve">doprecyzowania </w:t>
      </w:r>
      <w:r w:rsidRPr="007F28C1">
        <w:rPr>
          <w:rFonts w:ascii="Times New Roman" w:hAnsi="Times New Roman" w:cs="Times New Roman"/>
          <w:sz w:val="24"/>
          <w:szCs w:val="24"/>
        </w:rPr>
        <w:t xml:space="preserve">w P.g.g. właściwości rzeczowej </w:t>
      </w:r>
      <w:r w:rsidR="00BD2D72" w:rsidRPr="007F28C1">
        <w:rPr>
          <w:rFonts w:ascii="Times New Roman" w:hAnsi="Times New Roman" w:cs="Times New Roman"/>
          <w:sz w:val="24"/>
          <w:szCs w:val="24"/>
        </w:rPr>
        <w:t>organów administracji geologicznej</w:t>
      </w:r>
      <w:r w:rsidR="00EC14CB" w:rsidRPr="007F28C1">
        <w:rPr>
          <w:rFonts w:ascii="Times New Roman" w:hAnsi="Times New Roman" w:cs="Times New Roman"/>
          <w:sz w:val="24"/>
          <w:szCs w:val="24"/>
        </w:rPr>
        <w:t xml:space="preserve">. </w:t>
      </w:r>
      <w:r w:rsidRPr="007F28C1">
        <w:rPr>
          <w:rFonts w:ascii="Times New Roman" w:hAnsi="Times New Roman" w:cs="Times New Roman"/>
          <w:sz w:val="24"/>
          <w:szCs w:val="24"/>
        </w:rPr>
        <w:t>Nastąpi bowiem zmiana przepisów materialnych, które będą stanowić podstawę prawną rozstrzygnięć</w:t>
      </w:r>
      <w:r w:rsidR="00EC14CB" w:rsidRPr="007F28C1">
        <w:rPr>
          <w:rFonts w:ascii="Times New Roman" w:hAnsi="Times New Roman" w:cs="Times New Roman"/>
          <w:sz w:val="24"/>
          <w:szCs w:val="24"/>
        </w:rPr>
        <w:t xml:space="preserve"> </w:t>
      </w:r>
      <w:r w:rsidR="00BD2D72" w:rsidRPr="007F28C1">
        <w:rPr>
          <w:rFonts w:ascii="Times New Roman" w:hAnsi="Times New Roman" w:cs="Times New Roman"/>
          <w:sz w:val="24"/>
          <w:szCs w:val="24"/>
        </w:rPr>
        <w:t>centralnego organu administracji geologicznej</w:t>
      </w:r>
      <w:r w:rsidRPr="007F28C1">
        <w:rPr>
          <w:rFonts w:ascii="Times New Roman" w:hAnsi="Times New Roman" w:cs="Times New Roman"/>
          <w:sz w:val="24"/>
          <w:szCs w:val="24"/>
        </w:rPr>
        <w:t>.</w:t>
      </w:r>
      <w:r w:rsidR="00CB07FE"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Aby podkreślić rolę ochrony złóż kopalin na gruncie procedury planistycznej, projekt nowelizacji zakłada uzupełnienie przepisu art. 1 ust. 2 </w:t>
      </w:r>
      <w:r w:rsidR="00CB07FE" w:rsidRPr="007F28C1">
        <w:rPr>
          <w:rFonts w:ascii="Times New Roman" w:hAnsi="Times New Roman" w:cs="Times New Roman"/>
          <w:sz w:val="24"/>
          <w:szCs w:val="24"/>
        </w:rPr>
        <w:t xml:space="preserve">pkt 3 </w:t>
      </w:r>
      <w:r w:rsidRPr="007F28C1">
        <w:rPr>
          <w:rFonts w:ascii="Times New Roman" w:hAnsi="Times New Roman" w:cs="Times New Roman"/>
          <w:sz w:val="24"/>
          <w:szCs w:val="24"/>
        </w:rPr>
        <w:t>u.p.z.p. traktującego o czynnikach, jakie powinny być brane pod uwagę w planowaniu i zagospodarowaniu przestrzennym. Należy mianowicie sprecyzować, że wśród wymagań ochrony środowiska należy przede wszystkim brać pod uwagę, oprócz gospodarowania wodami</w:t>
      </w:r>
      <w:r w:rsidR="0012626E" w:rsidRPr="007F28C1">
        <w:rPr>
          <w:rFonts w:ascii="Times New Roman" w:hAnsi="Times New Roman" w:cs="Times New Roman"/>
          <w:sz w:val="24"/>
          <w:szCs w:val="24"/>
        </w:rPr>
        <w:t xml:space="preserve"> </w:t>
      </w:r>
      <w:r w:rsidRPr="007F28C1">
        <w:rPr>
          <w:rFonts w:ascii="Times New Roman" w:hAnsi="Times New Roman" w:cs="Times New Roman"/>
          <w:sz w:val="24"/>
          <w:szCs w:val="24"/>
        </w:rPr>
        <w:t>i ochron</w:t>
      </w:r>
      <w:r w:rsidR="00683648">
        <w:rPr>
          <w:rFonts w:ascii="Times New Roman" w:hAnsi="Times New Roman" w:cs="Times New Roman"/>
          <w:sz w:val="24"/>
          <w:szCs w:val="24"/>
        </w:rPr>
        <w:t>ą</w:t>
      </w:r>
      <w:r w:rsidRPr="007F28C1">
        <w:rPr>
          <w:rFonts w:ascii="Times New Roman" w:hAnsi="Times New Roman" w:cs="Times New Roman"/>
          <w:sz w:val="24"/>
          <w:szCs w:val="24"/>
        </w:rPr>
        <w:t xml:space="preserve"> gruntów rolnych i leśnych, również ochronę złóż kopalin.</w:t>
      </w:r>
      <w:r w:rsidR="005A4D73" w:rsidRPr="007F28C1">
        <w:rPr>
          <w:rFonts w:ascii="Times New Roman" w:hAnsi="Times New Roman" w:cs="Times New Roman"/>
          <w:sz w:val="24"/>
          <w:szCs w:val="24"/>
        </w:rPr>
        <w:t xml:space="preserve"> </w:t>
      </w:r>
      <w:r w:rsidR="00F62EA6" w:rsidRPr="007F28C1">
        <w:rPr>
          <w:rFonts w:ascii="Times New Roman" w:hAnsi="Times New Roman" w:cs="Times New Roman"/>
          <w:sz w:val="24"/>
          <w:szCs w:val="24"/>
        </w:rPr>
        <w:t>Prz</w:t>
      </w:r>
      <w:r w:rsidR="005A4D73" w:rsidRPr="007F28C1">
        <w:rPr>
          <w:rFonts w:ascii="Times New Roman" w:hAnsi="Times New Roman" w:cs="Times New Roman"/>
          <w:sz w:val="24"/>
          <w:szCs w:val="24"/>
        </w:rPr>
        <w:t>e</w:t>
      </w:r>
      <w:r w:rsidR="00F62EA6" w:rsidRPr="007F28C1">
        <w:rPr>
          <w:rFonts w:ascii="Times New Roman" w:hAnsi="Times New Roman" w:cs="Times New Roman"/>
          <w:sz w:val="24"/>
          <w:szCs w:val="24"/>
        </w:rPr>
        <w:t xml:space="preserve">pis </w:t>
      </w:r>
      <w:r w:rsidR="00AD0EDB" w:rsidRPr="007F28C1">
        <w:rPr>
          <w:rFonts w:ascii="Times New Roman" w:hAnsi="Times New Roman" w:cs="Times New Roman"/>
          <w:sz w:val="24"/>
          <w:szCs w:val="24"/>
        </w:rPr>
        <w:t>ten jest spójny oraz pozostaje w bezpośrednim związku z art.</w:t>
      </w:r>
      <w:r w:rsidR="00F62EA6" w:rsidRPr="007F28C1">
        <w:rPr>
          <w:rFonts w:ascii="Times New Roman" w:hAnsi="Times New Roman" w:cs="Times New Roman"/>
          <w:sz w:val="24"/>
          <w:szCs w:val="24"/>
        </w:rPr>
        <w:t xml:space="preserve"> </w:t>
      </w:r>
      <w:r w:rsidR="00AD0EDB" w:rsidRPr="007F28C1">
        <w:rPr>
          <w:rFonts w:ascii="Times New Roman" w:hAnsi="Times New Roman" w:cs="Times New Roman"/>
          <w:sz w:val="24"/>
          <w:szCs w:val="24"/>
        </w:rPr>
        <w:t xml:space="preserve">72 ust. 1 pkt 2 </w:t>
      </w:r>
      <w:r w:rsidR="00F62EA6" w:rsidRPr="007F28C1">
        <w:rPr>
          <w:rFonts w:ascii="Times New Roman" w:hAnsi="Times New Roman" w:cs="Times New Roman"/>
          <w:sz w:val="24"/>
          <w:szCs w:val="24"/>
        </w:rPr>
        <w:t xml:space="preserve">ustawy z dnia 27 kwietnia 2001 r. – Prawo ochrony środowiska </w:t>
      </w:r>
      <w:r w:rsidR="005A4D73" w:rsidRPr="007F28C1">
        <w:rPr>
          <w:rFonts w:ascii="Times New Roman" w:hAnsi="Times New Roman" w:cs="Times New Roman"/>
          <w:sz w:val="24"/>
          <w:szCs w:val="24"/>
        </w:rPr>
        <w:t>(Dz. U. z 2022 r. poz. 2556, z późn. zm.), zwanej dalej „</w:t>
      </w:r>
      <w:r w:rsidR="00AD0EDB" w:rsidRPr="007F28C1">
        <w:rPr>
          <w:rFonts w:ascii="Times New Roman" w:hAnsi="Times New Roman" w:cs="Times New Roman"/>
          <w:sz w:val="24"/>
          <w:szCs w:val="24"/>
        </w:rPr>
        <w:t>P.o.ś.</w:t>
      </w:r>
      <w:r w:rsidR="005A4D73" w:rsidRPr="007F28C1">
        <w:rPr>
          <w:rFonts w:ascii="Times New Roman" w:hAnsi="Times New Roman" w:cs="Times New Roman"/>
          <w:sz w:val="24"/>
          <w:szCs w:val="24"/>
        </w:rPr>
        <w:t>”.</w:t>
      </w:r>
    </w:p>
    <w:p w14:paraId="67089075" w14:textId="72F27E4E"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Pozostałe zmiany u.p.z.p. są konsekwencją dodania do P.g.g. art. 161a przewidującego właściwość rzeczową </w:t>
      </w:r>
      <w:r w:rsidR="005A4D73" w:rsidRPr="007F28C1">
        <w:rPr>
          <w:rFonts w:ascii="Times New Roman" w:hAnsi="Times New Roman" w:cs="Times New Roman"/>
          <w:sz w:val="24"/>
          <w:szCs w:val="24"/>
        </w:rPr>
        <w:t>m</w:t>
      </w:r>
      <w:r w:rsidR="0054044F" w:rsidRPr="007F28C1">
        <w:rPr>
          <w:rFonts w:ascii="Times New Roman" w:hAnsi="Times New Roman" w:cs="Times New Roman"/>
          <w:sz w:val="24"/>
          <w:szCs w:val="24"/>
        </w:rPr>
        <w:t xml:space="preserve">inistra </w:t>
      </w:r>
      <w:r w:rsidR="005A4D73" w:rsidRPr="007F28C1">
        <w:rPr>
          <w:rFonts w:ascii="Times New Roman" w:hAnsi="Times New Roman" w:cs="Times New Roman"/>
          <w:sz w:val="24"/>
          <w:szCs w:val="24"/>
        </w:rPr>
        <w:t>właściwego do spraw</w:t>
      </w:r>
      <w:r w:rsidR="0006789E" w:rsidRPr="007F28C1">
        <w:rPr>
          <w:rFonts w:ascii="Times New Roman" w:hAnsi="Times New Roman" w:cs="Times New Roman"/>
          <w:sz w:val="24"/>
          <w:szCs w:val="24"/>
        </w:rPr>
        <w:t xml:space="preserve"> środowiska</w:t>
      </w:r>
      <w:r w:rsidR="005A4D73" w:rsidRPr="007F28C1">
        <w:rPr>
          <w:rFonts w:ascii="Times New Roman" w:hAnsi="Times New Roman" w:cs="Times New Roman"/>
          <w:sz w:val="24"/>
          <w:szCs w:val="24"/>
        </w:rPr>
        <w:t xml:space="preserve"> </w:t>
      </w:r>
      <w:r w:rsidRPr="007F28C1">
        <w:rPr>
          <w:rFonts w:ascii="Times New Roman" w:hAnsi="Times New Roman" w:cs="Times New Roman"/>
          <w:sz w:val="24"/>
          <w:szCs w:val="24"/>
        </w:rPr>
        <w:t>w zakresie uzgadniania projektów dokumentów planistycznych, gdy chodzi o złoża kopalin określone w art. 10 ust. 1 P.g.g</w:t>
      </w:r>
      <w:r w:rsidR="00272CC8" w:rsidRPr="007F28C1">
        <w:rPr>
          <w:rFonts w:ascii="Times New Roman" w:hAnsi="Times New Roman" w:cs="Times New Roman"/>
          <w:sz w:val="24"/>
          <w:szCs w:val="24"/>
        </w:rPr>
        <w:t>.,</w:t>
      </w:r>
      <w:r w:rsidRPr="007F28C1">
        <w:rPr>
          <w:rFonts w:ascii="Times New Roman" w:hAnsi="Times New Roman" w:cs="Times New Roman"/>
          <w:sz w:val="24"/>
          <w:szCs w:val="24"/>
        </w:rPr>
        <w:t xml:space="preserve"> kompleks</w:t>
      </w:r>
      <w:r w:rsidR="00272CC8" w:rsidRPr="007F28C1">
        <w:rPr>
          <w:rFonts w:ascii="Times New Roman" w:hAnsi="Times New Roman" w:cs="Times New Roman"/>
          <w:sz w:val="24"/>
          <w:szCs w:val="24"/>
        </w:rPr>
        <w:t>y</w:t>
      </w:r>
      <w:r w:rsidRPr="007F28C1">
        <w:rPr>
          <w:rFonts w:ascii="Times New Roman" w:hAnsi="Times New Roman" w:cs="Times New Roman"/>
          <w:sz w:val="24"/>
          <w:szCs w:val="24"/>
        </w:rPr>
        <w:t xml:space="preserve"> podziemnego składowania dwutlenku węgla</w:t>
      </w:r>
      <w:r w:rsidR="00272CC8" w:rsidRPr="007F28C1">
        <w:rPr>
          <w:rFonts w:ascii="Times New Roman" w:hAnsi="Times New Roman" w:cs="Times New Roman"/>
          <w:sz w:val="24"/>
          <w:szCs w:val="24"/>
        </w:rPr>
        <w:t>, a także podziemne bezzbiornikowe magazyny substancji</w:t>
      </w:r>
      <w:r w:rsidRPr="007F28C1">
        <w:rPr>
          <w:rFonts w:ascii="Times New Roman" w:hAnsi="Times New Roman" w:cs="Times New Roman"/>
          <w:sz w:val="24"/>
          <w:szCs w:val="24"/>
        </w:rPr>
        <w:t xml:space="preserve">. Modyfikacji ulegają zatem wszystkie przepisy u.p.z.p. przewidujące współdziałanie </w:t>
      </w:r>
      <w:r w:rsidR="00BD2D72" w:rsidRPr="007F28C1">
        <w:rPr>
          <w:rFonts w:ascii="Times New Roman" w:hAnsi="Times New Roman" w:cs="Times New Roman"/>
          <w:sz w:val="24"/>
          <w:szCs w:val="24"/>
        </w:rPr>
        <w:t>organów administracji geologicznej</w:t>
      </w:r>
      <w:r w:rsidR="0054044F"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w procedurze weryfikacji dokumentów planistycznych uchwalanych lub wydawanych przez jednostki samorządu terytorialnego. Zmianie podlegają art. 11 pkt 5, art. 17 pkt 6, art. 41 ust. 1 u.p.z.p. m.in. przez wskazanie </w:t>
      </w:r>
      <w:r w:rsidR="005A4D73" w:rsidRPr="007F28C1">
        <w:rPr>
          <w:rFonts w:ascii="Times New Roman" w:hAnsi="Times New Roman" w:cs="Times New Roman"/>
          <w:sz w:val="24"/>
          <w:szCs w:val="24"/>
        </w:rPr>
        <w:t>m</w:t>
      </w:r>
      <w:r w:rsidR="0054044F" w:rsidRPr="007F28C1">
        <w:rPr>
          <w:rFonts w:ascii="Times New Roman" w:hAnsi="Times New Roman" w:cs="Times New Roman"/>
          <w:sz w:val="24"/>
          <w:szCs w:val="24"/>
        </w:rPr>
        <w:t>inistra</w:t>
      </w:r>
      <w:r w:rsidR="004E5DAA" w:rsidRPr="007F28C1">
        <w:rPr>
          <w:rFonts w:ascii="Times New Roman" w:hAnsi="Times New Roman" w:cs="Times New Roman"/>
          <w:sz w:val="24"/>
          <w:szCs w:val="24"/>
        </w:rPr>
        <w:t xml:space="preserve"> </w:t>
      </w:r>
      <w:r w:rsidR="005A4D73" w:rsidRPr="007F28C1">
        <w:rPr>
          <w:rFonts w:ascii="Times New Roman" w:hAnsi="Times New Roman" w:cs="Times New Roman"/>
          <w:sz w:val="24"/>
          <w:szCs w:val="24"/>
        </w:rPr>
        <w:t xml:space="preserve">właściwego do spraw </w:t>
      </w:r>
      <w:r w:rsidR="0006789E" w:rsidRPr="007F28C1">
        <w:rPr>
          <w:rFonts w:ascii="Times New Roman" w:hAnsi="Times New Roman" w:cs="Times New Roman"/>
          <w:sz w:val="24"/>
          <w:szCs w:val="24"/>
        </w:rPr>
        <w:t>środowiska</w:t>
      </w:r>
      <w:r w:rsidR="005A4D73"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jako </w:t>
      </w:r>
      <w:r w:rsidR="00CB622E" w:rsidRPr="007F28C1">
        <w:rPr>
          <w:rFonts w:ascii="Times New Roman" w:hAnsi="Times New Roman" w:cs="Times New Roman"/>
          <w:sz w:val="24"/>
          <w:szCs w:val="24"/>
        </w:rPr>
        <w:t>jed</w:t>
      </w:r>
      <w:r w:rsidR="00404395" w:rsidRPr="007F28C1">
        <w:rPr>
          <w:rFonts w:ascii="Times New Roman" w:hAnsi="Times New Roman" w:cs="Times New Roman"/>
          <w:sz w:val="24"/>
          <w:szCs w:val="24"/>
        </w:rPr>
        <w:t>nego</w:t>
      </w:r>
      <w:r w:rsidR="00CB622E"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z organów uzgadniających projekt: studium, planu miejscowego, planu zagospodarowania przestrzennego województwa </w:t>
      </w:r>
      <w:r w:rsidR="005A4D73" w:rsidRPr="007F28C1">
        <w:rPr>
          <w:rFonts w:ascii="Times New Roman" w:hAnsi="Times New Roman" w:cs="Times New Roman"/>
          <w:bCs/>
          <w:sz w:val="24"/>
          <w:szCs w:val="24"/>
        </w:rPr>
        <w:t>–</w:t>
      </w:r>
      <w:r w:rsidR="000B2B42">
        <w:rPr>
          <w:rFonts w:ascii="Times New Roman" w:hAnsi="Times New Roman" w:cs="Times New Roman"/>
          <w:bCs/>
          <w:sz w:val="24"/>
          <w:szCs w:val="24"/>
        </w:rPr>
        <w:t xml:space="preserve"> </w:t>
      </w:r>
      <w:r w:rsidR="00D25254" w:rsidRPr="007F28C1">
        <w:rPr>
          <w:rFonts w:ascii="Times New Roman" w:hAnsi="Times New Roman" w:cs="Times New Roman"/>
          <w:sz w:val="24"/>
          <w:szCs w:val="24"/>
        </w:rPr>
        <w:t xml:space="preserve">w odniesieniu do udokumentowanych </w:t>
      </w:r>
      <w:r w:rsidRPr="007F28C1">
        <w:rPr>
          <w:rFonts w:ascii="Times New Roman" w:hAnsi="Times New Roman" w:cs="Times New Roman"/>
          <w:sz w:val="24"/>
          <w:szCs w:val="24"/>
        </w:rPr>
        <w:t>złóż kopalin określonych w art. 10 ust. 1</w:t>
      </w:r>
      <w:r w:rsidR="00967A32">
        <w:rPr>
          <w:rFonts w:ascii="Times New Roman" w:hAnsi="Times New Roman" w:cs="Times New Roman"/>
          <w:sz w:val="24"/>
          <w:szCs w:val="24"/>
        </w:rPr>
        <w:t xml:space="preserve"> </w:t>
      </w:r>
      <w:r w:rsidRPr="007F28C1">
        <w:rPr>
          <w:rFonts w:ascii="Times New Roman" w:hAnsi="Times New Roman" w:cs="Times New Roman"/>
          <w:sz w:val="24"/>
          <w:szCs w:val="24"/>
        </w:rPr>
        <w:t>P.g.g</w:t>
      </w:r>
      <w:r w:rsidR="00272CC8" w:rsidRPr="007F28C1">
        <w:rPr>
          <w:rFonts w:ascii="Times New Roman" w:hAnsi="Times New Roman" w:cs="Times New Roman"/>
          <w:sz w:val="24"/>
          <w:szCs w:val="24"/>
        </w:rPr>
        <w:t>.</w:t>
      </w:r>
      <w:r w:rsidR="00A67D7C" w:rsidRPr="007F28C1">
        <w:rPr>
          <w:rFonts w:ascii="Times New Roman" w:hAnsi="Times New Roman" w:cs="Times New Roman"/>
          <w:sz w:val="24"/>
          <w:szCs w:val="24"/>
        </w:rPr>
        <w:t xml:space="preserve"> oraz art. 10 ust. 3 uznanych za strategiczne</w:t>
      </w:r>
      <w:r w:rsidR="00272CC8" w:rsidRPr="007F28C1">
        <w:rPr>
          <w:rFonts w:ascii="Times New Roman" w:hAnsi="Times New Roman" w:cs="Times New Roman"/>
          <w:sz w:val="24"/>
          <w:szCs w:val="24"/>
        </w:rPr>
        <w:t>,</w:t>
      </w:r>
      <w:r w:rsidRPr="007F28C1">
        <w:rPr>
          <w:rFonts w:ascii="Times New Roman" w:hAnsi="Times New Roman" w:cs="Times New Roman"/>
          <w:sz w:val="24"/>
          <w:szCs w:val="24"/>
        </w:rPr>
        <w:t xml:space="preserve"> kompleksów podziemnego składowania dwutlenku węgla</w:t>
      </w:r>
      <w:r w:rsidR="00272CC8" w:rsidRPr="007F28C1">
        <w:rPr>
          <w:rFonts w:ascii="Times New Roman" w:hAnsi="Times New Roman" w:cs="Times New Roman"/>
          <w:sz w:val="24"/>
          <w:szCs w:val="24"/>
        </w:rPr>
        <w:t>, a także podziemnych bezzbiornikowych magazynów substancji</w:t>
      </w:r>
      <w:r w:rsidRPr="007F28C1">
        <w:rPr>
          <w:rFonts w:ascii="Times New Roman" w:hAnsi="Times New Roman" w:cs="Times New Roman"/>
          <w:sz w:val="24"/>
          <w:szCs w:val="24"/>
        </w:rPr>
        <w:t xml:space="preserve">. Konsekwencją </w:t>
      </w:r>
      <w:r w:rsidRPr="007F28C1">
        <w:rPr>
          <w:rFonts w:ascii="Times New Roman" w:hAnsi="Times New Roman" w:cs="Times New Roman"/>
          <w:sz w:val="24"/>
          <w:szCs w:val="24"/>
        </w:rPr>
        <w:lastRenderedPageBreak/>
        <w:t xml:space="preserve">powyższego jest doprecyzowanie w wymienionych przepisach, że projekty dokumentów planistycznych </w:t>
      </w:r>
      <w:r w:rsidRPr="007F28C1">
        <w:rPr>
          <w:rFonts w:ascii="Times New Roman" w:eastAsia="Times New Roman" w:hAnsi="Times New Roman" w:cs="Times New Roman"/>
          <w:sz w:val="24"/>
          <w:szCs w:val="24"/>
          <w:lang w:eastAsia="ar-SA"/>
        </w:rPr>
        <w:t xml:space="preserve">w zakresie </w:t>
      </w:r>
      <w:bookmarkStart w:id="1" w:name="_Hlk27470980"/>
      <w:r w:rsidRPr="007F28C1">
        <w:rPr>
          <w:rFonts w:ascii="Times New Roman" w:eastAsia="Times New Roman" w:hAnsi="Times New Roman" w:cs="Times New Roman"/>
          <w:sz w:val="24"/>
          <w:szCs w:val="24"/>
          <w:lang w:eastAsia="ar-SA"/>
        </w:rPr>
        <w:t>złóż kopalin objętych prawem własności nieruchomości gruntowej</w:t>
      </w:r>
      <w:r w:rsidR="00667F49" w:rsidRPr="007F28C1">
        <w:rPr>
          <w:rFonts w:ascii="Times New Roman" w:eastAsia="Times New Roman" w:hAnsi="Times New Roman" w:cs="Times New Roman"/>
          <w:sz w:val="24"/>
          <w:szCs w:val="24"/>
          <w:lang w:eastAsia="ar-SA"/>
        </w:rPr>
        <w:t>, w</w:t>
      </w:r>
      <w:r w:rsidR="00FC29C8" w:rsidRPr="007F28C1">
        <w:rPr>
          <w:rFonts w:ascii="Times New Roman" w:eastAsia="Times New Roman" w:hAnsi="Times New Roman" w:cs="Times New Roman"/>
          <w:sz w:val="24"/>
          <w:szCs w:val="24"/>
          <w:lang w:eastAsia="ar-SA"/>
        </w:rPr>
        <w:t> </w:t>
      </w:r>
      <w:r w:rsidR="00667F49" w:rsidRPr="007F28C1">
        <w:rPr>
          <w:rFonts w:ascii="Times New Roman" w:eastAsia="Times New Roman" w:hAnsi="Times New Roman" w:cs="Times New Roman"/>
          <w:sz w:val="24"/>
          <w:szCs w:val="24"/>
          <w:lang w:eastAsia="ar-SA"/>
        </w:rPr>
        <w:t>zakresie złóż wód leczniczych, wód termalnych i solanek</w:t>
      </w:r>
      <w:r w:rsidR="005B7604" w:rsidRPr="007F28C1">
        <w:rPr>
          <w:rFonts w:ascii="Times New Roman" w:eastAsia="Times New Roman" w:hAnsi="Times New Roman" w:cs="Times New Roman"/>
          <w:sz w:val="24"/>
          <w:szCs w:val="24"/>
          <w:lang w:eastAsia="ar-SA"/>
        </w:rPr>
        <w:t xml:space="preserve"> </w:t>
      </w:r>
      <w:r w:rsidRPr="007F28C1">
        <w:rPr>
          <w:rFonts w:ascii="Times New Roman" w:eastAsia="Times New Roman" w:hAnsi="Times New Roman" w:cs="Times New Roman"/>
          <w:sz w:val="24"/>
          <w:szCs w:val="24"/>
          <w:lang w:eastAsia="ar-SA"/>
        </w:rPr>
        <w:t>oraz w zakresie wód podziemnych</w:t>
      </w:r>
      <w:bookmarkEnd w:id="1"/>
      <w:r w:rsidRPr="007F28C1">
        <w:rPr>
          <w:rFonts w:ascii="Times New Roman" w:eastAsia="Times New Roman" w:hAnsi="Times New Roman" w:cs="Times New Roman"/>
          <w:sz w:val="24"/>
          <w:szCs w:val="24"/>
          <w:lang w:eastAsia="ar-SA"/>
        </w:rPr>
        <w:t xml:space="preserve"> podlegają zaopiniowaniu przez </w:t>
      </w:r>
      <w:r w:rsidRPr="007F28C1">
        <w:rPr>
          <w:rFonts w:ascii="Times New Roman" w:hAnsi="Times New Roman" w:cs="Times New Roman"/>
          <w:sz w:val="24"/>
          <w:szCs w:val="24"/>
        </w:rPr>
        <w:t xml:space="preserve">organ właściwy </w:t>
      </w:r>
      <w:r w:rsidR="00CB622E" w:rsidRPr="007F28C1">
        <w:rPr>
          <w:rFonts w:ascii="Times New Roman" w:hAnsi="Times New Roman" w:cs="Times New Roman"/>
          <w:sz w:val="24"/>
          <w:szCs w:val="24"/>
        </w:rPr>
        <w:t>w pozostałych</w:t>
      </w:r>
      <w:r w:rsidRPr="007F28C1">
        <w:rPr>
          <w:rFonts w:ascii="Times New Roman" w:hAnsi="Times New Roman" w:cs="Times New Roman"/>
          <w:sz w:val="24"/>
          <w:szCs w:val="24"/>
        </w:rPr>
        <w:t xml:space="preserve"> sprawach jako organ administracji geologicznej pierwszej instancji</w:t>
      </w:r>
      <w:r w:rsidR="005A4D73" w:rsidRPr="007F28C1">
        <w:rPr>
          <w:rFonts w:ascii="Times New Roman" w:hAnsi="Times New Roman" w:cs="Times New Roman"/>
          <w:sz w:val="24"/>
          <w:szCs w:val="24"/>
        </w:rPr>
        <w:t>,</w:t>
      </w:r>
      <w:r w:rsidRPr="007F28C1">
        <w:rPr>
          <w:rFonts w:ascii="Times New Roman" w:hAnsi="Times New Roman" w:cs="Times New Roman"/>
          <w:sz w:val="24"/>
          <w:szCs w:val="24"/>
        </w:rPr>
        <w:t xml:space="preserve"> tj. przez marszałka województwa.</w:t>
      </w:r>
      <w:r w:rsidR="00E350B3" w:rsidRPr="007F28C1">
        <w:rPr>
          <w:rFonts w:ascii="Times New Roman" w:hAnsi="Times New Roman" w:cs="Times New Roman"/>
          <w:sz w:val="24"/>
          <w:szCs w:val="24"/>
        </w:rPr>
        <w:t xml:space="preserve"> Przepisy ułatwią także realizację obowiązków w zakresie ujawniania złóż przez wyraźne wskazanie w przepisach u.p.z.p., jakie elementy powinny zostać ujęte w dokumentach planistycznych przy ujawnianiu złóż kopalin, kompleksów podziemnego składowania dwutlenku węgla, obszarów udokumentowanych wód podziemnych, w granicach projektowanych stref ochronnych ujęć oraz obszarów ochronnych zbiorników wód podziemnych, a także podziemnych bezzbiornikowych magazynów substancji.</w:t>
      </w:r>
    </w:p>
    <w:p w14:paraId="4E9AC885" w14:textId="09DF08C8"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związku z powyższymi zmianami przepisów P.g.g. i u.p.z.p. w zakresie ochrony złóż </w:t>
      </w:r>
      <w:r w:rsidR="005A4D73"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konieczne także znowelizowanie następujących ustaw:</w:t>
      </w:r>
    </w:p>
    <w:p w14:paraId="1526BBF9" w14:textId="73000A1E" w:rsidR="001E3928" w:rsidRPr="007F28C1" w:rsidRDefault="001E3928" w:rsidP="007F28C1">
      <w:pPr>
        <w:numPr>
          <w:ilvl w:val="0"/>
          <w:numId w:val="1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color w:val="000000"/>
          <w:sz w:val="24"/>
          <w:szCs w:val="24"/>
        </w:rPr>
        <w:t>ustawy z dnia 21 sierpnia 1997 r. o gospodarce nieruchomościami</w:t>
      </w:r>
      <w:r w:rsidR="00A6313F" w:rsidRPr="007F28C1">
        <w:rPr>
          <w:rFonts w:ascii="Times New Roman" w:hAnsi="Times New Roman" w:cs="Times New Roman"/>
          <w:color w:val="000000"/>
          <w:sz w:val="24"/>
          <w:szCs w:val="24"/>
        </w:rPr>
        <w:t xml:space="preserve"> </w:t>
      </w:r>
      <w:r w:rsidR="00CB5EF9">
        <w:rPr>
          <w:rFonts w:ascii="Times New Roman" w:hAnsi="Times New Roman" w:cs="Times New Roman"/>
          <w:color w:val="000000"/>
          <w:sz w:val="24"/>
          <w:szCs w:val="24"/>
        </w:rPr>
        <w:t>(Dz. U. z 2023 r. poz. </w:t>
      </w:r>
      <w:r w:rsidRPr="007F28C1">
        <w:rPr>
          <w:rFonts w:ascii="Times New Roman" w:hAnsi="Times New Roman" w:cs="Times New Roman"/>
          <w:color w:val="000000"/>
          <w:sz w:val="24"/>
          <w:szCs w:val="24"/>
        </w:rPr>
        <w:t>344);</w:t>
      </w:r>
    </w:p>
    <w:p w14:paraId="230B855D" w14:textId="58A7C07D" w:rsidR="00C961E9" w:rsidRPr="007F28C1" w:rsidRDefault="00C961E9" w:rsidP="007F28C1">
      <w:pPr>
        <w:numPr>
          <w:ilvl w:val="0"/>
          <w:numId w:val="1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sz w:val="24"/>
          <w:szCs w:val="24"/>
        </w:rPr>
        <w:t>ustaw</w:t>
      </w:r>
      <w:r w:rsidR="005A4D73" w:rsidRPr="007F28C1">
        <w:rPr>
          <w:rFonts w:ascii="Times New Roman" w:hAnsi="Times New Roman" w:cs="Times New Roman"/>
          <w:sz w:val="24"/>
          <w:szCs w:val="24"/>
        </w:rPr>
        <w:t>y</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z dnia 27 kwietnia 2001 r. </w:t>
      </w:r>
      <w:r w:rsidR="00364C67" w:rsidRPr="007F28C1">
        <w:rPr>
          <w:rFonts w:ascii="Times New Roman" w:hAnsi="Times New Roman" w:cs="Times New Roman"/>
          <w:sz w:val="24"/>
          <w:szCs w:val="24"/>
        </w:rPr>
        <w:t xml:space="preserve">– </w:t>
      </w:r>
      <w:r w:rsidRPr="007F28C1">
        <w:rPr>
          <w:rFonts w:ascii="Times New Roman" w:hAnsi="Times New Roman" w:cs="Times New Roman"/>
          <w:sz w:val="24"/>
          <w:szCs w:val="24"/>
        </w:rPr>
        <w:t>Prawo ochrony środowiska</w:t>
      </w:r>
      <w:r w:rsidR="005A4D73" w:rsidRPr="007F28C1">
        <w:rPr>
          <w:rFonts w:ascii="Times New Roman" w:hAnsi="Times New Roman" w:cs="Times New Roman"/>
          <w:sz w:val="24"/>
          <w:szCs w:val="24"/>
        </w:rPr>
        <w:t>;</w:t>
      </w:r>
    </w:p>
    <w:p w14:paraId="7A77552E" w14:textId="28FE3D76" w:rsidR="00EF23F9" w:rsidRPr="007F28C1" w:rsidRDefault="00EF23F9" w:rsidP="007F28C1">
      <w:pPr>
        <w:numPr>
          <w:ilvl w:val="0"/>
          <w:numId w:val="13"/>
        </w:numPr>
        <w:spacing w:before="120" w:after="0" w:line="360" w:lineRule="auto"/>
        <w:ind w:left="397" w:hanging="397"/>
        <w:jc w:val="both"/>
        <w:rPr>
          <w:rFonts w:ascii="Times New Roman" w:hAnsi="Times New Roman" w:cs="Times New Roman"/>
          <w:iCs/>
          <w:sz w:val="24"/>
          <w:szCs w:val="24"/>
        </w:rPr>
      </w:pPr>
      <w:r w:rsidRPr="007F28C1">
        <w:rPr>
          <w:rFonts w:ascii="Times New Roman" w:hAnsi="Times New Roman" w:cs="Times New Roman"/>
          <w:color w:val="000000"/>
          <w:sz w:val="24"/>
          <w:szCs w:val="24"/>
        </w:rPr>
        <w:t>ustawy</w:t>
      </w:r>
      <w:r w:rsidRPr="007F28C1">
        <w:rPr>
          <w:rFonts w:ascii="Times New Roman" w:hAnsi="Times New Roman" w:cs="Times New Roman"/>
          <w:iCs/>
          <w:color w:val="000000"/>
          <w:sz w:val="24"/>
          <w:szCs w:val="24"/>
        </w:rPr>
        <w:t xml:space="preserve"> z dnia 28 marca 2003 r. o</w:t>
      </w:r>
      <w:r w:rsidRPr="007F28C1">
        <w:rPr>
          <w:rFonts w:ascii="Times New Roman" w:hAnsi="Times New Roman" w:cs="Times New Roman"/>
          <w:color w:val="000000"/>
          <w:sz w:val="24"/>
          <w:szCs w:val="24"/>
        </w:rPr>
        <w:t xml:space="preserve"> </w:t>
      </w:r>
      <w:r w:rsidRPr="007F28C1">
        <w:rPr>
          <w:rFonts w:ascii="Times New Roman" w:hAnsi="Times New Roman" w:cs="Times New Roman"/>
          <w:iCs/>
          <w:color w:val="000000"/>
          <w:sz w:val="24"/>
          <w:szCs w:val="24"/>
        </w:rPr>
        <w:t>transporcie kolejowym</w:t>
      </w:r>
      <w:r w:rsidRPr="007F28C1">
        <w:rPr>
          <w:rFonts w:ascii="Times New Roman" w:hAnsi="Times New Roman" w:cs="Times New Roman"/>
          <w:color w:val="000000"/>
          <w:sz w:val="24"/>
          <w:szCs w:val="24"/>
        </w:rPr>
        <w:t xml:space="preserve"> </w:t>
      </w:r>
      <w:r w:rsidR="00CB5EF9">
        <w:rPr>
          <w:rFonts w:ascii="Times New Roman" w:hAnsi="Times New Roman" w:cs="Times New Roman"/>
          <w:iCs/>
          <w:color w:val="000000"/>
          <w:sz w:val="24"/>
          <w:szCs w:val="24"/>
        </w:rPr>
        <w:t>(Dz. U. z 2021 r. poz. 1984, z </w:t>
      </w:r>
      <w:r w:rsidRPr="007F28C1">
        <w:rPr>
          <w:rFonts w:ascii="Times New Roman" w:hAnsi="Times New Roman" w:cs="Times New Roman"/>
          <w:iCs/>
          <w:color w:val="000000"/>
          <w:sz w:val="24"/>
          <w:szCs w:val="24"/>
        </w:rPr>
        <w:t>późn. zm.);</w:t>
      </w:r>
    </w:p>
    <w:p w14:paraId="05135191" w14:textId="26D6CF01" w:rsidR="005C7886" w:rsidRPr="007F28C1" w:rsidRDefault="00C961E9" w:rsidP="007F28C1">
      <w:pPr>
        <w:numPr>
          <w:ilvl w:val="0"/>
          <w:numId w:val="1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color w:val="000000"/>
          <w:sz w:val="24"/>
          <w:szCs w:val="24"/>
        </w:rPr>
        <w:t>ustaw</w:t>
      </w:r>
      <w:r w:rsidR="005A4D73" w:rsidRPr="007F28C1">
        <w:rPr>
          <w:rFonts w:ascii="Times New Roman" w:hAnsi="Times New Roman" w:cs="Times New Roman"/>
          <w:color w:val="000000"/>
          <w:sz w:val="24"/>
          <w:szCs w:val="24"/>
        </w:rPr>
        <w:t>y</w:t>
      </w:r>
      <w:r w:rsidRPr="007F28C1">
        <w:rPr>
          <w:rFonts w:ascii="Times New Roman" w:hAnsi="Times New Roman" w:cs="Times New Roman"/>
          <w:iCs/>
          <w:color w:val="000000"/>
          <w:sz w:val="24"/>
          <w:szCs w:val="24"/>
        </w:rPr>
        <w:t xml:space="preserve"> z dnia 10 kwietnia 2003 r. o szczególnych zasadach przygotowania</w:t>
      </w:r>
      <w:r w:rsidR="000D4FF9" w:rsidRPr="007F28C1">
        <w:rPr>
          <w:rFonts w:ascii="Times New Roman" w:hAnsi="Times New Roman" w:cs="Times New Roman"/>
          <w:iCs/>
          <w:color w:val="000000"/>
          <w:sz w:val="24"/>
          <w:szCs w:val="24"/>
        </w:rPr>
        <w:t xml:space="preserve"> </w:t>
      </w:r>
      <w:r w:rsidRPr="007F28C1">
        <w:rPr>
          <w:rFonts w:ascii="Times New Roman" w:hAnsi="Times New Roman" w:cs="Times New Roman"/>
          <w:iCs/>
          <w:color w:val="000000"/>
          <w:sz w:val="24"/>
          <w:szCs w:val="24"/>
        </w:rPr>
        <w:t>i realizacji inwestycji w zakresie dróg publicznych</w:t>
      </w:r>
      <w:r w:rsidR="001611A6" w:rsidRPr="007F28C1">
        <w:rPr>
          <w:rFonts w:ascii="Times New Roman" w:hAnsi="Times New Roman" w:cs="Times New Roman"/>
          <w:color w:val="000000"/>
          <w:sz w:val="24"/>
          <w:szCs w:val="24"/>
        </w:rPr>
        <w:t xml:space="preserve"> </w:t>
      </w:r>
      <w:r w:rsidR="001611A6" w:rsidRPr="007F28C1">
        <w:rPr>
          <w:rFonts w:ascii="Times New Roman" w:hAnsi="Times New Roman" w:cs="Times New Roman"/>
          <w:iCs/>
          <w:color w:val="000000"/>
          <w:sz w:val="24"/>
          <w:szCs w:val="24"/>
        </w:rPr>
        <w:t>(Dz.</w:t>
      </w:r>
      <w:r w:rsidR="00967F04" w:rsidRPr="007F28C1">
        <w:rPr>
          <w:rFonts w:ascii="Times New Roman" w:hAnsi="Times New Roman" w:cs="Times New Roman"/>
          <w:iCs/>
          <w:color w:val="000000"/>
          <w:sz w:val="24"/>
          <w:szCs w:val="24"/>
        </w:rPr>
        <w:t xml:space="preserve"> </w:t>
      </w:r>
      <w:r w:rsidR="001611A6" w:rsidRPr="007F28C1">
        <w:rPr>
          <w:rFonts w:ascii="Times New Roman" w:hAnsi="Times New Roman" w:cs="Times New Roman"/>
          <w:iCs/>
          <w:color w:val="000000"/>
          <w:sz w:val="24"/>
          <w:szCs w:val="24"/>
        </w:rPr>
        <w:t xml:space="preserve">U. z </w:t>
      </w:r>
      <w:r w:rsidR="002E7810" w:rsidRPr="007F28C1">
        <w:rPr>
          <w:rFonts w:ascii="Times New Roman" w:hAnsi="Times New Roman" w:cs="Times New Roman"/>
          <w:iCs/>
          <w:color w:val="000000"/>
          <w:sz w:val="24"/>
          <w:szCs w:val="24"/>
        </w:rPr>
        <w:t xml:space="preserve">2023 </w:t>
      </w:r>
      <w:r w:rsidR="001611A6" w:rsidRPr="007F28C1">
        <w:rPr>
          <w:rFonts w:ascii="Times New Roman" w:hAnsi="Times New Roman" w:cs="Times New Roman"/>
          <w:iCs/>
          <w:color w:val="000000"/>
          <w:sz w:val="24"/>
          <w:szCs w:val="24"/>
        </w:rPr>
        <w:t xml:space="preserve">r. poz. </w:t>
      </w:r>
      <w:r w:rsidR="002E7810" w:rsidRPr="007F28C1">
        <w:rPr>
          <w:rFonts w:ascii="Times New Roman" w:hAnsi="Times New Roman" w:cs="Times New Roman"/>
          <w:iCs/>
          <w:color w:val="000000"/>
          <w:sz w:val="24"/>
          <w:szCs w:val="24"/>
        </w:rPr>
        <w:t>162</w:t>
      </w:r>
      <w:r w:rsidR="001611A6" w:rsidRPr="007F28C1">
        <w:rPr>
          <w:rFonts w:ascii="Times New Roman" w:hAnsi="Times New Roman" w:cs="Times New Roman"/>
          <w:iCs/>
          <w:color w:val="000000"/>
          <w:sz w:val="24"/>
          <w:szCs w:val="24"/>
        </w:rPr>
        <w:t>)</w:t>
      </w:r>
      <w:r w:rsidR="002E7810" w:rsidRPr="007F28C1">
        <w:rPr>
          <w:rFonts w:ascii="Times New Roman" w:hAnsi="Times New Roman" w:cs="Times New Roman"/>
          <w:iCs/>
          <w:color w:val="000000"/>
          <w:sz w:val="24"/>
          <w:szCs w:val="24"/>
        </w:rPr>
        <w:t>;</w:t>
      </w:r>
    </w:p>
    <w:p w14:paraId="3136DC6B" w14:textId="7332E5B1" w:rsidR="00EF23F9" w:rsidRPr="007F28C1" w:rsidRDefault="00EF23F9" w:rsidP="007F28C1">
      <w:pPr>
        <w:numPr>
          <w:ilvl w:val="0"/>
          <w:numId w:val="1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iCs/>
          <w:color w:val="000000"/>
          <w:sz w:val="24"/>
          <w:szCs w:val="24"/>
        </w:rPr>
        <w:t>ustawy z dnia 12 lutego 2009 r. o szczególnych zasadach przygotowania i realizacji inwestycji w zakresie lotnisk użytku publicznego</w:t>
      </w:r>
      <w:r w:rsidRPr="007F28C1">
        <w:rPr>
          <w:rFonts w:ascii="Times New Roman" w:hAnsi="Times New Roman" w:cs="Times New Roman"/>
          <w:color w:val="000000"/>
          <w:sz w:val="24"/>
          <w:szCs w:val="24"/>
        </w:rPr>
        <w:t xml:space="preserve"> </w:t>
      </w:r>
      <w:r w:rsidRPr="007F28C1">
        <w:rPr>
          <w:rFonts w:ascii="Times New Roman" w:hAnsi="Times New Roman" w:cs="Times New Roman"/>
          <w:iCs/>
          <w:color w:val="000000"/>
          <w:sz w:val="24"/>
          <w:szCs w:val="24"/>
        </w:rPr>
        <w:t>(Dz. U. z 2021 r. poz. 1079, z późn. zm.);</w:t>
      </w:r>
    </w:p>
    <w:p w14:paraId="19F41704" w14:textId="2A074CBC" w:rsidR="00EF23F9" w:rsidRPr="007F28C1" w:rsidRDefault="00EF23F9" w:rsidP="007F28C1">
      <w:pPr>
        <w:numPr>
          <w:ilvl w:val="0"/>
          <w:numId w:val="1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iCs/>
          <w:color w:val="000000"/>
          <w:sz w:val="24"/>
          <w:szCs w:val="24"/>
        </w:rPr>
        <w:t>ustawy z dnia 24 kwietnia 2009 r. o inwestycjach w zakresie terminalu regazyfikacyjnego skroplonego gazu ziemnego w Świnoujściu</w:t>
      </w:r>
      <w:r w:rsidRPr="007F28C1">
        <w:rPr>
          <w:rFonts w:ascii="Times New Roman" w:hAnsi="Times New Roman" w:cs="Times New Roman"/>
          <w:color w:val="000000"/>
          <w:sz w:val="24"/>
          <w:szCs w:val="24"/>
        </w:rPr>
        <w:t xml:space="preserve"> </w:t>
      </w:r>
      <w:r w:rsidRPr="007F28C1">
        <w:rPr>
          <w:rFonts w:ascii="Times New Roman" w:hAnsi="Times New Roman" w:cs="Times New Roman"/>
          <w:iCs/>
          <w:color w:val="000000"/>
          <w:sz w:val="24"/>
          <w:szCs w:val="24"/>
        </w:rPr>
        <w:t>(Dz. U. z 2021 r. poz. 1836, z późn.</w:t>
      </w:r>
      <w:r w:rsidR="00A6313F" w:rsidRPr="007F28C1">
        <w:rPr>
          <w:rFonts w:ascii="Times New Roman" w:hAnsi="Times New Roman" w:cs="Times New Roman"/>
          <w:iCs/>
          <w:color w:val="000000"/>
          <w:sz w:val="24"/>
          <w:szCs w:val="24"/>
        </w:rPr>
        <w:t xml:space="preserve"> </w:t>
      </w:r>
      <w:r w:rsidRPr="007F28C1">
        <w:rPr>
          <w:rFonts w:ascii="Times New Roman" w:hAnsi="Times New Roman" w:cs="Times New Roman"/>
          <w:iCs/>
          <w:color w:val="000000"/>
          <w:sz w:val="24"/>
          <w:szCs w:val="24"/>
        </w:rPr>
        <w:t>zm.);</w:t>
      </w:r>
    </w:p>
    <w:p w14:paraId="341987A2" w14:textId="223BD5CE" w:rsidR="00EF23F9" w:rsidRPr="007F28C1" w:rsidRDefault="00C961E9" w:rsidP="007F28C1">
      <w:pPr>
        <w:numPr>
          <w:ilvl w:val="0"/>
          <w:numId w:val="13"/>
        </w:numPr>
        <w:spacing w:before="120" w:after="0" w:line="360" w:lineRule="auto"/>
        <w:ind w:left="397" w:hanging="397"/>
        <w:jc w:val="both"/>
        <w:rPr>
          <w:rFonts w:ascii="Times New Roman" w:hAnsi="Times New Roman" w:cs="Times New Roman"/>
          <w:iCs/>
          <w:sz w:val="24"/>
          <w:szCs w:val="24"/>
        </w:rPr>
      </w:pPr>
      <w:r w:rsidRPr="007F28C1">
        <w:rPr>
          <w:rFonts w:ascii="Times New Roman" w:hAnsi="Times New Roman" w:cs="Times New Roman"/>
          <w:iCs/>
          <w:color w:val="000000"/>
          <w:sz w:val="24"/>
          <w:szCs w:val="24"/>
        </w:rPr>
        <w:t>ustaw</w:t>
      </w:r>
      <w:r w:rsidR="00364C67" w:rsidRPr="007F28C1">
        <w:rPr>
          <w:rFonts w:ascii="Times New Roman" w:hAnsi="Times New Roman" w:cs="Times New Roman"/>
          <w:iCs/>
          <w:color w:val="000000"/>
          <w:sz w:val="24"/>
          <w:szCs w:val="24"/>
        </w:rPr>
        <w:t>y</w:t>
      </w:r>
      <w:r w:rsidRPr="007F28C1">
        <w:rPr>
          <w:rFonts w:ascii="Times New Roman" w:hAnsi="Times New Roman" w:cs="Times New Roman"/>
          <w:iCs/>
          <w:color w:val="000000"/>
          <w:sz w:val="24"/>
          <w:szCs w:val="24"/>
        </w:rPr>
        <w:t xml:space="preserve"> z dnia 8 lipca 2010 r. o szczególnych zasadach przygotowania do realizacji inwestycji w zakresie budowli przeciwpowodziowych</w:t>
      </w:r>
      <w:r w:rsidR="001611A6" w:rsidRPr="007F28C1">
        <w:rPr>
          <w:rFonts w:ascii="Times New Roman" w:hAnsi="Times New Roman" w:cs="Times New Roman"/>
          <w:color w:val="000000"/>
          <w:sz w:val="24"/>
          <w:szCs w:val="24"/>
        </w:rPr>
        <w:t xml:space="preserve"> </w:t>
      </w:r>
      <w:r w:rsidR="001611A6" w:rsidRPr="007F28C1">
        <w:rPr>
          <w:rFonts w:ascii="Times New Roman" w:hAnsi="Times New Roman" w:cs="Times New Roman"/>
          <w:iCs/>
          <w:color w:val="000000"/>
          <w:sz w:val="24"/>
          <w:szCs w:val="24"/>
        </w:rPr>
        <w:t>(Dz.</w:t>
      </w:r>
      <w:r w:rsidR="00967F04" w:rsidRPr="007F28C1">
        <w:rPr>
          <w:rFonts w:ascii="Times New Roman" w:hAnsi="Times New Roman" w:cs="Times New Roman"/>
          <w:iCs/>
          <w:color w:val="000000"/>
          <w:sz w:val="24"/>
          <w:szCs w:val="24"/>
        </w:rPr>
        <w:t xml:space="preserve"> </w:t>
      </w:r>
      <w:r w:rsidR="001611A6" w:rsidRPr="007F28C1">
        <w:rPr>
          <w:rFonts w:ascii="Times New Roman" w:hAnsi="Times New Roman" w:cs="Times New Roman"/>
          <w:iCs/>
          <w:color w:val="000000"/>
          <w:sz w:val="24"/>
          <w:szCs w:val="24"/>
        </w:rPr>
        <w:t>U. z 2021 r. poz.</w:t>
      </w:r>
      <w:r w:rsidR="008C39FB" w:rsidRPr="007F28C1">
        <w:rPr>
          <w:rFonts w:ascii="Times New Roman" w:hAnsi="Times New Roman" w:cs="Times New Roman"/>
          <w:iCs/>
          <w:color w:val="000000"/>
          <w:sz w:val="24"/>
          <w:szCs w:val="24"/>
        </w:rPr>
        <w:t xml:space="preserve"> </w:t>
      </w:r>
      <w:r w:rsidR="000900B9" w:rsidRPr="007F28C1">
        <w:rPr>
          <w:rFonts w:ascii="Times New Roman" w:hAnsi="Times New Roman" w:cs="Times New Roman"/>
          <w:iCs/>
          <w:color w:val="000000"/>
          <w:sz w:val="24"/>
          <w:szCs w:val="24"/>
        </w:rPr>
        <w:t>1812</w:t>
      </w:r>
      <w:r w:rsidR="001611A6" w:rsidRPr="007F28C1">
        <w:rPr>
          <w:rFonts w:ascii="Times New Roman" w:hAnsi="Times New Roman" w:cs="Times New Roman"/>
          <w:iCs/>
          <w:color w:val="000000"/>
          <w:sz w:val="24"/>
          <w:szCs w:val="24"/>
        </w:rPr>
        <w:t>)</w:t>
      </w:r>
      <w:r w:rsidR="00364C67" w:rsidRPr="007F28C1">
        <w:rPr>
          <w:rFonts w:ascii="Times New Roman" w:hAnsi="Times New Roman" w:cs="Times New Roman"/>
          <w:iCs/>
          <w:color w:val="000000"/>
          <w:sz w:val="24"/>
          <w:szCs w:val="24"/>
        </w:rPr>
        <w:t>;</w:t>
      </w:r>
    </w:p>
    <w:p w14:paraId="1CA75BB3" w14:textId="3C6D5A3F" w:rsidR="000A42EB" w:rsidRPr="007F28C1" w:rsidRDefault="00C961E9" w:rsidP="007F28C1">
      <w:pPr>
        <w:numPr>
          <w:ilvl w:val="0"/>
          <w:numId w:val="13"/>
        </w:numPr>
        <w:spacing w:before="120" w:after="0" w:line="360" w:lineRule="auto"/>
        <w:ind w:left="397" w:hanging="397"/>
        <w:jc w:val="both"/>
        <w:rPr>
          <w:rFonts w:ascii="Times New Roman" w:hAnsi="Times New Roman" w:cs="Times New Roman"/>
          <w:iCs/>
          <w:sz w:val="24"/>
          <w:szCs w:val="24"/>
        </w:rPr>
      </w:pPr>
      <w:r w:rsidRPr="007F28C1">
        <w:rPr>
          <w:rFonts w:ascii="Times New Roman" w:hAnsi="Times New Roman" w:cs="Times New Roman"/>
          <w:iCs/>
          <w:color w:val="000000"/>
          <w:sz w:val="24"/>
          <w:szCs w:val="24"/>
        </w:rPr>
        <w:t>ustaw</w:t>
      </w:r>
      <w:r w:rsidR="00364C67" w:rsidRPr="007F28C1">
        <w:rPr>
          <w:rFonts w:ascii="Times New Roman" w:hAnsi="Times New Roman" w:cs="Times New Roman"/>
          <w:iCs/>
          <w:color w:val="000000"/>
          <w:sz w:val="24"/>
          <w:szCs w:val="24"/>
        </w:rPr>
        <w:t>y</w:t>
      </w:r>
      <w:r w:rsidRPr="007F28C1">
        <w:rPr>
          <w:rFonts w:ascii="Times New Roman" w:hAnsi="Times New Roman" w:cs="Times New Roman"/>
          <w:iCs/>
          <w:color w:val="000000"/>
          <w:sz w:val="24"/>
          <w:szCs w:val="24"/>
        </w:rPr>
        <w:t xml:space="preserve"> z dnia 24 lipca 2015 r. o przygotowaniu i realizacji strategicznych inwestycji w</w:t>
      </w:r>
      <w:r w:rsidR="00621E21" w:rsidRPr="007F28C1">
        <w:rPr>
          <w:rFonts w:ascii="Times New Roman" w:hAnsi="Times New Roman" w:cs="Times New Roman"/>
          <w:iCs/>
          <w:color w:val="000000"/>
          <w:sz w:val="24"/>
          <w:szCs w:val="24"/>
        </w:rPr>
        <w:t> </w:t>
      </w:r>
      <w:r w:rsidRPr="007F28C1">
        <w:rPr>
          <w:rFonts w:ascii="Times New Roman" w:hAnsi="Times New Roman" w:cs="Times New Roman"/>
          <w:iCs/>
          <w:color w:val="000000"/>
          <w:sz w:val="24"/>
          <w:szCs w:val="24"/>
        </w:rPr>
        <w:t>zakresie sieci przesyłowych</w:t>
      </w:r>
      <w:r w:rsidR="001611A6" w:rsidRPr="007F28C1">
        <w:rPr>
          <w:rFonts w:ascii="Times New Roman" w:hAnsi="Times New Roman" w:cs="Times New Roman"/>
          <w:color w:val="000000"/>
          <w:sz w:val="24"/>
          <w:szCs w:val="24"/>
        </w:rPr>
        <w:t xml:space="preserve"> </w:t>
      </w:r>
      <w:r w:rsidR="001611A6" w:rsidRPr="007F28C1">
        <w:rPr>
          <w:rFonts w:ascii="Times New Roman" w:hAnsi="Times New Roman" w:cs="Times New Roman"/>
          <w:iCs/>
          <w:color w:val="000000"/>
          <w:sz w:val="24"/>
          <w:szCs w:val="24"/>
        </w:rPr>
        <w:t>(Dz.</w:t>
      </w:r>
      <w:r w:rsidR="00967F04" w:rsidRPr="007F28C1">
        <w:rPr>
          <w:rFonts w:ascii="Times New Roman" w:hAnsi="Times New Roman" w:cs="Times New Roman"/>
          <w:iCs/>
          <w:color w:val="000000"/>
          <w:sz w:val="24"/>
          <w:szCs w:val="24"/>
        </w:rPr>
        <w:t xml:space="preserve"> </w:t>
      </w:r>
      <w:r w:rsidR="001611A6" w:rsidRPr="007F28C1">
        <w:rPr>
          <w:rFonts w:ascii="Times New Roman" w:hAnsi="Times New Roman" w:cs="Times New Roman"/>
          <w:iCs/>
          <w:color w:val="000000"/>
          <w:sz w:val="24"/>
          <w:szCs w:val="24"/>
        </w:rPr>
        <w:t xml:space="preserve">U. z </w:t>
      </w:r>
      <w:r w:rsidR="000900B9" w:rsidRPr="007F28C1">
        <w:rPr>
          <w:rFonts w:ascii="Times New Roman" w:hAnsi="Times New Roman" w:cs="Times New Roman"/>
          <w:iCs/>
          <w:color w:val="000000"/>
          <w:sz w:val="24"/>
          <w:szCs w:val="24"/>
        </w:rPr>
        <w:t xml:space="preserve">2022 </w:t>
      </w:r>
      <w:r w:rsidR="001611A6" w:rsidRPr="007F28C1">
        <w:rPr>
          <w:rFonts w:ascii="Times New Roman" w:hAnsi="Times New Roman" w:cs="Times New Roman"/>
          <w:iCs/>
          <w:color w:val="000000"/>
          <w:sz w:val="24"/>
          <w:szCs w:val="24"/>
        </w:rPr>
        <w:t>r. poz.</w:t>
      </w:r>
      <w:r w:rsidR="000900B9" w:rsidRPr="007F28C1">
        <w:rPr>
          <w:rFonts w:ascii="Times New Roman" w:hAnsi="Times New Roman" w:cs="Times New Roman"/>
          <w:iCs/>
          <w:color w:val="000000"/>
          <w:sz w:val="24"/>
          <w:szCs w:val="24"/>
        </w:rPr>
        <w:t xml:space="preserve"> 273</w:t>
      </w:r>
      <w:r w:rsidR="000A42EB" w:rsidRPr="007F28C1">
        <w:rPr>
          <w:rFonts w:ascii="Times New Roman" w:hAnsi="Times New Roman" w:cs="Times New Roman"/>
          <w:iCs/>
          <w:color w:val="000000"/>
          <w:sz w:val="24"/>
          <w:szCs w:val="24"/>
        </w:rPr>
        <w:t>, z późn. zm.</w:t>
      </w:r>
      <w:r w:rsidR="001611A6" w:rsidRPr="007F28C1">
        <w:rPr>
          <w:rFonts w:ascii="Times New Roman" w:hAnsi="Times New Roman" w:cs="Times New Roman"/>
          <w:iCs/>
          <w:color w:val="000000"/>
          <w:sz w:val="24"/>
          <w:szCs w:val="24"/>
        </w:rPr>
        <w:t>)</w:t>
      </w:r>
      <w:r w:rsidR="00364C67" w:rsidRPr="007F28C1">
        <w:rPr>
          <w:rFonts w:ascii="Times New Roman" w:hAnsi="Times New Roman" w:cs="Times New Roman"/>
          <w:iCs/>
          <w:color w:val="000000"/>
          <w:sz w:val="24"/>
          <w:szCs w:val="24"/>
        </w:rPr>
        <w:t>;</w:t>
      </w:r>
    </w:p>
    <w:p w14:paraId="0E18D365" w14:textId="19CEDB0A" w:rsidR="00EF23F9" w:rsidRPr="007F28C1" w:rsidRDefault="00EF23F9" w:rsidP="007F28C1">
      <w:pPr>
        <w:numPr>
          <w:ilvl w:val="0"/>
          <w:numId w:val="13"/>
        </w:numPr>
        <w:spacing w:before="120" w:after="0" w:line="360" w:lineRule="auto"/>
        <w:ind w:left="397" w:hanging="397"/>
        <w:jc w:val="both"/>
        <w:rPr>
          <w:rStyle w:val="Ppogrubienie"/>
          <w:rFonts w:ascii="Times New Roman" w:hAnsi="Times New Roman" w:cs="Times New Roman"/>
          <w:b w:val="0"/>
          <w:sz w:val="24"/>
          <w:szCs w:val="24"/>
        </w:rPr>
      </w:pPr>
      <w:r w:rsidRPr="007F28C1">
        <w:rPr>
          <w:rFonts w:ascii="Times New Roman" w:hAnsi="Times New Roman" w:cs="Times New Roman"/>
          <w:iCs/>
          <w:color w:val="000000"/>
          <w:sz w:val="24"/>
          <w:szCs w:val="24"/>
        </w:rPr>
        <w:t xml:space="preserve">ustawy z dnia </w:t>
      </w:r>
      <w:r w:rsidRPr="007F28C1">
        <w:rPr>
          <w:rStyle w:val="Ppogrubienie"/>
          <w:rFonts w:ascii="Times New Roman" w:hAnsi="Times New Roman" w:cs="Times New Roman"/>
          <w:b w:val="0"/>
          <w:sz w:val="24"/>
          <w:szCs w:val="24"/>
        </w:rPr>
        <w:t>5 lipca 2018 r. o ułatwieniach w przygotowaniu i realizacji inwestycji mieszkaniowych oraz inwestycji towarzyszących (Dz. U. z 2021 r. poz. 1538</w:t>
      </w:r>
      <w:r w:rsidR="000A42EB" w:rsidRPr="007F28C1">
        <w:rPr>
          <w:rStyle w:val="Ppogrubienie"/>
          <w:rFonts w:ascii="Times New Roman" w:hAnsi="Times New Roman" w:cs="Times New Roman"/>
          <w:b w:val="0"/>
          <w:sz w:val="24"/>
          <w:szCs w:val="24"/>
        </w:rPr>
        <w:t>, z późn. zm.</w:t>
      </w:r>
      <w:r w:rsidRPr="007F28C1">
        <w:rPr>
          <w:rStyle w:val="Ppogrubienie"/>
          <w:rFonts w:ascii="Times New Roman" w:hAnsi="Times New Roman" w:cs="Times New Roman"/>
          <w:b w:val="0"/>
          <w:sz w:val="24"/>
          <w:szCs w:val="24"/>
        </w:rPr>
        <w:t>);</w:t>
      </w:r>
    </w:p>
    <w:p w14:paraId="0D9761D2" w14:textId="2FB5D810" w:rsidR="000A42EB" w:rsidRPr="007F28C1" w:rsidRDefault="00C961E9" w:rsidP="007F28C1">
      <w:pPr>
        <w:numPr>
          <w:ilvl w:val="0"/>
          <w:numId w:val="1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color w:val="000000"/>
          <w:sz w:val="24"/>
          <w:szCs w:val="24"/>
        </w:rPr>
        <w:lastRenderedPageBreak/>
        <w:t>ustaw</w:t>
      </w:r>
      <w:r w:rsidR="00364C67" w:rsidRPr="007F28C1">
        <w:rPr>
          <w:rFonts w:ascii="Times New Roman" w:hAnsi="Times New Roman" w:cs="Times New Roman"/>
          <w:color w:val="000000"/>
          <w:sz w:val="24"/>
          <w:szCs w:val="24"/>
        </w:rPr>
        <w:t>y</w:t>
      </w:r>
      <w:r w:rsidRPr="007F28C1">
        <w:rPr>
          <w:rFonts w:ascii="Times New Roman" w:hAnsi="Times New Roman" w:cs="Times New Roman"/>
          <w:iCs/>
          <w:color w:val="000000"/>
          <w:sz w:val="24"/>
          <w:szCs w:val="24"/>
        </w:rPr>
        <w:t xml:space="preserve"> z dnia 22 lutego 2019 r. o przygotowaniu i realizacji strategicznych inwestycji w</w:t>
      </w:r>
      <w:r w:rsidR="00621E21" w:rsidRPr="007F28C1">
        <w:rPr>
          <w:rFonts w:ascii="Times New Roman" w:hAnsi="Times New Roman" w:cs="Times New Roman"/>
          <w:iCs/>
          <w:color w:val="000000"/>
          <w:sz w:val="24"/>
          <w:szCs w:val="24"/>
        </w:rPr>
        <w:t> </w:t>
      </w:r>
      <w:r w:rsidRPr="007F28C1">
        <w:rPr>
          <w:rFonts w:ascii="Times New Roman" w:hAnsi="Times New Roman" w:cs="Times New Roman"/>
          <w:iCs/>
          <w:color w:val="000000"/>
          <w:sz w:val="24"/>
          <w:szCs w:val="24"/>
        </w:rPr>
        <w:t>sektorze naftowym</w:t>
      </w:r>
      <w:r w:rsidR="00EB500E" w:rsidRPr="007F28C1">
        <w:rPr>
          <w:rFonts w:ascii="Times New Roman" w:hAnsi="Times New Roman" w:cs="Times New Roman"/>
          <w:color w:val="000000"/>
          <w:sz w:val="24"/>
          <w:szCs w:val="24"/>
        </w:rPr>
        <w:t xml:space="preserve"> </w:t>
      </w:r>
      <w:r w:rsidR="00EB500E" w:rsidRPr="007F28C1">
        <w:rPr>
          <w:rFonts w:ascii="Times New Roman" w:hAnsi="Times New Roman" w:cs="Times New Roman"/>
          <w:iCs/>
          <w:color w:val="000000"/>
          <w:sz w:val="24"/>
          <w:szCs w:val="24"/>
        </w:rPr>
        <w:t>(Dz.</w:t>
      </w:r>
      <w:r w:rsidR="00967F04" w:rsidRPr="007F28C1">
        <w:rPr>
          <w:rFonts w:ascii="Times New Roman" w:hAnsi="Times New Roman" w:cs="Times New Roman"/>
          <w:iCs/>
          <w:color w:val="000000"/>
          <w:sz w:val="24"/>
          <w:szCs w:val="24"/>
        </w:rPr>
        <w:t xml:space="preserve"> </w:t>
      </w:r>
      <w:r w:rsidR="00EB500E" w:rsidRPr="007F28C1">
        <w:rPr>
          <w:rFonts w:ascii="Times New Roman" w:hAnsi="Times New Roman" w:cs="Times New Roman"/>
          <w:iCs/>
          <w:color w:val="000000"/>
          <w:sz w:val="24"/>
          <w:szCs w:val="24"/>
        </w:rPr>
        <w:t>U. z 202</w:t>
      </w:r>
      <w:r w:rsidR="005A0E90" w:rsidRPr="007F28C1">
        <w:rPr>
          <w:rFonts w:ascii="Times New Roman" w:hAnsi="Times New Roman" w:cs="Times New Roman"/>
          <w:iCs/>
          <w:color w:val="000000"/>
          <w:sz w:val="24"/>
          <w:szCs w:val="24"/>
        </w:rPr>
        <w:t>2</w:t>
      </w:r>
      <w:r w:rsidR="00EB500E" w:rsidRPr="007F28C1">
        <w:rPr>
          <w:rFonts w:ascii="Times New Roman" w:hAnsi="Times New Roman" w:cs="Times New Roman"/>
          <w:iCs/>
          <w:color w:val="000000"/>
          <w:sz w:val="24"/>
          <w:szCs w:val="24"/>
        </w:rPr>
        <w:t xml:space="preserve"> r. poz. </w:t>
      </w:r>
      <w:r w:rsidR="005A0E90" w:rsidRPr="007F28C1">
        <w:rPr>
          <w:rFonts w:ascii="Times New Roman" w:hAnsi="Times New Roman" w:cs="Times New Roman"/>
          <w:iCs/>
          <w:color w:val="000000"/>
          <w:sz w:val="24"/>
          <w:szCs w:val="24"/>
        </w:rPr>
        <w:t>1275</w:t>
      </w:r>
      <w:r w:rsidR="000A42EB" w:rsidRPr="007F28C1">
        <w:rPr>
          <w:rFonts w:ascii="Times New Roman" w:hAnsi="Times New Roman" w:cs="Times New Roman"/>
          <w:iCs/>
          <w:color w:val="000000"/>
          <w:sz w:val="24"/>
          <w:szCs w:val="24"/>
        </w:rPr>
        <w:t>, z późn. zm.</w:t>
      </w:r>
      <w:r w:rsidR="00EB500E" w:rsidRPr="007F28C1">
        <w:rPr>
          <w:rFonts w:ascii="Times New Roman" w:hAnsi="Times New Roman" w:cs="Times New Roman"/>
          <w:iCs/>
          <w:color w:val="000000"/>
          <w:sz w:val="24"/>
          <w:szCs w:val="24"/>
        </w:rPr>
        <w:t>)</w:t>
      </w:r>
      <w:r w:rsidR="005C7886" w:rsidRPr="007F28C1">
        <w:rPr>
          <w:rFonts w:ascii="Times New Roman" w:hAnsi="Times New Roman" w:cs="Times New Roman"/>
          <w:iCs/>
          <w:color w:val="000000"/>
          <w:sz w:val="24"/>
          <w:szCs w:val="24"/>
        </w:rPr>
        <w:t>.</w:t>
      </w:r>
    </w:p>
    <w:p w14:paraId="1E40917D" w14:textId="56803FDE" w:rsidR="00C961E9" w:rsidRPr="007F28C1" w:rsidRDefault="00C961E9" w:rsidP="007F28C1">
      <w:pPr>
        <w:spacing w:before="120" w:after="0" w:line="360" w:lineRule="auto"/>
        <w:jc w:val="both"/>
        <w:rPr>
          <w:rFonts w:ascii="Times New Roman" w:hAnsi="Times New Roman" w:cs="Times New Roman"/>
          <w:iCs/>
          <w:color w:val="000000"/>
          <w:sz w:val="24"/>
          <w:szCs w:val="24"/>
        </w:rPr>
      </w:pPr>
      <w:r w:rsidRPr="007F28C1">
        <w:rPr>
          <w:rFonts w:ascii="Times New Roman" w:hAnsi="Times New Roman" w:cs="Times New Roman"/>
          <w:iCs/>
          <w:color w:val="000000"/>
          <w:sz w:val="24"/>
          <w:szCs w:val="24"/>
        </w:rPr>
        <w:t xml:space="preserve">W ustawie </w:t>
      </w:r>
      <w:r w:rsidR="00364C67" w:rsidRPr="007F28C1">
        <w:rPr>
          <w:rFonts w:ascii="Times New Roman" w:hAnsi="Times New Roman" w:cs="Times New Roman"/>
          <w:sz w:val="24"/>
          <w:szCs w:val="24"/>
        </w:rPr>
        <w:t xml:space="preserve">z dnia 27 kwietnia 2001 r. – </w:t>
      </w:r>
      <w:r w:rsidRPr="007F28C1">
        <w:rPr>
          <w:rFonts w:ascii="Times New Roman" w:hAnsi="Times New Roman" w:cs="Times New Roman"/>
          <w:iCs/>
          <w:color w:val="000000"/>
          <w:sz w:val="24"/>
          <w:szCs w:val="24"/>
        </w:rPr>
        <w:t xml:space="preserve">Prawo ochrony środowiska </w:t>
      </w:r>
      <w:r w:rsidR="00364C67" w:rsidRPr="007F28C1">
        <w:rPr>
          <w:rFonts w:ascii="Times New Roman" w:hAnsi="Times New Roman" w:cs="Times New Roman"/>
          <w:iCs/>
          <w:color w:val="000000"/>
          <w:sz w:val="24"/>
          <w:szCs w:val="24"/>
        </w:rPr>
        <w:t xml:space="preserve">jest </w:t>
      </w:r>
      <w:r w:rsidRPr="007F28C1">
        <w:rPr>
          <w:rFonts w:ascii="Times New Roman" w:hAnsi="Times New Roman" w:cs="Times New Roman"/>
          <w:iCs/>
          <w:color w:val="000000"/>
          <w:sz w:val="24"/>
          <w:szCs w:val="24"/>
        </w:rPr>
        <w:t xml:space="preserve">konieczna zmiana przepisu art. 71 </w:t>
      </w:r>
      <w:r w:rsidR="00364C67" w:rsidRPr="007F28C1">
        <w:rPr>
          <w:rFonts w:ascii="Times New Roman" w:hAnsi="Times New Roman" w:cs="Times New Roman"/>
          <w:iCs/>
          <w:color w:val="000000"/>
          <w:sz w:val="24"/>
          <w:szCs w:val="24"/>
        </w:rPr>
        <w:t xml:space="preserve">określającego </w:t>
      </w:r>
      <w:r w:rsidRPr="007F28C1">
        <w:rPr>
          <w:rFonts w:ascii="Times New Roman" w:hAnsi="Times New Roman" w:cs="Times New Roman"/>
          <w:iCs/>
          <w:color w:val="000000"/>
          <w:sz w:val="24"/>
          <w:szCs w:val="24"/>
        </w:rPr>
        <w:t>zasad</w:t>
      </w:r>
      <w:r w:rsidR="0026326E" w:rsidRPr="007F28C1">
        <w:rPr>
          <w:rFonts w:ascii="Times New Roman" w:hAnsi="Times New Roman" w:cs="Times New Roman"/>
          <w:iCs/>
          <w:color w:val="000000"/>
          <w:sz w:val="24"/>
          <w:szCs w:val="24"/>
        </w:rPr>
        <w:t>y</w:t>
      </w:r>
      <w:r w:rsidRPr="007F28C1">
        <w:rPr>
          <w:rFonts w:ascii="Times New Roman" w:hAnsi="Times New Roman" w:cs="Times New Roman"/>
          <w:iCs/>
          <w:color w:val="000000"/>
          <w:sz w:val="24"/>
          <w:szCs w:val="24"/>
        </w:rPr>
        <w:t xml:space="preserve"> ochrony środowiska, jakie muszą być uwzględniane w zagospodarowaniu przestrzennym i przy realizacji inwestycji. W ust. 1 tego artykułu </w:t>
      </w:r>
      <w:r w:rsidR="00364C67" w:rsidRPr="007F28C1">
        <w:rPr>
          <w:rFonts w:ascii="Times New Roman" w:hAnsi="Times New Roman" w:cs="Times New Roman"/>
          <w:iCs/>
          <w:color w:val="000000"/>
          <w:sz w:val="24"/>
          <w:szCs w:val="24"/>
        </w:rPr>
        <w:t>wyrazy</w:t>
      </w:r>
      <w:r w:rsidRPr="007F28C1">
        <w:rPr>
          <w:rFonts w:ascii="Times New Roman" w:hAnsi="Times New Roman" w:cs="Times New Roman"/>
          <w:iCs/>
          <w:color w:val="000000"/>
          <w:sz w:val="24"/>
          <w:szCs w:val="24"/>
        </w:rPr>
        <w:t xml:space="preserve"> „Zasady zrównoważonego rozwoju</w:t>
      </w:r>
      <w:r w:rsidR="000D4FF9" w:rsidRPr="007F28C1">
        <w:rPr>
          <w:rFonts w:ascii="Times New Roman" w:hAnsi="Times New Roman" w:cs="Times New Roman"/>
          <w:iCs/>
          <w:color w:val="000000"/>
          <w:sz w:val="24"/>
          <w:szCs w:val="24"/>
        </w:rPr>
        <w:t xml:space="preserve"> </w:t>
      </w:r>
      <w:r w:rsidRPr="007F28C1">
        <w:rPr>
          <w:rFonts w:ascii="Times New Roman" w:hAnsi="Times New Roman" w:cs="Times New Roman"/>
          <w:iCs/>
          <w:color w:val="000000"/>
          <w:sz w:val="24"/>
          <w:szCs w:val="24"/>
        </w:rPr>
        <w:t>i ochrony środowiska stanowią podstawę…”</w:t>
      </w:r>
      <w:r w:rsidR="00BF54E7">
        <w:rPr>
          <w:rFonts w:ascii="Times New Roman" w:hAnsi="Times New Roman" w:cs="Times New Roman"/>
          <w:iCs/>
          <w:color w:val="000000"/>
          <w:sz w:val="24"/>
          <w:szCs w:val="24"/>
        </w:rPr>
        <w:t xml:space="preserve"> </w:t>
      </w:r>
      <w:r w:rsidR="00DD547C" w:rsidRPr="007F28C1">
        <w:rPr>
          <w:rFonts w:ascii="Times New Roman" w:hAnsi="Times New Roman" w:cs="Times New Roman"/>
          <w:iCs/>
          <w:color w:val="000000"/>
          <w:sz w:val="24"/>
          <w:szCs w:val="24"/>
        </w:rPr>
        <w:t>zostaną zastąpione wyrazami</w:t>
      </w:r>
      <w:r w:rsidRPr="007F28C1">
        <w:rPr>
          <w:rFonts w:ascii="Times New Roman" w:hAnsi="Times New Roman" w:cs="Times New Roman"/>
          <w:iCs/>
          <w:color w:val="000000"/>
          <w:sz w:val="24"/>
          <w:szCs w:val="24"/>
        </w:rPr>
        <w:t xml:space="preserve"> „Zasady zrównoważonego rozwoju, a także ochrony środowiska, w tym złóż kopalin stanowią podstawę…”</w:t>
      </w:r>
      <w:r w:rsidR="00DD547C" w:rsidRPr="007F28C1">
        <w:rPr>
          <w:rFonts w:ascii="Times New Roman" w:hAnsi="Times New Roman" w:cs="Times New Roman"/>
          <w:iCs/>
          <w:color w:val="000000"/>
          <w:sz w:val="24"/>
          <w:szCs w:val="24"/>
        </w:rPr>
        <w:t>.</w:t>
      </w:r>
      <w:r w:rsidRPr="007F28C1">
        <w:rPr>
          <w:rFonts w:ascii="Times New Roman" w:hAnsi="Times New Roman" w:cs="Times New Roman"/>
          <w:iCs/>
          <w:color w:val="000000"/>
          <w:sz w:val="24"/>
          <w:szCs w:val="24"/>
        </w:rPr>
        <w:t xml:space="preserve"> Ponadto doprecyzowuje się </w:t>
      </w:r>
      <w:r w:rsidR="00BB720B">
        <w:rPr>
          <w:rFonts w:ascii="Times New Roman" w:hAnsi="Times New Roman" w:cs="Times New Roman"/>
          <w:iCs/>
          <w:color w:val="000000"/>
          <w:sz w:val="24"/>
          <w:szCs w:val="24"/>
        </w:rPr>
        <w:t>brzmienie przepisu art. 71 ust. </w:t>
      </w:r>
      <w:r w:rsidRPr="007F28C1">
        <w:rPr>
          <w:rFonts w:ascii="Times New Roman" w:hAnsi="Times New Roman" w:cs="Times New Roman"/>
          <w:iCs/>
          <w:color w:val="000000"/>
          <w:sz w:val="24"/>
          <w:szCs w:val="24"/>
        </w:rPr>
        <w:t>2 pkt 1</w:t>
      </w:r>
      <w:r w:rsidR="00485338" w:rsidRPr="007F28C1">
        <w:rPr>
          <w:rFonts w:ascii="Times New Roman" w:hAnsi="Times New Roman" w:cs="Times New Roman"/>
          <w:iCs/>
          <w:color w:val="000000"/>
          <w:sz w:val="24"/>
          <w:szCs w:val="24"/>
        </w:rPr>
        <w:t xml:space="preserve"> ww. ustawy</w:t>
      </w:r>
      <w:r w:rsidR="00073006" w:rsidRPr="007F28C1" w:rsidDel="00073006">
        <w:rPr>
          <w:rFonts w:ascii="Times New Roman" w:hAnsi="Times New Roman" w:cs="Times New Roman"/>
          <w:iCs/>
          <w:color w:val="000000"/>
          <w:sz w:val="24"/>
          <w:szCs w:val="24"/>
        </w:rPr>
        <w:t xml:space="preserve"> </w:t>
      </w:r>
      <w:r w:rsidRPr="007F28C1">
        <w:rPr>
          <w:rFonts w:ascii="Times New Roman" w:hAnsi="Times New Roman" w:cs="Times New Roman"/>
          <w:iCs/>
          <w:color w:val="000000"/>
          <w:sz w:val="24"/>
          <w:szCs w:val="24"/>
        </w:rPr>
        <w:t>przez uzupełnienie tego przepisu o dodatkowy czynnik, jaki trzeba uwzględniać przy realizacji inwestycji</w:t>
      </w:r>
      <w:r w:rsidR="00DD547C" w:rsidRPr="007F28C1">
        <w:rPr>
          <w:rFonts w:ascii="Times New Roman" w:hAnsi="Times New Roman" w:cs="Times New Roman"/>
          <w:iCs/>
          <w:color w:val="000000"/>
          <w:sz w:val="24"/>
          <w:szCs w:val="24"/>
        </w:rPr>
        <w:t>,</w:t>
      </w:r>
      <w:r w:rsidRPr="007F28C1">
        <w:rPr>
          <w:rFonts w:ascii="Times New Roman" w:hAnsi="Times New Roman" w:cs="Times New Roman"/>
          <w:iCs/>
          <w:color w:val="000000"/>
          <w:sz w:val="24"/>
          <w:szCs w:val="24"/>
        </w:rPr>
        <w:t xml:space="preserve"> tj. rozwiązania zapewniające zachowanie dostępności do złóż kopalin.</w:t>
      </w:r>
    </w:p>
    <w:p w14:paraId="2E1A2DCC" w14:textId="4DE3D6DD" w:rsidR="00C961E9" w:rsidRPr="007F28C1" w:rsidRDefault="00C961E9" w:rsidP="007F28C1">
      <w:pPr>
        <w:spacing w:before="120" w:after="0" w:line="360" w:lineRule="auto"/>
        <w:jc w:val="both"/>
        <w:rPr>
          <w:rFonts w:ascii="Times New Roman" w:hAnsi="Times New Roman" w:cs="Times New Roman"/>
          <w:iCs/>
          <w:color w:val="000000"/>
          <w:sz w:val="24"/>
          <w:szCs w:val="24"/>
        </w:rPr>
      </w:pPr>
      <w:r w:rsidRPr="007F28C1">
        <w:rPr>
          <w:rFonts w:ascii="Times New Roman" w:hAnsi="Times New Roman" w:cs="Times New Roman"/>
          <w:sz w:val="24"/>
          <w:szCs w:val="24"/>
        </w:rPr>
        <w:t>Jednocześnie zmiany w ustawie</w:t>
      </w:r>
      <w:r w:rsidR="00DD547C" w:rsidRPr="007F28C1">
        <w:rPr>
          <w:rFonts w:ascii="Times New Roman" w:hAnsi="Times New Roman" w:cs="Times New Roman"/>
          <w:sz w:val="24"/>
          <w:szCs w:val="24"/>
        </w:rPr>
        <w:t xml:space="preserve"> z dnia 27 kwietnia 2001 r. – </w:t>
      </w:r>
      <w:r w:rsidRPr="007F28C1">
        <w:rPr>
          <w:rFonts w:ascii="Times New Roman" w:hAnsi="Times New Roman" w:cs="Times New Roman"/>
          <w:sz w:val="24"/>
          <w:szCs w:val="24"/>
        </w:rPr>
        <w:t xml:space="preserve">Prawo ochrony środowiska mają także za cel powiązanie ochrony złóż kopalin z innymi wartościami podlagającymi ochronie. Chodzi tu przede wszystkim o wsparcie działań mających za zadanie doprowadzenie do zmniejszenia emisji gazów cieplarnianych oraz zwiększenia bezpieczeństwa energetycznego kraju przez większą dywersyfikację źródeł energii. W tym celu projektowana nowelizacja zakłada także zmianę art. 125 ustawy </w:t>
      </w:r>
      <w:r w:rsidR="00DD547C" w:rsidRPr="007F28C1">
        <w:rPr>
          <w:rFonts w:ascii="Times New Roman" w:hAnsi="Times New Roman" w:cs="Times New Roman"/>
          <w:sz w:val="24"/>
          <w:szCs w:val="24"/>
        </w:rPr>
        <w:t xml:space="preserve">z dnia 27 kwietnia 2001 r. – </w:t>
      </w:r>
      <w:r w:rsidRPr="007F28C1">
        <w:rPr>
          <w:rFonts w:ascii="Times New Roman" w:hAnsi="Times New Roman" w:cs="Times New Roman"/>
          <w:sz w:val="24"/>
          <w:szCs w:val="24"/>
        </w:rPr>
        <w:t>Prawo ochrony środowiska, przez dodanie ust. 3 wskazującego, że </w:t>
      </w:r>
      <w:r w:rsidR="007C6EBC" w:rsidRPr="007F28C1">
        <w:rPr>
          <w:rFonts w:ascii="Times New Roman" w:hAnsi="Times New Roman" w:cs="Times New Roman"/>
          <w:sz w:val="24"/>
          <w:szCs w:val="24"/>
        </w:rPr>
        <w:t xml:space="preserve">nie narusza </w:t>
      </w:r>
      <w:r w:rsidRPr="007F28C1">
        <w:rPr>
          <w:rFonts w:ascii="Times New Roman" w:hAnsi="Times New Roman" w:cs="Times New Roman"/>
          <w:sz w:val="24"/>
          <w:szCs w:val="24"/>
        </w:rPr>
        <w:t>ochron</w:t>
      </w:r>
      <w:r w:rsidR="007C6EBC" w:rsidRPr="007F28C1">
        <w:rPr>
          <w:rFonts w:ascii="Times New Roman" w:hAnsi="Times New Roman" w:cs="Times New Roman"/>
          <w:sz w:val="24"/>
          <w:szCs w:val="24"/>
        </w:rPr>
        <w:t>y</w:t>
      </w:r>
      <w:r w:rsidRPr="007F28C1">
        <w:rPr>
          <w:rFonts w:ascii="Times New Roman" w:hAnsi="Times New Roman" w:cs="Times New Roman"/>
          <w:sz w:val="24"/>
          <w:szCs w:val="24"/>
        </w:rPr>
        <w:t xml:space="preserve"> złóż kopalin </w:t>
      </w:r>
      <w:r w:rsidR="007C6EBC" w:rsidRPr="007F28C1">
        <w:rPr>
          <w:rFonts w:ascii="Times New Roman" w:hAnsi="Times New Roman" w:cs="Times New Roman"/>
          <w:sz w:val="24"/>
          <w:szCs w:val="24"/>
        </w:rPr>
        <w:t>lokalizowanie na obszarach występowania udokumentowanych złóż kopalin</w:t>
      </w:r>
      <w:r w:rsidRPr="007F28C1">
        <w:rPr>
          <w:rFonts w:ascii="Times New Roman" w:hAnsi="Times New Roman" w:cs="Times New Roman"/>
          <w:sz w:val="24"/>
          <w:szCs w:val="24"/>
        </w:rPr>
        <w:t xml:space="preserve"> </w:t>
      </w:r>
      <w:r w:rsidR="0065192F" w:rsidRPr="007F28C1">
        <w:rPr>
          <w:rFonts w:ascii="Times New Roman" w:hAnsi="Times New Roman" w:cs="Times New Roman"/>
          <w:sz w:val="24"/>
          <w:szCs w:val="24"/>
        </w:rPr>
        <w:t>morski</w:t>
      </w:r>
      <w:r w:rsidR="007C6EBC" w:rsidRPr="007F28C1">
        <w:rPr>
          <w:rFonts w:ascii="Times New Roman" w:hAnsi="Times New Roman" w:cs="Times New Roman"/>
          <w:sz w:val="24"/>
          <w:szCs w:val="24"/>
        </w:rPr>
        <w:t>ch</w:t>
      </w:r>
      <w:r w:rsidR="0065192F" w:rsidRPr="007F28C1">
        <w:rPr>
          <w:rFonts w:ascii="Times New Roman" w:hAnsi="Times New Roman" w:cs="Times New Roman"/>
          <w:sz w:val="24"/>
          <w:szCs w:val="24"/>
        </w:rPr>
        <w:t xml:space="preserve"> farm wiatrow</w:t>
      </w:r>
      <w:r w:rsidR="007C6EBC" w:rsidRPr="007F28C1">
        <w:rPr>
          <w:rFonts w:ascii="Times New Roman" w:hAnsi="Times New Roman" w:cs="Times New Roman"/>
          <w:sz w:val="24"/>
          <w:szCs w:val="24"/>
        </w:rPr>
        <w:t>ych</w:t>
      </w:r>
      <w:r w:rsidR="0065192F" w:rsidRPr="007F28C1">
        <w:rPr>
          <w:rFonts w:ascii="Times New Roman" w:hAnsi="Times New Roman" w:cs="Times New Roman"/>
          <w:sz w:val="24"/>
          <w:szCs w:val="24"/>
        </w:rPr>
        <w:t xml:space="preserve">, a także </w:t>
      </w:r>
      <w:r w:rsidRPr="007F28C1">
        <w:rPr>
          <w:rFonts w:ascii="Times New Roman" w:hAnsi="Times New Roman" w:cs="Times New Roman"/>
          <w:sz w:val="24"/>
          <w:szCs w:val="24"/>
        </w:rPr>
        <w:t>instalacj</w:t>
      </w:r>
      <w:r w:rsidR="007C6EBC" w:rsidRPr="007F28C1">
        <w:rPr>
          <w:rFonts w:ascii="Times New Roman" w:hAnsi="Times New Roman" w:cs="Times New Roman"/>
          <w:sz w:val="24"/>
          <w:szCs w:val="24"/>
        </w:rPr>
        <w:t>i</w:t>
      </w:r>
      <w:r w:rsidRPr="007F28C1">
        <w:rPr>
          <w:rFonts w:ascii="Times New Roman" w:hAnsi="Times New Roman" w:cs="Times New Roman"/>
          <w:sz w:val="24"/>
          <w:szCs w:val="24"/>
        </w:rPr>
        <w:t xml:space="preserve"> odnawialnych źródeł energii, </w:t>
      </w:r>
      <w:r w:rsidR="00A93826" w:rsidRPr="007F28C1">
        <w:rPr>
          <w:rFonts w:ascii="Times New Roman" w:hAnsi="Times New Roman" w:cs="Times New Roman"/>
          <w:sz w:val="24"/>
          <w:szCs w:val="24"/>
        </w:rPr>
        <w:t xml:space="preserve">jeżeli </w:t>
      </w:r>
      <w:r w:rsidR="00DD547C" w:rsidRPr="007F28C1">
        <w:rPr>
          <w:rFonts w:ascii="Times New Roman" w:hAnsi="Times New Roman" w:cs="Times New Roman"/>
          <w:sz w:val="24"/>
          <w:szCs w:val="24"/>
        </w:rPr>
        <w:t xml:space="preserve">te </w:t>
      </w:r>
      <w:r w:rsidR="00A93826" w:rsidRPr="007F28C1">
        <w:rPr>
          <w:rFonts w:ascii="Times New Roman" w:hAnsi="Times New Roman" w:cs="Times New Roman"/>
          <w:sz w:val="24"/>
          <w:szCs w:val="24"/>
        </w:rPr>
        <w:t xml:space="preserve">instalacje </w:t>
      </w:r>
      <w:r w:rsidRPr="007F28C1">
        <w:rPr>
          <w:rFonts w:ascii="Times New Roman" w:hAnsi="Times New Roman" w:cs="Times New Roman"/>
          <w:sz w:val="24"/>
          <w:szCs w:val="24"/>
        </w:rPr>
        <w:t xml:space="preserve">nie są trwale związane z gruntem </w:t>
      </w:r>
      <w:r w:rsidR="00CD7640" w:rsidRPr="007F28C1">
        <w:rPr>
          <w:rFonts w:ascii="Times New Roman" w:hAnsi="Times New Roman" w:cs="Times New Roman"/>
          <w:sz w:val="24"/>
          <w:szCs w:val="24"/>
        </w:rPr>
        <w:t xml:space="preserve">w </w:t>
      </w:r>
      <w:r w:rsidRPr="007F28C1">
        <w:rPr>
          <w:rFonts w:ascii="Times New Roman" w:hAnsi="Times New Roman" w:cs="Times New Roman"/>
          <w:sz w:val="24"/>
          <w:szCs w:val="24"/>
        </w:rPr>
        <w:t xml:space="preserve">sposób uniemożliwiający eksploatację </w:t>
      </w:r>
      <w:r w:rsidR="00CD7640" w:rsidRPr="007F28C1">
        <w:rPr>
          <w:rFonts w:ascii="Times New Roman" w:hAnsi="Times New Roman" w:cs="Times New Roman"/>
          <w:sz w:val="24"/>
          <w:szCs w:val="24"/>
        </w:rPr>
        <w:t xml:space="preserve">złoża </w:t>
      </w:r>
      <w:r w:rsidRPr="007F28C1">
        <w:rPr>
          <w:rFonts w:ascii="Times New Roman" w:hAnsi="Times New Roman" w:cs="Times New Roman"/>
          <w:sz w:val="24"/>
          <w:szCs w:val="24"/>
        </w:rPr>
        <w:t>w przyszłości.</w:t>
      </w:r>
      <w:r w:rsidR="00617525"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Stanowi to tym samym także pewną odpowiedź </w:t>
      </w:r>
      <w:r w:rsidR="00CB622E" w:rsidRPr="007F28C1">
        <w:rPr>
          <w:rFonts w:ascii="Times New Roman" w:hAnsi="Times New Roman" w:cs="Times New Roman"/>
          <w:sz w:val="24"/>
          <w:szCs w:val="24"/>
        </w:rPr>
        <w:t xml:space="preserve">na </w:t>
      </w:r>
      <w:r w:rsidRPr="007F28C1">
        <w:rPr>
          <w:rFonts w:ascii="Times New Roman" w:hAnsi="Times New Roman" w:cs="Times New Roman"/>
          <w:sz w:val="24"/>
          <w:szCs w:val="24"/>
        </w:rPr>
        <w:t xml:space="preserve">zobowiązania wynikające z polityki klimatycznej Unii Europejskiej. </w:t>
      </w:r>
    </w:p>
    <w:p w14:paraId="3D5BA63A" w14:textId="3E56EAAF"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Zmiana ustawy</w:t>
      </w:r>
      <w:r w:rsidR="00DD547C" w:rsidRPr="007F28C1">
        <w:rPr>
          <w:rFonts w:ascii="Times New Roman" w:hAnsi="Times New Roman" w:cs="Times New Roman"/>
          <w:color w:val="000000"/>
          <w:sz w:val="24"/>
          <w:szCs w:val="24"/>
        </w:rPr>
        <w:t xml:space="preserve"> z dnia 21 sierpnia 1997 r. </w:t>
      </w:r>
      <w:r w:rsidRPr="007F28C1">
        <w:rPr>
          <w:rFonts w:ascii="Times New Roman" w:hAnsi="Times New Roman" w:cs="Times New Roman"/>
          <w:sz w:val="24"/>
          <w:szCs w:val="24"/>
        </w:rPr>
        <w:t xml:space="preserve">o gospodarce nieruchomościami </w:t>
      </w:r>
      <w:r w:rsidR="00DD547C" w:rsidRPr="007F28C1">
        <w:rPr>
          <w:rFonts w:ascii="Times New Roman" w:hAnsi="Times New Roman" w:cs="Times New Roman"/>
          <w:sz w:val="24"/>
          <w:szCs w:val="24"/>
        </w:rPr>
        <w:t xml:space="preserve">obejmuje </w:t>
      </w:r>
      <w:r w:rsidR="00653F3D" w:rsidRPr="007F28C1">
        <w:rPr>
          <w:rFonts w:ascii="Times New Roman" w:hAnsi="Times New Roman" w:cs="Times New Roman"/>
          <w:sz w:val="24"/>
          <w:szCs w:val="24"/>
        </w:rPr>
        <w:t>m.in.</w:t>
      </w:r>
      <w:r w:rsidR="003328E8"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art. 19 ust. 1 </w:t>
      </w:r>
      <w:r w:rsidR="0042368B" w:rsidRPr="007F28C1">
        <w:rPr>
          <w:rFonts w:ascii="Times New Roman" w:hAnsi="Times New Roman" w:cs="Times New Roman"/>
          <w:sz w:val="24"/>
          <w:szCs w:val="24"/>
        </w:rPr>
        <w:t xml:space="preserve">pkt 1 </w:t>
      </w:r>
      <w:r w:rsidRPr="007F28C1">
        <w:rPr>
          <w:rFonts w:ascii="Times New Roman" w:hAnsi="Times New Roman" w:cs="Times New Roman"/>
          <w:sz w:val="24"/>
          <w:szCs w:val="24"/>
        </w:rPr>
        <w:t>regulując</w:t>
      </w:r>
      <w:r w:rsidR="000278C1" w:rsidRPr="007F28C1">
        <w:rPr>
          <w:rFonts w:ascii="Times New Roman" w:hAnsi="Times New Roman" w:cs="Times New Roman"/>
          <w:sz w:val="24"/>
          <w:szCs w:val="24"/>
        </w:rPr>
        <w:t>y</w:t>
      </w:r>
      <w:r w:rsidRPr="007F28C1">
        <w:rPr>
          <w:rFonts w:ascii="Times New Roman" w:hAnsi="Times New Roman" w:cs="Times New Roman"/>
          <w:sz w:val="24"/>
          <w:szCs w:val="24"/>
        </w:rPr>
        <w:t xml:space="preserve"> współdziałanie organów w procedurze obrotu nieruchomości</w:t>
      </w:r>
      <w:r w:rsidR="00F010A1">
        <w:rPr>
          <w:rFonts w:ascii="Times New Roman" w:hAnsi="Times New Roman" w:cs="Times New Roman"/>
          <w:sz w:val="24"/>
          <w:szCs w:val="24"/>
        </w:rPr>
        <w:t>ami</w:t>
      </w:r>
      <w:r w:rsidRPr="007F28C1">
        <w:rPr>
          <w:rFonts w:ascii="Times New Roman" w:hAnsi="Times New Roman" w:cs="Times New Roman"/>
          <w:sz w:val="24"/>
          <w:szCs w:val="24"/>
        </w:rPr>
        <w:t xml:space="preserve"> stanowiącymi własność Skarbu Państwa lub jednostek samorządu terytorialnego. Obecnie sprzedaż takich nieruchomości, oddawanie ich w użytkowanie wieczyste, użytkowanie, najem lub dzierżawę, jeżeli są położone na obszarach terenów górniczych</w:t>
      </w:r>
      <w:r w:rsidR="00414513">
        <w:rPr>
          <w:rFonts w:ascii="Times New Roman" w:hAnsi="Times New Roman" w:cs="Times New Roman"/>
          <w:sz w:val="24"/>
          <w:szCs w:val="24"/>
        </w:rPr>
        <w:t>,</w:t>
      </w:r>
      <w:r w:rsidRPr="007F28C1">
        <w:rPr>
          <w:rFonts w:ascii="Times New Roman" w:hAnsi="Times New Roman" w:cs="Times New Roman"/>
          <w:sz w:val="24"/>
          <w:szCs w:val="24"/>
        </w:rPr>
        <w:t xml:space="preserve"> wymaga, w razie braku planu miejscowego, porozumienia z organem właściwym do udzielania koncesji na wydobywanie kopalin. Jest to przepis niezrozumiały z punktu widzenia innych regulacji prawnych przewidujących właściwość organów nadzoru górniczego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odniesieniu do terenów górniczych. W celu zachowania spójności systemowej należało ww. przepis zmienić i przenieść taką właściwość na organy posiadające adekwatne kompetencje w sprawach dotyczących terenów górniczych.</w:t>
      </w:r>
    </w:p>
    <w:p w14:paraId="677BA406" w14:textId="75D3E0E6" w:rsidR="00C961E9" w:rsidRPr="007F28C1" w:rsidRDefault="00C961E9"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lastRenderedPageBreak/>
        <w:t>Gdy chodzi o tzw. specustawy wymienione w pkt 3</w:t>
      </w:r>
      <w:r w:rsidR="00DD547C" w:rsidRPr="007F28C1">
        <w:rPr>
          <w:rFonts w:ascii="Times New Roman" w:hAnsi="Times New Roman" w:cs="Times New Roman"/>
          <w:sz w:val="24"/>
          <w:szCs w:val="24"/>
        </w:rPr>
        <w:t>–</w:t>
      </w:r>
      <w:r w:rsidR="00794717" w:rsidRPr="007F28C1">
        <w:rPr>
          <w:rFonts w:ascii="Times New Roman" w:hAnsi="Times New Roman" w:cs="Times New Roman"/>
          <w:sz w:val="24"/>
          <w:szCs w:val="24"/>
        </w:rPr>
        <w:t>1</w:t>
      </w:r>
      <w:r w:rsidR="00F66E5D" w:rsidRPr="007F28C1">
        <w:rPr>
          <w:rFonts w:ascii="Times New Roman" w:hAnsi="Times New Roman" w:cs="Times New Roman"/>
          <w:sz w:val="24"/>
          <w:szCs w:val="24"/>
        </w:rPr>
        <w:t>0</w:t>
      </w:r>
      <w:r w:rsidRPr="007F28C1">
        <w:rPr>
          <w:rFonts w:ascii="Times New Roman" w:hAnsi="Times New Roman" w:cs="Times New Roman"/>
          <w:sz w:val="24"/>
          <w:szCs w:val="24"/>
        </w:rPr>
        <w:t xml:space="preserve"> powyżej, ich zmiana</w:t>
      </w:r>
      <w:r w:rsidR="003328E8" w:rsidRPr="007F28C1">
        <w:rPr>
          <w:rFonts w:ascii="Times New Roman" w:hAnsi="Times New Roman" w:cs="Times New Roman"/>
          <w:sz w:val="24"/>
          <w:szCs w:val="24"/>
        </w:rPr>
        <w:t xml:space="preserve"> </w:t>
      </w:r>
      <w:r w:rsidRPr="007F28C1">
        <w:rPr>
          <w:rFonts w:ascii="Times New Roman" w:hAnsi="Times New Roman" w:cs="Times New Roman"/>
          <w:sz w:val="24"/>
          <w:szCs w:val="24"/>
        </w:rPr>
        <w:t>ma jednakowy charakter i</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cel, a polega na wprowadzeniu obowiązku ujmowania we wniosku o</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wyrażenie zgody na realizację inwestycji objętej daną specustawą również opinii</w:t>
      </w:r>
      <w:r w:rsidR="0054044F" w:rsidRPr="007F28C1">
        <w:rPr>
          <w:rFonts w:ascii="Times New Roman" w:hAnsi="Times New Roman" w:cs="Times New Roman"/>
          <w:sz w:val="24"/>
          <w:szCs w:val="24"/>
        </w:rPr>
        <w:t xml:space="preserve"> ministra właściwego do spraw środowiska</w:t>
      </w:r>
      <w:r w:rsidRPr="007F28C1">
        <w:rPr>
          <w:rFonts w:ascii="Times New Roman" w:hAnsi="Times New Roman" w:cs="Times New Roman"/>
          <w:sz w:val="24"/>
          <w:szCs w:val="24"/>
        </w:rPr>
        <w:t xml:space="preserve">. Należy bowiem zauważyć, że przy realizacji strategicznych inwestycji państwowych </w:t>
      </w:r>
      <w:r w:rsidR="00DD547C"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wyłączone stosowanie przepisów u.p.z.p. Mając zaś na względzie potrzebę zapewnienia szczególnej ochrony dla złóż strategicznych, włączenie </w:t>
      </w:r>
      <w:r w:rsidR="00020EEB" w:rsidRPr="007F28C1">
        <w:rPr>
          <w:rFonts w:ascii="Times New Roman" w:hAnsi="Times New Roman" w:cs="Times New Roman"/>
          <w:sz w:val="24"/>
          <w:szCs w:val="24"/>
        </w:rPr>
        <w:t xml:space="preserve">organu administracji geologicznej </w:t>
      </w:r>
      <w:r w:rsidRPr="007F28C1">
        <w:rPr>
          <w:rFonts w:ascii="Times New Roman" w:hAnsi="Times New Roman" w:cs="Times New Roman"/>
          <w:sz w:val="24"/>
          <w:szCs w:val="24"/>
        </w:rPr>
        <w:t>do ww. procedury i umożliwienie mu zajęcia stanowiska</w:t>
      </w:r>
      <w:r w:rsidR="00830283" w:rsidRPr="007F28C1">
        <w:rPr>
          <w:rFonts w:ascii="Times New Roman" w:hAnsi="Times New Roman" w:cs="Times New Roman"/>
          <w:sz w:val="24"/>
          <w:szCs w:val="24"/>
        </w:rPr>
        <w:t>,</w:t>
      </w:r>
      <w:r w:rsidRPr="007F28C1">
        <w:rPr>
          <w:rFonts w:ascii="Times New Roman" w:hAnsi="Times New Roman" w:cs="Times New Roman"/>
          <w:sz w:val="24"/>
          <w:szCs w:val="24"/>
        </w:rPr>
        <w:t xml:space="preserve"> w formie opinii</w:t>
      </w:r>
      <w:r w:rsidR="003A7752" w:rsidRPr="007F28C1">
        <w:rPr>
          <w:rFonts w:ascii="Times New Roman" w:hAnsi="Times New Roman" w:cs="Times New Roman"/>
          <w:sz w:val="24"/>
          <w:szCs w:val="24"/>
        </w:rPr>
        <w:t>,</w:t>
      </w:r>
      <w:r w:rsidRPr="007F28C1">
        <w:rPr>
          <w:rFonts w:ascii="Times New Roman" w:hAnsi="Times New Roman" w:cs="Times New Roman"/>
          <w:sz w:val="24"/>
          <w:szCs w:val="24"/>
        </w:rPr>
        <w:t xml:space="preserve"> w odniesieniu do terenów inwestycji położonych nad złożami strategicznymi</w:t>
      </w:r>
      <w:r w:rsidR="003A7752" w:rsidRPr="007F28C1">
        <w:rPr>
          <w:rFonts w:ascii="Times New Roman" w:hAnsi="Times New Roman" w:cs="Times New Roman"/>
          <w:sz w:val="24"/>
          <w:szCs w:val="24"/>
        </w:rPr>
        <w:t>,</w:t>
      </w:r>
      <w:r w:rsidRPr="007F28C1">
        <w:rPr>
          <w:rFonts w:ascii="Times New Roman" w:hAnsi="Times New Roman" w:cs="Times New Roman"/>
          <w:sz w:val="24"/>
          <w:szCs w:val="24"/>
        </w:rPr>
        <w:t xml:space="preserve"> wydaje się koniecznym minimum.</w:t>
      </w:r>
    </w:p>
    <w:p w14:paraId="6567792A" w14:textId="54841D65" w:rsidR="00547905" w:rsidRPr="007F28C1" w:rsidRDefault="00E80A9B" w:rsidP="007F28C1">
      <w:pPr>
        <w:numPr>
          <w:ilvl w:val="0"/>
          <w:numId w:val="14"/>
        </w:numPr>
        <w:spacing w:before="240" w:after="0" w:line="360" w:lineRule="auto"/>
        <w:ind w:left="454" w:hanging="227"/>
        <w:jc w:val="both"/>
        <w:rPr>
          <w:rFonts w:ascii="Times New Roman" w:hAnsi="Times New Roman" w:cs="Times New Roman"/>
          <w:b/>
          <w:bCs/>
          <w:sz w:val="24"/>
          <w:szCs w:val="24"/>
        </w:rPr>
      </w:pPr>
      <w:r w:rsidRPr="007F28C1">
        <w:rPr>
          <w:rFonts w:ascii="Times New Roman" w:hAnsi="Times New Roman" w:cs="Times New Roman"/>
          <w:b/>
          <w:bCs/>
          <w:sz w:val="24"/>
          <w:szCs w:val="24"/>
        </w:rPr>
        <w:t>Wprowadzenie do P</w:t>
      </w:r>
      <w:r w:rsidR="00E03FE9" w:rsidRPr="007F28C1">
        <w:rPr>
          <w:rFonts w:ascii="Times New Roman" w:hAnsi="Times New Roman" w:cs="Times New Roman"/>
          <w:b/>
          <w:bCs/>
          <w:sz w:val="24"/>
          <w:szCs w:val="24"/>
        </w:rPr>
        <w:t>.</w:t>
      </w:r>
      <w:r w:rsidRPr="007F28C1">
        <w:rPr>
          <w:rFonts w:ascii="Times New Roman" w:hAnsi="Times New Roman" w:cs="Times New Roman"/>
          <w:b/>
          <w:bCs/>
          <w:sz w:val="24"/>
          <w:szCs w:val="24"/>
        </w:rPr>
        <w:t>g</w:t>
      </w:r>
      <w:r w:rsidR="00E03FE9" w:rsidRPr="007F28C1">
        <w:rPr>
          <w:rFonts w:ascii="Times New Roman" w:hAnsi="Times New Roman" w:cs="Times New Roman"/>
          <w:b/>
          <w:bCs/>
          <w:sz w:val="24"/>
          <w:szCs w:val="24"/>
        </w:rPr>
        <w:t>.</w:t>
      </w:r>
      <w:r w:rsidRPr="007F28C1">
        <w:rPr>
          <w:rFonts w:ascii="Times New Roman" w:hAnsi="Times New Roman" w:cs="Times New Roman"/>
          <w:b/>
          <w:bCs/>
          <w:sz w:val="24"/>
          <w:szCs w:val="24"/>
        </w:rPr>
        <w:t>g</w:t>
      </w:r>
      <w:r w:rsidR="00E03FE9" w:rsidRPr="007F28C1">
        <w:rPr>
          <w:rFonts w:ascii="Times New Roman" w:hAnsi="Times New Roman" w:cs="Times New Roman"/>
          <w:b/>
          <w:bCs/>
          <w:sz w:val="24"/>
          <w:szCs w:val="24"/>
        </w:rPr>
        <w:t>.</w:t>
      </w:r>
      <w:r w:rsidRPr="007F28C1">
        <w:rPr>
          <w:rFonts w:ascii="Times New Roman" w:hAnsi="Times New Roman" w:cs="Times New Roman"/>
          <w:b/>
          <w:bCs/>
          <w:sz w:val="24"/>
          <w:szCs w:val="24"/>
        </w:rPr>
        <w:t xml:space="preserve"> instrumentów prawnych związanych z </w:t>
      </w:r>
      <w:r w:rsidR="00877C78" w:rsidRPr="007F28C1">
        <w:rPr>
          <w:rFonts w:ascii="Times New Roman" w:hAnsi="Times New Roman" w:cs="Times New Roman"/>
          <w:b/>
          <w:bCs/>
          <w:sz w:val="24"/>
          <w:szCs w:val="24"/>
        </w:rPr>
        <w:t>realizacją transformacji energetyczno-klimatycznej</w:t>
      </w:r>
    </w:p>
    <w:p w14:paraId="4DA02303" w14:textId="1861537C" w:rsidR="00547905" w:rsidRPr="007F28C1" w:rsidRDefault="00547905" w:rsidP="007F28C1">
      <w:pPr>
        <w:numPr>
          <w:ilvl w:val="0"/>
          <w:numId w:val="9"/>
        </w:numPr>
        <w:spacing w:before="240" w:after="0" w:line="360" w:lineRule="auto"/>
        <w:ind w:left="476" w:hanging="476"/>
        <w:jc w:val="both"/>
        <w:rPr>
          <w:rFonts w:ascii="Times New Roman" w:hAnsi="Times New Roman" w:cs="Times New Roman"/>
          <w:b/>
          <w:bCs/>
          <w:color w:val="000000"/>
          <w:sz w:val="24"/>
          <w:szCs w:val="24"/>
        </w:rPr>
      </w:pPr>
      <w:r w:rsidRPr="007F28C1">
        <w:rPr>
          <w:rFonts w:ascii="Times New Roman" w:hAnsi="Times New Roman" w:cs="Times New Roman"/>
          <w:b/>
          <w:bCs/>
          <w:color w:val="000000"/>
          <w:sz w:val="24"/>
          <w:szCs w:val="24"/>
        </w:rPr>
        <w:t>Podziemne składowanie dwutlenku węgla</w:t>
      </w:r>
    </w:p>
    <w:p w14:paraId="57D97229" w14:textId="79DC82CE" w:rsidR="00877C78" w:rsidRPr="007F28C1" w:rsidRDefault="00877C78" w:rsidP="007F28C1">
      <w:pPr>
        <w:tabs>
          <w:tab w:val="left" w:pos="3915"/>
        </w:tabs>
        <w:spacing w:before="120" w:after="0" w:line="360" w:lineRule="auto"/>
        <w:jc w:val="both"/>
        <w:rPr>
          <w:rFonts w:ascii="Times New Roman" w:hAnsi="Times New Roman" w:cs="Times New Roman"/>
          <w:color w:val="000000"/>
          <w:sz w:val="24"/>
          <w:szCs w:val="24"/>
        </w:rPr>
      </w:pPr>
      <w:r w:rsidRPr="007F28C1">
        <w:rPr>
          <w:rFonts w:ascii="Times New Roman" w:hAnsi="Times New Roman" w:cs="Times New Roman"/>
          <w:color w:val="000000"/>
          <w:sz w:val="24"/>
          <w:szCs w:val="24"/>
        </w:rPr>
        <w:t>W dniu 24 listopada 2013 r. weszła w życie ustawa z dnia 27 września 2013 r</w:t>
      </w:r>
      <w:r w:rsidRPr="007F28C1">
        <w:rPr>
          <w:rFonts w:ascii="Times New Roman" w:hAnsi="Times New Roman" w:cs="Times New Roman"/>
          <w:iCs/>
          <w:color w:val="000000"/>
          <w:sz w:val="24"/>
          <w:szCs w:val="24"/>
        </w:rPr>
        <w:t xml:space="preserve">. </w:t>
      </w:r>
      <w:r w:rsidRPr="007F28C1">
        <w:rPr>
          <w:rFonts w:ascii="Times New Roman" w:hAnsi="Times New Roman" w:cs="Times New Roman"/>
          <w:color w:val="000000"/>
          <w:sz w:val="24"/>
          <w:szCs w:val="24"/>
        </w:rPr>
        <w:t>o zmianie ustawy – Prawo geologiczne i górnicze oraz niektórych innych ustaw</w:t>
      </w:r>
      <w:r w:rsidR="00EB500E" w:rsidRPr="007F28C1">
        <w:rPr>
          <w:rFonts w:ascii="Times New Roman" w:hAnsi="Times New Roman" w:cs="Times New Roman"/>
          <w:color w:val="000000"/>
          <w:sz w:val="24"/>
          <w:szCs w:val="24"/>
        </w:rPr>
        <w:t xml:space="preserve"> </w:t>
      </w:r>
      <w:r w:rsidRPr="007F28C1">
        <w:rPr>
          <w:rFonts w:ascii="Times New Roman" w:hAnsi="Times New Roman" w:cs="Times New Roman"/>
          <w:color w:val="000000"/>
          <w:sz w:val="24"/>
          <w:szCs w:val="24"/>
        </w:rPr>
        <w:t>(Dz. U. poz. 1238</w:t>
      </w:r>
      <w:r w:rsidR="00073006" w:rsidRPr="007F28C1">
        <w:rPr>
          <w:rFonts w:ascii="Times New Roman" w:hAnsi="Times New Roman" w:cs="Times New Roman"/>
          <w:color w:val="000000"/>
          <w:sz w:val="24"/>
          <w:szCs w:val="24"/>
        </w:rPr>
        <w:t>, z</w:t>
      </w:r>
      <w:r w:rsidR="00C00904" w:rsidRPr="007F28C1">
        <w:rPr>
          <w:rFonts w:ascii="Times New Roman" w:hAnsi="Times New Roman" w:cs="Times New Roman"/>
          <w:color w:val="000000"/>
          <w:sz w:val="24"/>
          <w:szCs w:val="24"/>
        </w:rPr>
        <w:t xml:space="preserve"> późn.</w:t>
      </w:r>
      <w:r w:rsidR="00073006" w:rsidRPr="007F28C1">
        <w:rPr>
          <w:rFonts w:ascii="Times New Roman" w:hAnsi="Times New Roman" w:cs="Times New Roman"/>
          <w:color w:val="000000"/>
          <w:sz w:val="24"/>
          <w:szCs w:val="24"/>
        </w:rPr>
        <w:t xml:space="preserve"> zm.</w:t>
      </w:r>
      <w:r w:rsidRPr="007F28C1">
        <w:rPr>
          <w:rFonts w:ascii="Times New Roman" w:hAnsi="Times New Roman" w:cs="Times New Roman"/>
          <w:color w:val="000000"/>
          <w:sz w:val="24"/>
          <w:szCs w:val="24"/>
        </w:rPr>
        <w:t>), w której dokonano transpozycji dyrektywy Parlamentu Europejskiego i Rady 2009/31/WE z dnia 23 kwietnia 2009 r. w</w:t>
      </w:r>
      <w:r w:rsidR="00713118" w:rsidRPr="007F28C1">
        <w:rPr>
          <w:rFonts w:ascii="Times New Roman" w:hAnsi="Times New Roman" w:cs="Times New Roman"/>
          <w:color w:val="000000"/>
          <w:sz w:val="24"/>
          <w:szCs w:val="24"/>
        </w:rPr>
        <w:t> </w:t>
      </w:r>
      <w:r w:rsidRPr="007F28C1">
        <w:rPr>
          <w:rFonts w:ascii="Times New Roman" w:hAnsi="Times New Roman" w:cs="Times New Roman"/>
          <w:color w:val="000000"/>
          <w:sz w:val="24"/>
          <w:szCs w:val="24"/>
        </w:rPr>
        <w:t>sprawie geologicznego składowania dwutlenku węgla oraz zmieniającej dyrektywę Rady 85/337/EWG, dyrektywy Parlamentu Europejskiego i Rady 2000/60/WE, 2001/80/WE, 2004/35/WE, 2006/12/WE, 2008/1/WE i rozporządzenie (WE) nr 1013/2006</w:t>
      </w:r>
      <w:r w:rsidR="00830283" w:rsidRPr="007F28C1">
        <w:rPr>
          <w:rFonts w:ascii="Times New Roman" w:hAnsi="Times New Roman" w:cs="Times New Roman"/>
          <w:color w:val="000000"/>
          <w:sz w:val="24"/>
          <w:szCs w:val="24"/>
        </w:rPr>
        <w:t xml:space="preserve"> (Dz. Urz. UE L 140 z 05.06.2009, str. 114</w:t>
      </w:r>
      <w:r w:rsidR="00F17406" w:rsidRPr="007F28C1">
        <w:rPr>
          <w:rFonts w:ascii="Times New Roman" w:hAnsi="Times New Roman" w:cs="Times New Roman"/>
          <w:color w:val="000000"/>
          <w:sz w:val="24"/>
          <w:szCs w:val="24"/>
        </w:rPr>
        <w:t>, z późn. zm.</w:t>
      </w:r>
      <w:r w:rsidR="00830283" w:rsidRPr="007F28C1">
        <w:rPr>
          <w:rFonts w:ascii="Times New Roman" w:hAnsi="Times New Roman" w:cs="Times New Roman"/>
          <w:color w:val="000000"/>
          <w:sz w:val="24"/>
          <w:szCs w:val="24"/>
        </w:rPr>
        <w:t>),</w:t>
      </w:r>
      <w:r w:rsidRPr="007F28C1">
        <w:rPr>
          <w:rFonts w:ascii="Times New Roman" w:hAnsi="Times New Roman" w:cs="Times New Roman"/>
          <w:color w:val="000000"/>
          <w:sz w:val="24"/>
          <w:szCs w:val="24"/>
        </w:rPr>
        <w:t xml:space="preserve"> </w:t>
      </w:r>
      <w:r w:rsidR="00830283" w:rsidRPr="007F28C1">
        <w:rPr>
          <w:rFonts w:ascii="Times New Roman" w:hAnsi="Times New Roman" w:cs="Times New Roman"/>
          <w:color w:val="000000"/>
          <w:sz w:val="24"/>
          <w:szCs w:val="24"/>
        </w:rPr>
        <w:t xml:space="preserve">zwanej </w:t>
      </w:r>
      <w:r w:rsidRPr="007F28C1">
        <w:rPr>
          <w:rFonts w:ascii="Times New Roman" w:hAnsi="Times New Roman" w:cs="Times New Roman"/>
          <w:color w:val="000000"/>
          <w:sz w:val="24"/>
          <w:szCs w:val="24"/>
        </w:rPr>
        <w:t xml:space="preserve">dalej </w:t>
      </w:r>
      <w:r w:rsidR="00830283" w:rsidRPr="007F28C1">
        <w:rPr>
          <w:rFonts w:ascii="Times New Roman" w:hAnsi="Times New Roman" w:cs="Times New Roman"/>
          <w:color w:val="000000"/>
          <w:sz w:val="24"/>
          <w:szCs w:val="24"/>
        </w:rPr>
        <w:t>„</w:t>
      </w:r>
      <w:r w:rsidRPr="007F28C1">
        <w:rPr>
          <w:rFonts w:ascii="Times New Roman" w:hAnsi="Times New Roman" w:cs="Times New Roman"/>
          <w:color w:val="000000"/>
          <w:sz w:val="24"/>
          <w:szCs w:val="24"/>
        </w:rPr>
        <w:t>dyrektywą</w:t>
      </w:r>
      <w:r w:rsidRPr="007F28C1">
        <w:rPr>
          <w:rFonts w:ascii="Times New Roman" w:hAnsi="Times New Roman" w:cs="Times New Roman"/>
          <w:iCs/>
          <w:color w:val="000000"/>
          <w:sz w:val="24"/>
          <w:szCs w:val="24"/>
        </w:rPr>
        <w:t xml:space="preserve"> </w:t>
      </w:r>
      <w:r w:rsidRPr="007F28C1">
        <w:rPr>
          <w:rFonts w:ascii="Times New Roman" w:hAnsi="Times New Roman" w:cs="Times New Roman"/>
          <w:color w:val="000000"/>
          <w:sz w:val="24"/>
          <w:szCs w:val="24"/>
        </w:rPr>
        <w:t>CCS</w:t>
      </w:r>
      <w:r w:rsidR="00830283" w:rsidRPr="007F28C1">
        <w:rPr>
          <w:rFonts w:ascii="Times New Roman" w:hAnsi="Times New Roman" w:cs="Times New Roman"/>
          <w:iCs/>
          <w:color w:val="000000"/>
          <w:sz w:val="24"/>
          <w:szCs w:val="24"/>
        </w:rPr>
        <w:t>”</w:t>
      </w:r>
      <w:r w:rsidRPr="007F28C1">
        <w:rPr>
          <w:rFonts w:ascii="Times New Roman" w:hAnsi="Times New Roman" w:cs="Times New Roman"/>
          <w:color w:val="000000"/>
          <w:sz w:val="24"/>
          <w:szCs w:val="24"/>
        </w:rPr>
        <w:t xml:space="preserve">. </w:t>
      </w:r>
    </w:p>
    <w:p w14:paraId="3D88158E" w14:textId="2B06F684" w:rsidR="00B21FFD" w:rsidRPr="007F28C1" w:rsidRDefault="003D4402" w:rsidP="007F28C1">
      <w:pPr>
        <w:tabs>
          <w:tab w:val="left" w:pos="3915"/>
        </w:tabs>
        <w:spacing w:before="120" w:after="0" w:line="360" w:lineRule="auto"/>
        <w:jc w:val="both"/>
        <w:rPr>
          <w:rFonts w:ascii="Times New Roman" w:hAnsi="Times New Roman" w:cs="Times New Roman"/>
          <w:color w:val="000000"/>
          <w:sz w:val="24"/>
          <w:szCs w:val="24"/>
        </w:rPr>
      </w:pPr>
      <w:r w:rsidRPr="007F28C1">
        <w:rPr>
          <w:rFonts w:ascii="Times New Roman" w:hAnsi="Times New Roman" w:cs="Times New Roman"/>
          <w:color w:val="000000"/>
          <w:sz w:val="24"/>
          <w:szCs w:val="24"/>
        </w:rPr>
        <w:t xml:space="preserve">Wejście w życie dyrektywy </w:t>
      </w:r>
      <w:r w:rsidR="00877C78" w:rsidRPr="007F28C1">
        <w:rPr>
          <w:rFonts w:ascii="Times New Roman" w:hAnsi="Times New Roman" w:cs="Times New Roman"/>
          <w:color w:val="000000"/>
          <w:sz w:val="24"/>
          <w:szCs w:val="24"/>
        </w:rPr>
        <w:t>CCS</w:t>
      </w:r>
      <w:r w:rsidRPr="007F28C1">
        <w:rPr>
          <w:rFonts w:ascii="Times New Roman" w:hAnsi="Times New Roman" w:cs="Times New Roman"/>
          <w:color w:val="000000"/>
          <w:sz w:val="24"/>
          <w:szCs w:val="24"/>
        </w:rPr>
        <w:t xml:space="preserve"> było związane z przyjęciem przez Unię Europejską zobowiązań do</w:t>
      </w:r>
      <w:r w:rsidR="00621E21" w:rsidRPr="007F28C1">
        <w:rPr>
          <w:rFonts w:ascii="Times New Roman" w:hAnsi="Times New Roman" w:cs="Times New Roman"/>
          <w:color w:val="000000"/>
          <w:sz w:val="24"/>
          <w:szCs w:val="24"/>
        </w:rPr>
        <w:t> </w:t>
      </w:r>
      <w:r w:rsidRPr="007F28C1">
        <w:rPr>
          <w:rFonts w:ascii="Times New Roman" w:hAnsi="Times New Roman" w:cs="Times New Roman"/>
          <w:color w:val="000000"/>
          <w:sz w:val="24"/>
          <w:szCs w:val="24"/>
        </w:rPr>
        <w:t>redukcji emisji gazów cieplarnianych, w tym przede wszystkim CO</w:t>
      </w:r>
      <w:r w:rsidRPr="007F28C1">
        <w:rPr>
          <w:rFonts w:ascii="Times New Roman" w:hAnsi="Times New Roman" w:cs="Times New Roman"/>
          <w:color w:val="000000"/>
          <w:sz w:val="24"/>
          <w:szCs w:val="24"/>
          <w:vertAlign w:val="subscript"/>
        </w:rPr>
        <w:t>2</w:t>
      </w:r>
      <w:r w:rsidRPr="007F28C1">
        <w:rPr>
          <w:rFonts w:ascii="Times New Roman" w:hAnsi="Times New Roman" w:cs="Times New Roman"/>
          <w:color w:val="000000"/>
          <w:sz w:val="24"/>
          <w:szCs w:val="24"/>
        </w:rPr>
        <w:t xml:space="preserve"> powstającego przy spalaniu paliw kopalnych, w związku z próbami ograniczenia efektu cieplarnianego i spowolnienia obserwowanych zmian klimatycznych. Dyrektywa CCS </w:t>
      </w:r>
      <w:r w:rsidR="003F78AD" w:rsidRPr="007F28C1">
        <w:rPr>
          <w:rFonts w:ascii="Times New Roman" w:hAnsi="Times New Roman" w:cs="Times New Roman"/>
          <w:color w:val="000000"/>
          <w:sz w:val="24"/>
          <w:szCs w:val="24"/>
        </w:rPr>
        <w:t xml:space="preserve">była pierwszym </w:t>
      </w:r>
      <w:r w:rsidRPr="007F28C1">
        <w:rPr>
          <w:rFonts w:ascii="Times New Roman" w:hAnsi="Times New Roman" w:cs="Times New Roman"/>
          <w:color w:val="000000"/>
          <w:sz w:val="24"/>
          <w:szCs w:val="24"/>
        </w:rPr>
        <w:t>akt</w:t>
      </w:r>
      <w:r w:rsidR="003F78AD" w:rsidRPr="007F28C1">
        <w:rPr>
          <w:rFonts w:ascii="Times New Roman" w:hAnsi="Times New Roman" w:cs="Times New Roman"/>
          <w:color w:val="000000"/>
          <w:sz w:val="24"/>
          <w:szCs w:val="24"/>
        </w:rPr>
        <w:t>em</w:t>
      </w:r>
      <w:r w:rsidRPr="007F28C1">
        <w:rPr>
          <w:rFonts w:ascii="Times New Roman" w:hAnsi="Times New Roman" w:cs="Times New Roman"/>
          <w:color w:val="000000"/>
          <w:sz w:val="24"/>
          <w:szCs w:val="24"/>
        </w:rPr>
        <w:t xml:space="preserve"> prawny</w:t>
      </w:r>
      <w:r w:rsidR="003F78AD" w:rsidRPr="007F28C1">
        <w:rPr>
          <w:rFonts w:ascii="Times New Roman" w:hAnsi="Times New Roman" w:cs="Times New Roman"/>
          <w:color w:val="000000"/>
          <w:sz w:val="24"/>
          <w:szCs w:val="24"/>
        </w:rPr>
        <w:t>m</w:t>
      </w:r>
      <w:r w:rsidRPr="007F28C1">
        <w:rPr>
          <w:rFonts w:ascii="Times New Roman" w:hAnsi="Times New Roman" w:cs="Times New Roman"/>
          <w:color w:val="000000"/>
          <w:sz w:val="24"/>
          <w:szCs w:val="24"/>
        </w:rPr>
        <w:t xml:space="preserve"> U</w:t>
      </w:r>
      <w:r w:rsidR="003B1ECC" w:rsidRPr="007F28C1">
        <w:rPr>
          <w:rFonts w:ascii="Times New Roman" w:hAnsi="Times New Roman" w:cs="Times New Roman"/>
          <w:color w:val="000000"/>
          <w:sz w:val="24"/>
          <w:szCs w:val="24"/>
        </w:rPr>
        <w:t>nii Europejskiej (U</w:t>
      </w:r>
      <w:r w:rsidRPr="007F28C1">
        <w:rPr>
          <w:rFonts w:ascii="Times New Roman" w:hAnsi="Times New Roman" w:cs="Times New Roman"/>
          <w:color w:val="000000"/>
          <w:sz w:val="24"/>
          <w:szCs w:val="24"/>
        </w:rPr>
        <w:t>E</w:t>
      </w:r>
      <w:r w:rsidR="003B1ECC" w:rsidRPr="007F28C1">
        <w:rPr>
          <w:rFonts w:ascii="Times New Roman" w:hAnsi="Times New Roman" w:cs="Times New Roman"/>
          <w:color w:val="000000"/>
          <w:sz w:val="24"/>
          <w:szCs w:val="24"/>
        </w:rPr>
        <w:t>)</w:t>
      </w:r>
      <w:r w:rsidRPr="007F28C1">
        <w:rPr>
          <w:rFonts w:ascii="Times New Roman" w:hAnsi="Times New Roman" w:cs="Times New Roman"/>
          <w:color w:val="000000"/>
          <w:sz w:val="24"/>
          <w:szCs w:val="24"/>
        </w:rPr>
        <w:t xml:space="preserve">, </w:t>
      </w:r>
      <w:r w:rsidR="003F78AD" w:rsidRPr="007F28C1">
        <w:rPr>
          <w:rFonts w:ascii="Times New Roman" w:hAnsi="Times New Roman" w:cs="Times New Roman"/>
          <w:color w:val="000000"/>
          <w:sz w:val="24"/>
          <w:szCs w:val="24"/>
        </w:rPr>
        <w:t>regulującym</w:t>
      </w:r>
      <w:r w:rsidRPr="007F28C1">
        <w:rPr>
          <w:rFonts w:ascii="Times New Roman" w:hAnsi="Times New Roman" w:cs="Times New Roman"/>
          <w:color w:val="000000"/>
          <w:sz w:val="24"/>
          <w:szCs w:val="24"/>
        </w:rPr>
        <w:t xml:space="preserve"> zagadnienia związane z geologicznym składowaniem dwutlenku węgla i stanowi</w:t>
      </w:r>
      <w:r w:rsidR="003F78AD" w:rsidRPr="007F28C1">
        <w:rPr>
          <w:rFonts w:ascii="Times New Roman" w:hAnsi="Times New Roman" w:cs="Times New Roman"/>
          <w:color w:val="000000"/>
          <w:sz w:val="24"/>
          <w:szCs w:val="24"/>
        </w:rPr>
        <w:t>ącym</w:t>
      </w:r>
      <w:r w:rsidRPr="007F28C1">
        <w:rPr>
          <w:rFonts w:ascii="Times New Roman" w:hAnsi="Times New Roman" w:cs="Times New Roman"/>
          <w:color w:val="000000"/>
          <w:sz w:val="24"/>
          <w:szCs w:val="24"/>
        </w:rPr>
        <w:t xml:space="preserve"> podstawę do wdrażania </w:t>
      </w:r>
      <w:r w:rsidR="00A46D64" w:rsidRPr="007F28C1">
        <w:rPr>
          <w:rFonts w:ascii="Times New Roman" w:hAnsi="Times New Roman" w:cs="Times New Roman"/>
          <w:color w:val="000000"/>
          <w:sz w:val="24"/>
          <w:szCs w:val="24"/>
        </w:rPr>
        <w:t>w</w:t>
      </w:r>
      <w:r w:rsidR="00B21FFD" w:rsidRPr="007F28C1">
        <w:rPr>
          <w:rFonts w:ascii="Times New Roman" w:hAnsi="Times New Roman" w:cs="Times New Roman"/>
          <w:color w:val="000000"/>
          <w:sz w:val="24"/>
          <w:szCs w:val="24"/>
        </w:rPr>
        <w:t> </w:t>
      </w:r>
      <w:r w:rsidR="00A46D64" w:rsidRPr="007F28C1">
        <w:rPr>
          <w:rFonts w:ascii="Times New Roman" w:hAnsi="Times New Roman" w:cs="Times New Roman"/>
          <w:color w:val="000000"/>
          <w:sz w:val="24"/>
          <w:szCs w:val="24"/>
        </w:rPr>
        <w:t xml:space="preserve">krajach Unii Europejskiej </w:t>
      </w:r>
      <w:r w:rsidRPr="007F28C1">
        <w:rPr>
          <w:rFonts w:ascii="Times New Roman" w:hAnsi="Times New Roman" w:cs="Times New Roman"/>
          <w:color w:val="000000"/>
          <w:sz w:val="24"/>
          <w:szCs w:val="24"/>
        </w:rPr>
        <w:t>technologii CCS</w:t>
      </w:r>
      <w:r w:rsidR="00A46D64" w:rsidRPr="007F28C1">
        <w:rPr>
          <w:rFonts w:ascii="Times New Roman" w:eastAsia="Calibri" w:hAnsi="Times New Roman" w:cs="Times New Roman"/>
          <w:color w:val="000000"/>
          <w:sz w:val="24"/>
          <w:szCs w:val="24"/>
        </w:rPr>
        <w:t xml:space="preserve"> </w:t>
      </w:r>
      <w:r w:rsidR="00A46D64" w:rsidRPr="007F28C1">
        <w:rPr>
          <w:rFonts w:ascii="Times New Roman" w:hAnsi="Times New Roman" w:cs="Times New Roman"/>
          <w:color w:val="000000"/>
          <w:sz w:val="24"/>
          <w:szCs w:val="24"/>
        </w:rPr>
        <w:t>w zakresie projektów obejmujących składowanie CO</w:t>
      </w:r>
      <w:r w:rsidR="00A46D64" w:rsidRPr="007F28C1">
        <w:rPr>
          <w:rFonts w:ascii="Times New Roman" w:hAnsi="Times New Roman" w:cs="Times New Roman"/>
          <w:color w:val="000000"/>
          <w:sz w:val="24"/>
          <w:szCs w:val="24"/>
          <w:vertAlign w:val="subscript"/>
        </w:rPr>
        <w:t xml:space="preserve">2 </w:t>
      </w:r>
      <w:r w:rsidR="00A46D64" w:rsidRPr="007F28C1">
        <w:rPr>
          <w:rFonts w:ascii="Times New Roman" w:hAnsi="Times New Roman" w:cs="Times New Roman"/>
          <w:color w:val="000000"/>
          <w:sz w:val="24"/>
          <w:szCs w:val="24"/>
        </w:rPr>
        <w:t>w</w:t>
      </w:r>
      <w:r w:rsidR="00B21FFD" w:rsidRPr="007F28C1">
        <w:rPr>
          <w:rFonts w:ascii="Times New Roman" w:hAnsi="Times New Roman" w:cs="Times New Roman"/>
          <w:color w:val="000000"/>
          <w:sz w:val="24"/>
          <w:szCs w:val="24"/>
        </w:rPr>
        <w:t> </w:t>
      </w:r>
      <w:r w:rsidR="00A46D64" w:rsidRPr="007F28C1">
        <w:rPr>
          <w:rFonts w:ascii="Times New Roman" w:hAnsi="Times New Roman" w:cs="Times New Roman"/>
          <w:color w:val="000000"/>
          <w:sz w:val="24"/>
          <w:szCs w:val="24"/>
        </w:rPr>
        <w:t>łącznej</w:t>
      </w:r>
      <w:r w:rsidR="00A46D64" w:rsidRPr="007F28C1">
        <w:rPr>
          <w:rFonts w:ascii="Times New Roman" w:hAnsi="Times New Roman" w:cs="Times New Roman"/>
          <w:color w:val="000000"/>
          <w:sz w:val="24"/>
          <w:szCs w:val="24"/>
          <w:vertAlign w:val="subscript"/>
        </w:rPr>
        <w:t xml:space="preserve"> </w:t>
      </w:r>
      <w:r w:rsidR="00A46D64" w:rsidRPr="007F28C1">
        <w:rPr>
          <w:rFonts w:ascii="Times New Roman" w:hAnsi="Times New Roman" w:cs="Times New Roman"/>
          <w:color w:val="000000"/>
          <w:sz w:val="24"/>
          <w:szCs w:val="24"/>
        </w:rPr>
        <w:t xml:space="preserve">ilości równej lub większej niż 100 kiloton. </w:t>
      </w:r>
      <w:r w:rsidRPr="007F28C1">
        <w:rPr>
          <w:rFonts w:ascii="Times New Roman" w:hAnsi="Times New Roman" w:cs="Times New Roman"/>
          <w:color w:val="000000"/>
          <w:sz w:val="24"/>
          <w:szCs w:val="24"/>
        </w:rPr>
        <w:t xml:space="preserve">Zgodnie z założeniami dyrektywy realizacja </w:t>
      </w:r>
      <w:r w:rsidR="00E80A9B" w:rsidRPr="007F28C1">
        <w:rPr>
          <w:rFonts w:ascii="Times New Roman" w:hAnsi="Times New Roman" w:cs="Times New Roman"/>
          <w:color w:val="000000"/>
          <w:sz w:val="24"/>
          <w:szCs w:val="24"/>
        </w:rPr>
        <w:t>projektów o większej skali, tzw. projektów demonstracyjnych,</w:t>
      </w:r>
      <w:r w:rsidRPr="007F28C1">
        <w:rPr>
          <w:rFonts w:ascii="Times New Roman" w:hAnsi="Times New Roman" w:cs="Times New Roman"/>
          <w:color w:val="000000"/>
          <w:sz w:val="24"/>
          <w:szCs w:val="24"/>
        </w:rPr>
        <w:t xml:space="preserve"> miała pozwolić na uzyskanie szczegółowych wyników ze stosowania technologii CCS w określonych warunkach geologicznych oraz umożliwić podjęcie decyzji o skali i charakterze jej przyszłego zastosowania. </w:t>
      </w:r>
    </w:p>
    <w:p w14:paraId="4A69D7E7" w14:textId="615A1062" w:rsidR="00E91311" w:rsidRPr="007F28C1" w:rsidRDefault="00E36415" w:rsidP="007F28C1">
      <w:pPr>
        <w:tabs>
          <w:tab w:val="left" w:pos="3915"/>
        </w:tabs>
        <w:spacing w:before="120" w:after="0" w:line="360" w:lineRule="auto"/>
        <w:jc w:val="both"/>
        <w:rPr>
          <w:rFonts w:ascii="Times New Roman" w:hAnsi="Times New Roman" w:cs="Times New Roman"/>
          <w:color w:val="000000"/>
          <w:sz w:val="24"/>
          <w:szCs w:val="24"/>
        </w:rPr>
      </w:pPr>
      <w:r w:rsidRPr="007F28C1">
        <w:rPr>
          <w:rFonts w:ascii="Times New Roman" w:eastAsia="Times New Roman" w:hAnsi="Times New Roman" w:cs="Times New Roman"/>
          <w:sz w:val="24"/>
          <w:szCs w:val="24"/>
          <w:lang w:eastAsia="pl-PL"/>
        </w:rPr>
        <w:lastRenderedPageBreak/>
        <w:t>P</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00E91311" w:rsidRPr="007F28C1">
        <w:rPr>
          <w:rFonts w:ascii="Times New Roman" w:eastAsia="Times New Roman" w:hAnsi="Times New Roman" w:cs="Times New Roman"/>
          <w:sz w:val="24"/>
          <w:szCs w:val="24"/>
          <w:lang w:eastAsia="pl-PL"/>
        </w:rPr>
        <w:t xml:space="preserve"> obecnie dopuszcza prowadzenie działalności w zakresie podziemnego składowania dwutlenku węgla (dalej jako </w:t>
      </w:r>
      <w:r w:rsidR="003E21E5" w:rsidRPr="007F28C1">
        <w:rPr>
          <w:rFonts w:ascii="Times New Roman" w:eastAsia="Times New Roman" w:hAnsi="Times New Roman" w:cs="Times New Roman"/>
          <w:sz w:val="24"/>
          <w:szCs w:val="24"/>
          <w:lang w:eastAsia="pl-PL"/>
        </w:rPr>
        <w:t>„</w:t>
      </w:r>
      <w:r w:rsidR="00E91311" w:rsidRPr="007F28C1">
        <w:rPr>
          <w:rFonts w:ascii="Times New Roman" w:eastAsia="Times New Roman" w:hAnsi="Times New Roman" w:cs="Times New Roman"/>
          <w:sz w:val="24"/>
          <w:szCs w:val="24"/>
          <w:lang w:eastAsia="pl-PL"/>
        </w:rPr>
        <w:t>działalność CCS</w:t>
      </w:r>
      <w:r w:rsidR="003E21E5" w:rsidRPr="007F28C1">
        <w:rPr>
          <w:rFonts w:ascii="Times New Roman" w:eastAsia="Times New Roman" w:hAnsi="Times New Roman" w:cs="Times New Roman"/>
          <w:sz w:val="24"/>
          <w:szCs w:val="24"/>
          <w:lang w:eastAsia="pl-PL"/>
        </w:rPr>
        <w:t>”</w:t>
      </w:r>
      <w:r w:rsidR="00E91311" w:rsidRPr="007F28C1">
        <w:rPr>
          <w:rFonts w:ascii="Times New Roman" w:eastAsia="Times New Roman" w:hAnsi="Times New Roman" w:cs="Times New Roman"/>
          <w:sz w:val="24"/>
          <w:szCs w:val="24"/>
          <w:lang w:eastAsia="pl-PL"/>
        </w:rPr>
        <w:t>) wyłącznie w celu przeprowadzenia projektu demonstracyjnego wychwytu i składowania dwutlenku węgla. Zgodnie z art. 1 ust. 3</w:t>
      </w:r>
      <w:r w:rsidR="00877C78"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P</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00E91311" w:rsidRPr="007F28C1">
        <w:rPr>
          <w:rFonts w:ascii="Times New Roman" w:eastAsia="Times New Roman" w:hAnsi="Times New Roman" w:cs="Times New Roman"/>
          <w:sz w:val="24"/>
          <w:szCs w:val="24"/>
          <w:lang w:eastAsia="pl-PL"/>
        </w:rPr>
        <w:t xml:space="preserve"> przez projekt demonstracyjny wychwytu i składowania dwutlenku węgla </w:t>
      </w:r>
      <w:r w:rsidR="00867824" w:rsidRPr="007F28C1">
        <w:rPr>
          <w:rFonts w:ascii="Times New Roman" w:eastAsia="Times New Roman" w:hAnsi="Times New Roman" w:cs="Times New Roman"/>
          <w:sz w:val="24"/>
          <w:szCs w:val="24"/>
          <w:lang w:eastAsia="pl-PL"/>
        </w:rPr>
        <w:t>rozumiane jest</w:t>
      </w:r>
      <w:r w:rsidR="00E91311" w:rsidRPr="007F28C1">
        <w:rPr>
          <w:rFonts w:ascii="Times New Roman" w:eastAsia="Times New Roman" w:hAnsi="Times New Roman" w:cs="Times New Roman"/>
          <w:sz w:val="24"/>
          <w:szCs w:val="24"/>
          <w:lang w:eastAsia="pl-PL"/>
        </w:rPr>
        <w:t xml:space="preserve"> przedsięwzięcie polegające na</w:t>
      </w:r>
      <w:r w:rsidR="001A0689" w:rsidRPr="007F28C1">
        <w:rPr>
          <w:rFonts w:ascii="Times New Roman" w:eastAsia="Times New Roman" w:hAnsi="Times New Roman" w:cs="Times New Roman"/>
          <w:sz w:val="24"/>
          <w:szCs w:val="24"/>
          <w:lang w:eastAsia="pl-PL"/>
        </w:rPr>
        <w:t> </w:t>
      </w:r>
      <w:r w:rsidR="00E91311" w:rsidRPr="007F28C1">
        <w:rPr>
          <w:rFonts w:ascii="Times New Roman" w:eastAsia="Times New Roman" w:hAnsi="Times New Roman" w:cs="Times New Roman"/>
          <w:sz w:val="24"/>
          <w:szCs w:val="24"/>
          <w:lang w:eastAsia="pl-PL"/>
        </w:rPr>
        <w:t>wychwytywaniu, przesyłaniu i podziemnym składowaniu dwutlenku węgla, spełniające kryteria dotyczące projektów demonstracyjnych określone w decyzji Komisji nr 2010/670/UE z dnia 3 listopada 2010 r. ustanawiającej kryteria i środki dotyczące finansowania komercyjnych projektów demonstracyjnych mających na celu bezpieczne dla środowiska wychwytywanie i geologiczne składowanie CO</w:t>
      </w:r>
      <w:r w:rsidR="00E91311" w:rsidRPr="007F28C1">
        <w:rPr>
          <w:rFonts w:ascii="Times New Roman" w:eastAsia="Times New Roman" w:hAnsi="Times New Roman" w:cs="Times New Roman"/>
          <w:sz w:val="24"/>
          <w:szCs w:val="24"/>
          <w:vertAlign w:val="subscript"/>
          <w:lang w:eastAsia="pl-PL"/>
        </w:rPr>
        <w:t>2</w:t>
      </w:r>
      <w:r w:rsidR="00E91311" w:rsidRPr="007F28C1">
        <w:rPr>
          <w:rFonts w:ascii="Times New Roman" w:eastAsia="Times New Roman" w:hAnsi="Times New Roman" w:cs="Times New Roman"/>
          <w:sz w:val="24"/>
          <w:szCs w:val="24"/>
          <w:lang w:eastAsia="pl-PL"/>
        </w:rPr>
        <w:t xml:space="preserve"> oraz projektów demonstracyjnych w zakresie innowacyjnych technologii energetyki odnawialnej realizowanych w ramach systemu handlu uprawnieniami do emisji gazów cieplarnianych we Wspólnocie, ustanowionego dyrektywą 2003/87/WE Parlamentu Europejskiego i Rady (Dz.</w:t>
      </w:r>
      <w:r w:rsidR="003E21E5" w:rsidRPr="007F28C1">
        <w:rPr>
          <w:rFonts w:ascii="Times New Roman" w:eastAsia="Times New Roman" w:hAnsi="Times New Roman" w:cs="Times New Roman"/>
          <w:sz w:val="24"/>
          <w:szCs w:val="24"/>
          <w:lang w:eastAsia="pl-PL"/>
        </w:rPr>
        <w:t xml:space="preserve"> </w:t>
      </w:r>
      <w:r w:rsidR="00E91311" w:rsidRPr="007F28C1">
        <w:rPr>
          <w:rFonts w:ascii="Times New Roman" w:eastAsia="Times New Roman" w:hAnsi="Times New Roman" w:cs="Times New Roman"/>
          <w:sz w:val="24"/>
          <w:szCs w:val="24"/>
          <w:lang w:eastAsia="pl-PL"/>
        </w:rPr>
        <w:t>U</w:t>
      </w:r>
      <w:r w:rsidR="003E21E5" w:rsidRPr="007F28C1">
        <w:rPr>
          <w:rFonts w:ascii="Times New Roman" w:eastAsia="Times New Roman" w:hAnsi="Times New Roman" w:cs="Times New Roman"/>
          <w:sz w:val="24"/>
          <w:szCs w:val="24"/>
          <w:lang w:eastAsia="pl-PL"/>
        </w:rPr>
        <w:t>rz</w:t>
      </w:r>
      <w:r w:rsidR="00E91311" w:rsidRPr="007F28C1">
        <w:rPr>
          <w:rFonts w:ascii="Times New Roman" w:eastAsia="Times New Roman" w:hAnsi="Times New Roman" w:cs="Times New Roman"/>
          <w:sz w:val="24"/>
          <w:szCs w:val="24"/>
          <w:lang w:eastAsia="pl-PL"/>
        </w:rPr>
        <w:t xml:space="preserve">. UE L 290 z 06.11.2010, str. 39), które jest realizowane w celu sprawdzenia: </w:t>
      </w:r>
    </w:p>
    <w:p w14:paraId="598CA6EA" w14:textId="403B0679" w:rsidR="00E91311" w:rsidRPr="007F28C1" w:rsidRDefault="00E91311" w:rsidP="007F28C1">
      <w:pPr>
        <w:pStyle w:val="Akapitzlist"/>
        <w:numPr>
          <w:ilvl w:val="1"/>
          <w:numId w:val="37"/>
        </w:numPr>
        <w:tabs>
          <w:tab w:val="left" w:pos="3915"/>
        </w:tabs>
        <w:spacing w:before="120" w:after="0" w:line="360" w:lineRule="auto"/>
        <w:ind w:left="408" w:hanging="397"/>
        <w:jc w:val="both"/>
        <w:rPr>
          <w:rFonts w:ascii="Times New Roman" w:hAnsi="Times New Roman" w:cs="Times New Roman"/>
          <w:color w:val="000000"/>
          <w:sz w:val="24"/>
          <w:szCs w:val="24"/>
        </w:rPr>
      </w:pPr>
      <w:r w:rsidRPr="007F28C1">
        <w:rPr>
          <w:rFonts w:ascii="Times New Roman" w:eastAsia="Times New Roman" w:hAnsi="Times New Roman" w:cs="Times New Roman"/>
          <w:sz w:val="24"/>
          <w:szCs w:val="24"/>
          <w:lang w:eastAsia="pl-PL"/>
        </w:rPr>
        <w:t>skuteczności i przydatności stosowania technologii wychwytu i składowania dwutlenku węgla w</w:t>
      </w:r>
      <w:r w:rsidR="000F690B"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zakresie ograniczenia emisji dwutlenku węgla;</w:t>
      </w:r>
    </w:p>
    <w:p w14:paraId="03EC425E" w14:textId="7295A602" w:rsidR="00E91311" w:rsidRPr="007F28C1" w:rsidRDefault="00E91311" w:rsidP="007F28C1">
      <w:pPr>
        <w:pStyle w:val="Akapitzlist"/>
        <w:numPr>
          <w:ilvl w:val="1"/>
          <w:numId w:val="37"/>
        </w:numPr>
        <w:tabs>
          <w:tab w:val="left" w:pos="3915"/>
        </w:tabs>
        <w:spacing w:before="120" w:after="0" w:line="360" w:lineRule="auto"/>
        <w:ind w:left="408" w:hanging="397"/>
        <w:jc w:val="both"/>
        <w:rPr>
          <w:rFonts w:ascii="Times New Roman" w:hAnsi="Times New Roman" w:cs="Times New Roman"/>
          <w:color w:val="000000"/>
          <w:sz w:val="24"/>
          <w:szCs w:val="24"/>
        </w:rPr>
      </w:pPr>
      <w:r w:rsidRPr="007F28C1">
        <w:rPr>
          <w:rFonts w:ascii="Times New Roman" w:eastAsia="Times New Roman" w:hAnsi="Times New Roman" w:cs="Times New Roman"/>
          <w:sz w:val="24"/>
          <w:szCs w:val="24"/>
          <w:lang w:eastAsia="pl-PL"/>
        </w:rPr>
        <w:t>bezpieczeństwa stosowania technologii wychwytu i składowania dwutlenku węgla dla zdrowia i życia ludzi oraz dla środowiska;</w:t>
      </w:r>
    </w:p>
    <w:p w14:paraId="19BABE15" w14:textId="45213EBF" w:rsidR="00E91311" w:rsidRPr="007F28C1" w:rsidRDefault="00E91311" w:rsidP="007F28C1">
      <w:pPr>
        <w:pStyle w:val="Akapitzlist"/>
        <w:numPr>
          <w:ilvl w:val="1"/>
          <w:numId w:val="37"/>
        </w:numPr>
        <w:tabs>
          <w:tab w:val="left" w:pos="3915"/>
        </w:tabs>
        <w:spacing w:before="120" w:after="0" w:line="360" w:lineRule="auto"/>
        <w:ind w:left="408" w:hanging="397"/>
        <w:jc w:val="both"/>
        <w:rPr>
          <w:rFonts w:ascii="Times New Roman" w:hAnsi="Times New Roman" w:cs="Times New Roman"/>
          <w:color w:val="000000"/>
          <w:sz w:val="24"/>
          <w:szCs w:val="24"/>
        </w:rPr>
      </w:pPr>
      <w:r w:rsidRPr="007F28C1">
        <w:rPr>
          <w:rFonts w:ascii="Times New Roman" w:eastAsia="Times New Roman" w:hAnsi="Times New Roman" w:cs="Times New Roman"/>
          <w:sz w:val="24"/>
          <w:szCs w:val="24"/>
          <w:lang w:eastAsia="pl-PL"/>
        </w:rPr>
        <w:t>potrzeby i zasadności dopuszczenia do stosowania technologii wychwytu i składowania dwutlenku węgla na skalę przemysłową.</w:t>
      </w:r>
    </w:p>
    <w:p w14:paraId="280E6F59" w14:textId="277619B0" w:rsidR="00FF7E25" w:rsidRPr="007F28C1" w:rsidRDefault="00B21FFD" w:rsidP="007F28C1">
      <w:pPr>
        <w:tabs>
          <w:tab w:val="left" w:pos="3915"/>
        </w:tabs>
        <w:spacing w:before="120" w:after="0" w:line="360" w:lineRule="auto"/>
        <w:jc w:val="both"/>
        <w:rPr>
          <w:rFonts w:ascii="Times New Roman" w:hAnsi="Times New Roman" w:cs="Times New Roman"/>
          <w:sz w:val="24"/>
          <w:szCs w:val="24"/>
        </w:rPr>
      </w:pPr>
      <w:r w:rsidRPr="007F28C1">
        <w:rPr>
          <w:rFonts w:ascii="Times New Roman" w:hAnsi="Times New Roman" w:cs="Times New Roman"/>
          <w:color w:val="000000"/>
          <w:sz w:val="24"/>
          <w:szCs w:val="24"/>
        </w:rPr>
        <w:t>Ze względu na znikome doświadczenia krajowe i zagraniczne oraz ze względu na nieznane długoterminowe skutki podziemnego składowania CO</w:t>
      </w:r>
      <w:r w:rsidRPr="007F28C1">
        <w:rPr>
          <w:rFonts w:ascii="Times New Roman" w:hAnsi="Times New Roman" w:cs="Times New Roman"/>
          <w:color w:val="000000"/>
          <w:sz w:val="24"/>
          <w:szCs w:val="24"/>
          <w:vertAlign w:val="subscript"/>
        </w:rPr>
        <w:t>2</w:t>
      </w:r>
      <w:r w:rsidRPr="007F28C1">
        <w:rPr>
          <w:rFonts w:ascii="Times New Roman" w:hAnsi="Times New Roman" w:cs="Times New Roman"/>
          <w:color w:val="000000"/>
          <w:sz w:val="24"/>
          <w:szCs w:val="24"/>
        </w:rPr>
        <w:t xml:space="preserve"> zdecydowano </w:t>
      </w:r>
      <w:r w:rsidR="00FF7E25" w:rsidRPr="007F28C1">
        <w:rPr>
          <w:rFonts w:ascii="Times New Roman" w:hAnsi="Times New Roman" w:cs="Times New Roman"/>
          <w:color w:val="000000"/>
          <w:sz w:val="24"/>
          <w:szCs w:val="24"/>
        </w:rPr>
        <w:t>się</w:t>
      </w:r>
      <w:r w:rsidRPr="007F28C1">
        <w:rPr>
          <w:rFonts w:ascii="Times New Roman" w:hAnsi="Times New Roman" w:cs="Times New Roman"/>
          <w:color w:val="000000"/>
          <w:sz w:val="24"/>
          <w:szCs w:val="24"/>
        </w:rPr>
        <w:t xml:space="preserve"> ograniczyć regulacje wyłącznie do projektów demonstracyjnych. </w:t>
      </w:r>
    </w:p>
    <w:p w14:paraId="2F48A0C3" w14:textId="1A984F7A" w:rsidR="00867824" w:rsidRPr="007F28C1" w:rsidRDefault="00867824" w:rsidP="007F28C1">
      <w:pPr>
        <w:tabs>
          <w:tab w:val="left" w:pos="3915"/>
        </w:tabs>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Tak znaczące ustawowe ograniczenie zakresu działalności CCS sprawiło, że do </w:t>
      </w:r>
      <w:r w:rsidR="000278C1" w:rsidRPr="007F28C1">
        <w:rPr>
          <w:rFonts w:ascii="Times New Roman" w:eastAsia="Times New Roman" w:hAnsi="Times New Roman" w:cs="Times New Roman"/>
          <w:sz w:val="24"/>
          <w:szCs w:val="24"/>
          <w:lang w:eastAsia="pl-PL"/>
        </w:rPr>
        <w:t>2023 r.</w:t>
      </w:r>
      <w:r w:rsidRPr="007F28C1">
        <w:rPr>
          <w:rFonts w:ascii="Times New Roman" w:eastAsia="Times New Roman" w:hAnsi="Times New Roman" w:cs="Times New Roman"/>
          <w:sz w:val="24"/>
          <w:szCs w:val="24"/>
          <w:lang w:eastAsia="pl-PL"/>
        </w:rPr>
        <w:t xml:space="preserve"> nie został zrealizowany w Polsce żaden projekt spełniający powyższe wymogi. Kolejną przeszkodą w realizacji projektów CCS w Polsce jest ich wysoka kosztochłonność. </w:t>
      </w:r>
    </w:p>
    <w:p w14:paraId="0235C724" w14:textId="5C95BD5F" w:rsidR="00794717" w:rsidRPr="007F28C1" w:rsidRDefault="00BD09D9" w:rsidP="007F28C1">
      <w:pPr>
        <w:tabs>
          <w:tab w:val="left" w:pos="3915"/>
        </w:tabs>
        <w:spacing w:before="120" w:after="0" w:line="360" w:lineRule="auto"/>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 xml:space="preserve">Zgodnie z </w:t>
      </w:r>
      <w:bookmarkStart w:id="2" w:name="_Hlk69735996"/>
      <w:r w:rsidRPr="007F28C1">
        <w:rPr>
          <w:rFonts w:ascii="Times New Roman" w:eastAsia="Times New Roman" w:hAnsi="Times New Roman" w:cs="Times New Roman"/>
          <w:sz w:val="24"/>
          <w:szCs w:val="24"/>
          <w:lang w:eastAsia="pl-PL"/>
        </w:rPr>
        <w:t xml:space="preserve">art. 14 ustawy z dnia 27 września 2013 r. o zmianie ustawy </w:t>
      </w:r>
      <w:r w:rsidR="00847A44">
        <w:rPr>
          <w:rFonts w:ascii="Times New Roman" w:eastAsia="Times New Roman" w:hAnsi="Times New Roman" w:cs="Times New Roman"/>
          <w:sz w:val="24"/>
          <w:szCs w:val="24"/>
          <w:lang w:eastAsia="pl-PL"/>
        </w:rPr>
        <w:t>–</w:t>
      </w:r>
      <w:r w:rsidR="00F17406"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Prawo geologiczne i górnicze oraz niektórych innych ustaw</w:t>
      </w:r>
      <w:r w:rsidRPr="007F28C1">
        <w:rPr>
          <w:rFonts w:ascii="Times New Roman" w:eastAsia="Times New Roman" w:hAnsi="Times New Roman" w:cs="Times New Roman"/>
          <w:iCs/>
          <w:sz w:val="24"/>
          <w:szCs w:val="24"/>
          <w:lang w:eastAsia="pl-PL"/>
        </w:rPr>
        <w:t xml:space="preserve"> </w:t>
      </w:r>
      <w:bookmarkEnd w:id="2"/>
      <w:r w:rsidRPr="007F28C1">
        <w:rPr>
          <w:rFonts w:ascii="Times New Roman" w:eastAsia="Times New Roman" w:hAnsi="Times New Roman" w:cs="Times New Roman"/>
          <w:sz w:val="24"/>
          <w:szCs w:val="24"/>
          <w:lang w:eastAsia="pl-PL"/>
        </w:rPr>
        <w:t xml:space="preserve">do dnia 31 grudnia 2024 r. minister właściwy do spraw środowiska </w:t>
      </w:r>
      <w:r w:rsidR="004934BC" w:rsidRPr="007F28C1">
        <w:rPr>
          <w:rFonts w:ascii="Times New Roman" w:eastAsia="Times New Roman" w:hAnsi="Times New Roman" w:cs="Times New Roman"/>
          <w:sz w:val="24"/>
          <w:szCs w:val="24"/>
          <w:lang w:eastAsia="pl-PL"/>
        </w:rPr>
        <w:t xml:space="preserve">powinien przedstawić </w:t>
      </w:r>
      <w:r w:rsidRPr="007F28C1">
        <w:rPr>
          <w:rFonts w:ascii="Times New Roman" w:eastAsia="Times New Roman" w:hAnsi="Times New Roman" w:cs="Times New Roman"/>
          <w:sz w:val="24"/>
          <w:szCs w:val="24"/>
          <w:lang w:eastAsia="pl-PL"/>
        </w:rPr>
        <w:t xml:space="preserve">Radzie Ministrów sprawozdanie zawierające analizę z </w:t>
      </w:r>
      <w:bookmarkStart w:id="3" w:name="_Hlk69890627"/>
      <w:r w:rsidRPr="007F28C1">
        <w:rPr>
          <w:rFonts w:ascii="Times New Roman" w:eastAsia="Times New Roman" w:hAnsi="Times New Roman" w:cs="Times New Roman"/>
          <w:sz w:val="24"/>
          <w:szCs w:val="24"/>
          <w:lang w:eastAsia="pl-PL"/>
        </w:rPr>
        <w:t xml:space="preserve">przeprowadzonych projektów demonstracyjnych </w:t>
      </w:r>
      <w:bookmarkEnd w:id="3"/>
      <w:r w:rsidRPr="007F28C1">
        <w:rPr>
          <w:rFonts w:ascii="Times New Roman" w:eastAsia="Times New Roman" w:hAnsi="Times New Roman" w:cs="Times New Roman"/>
          <w:sz w:val="24"/>
          <w:szCs w:val="24"/>
          <w:lang w:eastAsia="pl-PL"/>
        </w:rPr>
        <w:t xml:space="preserve">wychwytu i składowania dwutlenku węgla, przygotowane w porozumieniu z ministrem właściwym do spraw gospodarki oraz ministrem właściwym do spraw zagranicznych. </w:t>
      </w:r>
      <w:r w:rsidR="00366123" w:rsidRPr="007F28C1">
        <w:rPr>
          <w:rFonts w:ascii="Times New Roman" w:eastAsia="Times New Roman" w:hAnsi="Times New Roman" w:cs="Times New Roman"/>
          <w:sz w:val="24"/>
          <w:szCs w:val="24"/>
          <w:lang w:eastAsia="pl-PL"/>
        </w:rPr>
        <w:t>Ponieważ jednak</w:t>
      </w:r>
      <w:r w:rsidR="00366123" w:rsidRPr="007F28C1">
        <w:rPr>
          <w:rFonts w:ascii="Times New Roman" w:eastAsia="Times New Roman" w:hAnsi="Times New Roman" w:cs="Times New Roman"/>
          <w:bCs/>
          <w:sz w:val="24"/>
          <w:szCs w:val="24"/>
          <w:lang w:eastAsia="pl-PL"/>
        </w:rPr>
        <w:t xml:space="preserve"> żaden z takich projektów nie został zrealizowany, przedstawienie sprawozdania z przeprowadzonych projektów demonstracyjnych </w:t>
      </w:r>
      <w:r w:rsidR="00366123" w:rsidRPr="007F28C1">
        <w:rPr>
          <w:rFonts w:ascii="Times New Roman" w:eastAsia="Times New Roman" w:hAnsi="Times New Roman" w:cs="Times New Roman"/>
          <w:bCs/>
          <w:sz w:val="24"/>
          <w:szCs w:val="24"/>
          <w:lang w:eastAsia="pl-PL"/>
        </w:rPr>
        <w:lastRenderedPageBreak/>
        <w:t xml:space="preserve">do dnia 31 grudnia 2024 r. należy uznać za niecelowe i nieuzasadnione. W związku z powyższym projektowana nowelizacja uchyla art. 14 ustawy z dnia 27 września 2013 r. o zmianie ustawy </w:t>
      </w:r>
      <w:r w:rsidR="00F17406" w:rsidRPr="007F28C1">
        <w:rPr>
          <w:rFonts w:ascii="Times New Roman" w:eastAsia="Times New Roman" w:hAnsi="Times New Roman" w:cs="Times New Roman"/>
          <w:bCs/>
          <w:sz w:val="24"/>
          <w:szCs w:val="24"/>
          <w:lang w:eastAsia="pl-PL"/>
        </w:rPr>
        <w:t xml:space="preserve">− </w:t>
      </w:r>
      <w:r w:rsidR="00366123" w:rsidRPr="007F28C1">
        <w:rPr>
          <w:rFonts w:ascii="Times New Roman" w:eastAsia="Times New Roman" w:hAnsi="Times New Roman" w:cs="Times New Roman"/>
          <w:bCs/>
          <w:sz w:val="24"/>
          <w:szCs w:val="24"/>
          <w:lang w:eastAsia="pl-PL"/>
        </w:rPr>
        <w:t>Prawo geologiczne i górnicze oraz niektórych innych ustaw</w:t>
      </w:r>
      <w:r w:rsidR="00366123" w:rsidRPr="007F28C1">
        <w:rPr>
          <w:rFonts w:ascii="Times New Roman" w:eastAsia="Times New Roman" w:hAnsi="Times New Roman" w:cs="Times New Roman"/>
          <w:bCs/>
          <w:iCs/>
          <w:sz w:val="24"/>
          <w:szCs w:val="24"/>
          <w:lang w:eastAsia="pl-PL"/>
        </w:rPr>
        <w:t>.</w:t>
      </w:r>
      <w:r w:rsidR="00366123" w:rsidRPr="007F28C1">
        <w:rPr>
          <w:rFonts w:ascii="Times New Roman" w:eastAsia="Times New Roman" w:hAnsi="Times New Roman" w:cs="Times New Roman"/>
          <w:bCs/>
          <w:sz w:val="24"/>
          <w:szCs w:val="24"/>
          <w:lang w:eastAsia="pl-PL"/>
        </w:rPr>
        <w:t xml:space="preserve"> </w:t>
      </w:r>
    </w:p>
    <w:p w14:paraId="3CFFD350" w14:textId="1FBA15E2" w:rsidR="00AE2B15" w:rsidRPr="007F28C1" w:rsidRDefault="00FF7E25" w:rsidP="007F28C1">
      <w:pPr>
        <w:tabs>
          <w:tab w:val="left" w:pos="3915"/>
        </w:tabs>
        <w:spacing w:before="120" w:after="0" w:line="360" w:lineRule="auto"/>
        <w:jc w:val="both"/>
        <w:rPr>
          <w:rFonts w:ascii="Times New Roman" w:hAnsi="Times New Roman" w:cs="Times New Roman"/>
          <w:color w:val="000000"/>
          <w:sz w:val="24"/>
          <w:szCs w:val="24"/>
        </w:rPr>
      </w:pPr>
      <w:r w:rsidRPr="007F28C1">
        <w:rPr>
          <w:rFonts w:ascii="Times New Roman" w:hAnsi="Times New Roman" w:cs="Times New Roman"/>
          <w:color w:val="000000"/>
          <w:sz w:val="24"/>
          <w:szCs w:val="24"/>
        </w:rPr>
        <w:t>Mając na uwadze potrzebę ograniczenia emisji CO</w:t>
      </w:r>
      <w:r w:rsidRPr="007F28C1">
        <w:rPr>
          <w:rFonts w:ascii="Times New Roman" w:hAnsi="Times New Roman" w:cs="Times New Roman"/>
          <w:color w:val="000000"/>
          <w:sz w:val="24"/>
          <w:szCs w:val="24"/>
          <w:vertAlign w:val="subscript"/>
        </w:rPr>
        <w:t>2</w:t>
      </w:r>
      <w:r w:rsidRPr="007F28C1">
        <w:rPr>
          <w:rFonts w:ascii="Times New Roman" w:hAnsi="Times New Roman" w:cs="Times New Roman"/>
          <w:color w:val="000000"/>
          <w:sz w:val="24"/>
          <w:szCs w:val="24"/>
        </w:rPr>
        <w:t xml:space="preserve"> oraz dostrzegając możliwość osiągnięcia tego celu ekologicznego przy wykorzystaniu geosekwestracji CO</w:t>
      </w:r>
      <w:r w:rsidRPr="007F28C1">
        <w:rPr>
          <w:rFonts w:ascii="Times New Roman" w:hAnsi="Times New Roman" w:cs="Times New Roman"/>
          <w:color w:val="000000"/>
          <w:sz w:val="24"/>
          <w:szCs w:val="24"/>
          <w:vertAlign w:val="subscript"/>
        </w:rPr>
        <w:t>2</w:t>
      </w:r>
      <w:r w:rsidRPr="007F28C1">
        <w:rPr>
          <w:rFonts w:ascii="Times New Roman" w:hAnsi="Times New Roman" w:cs="Times New Roman"/>
          <w:color w:val="000000"/>
          <w:sz w:val="24"/>
          <w:szCs w:val="24"/>
        </w:rPr>
        <w:t xml:space="preserve">, </w:t>
      </w:r>
      <w:r w:rsidR="003E21E5" w:rsidRPr="007F28C1">
        <w:rPr>
          <w:rFonts w:ascii="Times New Roman" w:hAnsi="Times New Roman" w:cs="Times New Roman"/>
          <w:color w:val="000000"/>
          <w:sz w:val="24"/>
          <w:szCs w:val="24"/>
        </w:rPr>
        <w:t xml:space="preserve">jest </w:t>
      </w:r>
      <w:r w:rsidRPr="007F28C1">
        <w:rPr>
          <w:rFonts w:ascii="Times New Roman" w:hAnsi="Times New Roman" w:cs="Times New Roman"/>
          <w:color w:val="000000"/>
          <w:sz w:val="24"/>
          <w:szCs w:val="24"/>
        </w:rPr>
        <w:t>wskazane dokonanie pilnej rewizji stanu prawnego w celu umożliwienia składowania CO</w:t>
      </w:r>
      <w:r w:rsidRPr="007F28C1">
        <w:rPr>
          <w:rFonts w:ascii="Times New Roman" w:hAnsi="Times New Roman" w:cs="Times New Roman"/>
          <w:color w:val="000000"/>
          <w:sz w:val="24"/>
          <w:szCs w:val="24"/>
          <w:vertAlign w:val="subscript"/>
        </w:rPr>
        <w:t>2</w:t>
      </w:r>
      <w:r w:rsidRPr="007F28C1">
        <w:rPr>
          <w:rFonts w:ascii="Times New Roman" w:hAnsi="Times New Roman" w:cs="Times New Roman"/>
          <w:color w:val="000000"/>
          <w:sz w:val="24"/>
          <w:szCs w:val="24"/>
        </w:rPr>
        <w:t xml:space="preserve"> w górotworze (w obszarach morskich i lądowych, a także w strukturach złożowych węglowodorów) również w przypadku projektów o charakterze innym niż demonstracyjny, </w:t>
      </w:r>
      <w:r w:rsidRPr="007F28C1">
        <w:rPr>
          <w:rFonts w:ascii="Times New Roman" w:hAnsi="Times New Roman" w:cs="Times New Roman"/>
          <w:bCs/>
          <w:color w:val="000000"/>
          <w:sz w:val="24"/>
          <w:szCs w:val="24"/>
        </w:rPr>
        <w:t>a także wprowadzenie regulacji prawnych umożliwiających prowadzenie działalności polegającej na składowaniu CO</w:t>
      </w:r>
      <w:r w:rsidRPr="007F28C1">
        <w:rPr>
          <w:rFonts w:ascii="Times New Roman" w:hAnsi="Times New Roman" w:cs="Times New Roman"/>
          <w:color w:val="000000"/>
          <w:sz w:val="24"/>
          <w:szCs w:val="24"/>
          <w:vertAlign w:val="subscript"/>
        </w:rPr>
        <w:t xml:space="preserve">2 </w:t>
      </w:r>
      <w:r w:rsidRPr="007F28C1">
        <w:rPr>
          <w:rFonts w:ascii="Times New Roman" w:hAnsi="Times New Roman" w:cs="Times New Roman"/>
          <w:color w:val="000000"/>
          <w:sz w:val="24"/>
          <w:szCs w:val="24"/>
        </w:rPr>
        <w:t>również w przypadku przedsięwzięć, które nie spełniają minimalnych warunków brzegowych określonych w dyrektywie CCS, to jest przewidują łączne składowanie</w:t>
      </w:r>
      <w:r w:rsidRPr="007F28C1">
        <w:rPr>
          <w:rFonts w:ascii="Times New Roman" w:hAnsi="Times New Roman" w:cs="Times New Roman"/>
          <w:bCs/>
          <w:color w:val="000000"/>
          <w:sz w:val="24"/>
          <w:szCs w:val="24"/>
        </w:rPr>
        <w:t xml:space="preserve"> poniżej 100 kiloton CO</w:t>
      </w:r>
      <w:r w:rsidRPr="007F28C1">
        <w:rPr>
          <w:rFonts w:ascii="Times New Roman" w:hAnsi="Times New Roman" w:cs="Times New Roman"/>
          <w:color w:val="000000"/>
          <w:sz w:val="24"/>
          <w:szCs w:val="24"/>
          <w:vertAlign w:val="subscript"/>
        </w:rPr>
        <w:t>2</w:t>
      </w:r>
      <w:r w:rsidRPr="007F28C1">
        <w:rPr>
          <w:rFonts w:ascii="Times New Roman" w:hAnsi="Times New Roman" w:cs="Times New Roman"/>
          <w:bCs/>
          <w:color w:val="000000"/>
          <w:sz w:val="24"/>
          <w:szCs w:val="24"/>
        </w:rPr>
        <w:t xml:space="preserve">. </w:t>
      </w:r>
      <w:r w:rsidRPr="007F28C1">
        <w:rPr>
          <w:rFonts w:ascii="Times New Roman" w:hAnsi="Times New Roman" w:cs="Times New Roman"/>
          <w:color w:val="000000"/>
          <w:sz w:val="24"/>
          <w:szCs w:val="24"/>
        </w:rPr>
        <w:t xml:space="preserve">Pożądane </w:t>
      </w:r>
      <w:r w:rsidR="003E21E5" w:rsidRPr="007F28C1">
        <w:rPr>
          <w:rFonts w:ascii="Times New Roman" w:hAnsi="Times New Roman" w:cs="Times New Roman"/>
          <w:color w:val="000000"/>
          <w:sz w:val="24"/>
          <w:szCs w:val="24"/>
        </w:rPr>
        <w:t xml:space="preserve">jest </w:t>
      </w:r>
      <w:r w:rsidRPr="007F28C1">
        <w:rPr>
          <w:rFonts w:ascii="Times New Roman" w:hAnsi="Times New Roman" w:cs="Times New Roman"/>
          <w:color w:val="000000"/>
          <w:sz w:val="24"/>
          <w:szCs w:val="24"/>
        </w:rPr>
        <w:t>również wprowadzenie możliwości połączenia zatłaczania CO</w:t>
      </w:r>
      <w:r w:rsidRPr="007F28C1">
        <w:rPr>
          <w:rFonts w:ascii="Times New Roman" w:hAnsi="Times New Roman" w:cs="Times New Roman"/>
          <w:color w:val="000000"/>
          <w:sz w:val="24"/>
          <w:szCs w:val="24"/>
          <w:vertAlign w:val="subscript"/>
        </w:rPr>
        <w:t>2</w:t>
      </w:r>
      <w:r w:rsidRPr="007F28C1">
        <w:rPr>
          <w:rFonts w:ascii="Times New Roman" w:hAnsi="Times New Roman" w:cs="Times New Roman"/>
          <w:color w:val="000000"/>
          <w:sz w:val="24"/>
          <w:szCs w:val="24"/>
        </w:rPr>
        <w:t xml:space="preserve"> do złoża w celu podniesienia ciśnienia złożowego (intensyfikacja wydobywania węglowodorów ze złóż) z działalnością CCS, gdyż połączenie tych dwóch działalności pozwoliłoby poprawić ekonomiczną opłacalność projektów CCS. </w:t>
      </w:r>
    </w:p>
    <w:p w14:paraId="35DE4CF7" w14:textId="720F1F47" w:rsidR="004B1EE0" w:rsidRPr="007F28C1" w:rsidRDefault="00BD09D9"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Aby umożliwić prowadzenie działalności CCS, która</w:t>
      </w:r>
      <w:r w:rsidR="00E80A9B"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nie mieści się w zakresie projektu demonstracyjnego, zaproponowano rozszerzenie możliwości realizacji działalności CCS o projekty inne niż demonstracyjn</w:t>
      </w:r>
      <w:r w:rsidR="00B40528" w:rsidRPr="007F28C1">
        <w:rPr>
          <w:rFonts w:ascii="Times New Roman" w:eastAsia="Times New Roman" w:hAnsi="Times New Roman" w:cs="Times New Roman"/>
          <w:sz w:val="24"/>
          <w:szCs w:val="24"/>
          <w:lang w:eastAsia="pl-PL"/>
        </w:rPr>
        <w:t>e</w:t>
      </w:r>
      <w:r w:rsidRPr="007F28C1">
        <w:rPr>
          <w:rFonts w:ascii="Times New Roman" w:eastAsia="Times New Roman" w:hAnsi="Times New Roman" w:cs="Times New Roman"/>
          <w:sz w:val="24"/>
          <w:szCs w:val="24"/>
          <w:lang w:eastAsia="pl-PL"/>
        </w:rPr>
        <w:t xml:space="preserve"> w rozumieniu</w:t>
      </w:r>
      <w:bookmarkStart w:id="4" w:name="_Hlk69885776"/>
      <w:r w:rsidR="00877C78" w:rsidRPr="007F28C1">
        <w:rPr>
          <w:rFonts w:ascii="Times New Roman" w:eastAsia="Times New Roman" w:hAnsi="Times New Roman" w:cs="Times New Roman"/>
          <w:sz w:val="24"/>
          <w:szCs w:val="24"/>
          <w:lang w:eastAsia="pl-PL"/>
        </w:rPr>
        <w:t xml:space="preserve"> </w:t>
      </w:r>
      <w:bookmarkEnd w:id="4"/>
      <w:r w:rsidRPr="007F28C1">
        <w:rPr>
          <w:rFonts w:ascii="Times New Roman" w:eastAsia="Times New Roman" w:hAnsi="Times New Roman" w:cs="Times New Roman"/>
          <w:sz w:val="24"/>
          <w:szCs w:val="24"/>
          <w:lang w:eastAsia="pl-PL"/>
        </w:rPr>
        <w:t>P</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w tym te, które nie spełniają minimalnych warunków brzegowych określonych w dyrektywie CCS (art. 1 ust. 1 pkt 5, ust.</w:t>
      </w:r>
      <w:r w:rsidR="002E4274"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3</w:t>
      </w:r>
      <w:r w:rsidR="00F17406" w:rsidRPr="007F28C1">
        <w:rPr>
          <w:rFonts w:ascii="Times New Roman" w:eastAsia="Times New Roman" w:hAnsi="Times New Roman" w:cs="Times New Roman"/>
          <w:sz w:val="24"/>
          <w:szCs w:val="24"/>
          <w:lang w:eastAsia="pl-PL"/>
        </w:rPr>
        <w:t xml:space="preserve"> i</w:t>
      </w:r>
      <w:r w:rsidR="00967A32">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4</w:t>
      </w:r>
      <w:r w:rsidR="005B7604"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P</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W konsekwencji</w:t>
      </w:r>
      <w:r w:rsidR="004B1EE0" w:rsidRPr="007F28C1">
        <w:rPr>
          <w:rFonts w:ascii="Times New Roman" w:eastAsia="Times New Roman" w:hAnsi="Times New Roman" w:cs="Times New Roman"/>
          <w:sz w:val="24"/>
          <w:szCs w:val="24"/>
          <w:lang w:eastAsia="pl-PL"/>
        </w:rPr>
        <w:t>:</w:t>
      </w:r>
    </w:p>
    <w:p w14:paraId="18814B00" w14:textId="0EABF8F3" w:rsidR="004B1EE0" w:rsidRPr="007F28C1" w:rsidRDefault="00BD09D9" w:rsidP="007F28C1">
      <w:pPr>
        <w:pStyle w:val="Akapitzlist"/>
        <w:numPr>
          <w:ilvl w:val="0"/>
          <w:numId w:val="11"/>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uchylono art. 21 ust. 1a P</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003E21E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bCs/>
          <w:sz w:val="24"/>
          <w:szCs w:val="24"/>
          <w:lang w:eastAsia="pl-PL"/>
        </w:rPr>
        <w:t xml:space="preserve"> </w:t>
      </w:r>
    </w:p>
    <w:p w14:paraId="783C8379" w14:textId="767A2E68" w:rsidR="004B1EE0" w:rsidRPr="007F28C1" w:rsidRDefault="00BD09D9" w:rsidP="007F28C1">
      <w:pPr>
        <w:pStyle w:val="Akapitzlist"/>
        <w:numPr>
          <w:ilvl w:val="0"/>
          <w:numId w:val="11"/>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zmieniono</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art. 127d P</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6418B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003E21E5" w:rsidRPr="007F28C1">
        <w:rPr>
          <w:rFonts w:ascii="Times New Roman" w:eastAsia="Times New Roman" w:hAnsi="Times New Roman" w:cs="Times New Roman"/>
          <w:sz w:val="24"/>
          <w:szCs w:val="24"/>
          <w:lang w:eastAsia="pl-PL"/>
        </w:rPr>
        <w:t>;</w:t>
      </w:r>
      <w:r w:rsidR="004B1EE0" w:rsidRPr="007F28C1">
        <w:rPr>
          <w:rFonts w:ascii="Times New Roman" w:eastAsia="Times New Roman" w:hAnsi="Times New Roman" w:cs="Times New Roman"/>
          <w:bCs/>
          <w:sz w:val="24"/>
          <w:szCs w:val="24"/>
          <w:lang w:eastAsia="pl-PL"/>
        </w:rPr>
        <w:t xml:space="preserve"> </w:t>
      </w:r>
    </w:p>
    <w:p w14:paraId="631E88DE" w14:textId="24C288F5" w:rsidR="004B1EE0" w:rsidRPr="007F28C1" w:rsidRDefault="004B1EE0" w:rsidP="007F28C1">
      <w:pPr>
        <w:pStyle w:val="Akapitzlist"/>
        <w:numPr>
          <w:ilvl w:val="0"/>
          <w:numId w:val="11"/>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zmieniono lp. 2</w:t>
      </w:r>
      <w:r w:rsidR="00011BB5" w:rsidRPr="007F28C1">
        <w:rPr>
          <w:rFonts w:ascii="Times New Roman" w:eastAsia="Times New Roman" w:hAnsi="Times New Roman" w:cs="Times New Roman"/>
          <w:sz w:val="24"/>
          <w:szCs w:val="24"/>
          <w:lang w:eastAsia="pl-PL"/>
        </w:rPr>
        <w:t>6</w:t>
      </w:r>
      <w:r w:rsidR="003E21E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2</w:t>
      </w:r>
      <w:r w:rsidR="00011BB5" w:rsidRPr="007F28C1">
        <w:rPr>
          <w:rFonts w:ascii="Times New Roman" w:eastAsia="Times New Roman" w:hAnsi="Times New Roman" w:cs="Times New Roman"/>
          <w:sz w:val="24"/>
          <w:szCs w:val="24"/>
          <w:lang w:eastAsia="pl-PL"/>
        </w:rPr>
        <w:t>8</w:t>
      </w:r>
      <w:r w:rsidR="003E21E5" w:rsidRPr="007F28C1">
        <w:rPr>
          <w:rFonts w:ascii="Times New Roman" w:eastAsia="Times New Roman" w:hAnsi="Times New Roman" w:cs="Times New Roman"/>
          <w:sz w:val="24"/>
          <w:szCs w:val="24"/>
          <w:lang w:eastAsia="pl-PL"/>
        </w:rPr>
        <w:t xml:space="preserve"> w tabeli w </w:t>
      </w:r>
      <w:r w:rsidRPr="007F28C1">
        <w:rPr>
          <w:rFonts w:ascii="Times New Roman" w:eastAsia="Times New Roman" w:hAnsi="Times New Roman" w:cs="Times New Roman"/>
          <w:sz w:val="24"/>
          <w:szCs w:val="24"/>
          <w:lang w:eastAsia="pl-PL"/>
        </w:rPr>
        <w:t>załącznik</w:t>
      </w:r>
      <w:r w:rsidR="003E21E5" w:rsidRPr="007F28C1">
        <w:rPr>
          <w:rFonts w:ascii="Times New Roman" w:eastAsia="Times New Roman" w:hAnsi="Times New Roman" w:cs="Times New Roman"/>
          <w:sz w:val="24"/>
          <w:szCs w:val="24"/>
          <w:lang w:eastAsia="pl-PL"/>
        </w:rPr>
        <w:t>u</w:t>
      </w:r>
      <w:r w:rsidRPr="007F28C1">
        <w:rPr>
          <w:rFonts w:ascii="Times New Roman" w:eastAsia="Times New Roman" w:hAnsi="Times New Roman" w:cs="Times New Roman"/>
          <w:sz w:val="24"/>
          <w:szCs w:val="24"/>
          <w:lang w:eastAsia="pl-PL"/>
        </w:rPr>
        <w:t xml:space="preserve"> </w:t>
      </w:r>
      <w:r w:rsidR="00B23CA6" w:rsidRPr="007F28C1">
        <w:rPr>
          <w:rFonts w:ascii="Times New Roman" w:eastAsia="Times New Roman" w:hAnsi="Times New Roman" w:cs="Times New Roman"/>
          <w:sz w:val="24"/>
          <w:szCs w:val="24"/>
          <w:lang w:eastAsia="pl-PL"/>
        </w:rPr>
        <w:t xml:space="preserve">nr 1 </w:t>
      </w:r>
      <w:r w:rsidRPr="007F28C1">
        <w:rPr>
          <w:rFonts w:ascii="Times New Roman" w:eastAsia="Times New Roman" w:hAnsi="Times New Roman" w:cs="Times New Roman"/>
          <w:sz w:val="24"/>
          <w:szCs w:val="24"/>
          <w:lang w:eastAsia="pl-PL"/>
        </w:rPr>
        <w:t xml:space="preserve">do ustawy z dnia </w:t>
      </w:r>
      <w:r w:rsidR="00B23CA6" w:rsidRPr="007F28C1">
        <w:rPr>
          <w:rFonts w:ascii="Times New Roman" w:eastAsia="Times New Roman" w:hAnsi="Times New Roman" w:cs="Times New Roman"/>
          <w:sz w:val="24"/>
          <w:szCs w:val="24"/>
          <w:lang w:eastAsia="pl-PL"/>
        </w:rPr>
        <w:t>12 czerwca 2015</w:t>
      </w:r>
      <w:r w:rsidRPr="007F28C1">
        <w:rPr>
          <w:rFonts w:ascii="Times New Roman" w:eastAsia="Times New Roman" w:hAnsi="Times New Roman" w:cs="Times New Roman"/>
          <w:sz w:val="24"/>
          <w:szCs w:val="24"/>
          <w:lang w:eastAsia="pl-PL"/>
        </w:rPr>
        <w:t xml:space="preserve"> r. o systemie handlu uprawnieniami do emisji gazów cieplarnianych</w:t>
      </w:r>
      <w:r w:rsidR="003E21E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p>
    <w:p w14:paraId="23E8FE56" w14:textId="230229EA" w:rsidR="004B1EE0" w:rsidRPr="007F28C1" w:rsidRDefault="00AA0CE5" w:rsidP="007F28C1">
      <w:pPr>
        <w:pStyle w:val="Akapitzlist"/>
        <w:numPr>
          <w:ilvl w:val="0"/>
          <w:numId w:val="11"/>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uchylon</w:t>
      </w:r>
      <w:r w:rsidR="004C591B" w:rsidRPr="007F28C1">
        <w:rPr>
          <w:rFonts w:ascii="Times New Roman" w:eastAsia="Times New Roman" w:hAnsi="Times New Roman" w:cs="Times New Roman"/>
          <w:sz w:val="24"/>
          <w:szCs w:val="24"/>
          <w:lang w:eastAsia="pl-PL"/>
        </w:rPr>
        <w:t>o</w:t>
      </w:r>
      <w:r w:rsidRPr="007F28C1">
        <w:rPr>
          <w:rFonts w:ascii="Times New Roman" w:eastAsia="Times New Roman" w:hAnsi="Times New Roman" w:cs="Times New Roman"/>
          <w:sz w:val="24"/>
          <w:szCs w:val="24"/>
          <w:lang w:eastAsia="pl-PL"/>
        </w:rPr>
        <w:t xml:space="preserve"> pkt 12 w </w:t>
      </w:r>
      <w:r w:rsidR="004B1EE0" w:rsidRPr="007F28C1">
        <w:rPr>
          <w:rFonts w:ascii="Times New Roman" w:eastAsia="Times New Roman" w:hAnsi="Times New Roman" w:cs="Times New Roman"/>
          <w:sz w:val="24"/>
          <w:szCs w:val="24"/>
          <w:lang w:eastAsia="pl-PL"/>
        </w:rPr>
        <w:t>art. 2 ustawy z dnia 14 grudnia 2012 r. o odpadach.</w:t>
      </w:r>
    </w:p>
    <w:p w14:paraId="1FEAA998" w14:textId="78C42DCE" w:rsidR="00E91311" w:rsidRPr="007F28C1" w:rsidRDefault="00E36415" w:rsidP="007F28C1">
      <w:pPr>
        <w:tabs>
          <w:tab w:val="left" w:pos="3915"/>
        </w:tabs>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P</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150999" w:rsidRPr="007F28C1">
        <w:rPr>
          <w:rFonts w:ascii="Times New Roman" w:eastAsia="Times New Roman" w:hAnsi="Times New Roman" w:cs="Times New Roman"/>
          <w:sz w:val="24"/>
          <w:szCs w:val="24"/>
          <w:lang w:eastAsia="pl-PL"/>
        </w:rPr>
        <w:t>.</w:t>
      </w:r>
      <w:r w:rsidR="00E80A9B" w:rsidRPr="007F28C1">
        <w:rPr>
          <w:rFonts w:ascii="Times New Roman" w:eastAsia="Times New Roman" w:hAnsi="Times New Roman" w:cs="Times New Roman"/>
          <w:sz w:val="24"/>
          <w:szCs w:val="24"/>
          <w:lang w:eastAsia="pl-PL"/>
        </w:rPr>
        <w:t xml:space="preserve"> w dotychczasowym brzmieniu</w:t>
      </w:r>
      <w:r w:rsidR="00E91311" w:rsidRPr="007F28C1">
        <w:rPr>
          <w:rFonts w:ascii="Times New Roman" w:eastAsia="Times New Roman" w:hAnsi="Times New Roman" w:cs="Times New Roman"/>
          <w:sz w:val="24"/>
          <w:szCs w:val="24"/>
          <w:lang w:eastAsia="pl-PL"/>
        </w:rPr>
        <w:t xml:space="preserve"> przewiduje udzielenie koncesji na działalność w zakresie poszukiwania lub rozpoznawania kompleksu podziemnego składowania dwutlenku węgla, a także koncesji na działalność w zakresie podziemnego składowania dwutlenku węgla. </w:t>
      </w:r>
      <w:r w:rsidRPr="007F28C1">
        <w:rPr>
          <w:rFonts w:ascii="Times New Roman" w:eastAsia="Times New Roman" w:hAnsi="Times New Roman" w:cs="Times New Roman"/>
          <w:sz w:val="24"/>
          <w:szCs w:val="24"/>
          <w:lang w:eastAsia="pl-PL"/>
        </w:rPr>
        <w:t>P</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523A3F" w:rsidRPr="007F28C1">
        <w:rPr>
          <w:rFonts w:ascii="Times New Roman" w:eastAsia="Times New Roman" w:hAnsi="Times New Roman" w:cs="Times New Roman"/>
          <w:sz w:val="24"/>
          <w:szCs w:val="24"/>
          <w:lang w:eastAsia="pl-PL"/>
        </w:rPr>
        <w:t>.</w:t>
      </w:r>
      <w:r w:rsidR="00E91311" w:rsidRPr="007F28C1">
        <w:rPr>
          <w:rFonts w:ascii="Times New Roman" w:eastAsia="Times New Roman" w:hAnsi="Times New Roman" w:cs="Times New Roman"/>
          <w:sz w:val="24"/>
          <w:szCs w:val="24"/>
          <w:lang w:eastAsia="pl-PL"/>
        </w:rPr>
        <w:t xml:space="preserve"> nie przewiduje jednak możliwości połączenia działalności w zakresie intensyfikacji wydobywania węglowodorów przez zatłaczanie CO</w:t>
      </w:r>
      <w:r w:rsidR="00E91311" w:rsidRPr="007F28C1">
        <w:rPr>
          <w:rFonts w:ascii="Times New Roman" w:eastAsia="Times New Roman" w:hAnsi="Times New Roman" w:cs="Times New Roman"/>
          <w:sz w:val="24"/>
          <w:szCs w:val="24"/>
          <w:vertAlign w:val="subscript"/>
          <w:lang w:eastAsia="pl-PL"/>
        </w:rPr>
        <w:t xml:space="preserve">2 </w:t>
      </w:r>
      <w:r w:rsidR="00E91311" w:rsidRPr="007F28C1">
        <w:rPr>
          <w:rFonts w:ascii="Times New Roman" w:eastAsia="Times New Roman" w:hAnsi="Times New Roman" w:cs="Times New Roman"/>
          <w:sz w:val="24"/>
          <w:szCs w:val="24"/>
          <w:lang w:eastAsia="pl-PL"/>
        </w:rPr>
        <w:t>do</w:t>
      </w:r>
      <w:r w:rsidR="00BD09D9" w:rsidRPr="007F28C1">
        <w:rPr>
          <w:rFonts w:ascii="Times New Roman" w:eastAsia="Times New Roman" w:hAnsi="Times New Roman" w:cs="Times New Roman"/>
          <w:sz w:val="24"/>
          <w:szCs w:val="24"/>
          <w:lang w:eastAsia="pl-PL"/>
        </w:rPr>
        <w:t> </w:t>
      </w:r>
      <w:r w:rsidR="00E91311" w:rsidRPr="007F28C1">
        <w:rPr>
          <w:rFonts w:ascii="Times New Roman" w:eastAsia="Times New Roman" w:hAnsi="Times New Roman" w:cs="Times New Roman"/>
          <w:sz w:val="24"/>
          <w:szCs w:val="24"/>
          <w:lang w:eastAsia="pl-PL"/>
        </w:rPr>
        <w:t>eksploatowanego złoża</w:t>
      </w:r>
      <w:r w:rsidR="00BD09D9" w:rsidRPr="007F28C1">
        <w:rPr>
          <w:rFonts w:ascii="Times New Roman" w:eastAsia="Times New Roman" w:hAnsi="Times New Roman" w:cs="Times New Roman"/>
          <w:sz w:val="24"/>
          <w:szCs w:val="24"/>
          <w:lang w:eastAsia="pl-PL"/>
        </w:rPr>
        <w:t xml:space="preserve"> węglowodorów</w:t>
      </w:r>
      <w:r w:rsidR="00E91311" w:rsidRPr="007F28C1">
        <w:rPr>
          <w:rFonts w:ascii="Times New Roman" w:eastAsia="Times New Roman" w:hAnsi="Times New Roman" w:cs="Times New Roman"/>
          <w:sz w:val="24"/>
          <w:szCs w:val="24"/>
          <w:lang w:eastAsia="pl-PL"/>
        </w:rPr>
        <w:t xml:space="preserve"> z działalnością polegającą na</w:t>
      </w:r>
      <w:r w:rsidR="0045550B" w:rsidRPr="007F28C1">
        <w:rPr>
          <w:rFonts w:ascii="Times New Roman" w:eastAsia="Times New Roman" w:hAnsi="Times New Roman" w:cs="Times New Roman"/>
          <w:sz w:val="24"/>
          <w:szCs w:val="24"/>
          <w:lang w:eastAsia="pl-PL"/>
        </w:rPr>
        <w:t> </w:t>
      </w:r>
      <w:r w:rsidR="00E91311" w:rsidRPr="007F28C1">
        <w:rPr>
          <w:rFonts w:ascii="Times New Roman" w:eastAsia="Times New Roman" w:hAnsi="Times New Roman" w:cs="Times New Roman"/>
          <w:sz w:val="24"/>
          <w:szCs w:val="24"/>
          <w:lang w:eastAsia="pl-PL"/>
        </w:rPr>
        <w:t>podziemnym składowaniu</w:t>
      </w:r>
      <w:r w:rsidR="00BD09D9" w:rsidRPr="007F28C1">
        <w:rPr>
          <w:rFonts w:ascii="Times New Roman" w:eastAsia="Times New Roman" w:hAnsi="Times New Roman" w:cs="Times New Roman"/>
          <w:sz w:val="24"/>
          <w:szCs w:val="24"/>
          <w:lang w:eastAsia="pl-PL"/>
        </w:rPr>
        <w:t> </w:t>
      </w:r>
      <w:r w:rsidR="00E91311" w:rsidRPr="007F28C1">
        <w:rPr>
          <w:rFonts w:ascii="Times New Roman" w:eastAsia="Times New Roman" w:hAnsi="Times New Roman" w:cs="Times New Roman"/>
          <w:sz w:val="24"/>
          <w:szCs w:val="24"/>
          <w:lang w:eastAsia="pl-PL"/>
        </w:rPr>
        <w:t>CO</w:t>
      </w:r>
      <w:r w:rsidR="00E91311" w:rsidRPr="007F28C1">
        <w:rPr>
          <w:rFonts w:ascii="Times New Roman" w:eastAsia="Times New Roman" w:hAnsi="Times New Roman" w:cs="Times New Roman"/>
          <w:sz w:val="24"/>
          <w:szCs w:val="24"/>
          <w:vertAlign w:val="subscript"/>
          <w:lang w:eastAsia="pl-PL"/>
        </w:rPr>
        <w:t>2</w:t>
      </w:r>
      <w:r w:rsidR="00E91311" w:rsidRPr="007F28C1">
        <w:rPr>
          <w:rFonts w:ascii="Times New Roman" w:eastAsia="Times New Roman" w:hAnsi="Times New Roman" w:cs="Times New Roman"/>
          <w:sz w:val="24"/>
          <w:szCs w:val="24"/>
          <w:lang w:eastAsia="pl-PL"/>
        </w:rPr>
        <w:t>.</w:t>
      </w:r>
    </w:p>
    <w:p w14:paraId="074263B1" w14:textId="1DB02714" w:rsidR="00DA07DC" w:rsidRPr="007F28C1" w:rsidRDefault="00867824"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lastRenderedPageBreak/>
        <w:t>W związku z rezygnacją z koncesji na poszukiwanie lub rozpoznawanie kompleksu podziemnego składowania dwutlenku węgla p</w:t>
      </w:r>
      <w:r w:rsidR="004934BC" w:rsidRPr="007F28C1">
        <w:rPr>
          <w:rFonts w:ascii="Times New Roman" w:eastAsia="Times New Roman" w:hAnsi="Times New Roman" w:cs="Times New Roman"/>
          <w:sz w:val="24"/>
          <w:szCs w:val="24"/>
          <w:lang w:eastAsia="pl-PL"/>
        </w:rPr>
        <w:t xml:space="preserve">rojektowana nowelizacja uchyla </w:t>
      </w:r>
      <w:r w:rsidR="00BD09D9" w:rsidRPr="007F28C1">
        <w:rPr>
          <w:rFonts w:ascii="Times New Roman" w:eastAsia="Times New Roman" w:hAnsi="Times New Roman" w:cs="Times New Roman"/>
          <w:sz w:val="24"/>
          <w:szCs w:val="24"/>
          <w:lang w:eastAsia="pl-PL"/>
        </w:rPr>
        <w:t xml:space="preserve">art. </w:t>
      </w:r>
      <w:r w:rsidR="00744585" w:rsidRPr="007F28C1">
        <w:rPr>
          <w:rFonts w:ascii="Times New Roman" w:eastAsia="Times New Roman" w:hAnsi="Times New Roman" w:cs="Times New Roman"/>
          <w:sz w:val="24"/>
          <w:szCs w:val="24"/>
          <w:lang w:eastAsia="pl-PL"/>
        </w:rPr>
        <w:t>21</w:t>
      </w:r>
      <w:r w:rsidR="00BD09D9" w:rsidRPr="007F28C1">
        <w:rPr>
          <w:rFonts w:ascii="Times New Roman" w:eastAsia="Times New Roman" w:hAnsi="Times New Roman" w:cs="Times New Roman"/>
          <w:sz w:val="24"/>
          <w:szCs w:val="24"/>
          <w:lang w:eastAsia="pl-PL"/>
        </w:rPr>
        <w:t xml:space="preserve"> ust. 1 pkt </w:t>
      </w:r>
      <w:r w:rsidR="00744585" w:rsidRPr="007F28C1">
        <w:rPr>
          <w:rFonts w:ascii="Times New Roman" w:eastAsia="Times New Roman" w:hAnsi="Times New Roman" w:cs="Times New Roman"/>
          <w:sz w:val="24"/>
          <w:szCs w:val="24"/>
          <w:lang w:eastAsia="pl-PL"/>
        </w:rPr>
        <w:t>1a</w:t>
      </w:r>
      <w:r w:rsidRPr="007F28C1">
        <w:rPr>
          <w:rFonts w:ascii="Times New Roman" w:eastAsia="Times New Roman" w:hAnsi="Times New Roman" w:cs="Times New Roman"/>
          <w:sz w:val="24"/>
          <w:szCs w:val="24"/>
          <w:lang w:eastAsia="pl-PL"/>
        </w:rPr>
        <w:t xml:space="preserve"> oraz</w:t>
      </w:r>
      <w:r w:rsidR="00BD09D9" w:rsidRPr="007F28C1">
        <w:rPr>
          <w:rFonts w:ascii="Times New Roman" w:eastAsia="Times New Roman" w:hAnsi="Times New Roman" w:cs="Times New Roman"/>
          <w:sz w:val="24"/>
          <w:szCs w:val="24"/>
          <w:lang w:eastAsia="pl-PL"/>
        </w:rPr>
        <w:t xml:space="preserve"> art. 22 ust. 1 pkt 1a P</w:t>
      </w:r>
      <w:r w:rsidR="003D6728"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 xml:space="preserve"> Działalność ta </w:t>
      </w:r>
      <w:r w:rsidR="00AB2CF1" w:rsidRPr="007F28C1">
        <w:rPr>
          <w:rFonts w:ascii="Times New Roman" w:eastAsia="Times New Roman" w:hAnsi="Times New Roman" w:cs="Times New Roman"/>
          <w:sz w:val="24"/>
          <w:szCs w:val="24"/>
          <w:lang w:eastAsia="pl-PL"/>
        </w:rPr>
        <w:t xml:space="preserve">będzie się </w:t>
      </w:r>
      <w:r w:rsidR="00BD09D9" w:rsidRPr="007F28C1">
        <w:rPr>
          <w:rFonts w:ascii="Times New Roman" w:eastAsia="Times New Roman" w:hAnsi="Times New Roman" w:cs="Times New Roman"/>
          <w:sz w:val="24"/>
          <w:szCs w:val="24"/>
          <w:lang w:eastAsia="pl-PL"/>
        </w:rPr>
        <w:t>odbywać na podstawie projektu robót geologicznych, zatwierdzanego w drodze decyzji przez</w:t>
      </w:r>
      <w:r w:rsidR="0054044F" w:rsidRPr="007F28C1">
        <w:rPr>
          <w:rFonts w:ascii="Times New Roman" w:eastAsia="Times New Roman" w:hAnsi="Times New Roman" w:cs="Times New Roman"/>
          <w:sz w:val="24"/>
          <w:szCs w:val="24"/>
          <w:lang w:eastAsia="pl-PL"/>
        </w:rPr>
        <w:t xml:space="preserve"> ministra właściwego do spraw środowiska</w:t>
      </w:r>
      <w:r w:rsidR="00BD09D9" w:rsidRPr="007F28C1">
        <w:rPr>
          <w:rFonts w:ascii="Times New Roman" w:eastAsia="Times New Roman" w:hAnsi="Times New Roman" w:cs="Times New Roman"/>
          <w:sz w:val="24"/>
          <w:szCs w:val="24"/>
          <w:lang w:eastAsia="pl-PL"/>
        </w:rPr>
        <w:t xml:space="preserve">. Podobnie jak obecnie, zgodnie z ustawą z dnia 3 października 2008 r. </w:t>
      </w:r>
      <w:r w:rsidR="00BD09D9" w:rsidRPr="007F28C1">
        <w:rPr>
          <w:rFonts w:ascii="Times New Roman" w:eastAsia="Times New Roman" w:hAnsi="Times New Roman" w:cs="Times New Roman"/>
          <w:iCs/>
          <w:sz w:val="24"/>
          <w:szCs w:val="24"/>
          <w:lang w:eastAsia="pl-PL"/>
        </w:rPr>
        <w:t>o udostępnianiu informacji o środowisku i jego ochronie, udziale społeczeństwa w ochronie środowiska oraz o ocenach oddziaływania na środowisko</w:t>
      </w:r>
      <w:r w:rsidR="00BD09D9" w:rsidRPr="007F28C1">
        <w:rPr>
          <w:rFonts w:ascii="Times New Roman" w:eastAsia="Times New Roman" w:hAnsi="Times New Roman" w:cs="Times New Roman"/>
          <w:sz w:val="24"/>
          <w:szCs w:val="24"/>
          <w:lang w:eastAsia="pl-PL"/>
        </w:rPr>
        <w:t xml:space="preserve"> (Dz.</w:t>
      </w:r>
      <w:r w:rsidR="000900B9" w:rsidRPr="007F28C1">
        <w:rPr>
          <w:rFonts w:ascii="Times New Roman" w:eastAsia="Times New Roman" w:hAnsi="Times New Roman" w:cs="Times New Roman"/>
          <w:sz w:val="24"/>
          <w:szCs w:val="24"/>
          <w:lang w:eastAsia="pl-PL"/>
        </w:rPr>
        <w:t xml:space="preserve"> </w:t>
      </w:r>
      <w:r w:rsidR="00BD09D9" w:rsidRPr="007F28C1">
        <w:rPr>
          <w:rFonts w:ascii="Times New Roman" w:eastAsia="Times New Roman" w:hAnsi="Times New Roman" w:cs="Times New Roman"/>
          <w:sz w:val="24"/>
          <w:szCs w:val="24"/>
          <w:lang w:eastAsia="pl-PL"/>
        </w:rPr>
        <w:t>U. z </w:t>
      </w:r>
      <w:r w:rsidR="000900B9" w:rsidRPr="007F28C1">
        <w:rPr>
          <w:rFonts w:ascii="Times New Roman" w:eastAsia="Times New Roman" w:hAnsi="Times New Roman" w:cs="Times New Roman"/>
          <w:sz w:val="24"/>
          <w:szCs w:val="24"/>
          <w:lang w:eastAsia="pl-PL"/>
        </w:rPr>
        <w:t xml:space="preserve">2022 </w:t>
      </w:r>
      <w:r w:rsidR="00BD09D9" w:rsidRPr="007F28C1">
        <w:rPr>
          <w:rFonts w:ascii="Times New Roman" w:eastAsia="Times New Roman" w:hAnsi="Times New Roman" w:cs="Times New Roman"/>
          <w:sz w:val="24"/>
          <w:szCs w:val="24"/>
          <w:lang w:eastAsia="pl-PL"/>
        </w:rPr>
        <w:t>r. poz.</w:t>
      </w:r>
      <w:r w:rsidR="00AB2CF1" w:rsidRPr="007F28C1">
        <w:rPr>
          <w:rFonts w:ascii="Times New Roman" w:eastAsia="Times New Roman" w:hAnsi="Times New Roman" w:cs="Times New Roman"/>
          <w:sz w:val="24"/>
          <w:szCs w:val="24"/>
          <w:lang w:eastAsia="pl-PL"/>
        </w:rPr>
        <w:t xml:space="preserve"> </w:t>
      </w:r>
      <w:r w:rsidR="000900B9" w:rsidRPr="007F28C1">
        <w:rPr>
          <w:rFonts w:ascii="Times New Roman" w:eastAsia="Times New Roman" w:hAnsi="Times New Roman" w:cs="Times New Roman"/>
          <w:sz w:val="24"/>
          <w:szCs w:val="24"/>
          <w:lang w:eastAsia="pl-PL"/>
        </w:rPr>
        <w:t>1029</w:t>
      </w:r>
      <w:r w:rsidR="00AB2CF1" w:rsidRPr="007F28C1">
        <w:rPr>
          <w:rFonts w:ascii="Times New Roman" w:eastAsia="Times New Roman" w:hAnsi="Times New Roman" w:cs="Times New Roman"/>
          <w:sz w:val="24"/>
          <w:szCs w:val="24"/>
          <w:lang w:eastAsia="pl-PL"/>
        </w:rPr>
        <w:t>, z późn. zm.</w:t>
      </w:r>
      <w:r w:rsidR="00BD09D9" w:rsidRPr="007F28C1">
        <w:rPr>
          <w:rFonts w:ascii="Times New Roman" w:eastAsia="Times New Roman" w:hAnsi="Times New Roman" w:cs="Times New Roman"/>
          <w:sz w:val="24"/>
          <w:szCs w:val="24"/>
          <w:lang w:eastAsia="pl-PL"/>
        </w:rPr>
        <w:t xml:space="preserve">) oraz rozporządzeniem Rady Ministrów z dnia 10 września 2019 </w:t>
      </w:r>
      <w:r w:rsidRPr="007F28C1">
        <w:rPr>
          <w:rFonts w:ascii="Times New Roman" w:eastAsia="Times New Roman" w:hAnsi="Times New Roman" w:cs="Times New Roman"/>
          <w:sz w:val="24"/>
          <w:szCs w:val="24"/>
          <w:lang w:eastAsia="pl-PL"/>
        </w:rPr>
        <w:t xml:space="preserve">r. </w:t>
      </w:r>
      <w:r w:rsidR="00BD09D9" w:rsidRPr="007F28C1">
        <w:rPr>
          <w:rFonts w:ascii="Times New Roman" w:eastAsia="Times New Roman" w:hAnsi="Times New Roman" w:cs="Times New Roman"/>
          <w:iCs/>
          <w:sz w:val="24"/>
          <w:szCs w:val="24"/>
          <w:lang w:eastAsia="pl-PL"/>
        </w:rPr>
        <w:t>w sprawie przedsięwzięć mogących znacząco oddziaływać na środowisko</w:t>
      </w:r>
      <w:r w:rsidR="00BD09D9" w:rsidRPr="007F28C1">
        <w:rPr>
          <w:rFonts w:ascii="Times New Roman" w:eastAsia="Times New Roman" w:hAnsi="Times New Roman" w:cs="Times New Roman"/>
          <w:sz w:val="24"/>
          <w:szCs w:val="24"/>
          <w:lang w:eastAsia="pl-PL"/>
        </w:rPr>
        <w:t xml:space="preserve"> (Dz.</w:t>
      </w:r>
      <w:r w:rsidR="00B939FA" w:rsidRPr="007F28C1">
        <w:rPr>
          <w:rFonts w:ascii="Times New Roman" w:eastAsia="Times New Roman" w:hAnsi="Times New Roman" w:cs="Times New Roman"/>
          <w:sz w:val="24"/>
          <w:szCs w:val="24"/>
          <w:lang w:eastAsia="pl-PL"/>
        </w:rPr>
        <w:t xml:space="preserve"> </w:t>
      </w:r>
      <w:r w:rsidR="00BD09D9" w:rsidRPr="007F28C1">
        <w:rPr>
          <w:rFonts w:ascii="Times New Roman" w:eastAsia="Times New Roman" w:hAnsi="Times New Roman" w:cs="Times New Roman"/>
          <w:sz w:val="24"/>
          <w:szCs w:val="24"/>
          <w:lang w:eastAsia="pl-PL"/>
        </w:rPr>
        <w:t>U. poz. 1839</w:t>
      </w:r>
      <w:r w:rsidR="001F042A" w:rsidRPr="007F28C1">
        <w:rPr>
          <w:rFonts w:ascii="Times New Roman" w:eastAsia="Times New Roman" w:hAnsi="Times New Roman" w:cs="Times New Roman"/>
          <w:sz w:val="24"/>
          <w:szCs w:val="24"/>
          <w:lang w:eastAsia="pl-PL"/>
        </w:rPr>
        <w:t>, z</w:t>
      </w:r>
      <w:r w:rsidR="00705A7E" w:rsidRPr="007F28C1">
        <w:rPr>
          <w:rFonts w:ascii="Times New Roman" w:eastAsia="Times New Roman" w:hAnsi="Times New Roman" w:cs="Times New Roman"/>
          <w:sz w:val="24"/>
          <w:szCs w:val="24"/>
          <w:lang w:eastAsia="pl-PL"/>
        </w:rPr>
        <w:t> </w:t>
      </w:r>
      <w:r w:rsidR="001F042A" w:rsidRPr="007F28C1">
        <w:rPr>
          <w:rFonts w:ascii="Times New Roman" w:eastAsia="Times New Roman" w:hAnsi="Times New Roman" w:cs="Times New Roman"/>
          <w:sz w:val="24"/>
          <w:szCs w:val="24"/>
          <w:lang w:eastAsia="pl-PL"/>
        </w:rPr>
        <w:t>późn. zm.</w:t>
      </w:r>
      <w:r w:rsidR="00BD09D9" w:rsidRPr="007F28C1">
        <w:rPr>
          <w:rFonts w:ascii="Times New Roman" w:eastAsia="Times New Roman" w:hAnsi="Times New Roman" w:cs="Times New Roman"/>
          <w:sz w:val="24"/>
          <w:szCs w:val="24"/>
          <w:lang w:eastAsia="pl-PL"/>
        </w:rPr>
        <w:t>), działalność ta, na</w:t>
      </w:r>
      <w:r w:rsidR="00621E21" w:rsidRPr="007F28C1">
        <w:rPr>
          <w:rFonts w:ascii="Times New Roman" w:eastAsia="Times New Roman" w:hAnsi="Times New Roman" w:cs="Times New Roman"/>
          <w:sz w:val="24"/>
          <w:szCs w:val="24"/>
          <w:lang w:eastAsia="pl-PL"/>
        </w:rPr>
        <w:t> </w:t>
      </w:r>
      <w:r w:rsidR="00BD09D9" w:rsidRPr="007F28C1">
        <w:rPr>
          <w:rFonts w:ascii="Times New Roman" w:eastAsia="Times New Roman" w:hAnsi="Times New Roman" w:cs="Times New Roman"/>
          <w:sz w:val="24"/>
          <w:szCs w:val="24"/>
          <w:lang w:eastAsia="pl-PL"/>
        </w:rPr>
        <w:t xml:space="preserve">obszarach morskich Rzeczypospolitej Polskiej, wykonywana metodą otworów wiertniczych o głębokości większej niż 100 m lub połączona z pilotażowym podziemnym zatłaczaniem dwutlenku węgla, będzie zaliczona do przedsięwzięć mogących potencjalnie znacząco oddziaływać na środowisko. Decyzja środowiskowa </w:t>
      </w:r>
      <w:r w:rsidR="004934BC" w:rsidRPr="007F28C1">
        <w:rPr>
          <w:rFonts w:ascii="Times New Roman" w:eastAsia="Times New Roman" w:hAnsi="Times New Roman" w:cs="Times New Roman"/>
          <w:sz w:val="24"/>
          <w:szCs w:val="24"/>
          <w:lang w:eastAsia="pl-PL"/>
        </w:rPr>
        <w:t xml:space="preserve">będzie </w:t>
      </w:r>
      <w:r w:rsidR="00BD09D9" w:rsidRPr="007F28C1">
        <w:rPr>
          <w:rFonts w:ascii="Times New Roman" w:eastAsia="Times New Roman" w:hAnsi="Times New Roman" w:cs="Times New Roman"/>
          <w:sz w:val="24"/>
          <w:szCs w:val="24"/>
          <w:lang w:eastAsia="pl-PL"/>
        </w:rPr>
        <w:t>zatem wymagana przed uzyskaniem decyzji zatwierdzającej projekt robót geologicznych.</w:t>
      </w:r>
      <w:r w:rsidR="00042D3C" w:rsidRPr="007F28C1">
        <w:rPr>
          <w:rFonts w:ascii="Times New Roman" w:eastAsia="Times New Roman" w:hAnsi="Times New Roman" w:cs="Times New Roman"/>
          <w:sz w:val="24"/>
          <w:szCs w:val="24"/>
          <w:lang w:eastAsia="pl-PL"/>
        </w:rPr>
        <w:t xml:space="preserve"> </w:t>
      </w:r>
      <w:r w:rsidR="00DA07DC" w:rsidRPr="007F28C1">
        <w:rPr>
          <w:rFonts w:ascii="Times New Roman" w:eastAsia="Times New Roman" w:hAnsi="Times New Roman" w:cs="Times New Roman"/>
          <w:sz w:val="24"/>
          <w:szCs w:val="24"/>
          <w:lang w:eastAsia="pl-PL"/>
        </w:rPr>
        <w:t>Podobnie jak dotychczas, podmiot, który w wyniku robót geologicznych rozpoznał kompleks podziemnego składowiska dwutlenku węgla, będzie zobowiązany do</w:t>
      </w:r>
      <w:r w:rsidR="00621E21" w:rsidRPr="007F28C1">
        <w:rPr>
          <w:rFonts w:ascii="Times New Roman" w:eastAsia="Times New Roman" w:hAnsi="Times New Roman" w:cs="Times New Roman"/>
          <w:sz w:val="24"/>
          <w:szCs w:val="24"/>
          <w:lang w:eastAsia="pl-PL"/>
        </w:rPr>
        <w:t> </w:t>
      </w:r>
      <w:r w:rsidR="00DA07DC" w:rsidRPr="007F28C1">
        <w:rPr>
          <w:rFonts w:ascii="Times New Roman" w:eastAsia="Times New Roman" w:hAnsi="Times New Roman" w:cs="Times New Roman"/>
          <w:sz w:val="24"/>
          <w:szCs w:val="24"/>
          <w:lang w:eastAsia="pl-PL"/>
        </w:rPr>
        <w:t>przedstawienia wyników robót geologicznych w dokumentacji hydrogeologicznej oraz w</w:t>
      </w:r>
      <w:r w:rsidR="00705A7E" w:rsidRPr="007F28C1">
        <w:rPr>
          <w:rFonts w:ascii="Times New Roman" w:eastAsia="Times New Roman" w:hAnsi="Times New Roman" w:cs="Times New Roman"/>
          <w:sz w:val="24"/>
          <w:szCs w:val="24"/>
          <w:lang w:eastAsia="pl-PL"/>
        </w:rPr>
        <w:t> </w:t>
      </w:r>
      <w:r w:rsidR="00DA07DC" w:rsidRPr="007F28C1">
        <w:rPr>
          <w:rFonts w:ascii="Times New Roman" w:eastAsia="Times New Roman" w:hAnsi="Times New Roman" w:cs="Times New Roman"/>
          <w:sz w:val="24"/>
          <w:szCs w:val="24"/>
          <w:lang w:eastAsia="pl-PL"/>
        </w:rPr>
        <w:t>dokumentacji geologiczno-inżynierskiej.</w:t>
      </w:r>
    </w:p>
    <w:p w14:paraId="56B19E2D" w14:textId="5888E632" w:rsidR="00395401" w:rsidRPr="007F28C1" w:rsidRDefault="00395401"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W konsekwencji rezygnacji w P</w:t>
      </w:r>
      <w:r w:rsidR="003A7D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A7D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A7D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z koncesji na poszukiwanie lub rozpoznawanie kompleksu podziemnego składowania dwutlenku węgla wprowadzono następujące zmiany </w:t>
      </w:r>
      <w:r w:rsidR="009A4AC2" w:rsidRPr="007F28C1">
        <w:rPr>
          <w:rFonts w:ascii="Times New Roman" w:eastAsia="Times New Roman" w:hAnsi="Times New Roman" w:cs="Times New Roman"/>
          <w:sz w:val="24"/>
          <w:szCs w:val="24"/>
          <w:lang w:eastAsia="pl-PL"/>
        </w:rPr>
        <w:t>wynikowe i</w:t>
      </w:r>
      <w:r w:rsidR="00705A7E" w:rsidRPr="007F28C1">
        <w:rPr>
          <w:rFonts w:ascii="Times New Roman" w:eastAsia="Times New Roman" w:hAnsi="Times New Roman" w:cs="Times New Roman"/>
          <w:sz w:val="24"/>
          <w:szCs w:val="24"/>
          <w:lang w:eastAsia="pl-PL"/>
        </w:rPr>
        <w:t> </w:t>
      </w:r>
      <w:r w:rsidR="00915C53" w:rsidRPr="007F28C1">
        <w:rPr>
          <w:rFonts w:ascii="Times New Roman" w:eastAsia="Times New Roman" w:hAnsi="Times New Roman" w:cs="Times New Roman"/>
          <w:sz w:val="24"/>
          <w:szCs w:val="24"/>
          <w:lang w:eastAsia="pl-PL"/>
        </w:rPr>
        <w:t>porządkujące w następujących przepisach</w:t>
      </w:r>
      <w:r w:rsidRPr="007F28C1">
        <w:rPr>
          <w:rFonts w:ascii="Times New Roman" w:eastAsia="Times New Roman" w:hAnsi="Times New Roman" w:cs="Times New Roman"/>
          <w:sz w:val="24"/>
          <w:szCs w:val="24"/>
          <w:lang w:eastAsia="pl-PL"/>
        </w:rPr>
        <w:t>:</w:t>
      </w:r>
    </w:p>
    <w:p w14:paraId="770DFDCF" w14:textId="478FB9C7" w:rsidR="00395401"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art. 23 ust. 2 pkt 1 P</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00771025" w:rsidRPr="007F28C1">
        <w:rPr>
          <w:rFonts w:ascii="Times New Roman" w:eastAsia="Times New Roman" w:hAnsi="Times New Roman" w:cs="Times New Roman"/>
          <w:sz w:val="24"/>
          <w:szCs w:val="24"/>
          <w:lang w:eastAsia="pl-PL"/>
        </w:rPr>
        <w:t>;</w:t>
      </w:r>
    </w:p>
    <w:p w14:paraId="6ECEE9C1" w14:textId="1EFB2FD9" w:rsidR="00395401"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art. 25 ust. 1 P</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771025" w:rsidRPr="007F28C1">
        <w:rPr>
          <w:rFonts w:ascii="Times New Roman" w:eastAsia="Times New Roman" w:hAnsi="Times New Roman" w:cs="Times New Roman"/>
          <w:sz w:val="24"/>
          <w:szCs w:val="24"/>
          <w:lang w:eastAsia="pl-PL"/>
        </w:rPr>
        <w:t>.;</w:t>
      </w:r>
    </w:p>
    <w:p w14:paraId="12EA7F30" w14:textId="07B25C83" w:rsidR="00395401"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art. 31 ust. 1 i 2 P</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771025" w:rsidRPr="007F28C1">
        <w:rPr>
          <w:rFonts w:ascii="Times New Roman" w:eastAsia="Times New Roman" w:hAnsi="Times New Roman" w:cs="Times New Roman"/>
          <w:sz w:val="24"/>
          <w:szCs w:val="24"/>
          <w:lang w:eastAsia="pl-PL"/>
        </w:rPr>
        <w:t>.;</w:t>
      </w:r>
    </w:p>
    <w:p w14:paraId="6B2292CA" w14:textId="1F2EBD2E" w:rsidR="008E019C"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 xml:space="preserve">art. 80 ust. 7 </w:t>
      </w:r>
      <w:r w:rsidR="008E019C" w:rsidRPr="007F28C1">
        <w:rPr>
          <w:rFonts w:ascii="Times New Roman" w:eastAsia="Times New Roman" w:hAnsi="Times New Roman" w:cs="Times New Roman"/>
          <w:sz w:val="24"/>
          <w:szCs w:val="24"/>
          <w:lang w:eastAsia="pl-PL"/>
        </w:rPr>
        <w:t>P</w:t>
      </w:r>
      <w:r w:rsidR="003D6728" w:rsidRPr="007F28C1">
        <w:rPr>
          <w:rFonts w:ascii="Times New Roman" w:eastAsia="Times New Roman" w:hAnsi="Times New Roman" w:cs="Times New Roman"/>
          <w:sz w:val="24"/>
          <w:szCs w:val="24"/>
          <w:lang w:eastAsia="pl-PL"/>
        </w:rPr>
        <w:t>.</w:t>
      </w:r>
      <w:r w:rsidR="008E019C"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008E019C"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00ED3DAA" w:rsidRPr="007F28C1">
        <w:rPr>
          <w:rFonts w:ascii="Times New Roman" w:eastAsia="Times New Roman" w:hAnsi="Times New Roman" w:cs="Times New Roman"/>
          <w:sz w:val="24"/>
          <w:szCs w:val="24"/>
          <w:lang w:eastAsia="pl-PL"/>
        </w:rPr>
        <w:t xml:space="preserve"> (dodan</w:t>
      </w:r>
      <w:r w:rsidR="004C591B" w:rsidRPr="007F28C1">
        <w:rPr>
          <w:rFonts w:ascii="Times New Roman" w:eastAsia="Times New Roman" w:hAnsi="Times New Roman" w:cs="Times New Roman"/>
          <w:sz w:val="24"/>
          <w:szCs w:val="24"/>
          <w:lang w:eastAsia="pl-PL"/>
        </w:rPr>
        <w:t>o</w:t>
      </w:r>
      <w:r w:rsidR="00ED3DAA" w:rsidRPr="007F28C1">
        <w:rPr>
          <w:rFonts w:ascii="Times New Roman" w:eastAsia="Times New Roman" w:hAnsi="Times New Roman" w:cs="Times New Roman"/>
          <w:sz w:val="24"/>
          <w:szCs w:val="24"/>
          <w:lang w:eastAsia="pl-PL"/>
        </w:rPr>
        <w:t xml:space="preserve"> pkt 4</w:t>
      </w:r>
      <w:r w:rsidR="00771025" w:rsidRPr="007F28C1">
        <w:rPr>
          <w:rFonts w:ascii="Times New Roman" w:eastAsia="Times New Roman" w:hAnsi="Times New Roman" w:cs="Times New Roman"/>
          <w:sz w:val="24"/>
          <w:szCs w:val="24"/>
          <w:lang w:eastAsia="pl-PL"/>
        </w:rPr>
        <w:t>);</w:t>
      </w:r>
    </w:p>
    <w:p w14:paraId="112B4654" w14:textId="598AA548" w:rsidR="004934BC"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art. 81 ust. 1</w:t>
      </w:r>
      <w:r w:rsidR="00CB622E" w:rsidRPr="007F28C1">
        <w:rPr>
          <w:rFonts w:ascii="Times New Roman" w:eastAsia="Times New Roman" w:hAnsi="Times New Roman" w:cs="Times New Roman"/>
          <w:sz w:val="24"/>
          <w:szCs w:val="24"/>
          <w:lang w:eastAsia="pl-PL"/>
        </w:rPr>
        <w:t xml:space="preserve"> P.g.g</w:t>
      </w:r>
      <w:r w:rsidR="00771025" w:rsidRPr="007F28C1">
        <w:rPr>
          <w:rFonts w:ascii="Times New Roman" w:eastAsia="Times New Roman" w:hAnsi="Times New Roman" w:cs="Times New Roman"/>
          <w:sz w:val="24"/>
          <w:szCs w:val="24"/>
          <w:lang w:eastAsia="pl-PL"/>
        </w:rPr>
        <w:t xml:space="preserve">.; </w:t>
      </w:r>
    </w:p>
    <w:p w14:paraId="5E2502D2" w14:textId="36F39FF0" w:rsidR="004934BC"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 xml:space="preserve">art. 82 ust. 1 </w:t>
      </w:r>
      <w:r w:rsidR="00CB622E" w:rsidRPr="007F28C1">
        <w:rPr>
          <w:rFonts w:ascii="Times New Roman" w:eastAsia="Times New Roman" w:hAnsi="Times New Roman" w:cs="Times New Roman"/>
          <w:sz w:val="24"/>
          <w:szCs w:val="24"/>
          <w:lang w:eastAsia="pl-PL"/>
        </w:rPr>
        <w:t>P.g.g.</w:t>
      </w:r>
      <w:r w:rsidR="00ED3DAA" w:rsidRPr="007F28C1">
        <w:rPr>
          <w:rFonts w:ascii="Times New Roman" w:eastAsia="Times New Roman" w:hAnsi="Times New Roman" w:cs="Times New Roman"/>
          <w:sz w:val="24"/>
          <w:szCs w:val="24"/>
          <w:lang w:eastAsia="pl-PL"/>
        </w:rPr>
        <w:t xml:space="preserve"> (uchyl</w:t>
      </w:r>
      <w:r w:rsidR="004C591B" w:rsidRPr="007F28C1">
        <w:rPr>
          <w:rFonts w:ascii="Times New Roman" w:eastAsia="Times New Roman" w:hAnsi="Times New Roman" w:cs="Times New Roman"/>
          <w:sz w:val="24"/>
          <w:szCs w:val="24"/>
          <w:lang w:eastAsia="pl-PL"/>
        </w:rPr>
        <w:t>o</w:t>
      </w:r>
      <w:r w:rsidR="00ED3DAA" w:rsidRPr="007F28C1">
        <w:rPr>
          <w:rFonts w:ascii="Times New Roman" w:eastAsia="Times New Roman" w:hAnsi="Times New Roman" w:cs="Times New Roman"/>
          <w:sz w:val="24"/>
          <w:szCs w:val="24"/>
          <w:lang w:eastAsia="pl-PL"/>
        </w:rPr>
        <w:t>n</w:t>
      </w:r>
      <w:r w:rsidR="004C591B" w:rsidRPr="007F28C1">
        <w:rPr>
          <w:rFonts w:ascii="Times New Roman" w:eastAsia="Times New Roman" w:hAnsi="Times New Roman" w:cs="Times New Roman"/>
          <w:sz w:val="24"/>
          <w:szCs w:val="24"/>
          <w:lang w:eastAsia="pl-PL"/>
        </w:rPr>
        <w:t>o</w:t>
      </w:r>
      <w:r w:rsidR="00ED3DAA" w:rsidRPr="007F28C1">
        <w:rPr>
          <w:rFonts w:ascii="Times New Roman" w:eastAsia="Times New Roman" w:hAnsi="Times New Roman" w:cs="Times New Roman"/>
          <w:sz w:val="24"/>
          <w:szCs w:val="24"/>
          <w:lang w:eastAsia="pl-PL"/>
        </w:rPr>
        <w:t xml:space="preserve"> pkt 2)</w:t>
      </w:r>
      <w:r w:rsidR="0077102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p>
    <w:p w14:paraId="1F2B38CE" w14:textId="3B4B796D" w:rsidR="00395401"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art. 83 ust. 1 P</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3D6728" w:rsidRPr="007F28C1">
        <w:rPr>
          <w:rFonts w:ascii="Times New Roman" w:eastAsia="Times New Roman" w:hAnsi="Times New Roman" w:cs="Times New Roman"/>
          <w:sz w:val="24"/>
          <w:szCs w:val="24"/>
          <w:lang w:eastAsia="pl-PL"/>
        </w:rPr>
        <w:t>.</w:t>
      </w:r>
      <w:r w:rsidR="00771025" w:rsidRPr="007F28C1">
        <w:rPr>
          <w:rFonts w:ascii="Times New Roman" w:eastAsia="Times New Roman" w:hAnsi="Times New Roman" w:cs="Times New Roman"/>
          <w:sz w:val="24"/>
          <w:szCs w:val="24"/>
          <w:lang w:eastAsia="pl-PL"/>
        </w:rPr>
        <w:t>;</w:t>
      </w:r>
    </w:p>
    <w:p w14:paraId="5D54505D" w14:textId="597E3020" w:rsidR="002D06D0" w:rsidRPr="007F28C1" w:rsidRDefault="00395401"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art. 133</w:t>
      </w:r>
      <w:r w:rsidR="0071254F" w:rsidRPr="007F28C1">
        <w:rPr>
          <w:rFonts w:ascii="Times New Roman" w:eastAsia="Times New Roman" w:hAnsi="Times New Roman" w:cs="Times New Roman"/>
          <w:sz w:val="24"/>
          <w:szCs w:val="24"/>
          <w:lang w:eastAsia="pl-PL"/>
        </w:rPr>
        <w:t xml:space="preserve"> ust. 1</w:t>
      </w:r>
      <w:r w:rsidR="00ED3DAA" w:rsidRPr="007F28C1">
        <w:rPr>
          <w:rFonts w:ascii="Times New Roman" w:eastAsia="Times New Roman" w:hAnsi="Times New Roman" w:cs="Times New Roman"/>
          <w:sz w:val="24"/>
          <w:szCs w:val="24"/>
          <w:lang w:eastAsia="pl-PL"/>
        </w:rPr>
        <w:t xml:space="preserve"> P.g.g.</w:t>
      </w:r>
      <w:r w:rsidR="004934BC" w:rsidRPr="007F28C1">
        <w:rPr>
          <w:rFonts w:ascii="Times New Roman" w:eastAsia="Times New Roman" w:hAnsi="Times New Roman" w:cs="Times New Roman"/>
          <w:sz w:val="24"/>
          <w:szCs w:val="24"/>
          <w:lang w:eastAsia="pl-PL"/>
        </w:rPr>
        <w:t xml:space="preserve"> </w:t>
      </w:r>
      <w:r w:rsidR="00ED3DAA" w:rsidRPr="007F28C1">
        <w:rPr>
          <w:rFonts w:ascii="Times New Roman" w:eastAsia="Times New Roman" w:hAnsi="Times New Roman" w:cs="Times New Roman"/>
          <w:sz w:val="24"/>
          <w:szCs w:val="24"/>
          <w:lang w:eastAsia="pl-PL"/>
        </w:rPr>
        <w:t>(</w:t>
      </w:r>
      <w:r w:rsidR="004934BC" w:rsidRPr="007F28C1">
        <w:rPr>
          <w:rFonts w:ascii="Times New Roman" w:eastAsia="Times New Roman" w:hAnsi="Times New Roman" w:cs="Times New Roman"/>
          <w:sz w:val="24"/>
          <w:szCs w:val="24"/>
          <w:lang w:eastAsia="pl-PL"/>
        </w:rPr>
        <w:t>uchyl</w:t>
      </w:r>
      <w:r w:rsidR="004C591B" w:rsidRPr="007F28C1">
        <w:rPr>
          <w:rFonts w:ascii="Times New Roman" w:eastAsia="Times New Roman" w:hAnsi="Times New Roman" w:cs="Times New Roman"/>
          <w:sz w:val="24"/>
          <w:szCs w:val="24"/>
          <w:lang w:eastAsia="pl-PL"/>
        </w:rPr>
        <w:t>o</w:t>
      </w:r>
      <w:r w:rsidR="004934BC" w:rsidRPr="007F28C1">
        <w:rPr>
          <w:rFonts w:ascii="Times New Roman" w:eastAsia="Times New Roman" w:hAnsi="Times New Roman" w:cs="Times New Roman"/>
          <w:sz w:val="24"/>
          <w:szCs w:val="24"/>
          <w:lang w:eastAsia="pl-PL"/>
        </w:rPr>
        <w:t>n</w:t>
      </w:r>
      <w:r w:rsidR="004C591B" w:rsidRPr="007F28C1">
        <w:rPr>
          <w:rFonts w:ascii="Times New Roman" w:eastAsia="Times New Roman" w:hAnsi="Times New Roman" w:cs="Times New Roman"/>
          <w:sz w:val="24"/>
          <w:szCs w:val="24"/>
          <w:lang w:eastAsia="pl-PL"/>
        </w:rPr>
        <w:t>o</w:t>
      </w:r>
      <w:r w:rsidR="004934BC" w:rsidRPr="007F28C1">
        <w:rPr>
          <w:rFonts w:ascii="Times New Roman" w:eastAsia="Times New Roman" w:hAnsi="Times New Roman" w:cs="Times New Roman"/>
          <w:sz w:val="24"/>
          <w:szCs w:val="24"/>
          <w:lang w:eastAsia="pl-PL"/>
        </w:rPr>
        <w:t xml:space="preserve"> </w:t>
      </w:r>
      <w:r w:rsidR="0071254F" w:rsidRPr="007F28C1">
        <w:rPr>
          <w:rFonts w:ascii="Times New Roman" w:eastAsia="Times New Roman" w:hAnsi="Times New Roman" w:cs="Times New Roman"/>
          <w:sz w:val="24"/>
          <w:szCs w:val="24"/>
          <w:lang w:eastAsia="pl-PL"/>
        </w:rPr>
        <w:t>ust. 3a i 3b</w:t>
      </w:r>
      <w:r w:rsidR="00ED3DAA" w:rsidRPr="007F28C1">
        <w:rPr>
          <w:rFonts w:ascii="Times New Roman" w:eastAsia="Times New Roman" w:hAnsi="Times New Roman" w:cs="Times New Roman"/>
          <w:sz w:val="24"/>
          <w:szCs w:val="24"/>
          <w:lang w:eastAsia="pl-PL"/>
        </w:rPr>
        <w:t>)</w:t>
      </w:r>
      <w:r w:rsidR="00771025" w:rsidRPr="007F28C1">
        <w:rPr>
          <w:rFonts w:ascii="Times New Roman" w:eastAsia="Times New Roman" w:hAnsi="Times New Roman" w:cs="Times New Roman"/>
          <w:sz w:val="24"/>
          <w:szCs w:val="24"/>
          <w:lang w:eastAsia="pl-PL"/>
        </w:rPr>
        <w:t>;</w:t>
      </w:r>
    </w:p>
    <w:p w14:paraId="6A18586F" w14:textId="4D3E5FC1" w:rsidR="004934BC" w:rsidRPr="007F28C1" w:rsidRDefault="002D06D0"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art. 136</w:t>
      </w:r>
      <w:r w:rsidR="003D6728" w:rsidRPr="007F28C1">
        <w:rPr>
          <w:rFonts w:ascii="Times New Roman" w:eastAsia="Times New Roman" w:hAnsi="Times New Roman" w:cs="Times New Roman"/>
          <w:sz w:val="24"/>
          <w:szCs w:val="24"/>
          <w:lang w:eastAsia="pl-PL"/>
        </w:rPr>
        <w:t xml:space="preserve"> ust. 1</w:t>
      </w:r>
      <w:r w:rsidR="00CB622E" w:rsidRPr="007F28C1">
        <w:rPr>
          <w:rFonts w:ascii="Times New Roman" w:eastAsia="Times New Roman" w:hAnsi="Times New Roman" w:cs="Times New Roman"/>
          <w:sz w:val="24"/>
          <w:szCs w:val="24"/>
          <w:lang w:eastAsia="pl-PL"/>
        </w:rPr>
        <w:t xml:space="preserve"> P.g.g.</w:t>
      </w:r>
      <w:r w:rsidR="00771025" w:rsidRPr="007F28C1">
        <w:rPr>
          <w:rFonts w:ascii="Times New Roman" w:eastAsia="Times New Roman" w:hAnsi="Times New Roman" w:cs="Times New Roman"/>
          <w:sz w:val="24"/>
          <w:szCs w:val="24"/>
          <w:lang w:eastAsia="pl-PL"/>
        </w:rPr>
        <w:t>;</w:t>
      </w:r>
    </w:p>
    <w:p w14:paraId="4B8574AC" w14:textId="6CEC516B" w:rsidR="004934BC" w:rsidRPr="007F28C1" w:rsidRDefault="002D06D0"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lastRenderedPageBreak/>
        <w:t>art. 139 ust. 4</w:t>
      </w:r>
      <w:r w:rsidR="00CB622E" w:rsidRPr="007F28C1">
        <w:rPr>
          <w:rFonts w:ascii="Times New Roman" w:eastAsia="Times New Roman" w:hAnsi="Times New Roman" w:cs="Times New Roman"/>
          <w:sz w:val="24"/>
          <w:szCs w:val="24"/>
          <w:lang w:eastAsia="pl-PL"/>
        </w:rPr>
        <w:t xml:space="preserve"> P.g.g.</w:t>
      </w:r>
      <w:r w:rsidR="0077102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p>
    <w:p w14:paraId="4FD9ABCC" w14:textId="40FC5BB3" w:rsidR="00395401" w:rsidRPr="007F28C1" w:rsidRDefault="003D6728"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uchyl</w:t>
      </w:r>
      <w:r w:rsidR="004C591B" w:rsidRPr="007F28C1">
        <w:rPr>
          <w:rFonts w:ascii="Times New Roman" w:eastAsia="Times New Roman" w:hAnsi="Times New Roman" w:cs="Times New Roman"/>
          <w:sz w:val="24"/>
          <w:szCs w:val="24"/>
          <w:lang w:eastAsia="pl-PL"/>
        </w:rPr>
        <w:t>o</w:t>
      </w:r>
      <w:r w:rsidRPr="007F28C1">
        <w:rPr>
          <w:rFonts w:ascii="Times New Roman" w:eastAsia="Times New Roman" w:hAnsi="Times New Roman" w:cs="Times New Roman"/>
          <w:sz w:val="24"/>
          <w:szCs w:val="24"/>
          <w:lang w:eastAsia="pl-PL"/>
        </w:rPr>
        <w:t>n</w:t>
      </w:r>
      <w:r w:rsidR="004C591B" w:rsidRPr="007F28C1">
        <w:rPr>
          <w:rFonts w:ascii="Times New Roman" w:eastAsia="Times New Roman" w:hAnsi="Times New Roman" w:cs="Times New Roman"/>
          <w:sz w:val="24"/>
          <w:szCs w:val="24"/>
          <w:lang w:eastAsia="pl-PL"/>
        </w:rPr>
        <w:t>o</w:t>
      </w:r>
      <w:r w:rsidRPr="007F28C1">
        <w:rPr>
          <w:rFonts w:ascii="Times New Roman" w:eastAsia="Times New Roman" w:hAnsi="Times New Roman" w:cs="Times New Roman"/>
          <w:sz w:val="24"/>
          <w:szCs w:val="24"/>
          <w:lang w:eastAsia="pl-PL"/>
        </w:rPr>
        <w:t xml:space="preserve"> art. 139 ust. 3 pkt 1a oraz </w:t>
      </w:r>
      <w:r w:rsidR="002D06D0" w:rsidRPr="007F28C1">
        <w:rPr>
          <w:rFonts w:ascii="Times New Roman" w:eastAsia="Times New Roman" w:hAnsi="Times New Roman" w:cs="Times New Roman"/>
          <w:sz w:val="24"/>
          <w:szCs w:val="24"/>
          <w:lang w:eastAsia="pl-PL"/>
        </w:rPr>
        <w:t>art. 140 ust. 2</w:t>
      </w:r>
      <w:r w:rsidRPr="007F28C1">
        <w:rPr>
          <w:rFonts w:ascii="Times New Roman" w:eastAsia="Times New Roman" w:hAnsi="Times New Roman" w:cs="Times New Roman"/>
          <w:sz w:val="24"/>
          <w:szCs w:val="24"/>
          <w:lang w:eastAsia="pl-PL"/>
        </w:rPr>
        <w:t xml:space="preserve"> pkt 1 lit. d i</w:t>
      </w:r>
      <w:r w:rsidR="00FA551A" w:rsidRPr="007F28C1">
        <w:rPr>
          <w:rFonts w:ascii="Times New Roman" w:eastAsia="Times New Roman" w:hAnsi="Times New Roman" w:cs="Times New Roman"/>
          <w:sz w:val="24"/>
          <w:szCs w:val="24"/>
          <w:lang w:eastAsia="pl-PL"/>
        </w:rPr>
        <w:t xml:space="preserve"> </w:t>
      </w:r>
      <w:r w:rsidR="002D06D0" w:rsidRPr="007F28C1">
        <w:rPr>
          <w:rFonts w:ascii="Times New Roman" w:eastAsia="Times New Roman" w:hAnsi="Times New Roman" w:cs="Times New Roman"/>
          <w:sz w:val="24"/>
          <w:szCs w:val="24"/>
          <w:lang w:eastAsia="pl-PL"/>
        </w:rPr>
        <w:t>ust. 3</w:t>
      </w:r>
      <w:r w:rsidRPr="007F28C1">
        <w:rPr>
          <w:rFonts w:ascii="Times New Roman" w:eastAsia="Times New Roman" w:hAnsi="Times New Roman" w:cs="Times New Roman"/>
          <w:sz w:val="24"/>
          <w:szCs w:val="24"/>
          <w:lang w:eastAsia="pl-PL"/>
        </w:rPr>
        <w:t xml:space="preserve"> pkt 1a</w:t>
      </w:r>
      <w:r w:rsidR="002D06D0" w:rsidRPr="007F28C1">
        <w:rPr>
          <w:rFonts w:ascii="Times New Roman" w:eastAsia="Times New Roman" w:hAnsi="Times New Roman" w:cs="Times New Roman"/>
          <w:sz w:val="24"/>
          <w:szCs w:val="24"/>
          <w:lang w:eastAsia="pl-PL"/>
        </w:rPr>
        <w:t xml:space="preserve"> P</w:t>
      </w:r>
      <w:r w:rsidRPr="007F28C1">
        <w:rPr>
          <w:rFonts w:ascii="Times New Roman" w:eastAsia="Times New Roman" w:hAnsi="Times New Roman" w:cs="Times New Roman"/>
          <w:sz w:val="24"/>
          <w:szCs w:val="24"/>
          <w:lang w:eastAsia="pl-PL"/>
        </w:rPr>
        <w:t>.</w:t>
      </w:r>
      <w:r w:rsidR="002D06D0"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w:t>
      </w:r>
      <w:r w:rsidR="002D06D0"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w:t>
      </w:r>
      <w:r w:rsidR="00771025" w:rsidRPr="007F28C1">
        <w:rPr>
          <w:rFonts w:ascii="Times New Roman" w:eastAsia="Times New Roman" w:hAnsi="Times New Roman" w:cs="Times New Roman"/>
          <w:sz w:val="24"/>
          <w:szCs w:val="24"/>
          <w:lang w:eastAsia="pl-PL"/>
        </w:rPr>
        <w:t>;</w:t>
      </w:r>
    </w:p>
    <w:p w14:paraId="5C0DFFEF" w14:textId="16F3F1FF" w:rsidR="00B3210D" w:rsidRPr="007F28C1" w:rsidRDefault="00B23CA6" w:rsidP="007F28C1">
      <w:pPr>
        <w:pStyle w:val="Akapitzlist"/>
        <w:numPr>
          <w:ilvl w:val="0"/>
          <w:numId w:val="7"/>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zmieniono </w:t>
      </w:r>
      <w:r w:rsidR="004B1EE0" w:rsidRPr="007F28C1">
        <w:rPr>
          <w:rFonts w:ascii="Times New Roman" w:eastAsia="Times New Roman" w:hAnsi="Times New Roman" w:cs="Times New Roman"/>
          <w:sz w:val="24"/>
          <w:szCs w:val="24"/>
          <w:lang w:eastAsia="pl-PL"/>
        </w:rPr>
        <w:t>art. 21 ust. 2 pkt 34</w:t>
      </w:r>
      <w:r w:rsidRPr="007F28C1">
        <w:rPr>
          <w:rFonts w:ascii="Times New Roman" w:eastAsia="Times New Roman" w:hAnsi="Times New Roman" w:cs="Times New Roman"/>
          <w:sz w:val="24"/>
          <w:szCs w:val="24"/>
          <w:lang w:eastAsia="pl-PL"/>
        </w:rPr>
        <w:t xml:space="preserve"> oraz dodano w</w:t>
      </w:r>
      <w:r w:rsidR="004B1EE0" w:rsidRPr="007F28C1">
        <w:rPr>
          <w:rFonts w:ascii="Times New Roman" w:eastAsia="Times New Roman" w:hAnsi="Times New Roman" w:cs="Times New Roman"/>
          <w:sz w:val="24"/>
          <w:szCs w:val="24"/>
          <w:lang w:eastAsia="pl-PL"/>
        </w:rPr>
        <w:t xml:space="preserve"> </w:t>
      </w:r>
      <w:r w:rsidR="00B3210D" w:rsidRPr="007F28C1">
        <w:rPr>
          <w:rFonts w:ascii="Times New Roman" w:eastAsia="Times New Roman" w:hAnsi="Times New Roman" w:cs="Times New Roman"/>
          <w:sz w:val="24"/>
          <w:szCs w:val="24"/>
          <w:lang w:eastAsia="pl-PL"/>
        </w:rPr>
        <w:t xml:space="preserve">art. 72 </w:t>
      </w:r>
      <w:r w:rsidRPr="007F28C1">
        <w:rPr>
          <w:rFonts w:ascii="Times New Roman" w:eastAsia="Times New Roman" w:hAnsi="Times New Roman" w:cs="Times New Roman"/>
          <w:sz w:val="24"/>
          <w:szCs w:val="24"/>
          <w:lang w:eastAsia="pl-PL"/>
        </w:rPr>
        <w:t xml:space="preserve">w </w:t>
      </w:r>
      <w:r w:rsidR="00B3210D" w:rsidRPr="007F28C1">
        <w:rPr>
          <w:rFonts w:ascii="Times New Roman" w:eastAsia="Times New Roman" w:hAnsi="Times New Roman" w:cs="Times New Roman"/>
          <w:sz w:val="24"/>
          <w:szCs w:val="24"/>
          <w:lang w:eastAsia="pl-PL"/>
        </w:rPr>
        <w:t>ust. 1 pkt 4</w:t>
      </w:r>
      <w:r w:rsidRPr="007F28C1">
        <w:rPr>
          <w:rFonts w:ascii="Times New Roman" w:eastAsia="Times New Roman" w:hAnsi="Times New Roman" w:cs="Times New Roman"/>
          <w:sz w:val="24"/>
          <w:szCs w:val="24"/>
          <w:lang w:eastAsia="pl-PL"/>
        </w:rPr>
        <w:t xml:space="preserve">c </w:t>
      </w:r>
      <w:r w:rsidR="00B3210D" w:rsidRPr="007F28C1">
        <w:rPr>
          <w:rFonts w:ascii="Times New Roman" w:eastAsia="Times New Roman" w:hAnsi="Times New Roman" w:cs="Times New Roman"/>
          <w:sz w:val="24"/>
          <w:szCs w:val="24"/>
          <w:lang w:eastAsia="pl-PL"/>
        </w:rPr>
        <w:t xml:space="preserve">ustawy </w:t>
      </w:r>
      <w:r w:rsidR="00653F3D" w:rsidRPr="007F28C1">
        <w:rPr>
          <w:rFonts w:ascii="Times New Roman" w:eastAsia="Times New Roman" w:hAnsi="Times New Roman" w:cs="Times New Roman"/>
          <w:sz w:val="24"/>
          <w:szCs w:val="24"/>
          <w:lang w:eastAsia="pl-PL"/>
        </w:rPr>
        <w:t xml:space="preserve">z dnia 3 października 2008 r. o </w:t>
      </w:r>
      <w:r w:rsidR="00B3210D" w:rsidRPr="007F28C1">
        <w:rPr>
          <w:rFonts w:ascii="Times New Roman" w:eastAsia="Times New Roman" w:hAnsi="Times New Roman" w:cs="Times New Roman"/>
          <w:sz w:val="24"/>
          <w:szCs w:val="24"/>
          <w:lang w:eastAsia="pl-PL"/>
        </w:rPr>
        <w:t xml:space="preserve">udostępnianiu informacji o środowisku </w:t>
      </w:r>
      <w:r w:rsidR="0013042D" w:rsidRPr="007F28C1">
        <w:rPr>
          <w:rFonts w:ascii="Times New Roman" w:eastAsia="Times New Roman" w:hAnsi="Times New Roman" w:cs="Times New Roman"/>
          <w:sz w:val="24"/>
          <w:szCs w:val="24"/>
          <w:lang w:eastAsia="pl-PL"/>
        </w:rPr>
        <w:t>i jego ochronie</w:t>
      </w:r>
      <w:r w:rsidR="00C60B77" w:rsidRPr="007F28C1">
        <w:rPr>
          <w:rFonts w:ascii="Times New Roman" w:eastAsia="Times New Roman" w:hAnsi="Times New Roman" w:cs="Times New Roman"/>
          <w:sz w:val="24"/>
          <w:szCs w:val="24"/>
          <w:lang w:eastAsia="pl-PL"/>
        </w:rPr>
        <w:t>, udziale społeczeństwa w</w:t>
      </w:r>
      <w:r w:rsidR="00705A7E" w:rsidRPr="007F28C1">
        <w:rPr>
          <w:rFonts w:ascii="Times New Roman" w:eastAsia="Times New Roman" w:hAnsi="Times New Roman" w:cs="Times New Roman"/>
          <w:sz w:val="24"/>
          <w:szCs w:val="24"/>
          <w:lang w:eastAsia="pl-PL"/>
        </w:rPr>
        <w:t> </w:t>
      </w:r>
      <w:r w:rsidR="00C60B77" w:rsidRPr="007F28C1">
        <w:rPr>
          <w:rFonts w:ascii="Times New Roman" w:eastAsia="Times New Roman" w:hAnsi="Times New Roman" w:cs="Times New Roman"/>
          <w:sz w:val="24"/>
          <w:szCs w:val="24"/>
          <w:lang w:eastAsia="pl-PL"/>
        </w:rPr>
        <w:t>ochronie środowiska oraz ocenach oddziaływania na środowisko.</w:t>
      </w:r>
    </w:p>
    <w:p w14:paraId="0B6337BB" w14:textId="1F810150" w:rsidR="00BD09D9" w:rsidRPr="007F28C1" w:rsidRDefault="005A0E9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Ponadto w</w:t>
      </w:r>
      <w:r w:rsidR="00BD09D9" w:rsidRPr="007F28C1">
        <w:rPr>
          <w:rFonts w:ascii="Times New Roman" w:eastAsia="Times New Roman" w:hAnsi="Times New Roman" w:cs="Times New Roman"/>
          <w:sz w:val="24"/>
          <w:szCs w:val="24"/>
          <w:lang w:eastAsia="pl-PL"/>
        </w:rPr>
        <w:t xml:space="preserve"> związku z rezygnacją w P</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 xml:space="preserve"> z koncesji na poszukiwanie lub rozpoznawanie kompleksu podziemnego składowania dwutlenku węgla w art. 15 w ust. 1 </w:t>
      </w:r>
      <w:r w:rsidR="004934BC" w:rsidRPr="007F28C1">
        <w:rPr>
          <w:rFonts w:ascii="Times New Roman" w:eastAsia="Times New Roman" w:hAnsi="Times New Roman" w:cs="Times New Roman"/>
          <w:sz w:val="24"/>
          <w:szCs w:val="24"/>
          <w:lang w:eastAsia="pl-PL"/>
        </w:rPr>
        <w:t xml:space="preserve">uchylono </w:t>
      </w:r>
      <w:r w:rsidR="00BD09D9" w:rsidRPr="007F28C1">
        <w:rPr>
          <w:rFonts w:ascii="Times New Roman" w:eastAsia="Times New Roman" w:hAnsi="Times New Roman" w:cs="Times New Roman"/>
          <w:sz w:val="24"/>
          <w:szCs w:val="24"/>
          <w:lang w:eastAsia="pl-PL"/>
        </w:rPr>
        <w:t>pkt 1 P</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5F5A29" w:rsidRPr="007F28C1">
        <w:rPr>
          <w:rFonts w:ascii="Times New Roman" w:eastAsia="Times New Roman" w:hAnsi="Times New Roman" w:cs="Times New Roman"/>
          <w:bCs/>
          <w:sz w:val="24"/>
          <w:szCs w:val="24"/>
          <w:lang w:eastAsia="pl-PL"/>
        </w:rPr>
        <w:t xml:space="preserve"> </w:t>
      </w:r>
      <w:r w:rsidR="005F5A29" w:rsidRPr="007F28C1">
        <w:rPr>
          <w:rFonts w:ascii="Times New Roman" w:eastAsia="Times New Roman" w:hAnsi="Times New Roman" w:cs="Times New Roman"/>
          <w:sz w:val="24"/>
          <w:szCs w:val="24"/>
          <w:lang w:eastAsia="pl-PL"/>
        </w:rPr>
        <w:t>(oraz zmieniono art. 15 ust. 2 P</w:t>
      </w:r>
      <w:r w:rsidR="00C92164" w:rsidRPr="007F28C1">
        <w:rPr>
          <w:rFonts w:ascii="Times New Roman" w:eastAsia="Times New Roman" w:hAnsi="Times New Roman" w:cs="Times New Roman"/>
          <w:sz w:val="24"/>
          <w:szCs w:val="24"/>
          <w:lang w:eastAsia="pl-PL"/>
        </w:rPr>
        <w:t>.</w:t>
      </w:r>
      <w:r w:rsidR="005F5A2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5F5A2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5F5A29"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 zgodnie z którym ten, kto rozpoznał kompleks podziemnego składowania dwutlenku węgla i udokumentował go w stopniu umożliwiającym sporządzenie planu zagospodarowania podziemnego składowiska dwutlenku węgla oraz uzyskał decyzję zatwierdzającą dokumentację geologiczną tego kompleksu</w:t>
      </w:r>
      <w:r w:rsidR="001E6536">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 xml:space="preserve"> był uprawniony</w:t>
      </w:r>
      <w:r w:rsidR="004465C2" w:rsidRPr="007F28C1">
        <w:rPr>
          <w:rFonts w:ascii="Times New Roman" w:eastAsia="Times New Roman" w:hAnsi="Times New Roman" w:cs="Times New Roman"/>
          <w:sz w:val="24"/>
          <w:szCs w:val="24"/>
          <w:lang w:eastAsia="pl-PL"/>
        </w:rPr>
        <w:t xml:space="preserve"> w </w:t>
      </w:r>
      <w:r w:rsidR="00771025" w:rsidRPr="007F28C1">
        <w:rPr>
          <w:rFonts w:ascii="Times New Roman" w:eastAsia="Times New Roman" w:hAnsi="Times New Roman" w:cs="Times New Roman"/>
          <w:sz w:val="24"/>
          <w:szCs w:val="24"/>
          <w:lang w:eastAsia="pl-PL"/>
        </w:rPr>
        <w:t xml:space="preserve">okresie </w:t>
      </w:r>
      <w:r w:rsidR="004465C2" w:rsidRPr="007F28C1">
        <w:rPr>
          <w:rFonts w:ascii="Times New Roman" w:eastAsia="Times New Roman" w:hAnsi="Times New Roman" w:cs="Times New Roman"/>
          <w:sz w:val="24"/>
          <w:szCs w:val="24"/>
          <w:lang w:eastAsia="pl-PL"/>
        </w:rPr>
        <w:t>3 lat od dnia doręczenia decyzji zatwierdzającej dokumentację geologiczną dotyczącą kompleksu podziemnego składowania dwutlenku węgla</w:t>
      </w:r>
      <w:r w:rsidR="00BD09D9" w:rsidRPr="007F28C1">
        <w:rPr>
          <w:rFonts w:ascii="Times New Roman" w:eastAsia="Times New Roman" w:hAnsi="Times New Roman" w:cs="Times New Roman"/>
          <w:sz w:val="24"/>
          <w:szCs w:val="24"/>
          <w:lang w:eastAsia="pl-PL"/>
        </w:rPr>
        <w:t xml:space="preserve"> do wnioskowania o ustanowienie na jego rzecz użytkowania górniczego z pierwszeństwem przed innymi.</w:t>
      </w:r>
      <w:r w:rsidR="005F5A29" w:rsidRPr="007F28C1">
        <w:rPr>
          <w:rFonts w:ascii="Times New Roman" w:eastAsia="Times New Roman" w:hAnsi="Times New Roman" w:cs="Times New Roman"/>
          <w:sz w:val="24"/>
          <w:szCs w:val="24"/>
          <w:lang w:eastAsia="pl-PL"/>
        </w:rPr>
        <w:t xml:space="preserve"> </w:t>
      </w:r>
    </w:p>
    <w:p w14:paraId="7ED6133C" w14:textId="191E32DF" w:rsidR="004E610C" w:rsidRPr="007F28C1" w:rsidRDefault="00BD09D9"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Jednocześnie</w:t>
      </w:r>
      <w:r w:rsidR="0077102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mając na względzie nakłady ponoszone przez inwestorów na roboty geologiczne związane z poszukiwaniem i rozpoznawaniem kompleksu podziemnego składowania dwutlenku węgla, w</w:t>
      </w:r>
      <w:r w:rsidR="00C92164" w:rsidRPr="007F28C1">
        <w:rPr>
          <w:rFonts w:ascii="Times New Roman" w:eastAsia="Times New Roman" w:hAnsi="Times New Roman" w:cs="Times New Roman"/>
          <w:sz w:val="24"/>
          <w:szCs w:val="24"/>
          <w:lang w:eastAsia="pl-PL"/>
        </w:rPr>
        <w:t>prowadzono</w:t>
      </w:r>
      <w:r w:rsidRPr="007F28C1">
        <w:rPr>
          <w:rFonts w:ascii="Times New Roman" w:eastAsia="Times New Roman" w:hAnsi="Times New Roman" w:cs="Times New Roman"/>
          <w:sz w:val="24"/>
          <w:szCs w:val="24"/>
          <w:lang w:eastAsia="pl-PL"/>
        </w:rPr>
        <w:t xml:space="preserve"> art. 21a P</w:t>
      </w:r>
      <w:r w:rsidR="00C9216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19251E">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r w:rsidR="00C92164" w:rsidRPr="007F28C1">
        <w:rPr>
          <w:rFonts w:ascii="Times New Roman" w:eastAsia="Times New Roman" w:hAnsi="Times New Roman" w:cs="Times New Roman"/>
          <w:sz w:val="24"/>
          <w:szCs w:val="24"/>
          <w:lang w:eastAsia="pl-PL"/>
        </w:rPr>
        <w:t xml:space="preserve">uznając </w:t>
      </w:r>
      <w:r w:rsidR="004E610C" w:rsidRPr="007F28C1">
        <w:rPr>
          <w:rFonts w:ascii="Times New Roman" w:eastAsia="Times New Roman" w:hAnsi="Times New Roman" w:cs="Times New Roman"/>
          <w:sz w:val="24"/>
          <w:szCs w:val="24"/>
          <w:lang w:eastAsia="pl-PL"/>
        </w:rPr>
        <w:t>za pożądane, aby przedsiębiorcy ci</w:t>
      </w:r>
      <w:r w:rsidRPr="007F28C1">
        <w:rPr>
          <w:rFonts w:ascii="Times New Roman" w:eastAsia="Times New Roman" w:hAnsi="Times New Roman" w:cs="Times New Roman"/>
          <w:sz w:val="24"/>
          <w:szCs w:val="24"/>
          <w:lang w:eastAsia="pl-PL"/>
        </w:rPr>
        <w:t xml:space="preserve">, zamiast prawa pierwszeństwa do użytkowania górniczego, </w:t>
      </w:r>
      <w:r w:rsidR="004E610C" w:rsidRPr="007F28C1">
        <w:rPr>
          <w:rFonts w:ascii="Times New Roman" w:eastAsia="Times New Roman" w:hAnsi="Times New Roman" w:cs="Times New Roman"/>
          <w:sz w:val="24"/>
          <w:szCs w:val="24"/>
          <w:lang w:eastAsia="pl-PL"/>
        </w:rPr>
        <w:t xml:space="preserve">mieli </w:t>
      </w:r>
      <w:r w:rsidRPr="007F28C1">
        <w:rPr>
          <w:rFonts w:ascii="Times New Roman" w:eastAsia="Times New Roman" w:hAnsi="Times New Roman" w:cs="Times New Roman"/>
          <w:sz w:val="24"/>
          <w:szCs w:val="24"/>
          <w:lang w:eastAsia="pl-PL"/>
        </w:rPr>
        <w:t>wyłączne prawo do złożenia wniosku o udzielenie koncesji na</w:t>
      </w:r>
      <w:r w:rsidR="00FC29C8"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podziemne składowanie dwutlenku węgla</w:t>
      </w:r>
      <w:r w:rsidR="00290054" w:rsidRPr="007F28C1">
        <w:rPr>
          <w:rFonts w:ascii="Times New Roman" w:eastAsia="Times New Roman" w:hAnsi="Times New Roman" w:cs="Times New Roman"/>
          <w:sz w:val="24"/>
          <w:szCs w:val="24"/>
          <w:lang w:eastAsia="pl-PL"/>
        </w:rPr>
        <w:t>. Prawo wyłączności do</w:t>
      </w:r>
      <w:r w:rsidR="00042D3C" w:rsidRPr="007F28C1">
        <w:rPr>
          <w:rFonts w:ascii="Times New Roman" w:eastAsia="Times New Roman" w:hAnsi="Times New Roman" w:cs="Times New Roman"/>
          <w:sz w:val="24"/>
          <w:szCs w:val="24"/>
          <w:lang w:eastAsia="pl-PL"/>
        </w:rPr>
        <w:t> </w:t>
      </w:r>
      <w:r w:rsidR="00290054" w:rsidRPr="007F28C1">
        <w:rPr>
          <w:rFonts w:ascii="Times New Roman" w:eastAsia="Times New Roman" w:hAnsi="Times New Roman" w:cs="Times New Roman"/>
          <w:sz w:val="24"/>
          <w:szCs w:val="24"/>
          <w:lang w:eastAsia="pl-PL"/>
        </w:rPr>
        <w:t>złożenia wniosku zostało również zagwarantowane w przypadku, gdy podmiot posiadał koncesję na</w:t>
      </w:r>
      <w:r w:rsidR="00042D3C" w:rsidRPr="007F28C1">
        <w:rPr>
          <w:rFonts w:ascii="Times New Roman" w:eastAsia="Times New Roman" w:hAnsi="Times New Roman" w:cs="Times New Roman"/>
          <w:sz w:val="24"/>
          <w:szCs w:val="24"/>
          <w:lang w:eastAsia="pl-PL"/>
        </w:rPr>
        <w:t> </w:t>
      </w:r>
      <w:r w:rsidR="00290054" w:rsidRPr="007F28C1">
        <w:rPr>
          <w:rFonts w:ascii="Times New Roman" w:eastAsia="Times New Roman" w:hAnsi="Times New Roman" w:cs="Times New Roman"/>
          <w:sz w:val="24"/>
          <w:szCs w:val="24"/>
          <w:lang w:eastAsia="pl-PL"/>
        </w:rPr>
        <w:t>wydobywanie węglowodorów ze</w:t>
      </w:r>
      <w:r w:rsidR="00FC29C8" w:rsidRPr="007F28C1">
        <w:rPr>
          <w:rFonts w:ascii="Times New Roman" w:eastAsia="Times New Roman" w:hAnsi="Times New Roman" w:cs="Times New Roman"/>
          <w:sz w:val="24"/>
          <w:szCs w:val="24"/>
          <w:lang w:eastAsia="pl-PL"/>
        </w:rPr>
        <w:t> </w:t>
      </w:r>
      <w:r w:rsidR="00290054" w:rsidRPr="007F28C1">
        <w:rPr>
          <w:rFonts w:ascii="Times New Roman" w:eastAsia="Times New Roman" w:hAnsi="Times New Roman" w:cs="Times New Roman"/>
          <w:sz w:val="24"/>
          <w:szCs w:val="24"/>
          <w:lang w:eastAsia="pl-PL"/>
        </w:rPr>
        <w:t>złoża albo decyzję inwestycyjną, zakończył eksploatację złoża i</w:t>
      </w:r>
      <w:r w:rsidR="00042D3C" w:rsidRPr="007F28C1">
        <w:rPr>
          <w:rFonts w:ascii="Times New Roman" w:eastAsia="Times New Roman" w:hAnsi="Times New Roman" w:cs="Times New Roman"/>
          <w:sz w:val="24"/>
          <w:szCs w:val="24"/>
          <w:lang w:eastAsia="pl-PL"/>
        </w:rPr>
        <w:t> </w:t>
      </w:r>
      <w:r w:rsidR="00290054" w:rsidRPr="007F28C1">
        <w:rPr>
          <w:rFonts w:ascii="Times New Roman" w:eastAsia="Times New Roman" w:hAnsi="Times New Roman" w:cs="Times New Roman"/>
          <w:sz w:val="24"/>
          <w:szCs w:val="24"/>
          <w:lang w:eastAsia="pl-PL"/>
        </w:rPr>
        <w:t xml:space="preserve">przewidział złoże </w:t>
      </w:r>
      <w:r w:rsidR="00E26A70" w:rsidRPr="007F28C1">
        <w:rPr>
          <w:rFonts w:ascii="Times New Roman" w:eastAsia="Times New Roman" w:hAnsi="Times New Roman" w:cs="Times New Roman"/>
          <w:sz w:val="24"/>
          <w:szCs w:val="24"/>
          <w:lang w:eastAsia="pl-PL"/>
        </w:rPr>
        <w:t>albo</w:t>
      </w:r>
      <w:r w:rsidR="00290054" w:rsidRPr="007F28C1">
        <w:rPr>
          <w:rFonts w:ascii="Times New Roman" w:eastAsia="Times New Roman" w:hAnsi="Times New Roman" w:cs="Times New Roman"/>
          <w:sz w:val="24"/>
          <w:szCs w:val="24"/>
          <w:lang w:eastAsia="pl-PL"/>
        </w:rPr>
        <w:t xml:space="preserve"> jego część do</w:t>
      </w:r>
      <w:r w:rsidR="00FC29C8" w:rsidRPr="007F28C1">
        <w:rPr>
          <w:rFonts w:ascii="Times New Roman" w:eastAsia="Times New Roman" w:hAnsi="Times New Roman" w:cs="Times New Roman"/>
          <w:sz w:val="24"/>
          <w:szCs w:val="24"/>
          <w:lang w:eastAsia="pl-PL"/>
        </w:rPr>
        <w:t> </w:t>
      </w:r>
      <w:r w:rsidR="00290054" w:rsidRPr="007F28C1">
        <w:rPr>
          <w:rFonts w:ascii="Times New Roman" w:eastAsia="Times New Roman" w:hAnsi="Times New Roman" w:cs="Times New Roman"/>
          <w:sz w:val="24"/>
          <w:szCs w:val="24"/>
          <w:lang w:eastAsia="pl-PL"/>
        </w:rPr>
        <w:t>podziemnego składowania dwutlenku węgla.</w:t>
      </w:r>
      <w:r w:rsidR="00DF5DF5" w:rsidRPr="007F28C1">
        <w:rPr>
          <w:rFonts w:ascii="Times New Roman" w:eastAsia="Times New Roman" w:hAnsi="Times New Roman" w:cs="Times New Roman"/>
          <w:sz w:val="24"/>
          <w:szCs w:val="24"/>
          <w:lang w:eastAsia="pl-PL"/>
        </w:rPr>
        <w:t xml:space="preserve"> Jeżeli w dodatku do dokumentacji geologiczno-inwestycyjnej złoża węglowodorów sporządzonej w związku z zakończeniem eksploatacji złoże lub jego część nie zostaną przewidziane do działalności CCS, podmiot nie będzie miał prawa do</w:t>
      </w:r>
      <w:r w:rsidR="00FC29C8" w:rsidRPr="007F28C1">
        <w:rPr>
          <w:rFonts w:ascii="Times New Roman" w:eastAsia="Times New Roman" w:hAnsi="Times New Roman" w:cs="Times New Roman"/>
          <w:sz w:val="24"/>
          <w:szCs w:val="24"/>
          <w:lang w:eastAsia="pl-PL"/>
        </w:rPr>
        <w:t> </w:t>
      </w:r>
      <w:r w:rsidR="00DF5DF5" w:rsidRPr="007F28C1">
        <w:rPr>
          <w:rFonts w:ascii="Times New Roman" w:eastAsia="Times New Roman" w:hAnsi="Times New Roman" w:cs="Times New Roman"/>
          <w:sz w:val="24"/>
          <w:szCs w:val="24"/>
          <w:lang w:eastAsia="pl-PL"/>
        </w:rPr>
        <w:t>wyłączności, a inny zainteresowany podmiot będzie mógł wystąpić o koncesję na podziemne składowanie dwutlenku węgla</w:t>
      </w:r>
      <w:r w:rsidR="004465C2" w:rsidRPr="007F28C1">
        <w:rPr>
          <w:rFonts w:ascii="Times New Roman" w:eastAsia="Times New Roman" w:hAnsi="Times New Roman" w:cs="Times New Roman"/>
          <w:sz w:val="24"/>
          <w:szCs w:val="24"/>
          <w:lang w:eastAsia="pl-PL"/>
        </w:rPr>
        <w:t xml:space="preserve"> w tej przestrzeni</w:t>
      </w:r>
      <w:r w:rsidR="00DF5DF5" w:rsidRPr="007F28C1">
        <w:rPr>
          <w:rFonts w:ascii="Times New Roman" w:eastAsia="Times New Roman" w:hAnsi="Times New Roman" w:cs="Times New Roman"/>
          <w:sz w:val="24"/>
          <w:szCs w:val="24"/>
          <w:lang w:eastAsia="pl-PL"/>
        </w:rPr>
        <w:t>.</w:t>
      </w:r>
      <w:r w:rsidR="004E610C" w:rsidRPr="007F28C1">
        <w:rPr>
          <w:rFonts w:ascii="Times New Roman" w:eastAsia="Times New Roman" w:hAnsi="Times New Roman" w:cs="Times New Roman"/>
          <w:sz w:val="24"/>
          <w:szCs w:val="24"/>
          <w:lang w:eastAsia="pl-PL"/>
        </w:rPr>
        <w:t xml:space="preserve"> </w:t>
      </w:r>
    </w:p>
    <w:p w14:paraId="7351371C" w14:textId="12FBD0FB" w:rsidR="004E610C" w:rsidRPr="007F28C1" w:rsidRDefault="004E610C" w:rsidP="007F28C1">
      <w:pPr>
        <w:autoSpaceDE w:val="0"/>
        <w:autoSpaceDN w:val="0"/>
        <w:adjustRightInd w:val="0"/>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Uprawnienie to będzie przysługiwało przedsiębiorcy w okresie 5 lat od zatwierdzenia dokumentacji geologicznych </w:t>
      </w:r>
      <w:r w:rsidR="00261894" w:rsidRPr="007F28C1">
        <w:rPr>
          <w:rFonts w:ascii="Times New Roman" w:eastAsia="Times New Roman" w:hAnsi="Times New Roman" w:cs="Times New Roman"/>
          <w:sz w:val="24"/>
          <w:szCs w:val="24"/>
          <w:lang w:eastAsia="pl-PL"/>
        </w:rPr>
        <w:t xml:space="preserve">rozliczających zasoby złoża węglowodorów oraz dokumentacji </w:t>
      </w:r>
      <w:r w:rsidRPr="007F28C1">
        <w:rPr>
          <w:rFonts w:ascii="Times New Roman" w:eastAsia="Times New Roman" w:hAnsi="Times New Roman" w:cs="Times New Roman"/>
          <w:sz w:val="24"/>
          <w:szCs w:val="24"/>
          <w:lang w:eastAsia="pl-PL"/>
        </w:rPr>
        <w:t xml:space="preserve">niezbędnych dla prowadzenia działalności w zakresie podziemnego </w:t>
      </w:r>
      <w:r w:rsidR="00261894" w:rsidRPr="007F28C1">
        <w:rPr>
          <w:rFonts w:ascii="Times New Roman" w:eastAsia="Times New Roman" w:hAnsi="Times New Roman" w:cs="Times New Roman"/>
          <w:sz w:val="24"/>
          <w:szCs w:val="24"/>
          <w:lang w:eastAsia="pl-PL"/>
        </w:rPr>
        <w:t>składowania dwutlenku węgla</w:t>
      </w:r>
      <w:r w:rsidRPr="007F28C1">
        <w:rPr>
          <w:rFonts w:ascii="Times New Roman" w:eastAsia="Times New Roman" w:hAnsi="Times New Roman" w:cs="Times New Roman"/>
          <w:sz w:val="24"/>
          <w:szCs w:val="24"/>
          <w:lang w:eastAsia="pl-PL"/>
        </w:rPr>
        <w:t xml:space="preserve">, przy czym przedsiębiorca, który w trakcie biegu terminu do złożenia wniosku zrezygnuje z planów </w:t>
      </w:r>
      <w:r w:rsidR="00261894" w:rsidRPr="007F28C1">
        <w:rPr>
          <w:rFonts w:ascii="Times New Roman" w:eastAsia="Times New Roman" w:hAnsi="Times New Roman" w:cs="Times New Roman"/>
          <w:sz w:val="24"/>
          <w:szCs w:val="24"/>
          <w:lang w:eastAsia="pl-PL"/>
        </w:rPr>
        <w:t>składowania CO</w:t>
      </w:r>
      <w:r w:rsidR="00261894" w:rsidRPr="007F28C1">
        <w:rPr>
          <w:rFonts w:ascii="Times New Roman" w:eastAsia="Times New Roman" w:hAnsi="Times New Roman" w:cs="Times New Roman"/>
          <w:sz w:val="24"/>
          <w:szCs w:val="24"/>
          <w:vertAlign w:val="subscript"/>
          <w:lang w:eastAsia="pl-PL"/>
        </w:rPr>
        <w:t>2</w:t>
      </w:r>
      <w:r w:rsidR="00D272A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będzie mógł się zrzec tego uprawnienia</w:t>
      </w:r>
      <w:r w:rsidR="00CB622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zgodnie z</w:t>
      </w:r>
      <w:r w:rsidR="00290054" w:rsidRPr="007F28C1">
        <w:rPr>
          <w:rFonts w:ascii="Times New Roman" w:eastAsia="Times New Roman" w:hAnsi="Times New Roman" w:cs="Times New Roman"/>
          <w:sz w:val="24"/>
          <w:szCs w:val="24"/>
          <w:lang w:eastAsia="pl-PL"/>
        </w:rPr>
        <w:t xml:space="preserve"> art. </w:t>
      </w:r>
      <w:r w:rsidR="00290054" w:rsidRPr="007F28C1">
        <w:rPr>
          <w:rFonts w:ascii="Times New Roman" w:eastAsia="Times New Roman" w:hAnsi="Times New Roman" w:cs="Times New Roman"/>
          <w:sz w:val="24"/>
          <w:szCs w:val="24"/>
          <w:lang w:eastAsia="pl-PL"/>
        </w:rPr>
        <w:lastRenderedPageBreak/>
        <w:t>21c P</w:t>
      </w:r>
      <w:r w:rsidR="00C92164" w:rsidRPr="007F28C1">
        <w:rPr>
          <w:rFonts w:ascii="Times New Roman" w:eastAsia="Times New Roman" w:hAnsi="Times New Roman" w:cs="Times New Roman"/>
          <w:sz w:val="24"/>
          <w:szCs w:val="24"/>
          <w:lang w:eastAsia="pl-PL"/>
        </w:rPr>
        <w:t>.</w:t>
      </w:r>
      <w:r w:rsidR="00290054"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290054"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DF5DF5"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Rozwiązanie to ma zapobiec blokowaniu przestrzeni potencjalnego składowiska CO</w:t>
      </w:r>
      <w:r w:rsidRPr="007F28C1">
        <w:rPr>
          <w:rFonts w:ascii="Times New Roman" w:eastAsia="Times New Roman" w:hAnsi="Times New Roman" w:cs="Times New Roman"/>
          <w:sz w:val="24"/>
          <w:szCs w:val="24"/>
          <w:vertAlign w:val="subscript"/>
          <w:lang w:eastAsia="pl-PL"/>
        </w:rPr>
        <w:t>2</w:t>
      </w:r>
      <w:r w:rsidRPr="007F28C1">
        <w:rPr>
          <w:rFonts w:ascii="Times New Roman" w:eastAsia="Times New Roman" w:hAnsi="Times New Roman" w:cs="Times New Roman"/>
          <w:sz w:val="24"/>
          <w:szCs w:val="24"/>
          <w:lang w:eastAsia="pl-PL"/>
        </w:rPr>
        <w:t xml:space="preserve"> przez przedsiębiorcę, który porzucił zamiar prowadzenia takiej działalności. Konsekwencją złożenia oświadczenia o zrzeczeniu się prawa wyłączności będzie również automatyczne wygaśnięcie wyłącznego prawa do korzystania </w:t>
      </w:r>
      <w:r w:rsidR="00C77B92">
        <w:rPr>
          <w:rFonts w:ascii="Times New Roman" w:eastAsia="Times New Roman" w:hAnsi="Times New Roman" w:cs="Times New Roman"/>
          <w:sz w:val="24"/>
          <w:szCs w:val="24"/>
          <w:lang w:eastAsia="pl-PL"/>
        </w:rPr>
        <w:t xml:space="preserve">z </w:t>
      </w:r>
      <w:r w:rsidRPr="007F28C1">
        <w:rPr>
          <w:rFonts w:ascii="Times New Roman" w:eastAsia="Times New Roman" w:hAnsi="Times New Roman" w:cs="Times New Roman"/>
          <w:sz w:val="24"/>
          <w:szCs w:val="24"/>
          <w:lang w:eastAsia="pl-PL"/>
        </w:rPr>
        <w:t>informacji geologicznej, o którym mowa w art. 99 ust. 3 P</w:t>
      </w:r>
      <w:r w:rsidR="00C9216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p>
    <w:p w14:paraId="3D607782" w14:textId="250EB540" w:rsidR="00BD09D9" w:rsidRPr="007F28C1" w:rsidRDefault="00290054"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D</w:t>
      </w:r>
      <w:r w:rsidR="00DC1E76" w:rsidRPr="007F28C1">
        <w:rPr>
          <w:rFonts w:ascii="Times New Roman" w:eastAsia="Times New Roman" w:hAnsi="Times New Roman" w:cs="Times New Roman"/>
          <w:sz w:val="24"/>
          <w:szCs w:val="24"/>
          <w:lang w:eastAsia="pl-PL"/>
        </w:rPr>
        <w:t xml:space="preserve">la podmiotu, który ma wyłączne prawo wystąpić </w:t>
      </w:r>
      <w:r w:rsidR="008E3865" w:rsidRPr="007F28C1">
        <w:rPr>
          <w:rFonts w:ascii="Times New Roman" w:eastAsia="Times New Roman" w:hAnsi="Times New Roman" w:cs="Times New Roman"/>
          <w:sz w:val="24"/>
          <w:szCs w:val="24"/>
          <w:lang w:eastAsia="pl-PL"/>
        </w:rPr>
        <w:t>z</w:t>
      </w:r>
      <w:r w:rsidR="00DC1E76" w:rsidRPr="007F28C1">
        <w:rPr>
          <w:rFonts w:ascii="Times New Roman" w:eastAsia="Times New Roman" w:hAnsi="Times New Roman" w:cs="Times New Roman"/>
          <w:sz w:val="24"/>
          <w:szCs w:val="24"/>
          <w:lang w:eastAsia="pl-PL"/>
        </w:rPr>
        <w:t xml:space="preserve"> wnioskiem o udzielenie koncesji na podziemne składowanie dwutlenku węgla,</w:t>
      </w:r>
      <w:r w:rsidR="00DC1E76" w:rsidRPr="007F28C1">
        <w:rPr>
          <w:rFonts w:ascii="Times New Roman" w:eastAsia="Times New Roman" w:hAnsi="Times New Roman" w:cs="Times New Roman"/>
          <w:bCs/>
          <w:sz w:val="24"/>
          <w:szCs w:val="24"/>
          <w:lang w:eastAsia="pl-PL"/>
        </w:rPr>
        <w:t xml:space="preserve"> </w:t>
      </w:r>
      <w:r w:rsidR="00BD09D9" w:rsidRPr="007F28C1">
        <w:rPr>
          <w:rFonts w:ascii="Times New Roman" w:eastAsia="Times New Roman" w:hAnsi="Times New Roman" w:cs="Times New Roman"/>
          <w:sz w:val="24"/>
          <w:szCs w:val="24"/>
          <w:lang w:eastAsia="pl-PL"/>
        </w:rPr>
        <w:t xml:space="preserve">w </w:t>
      </w:r>
      <w:r w:rsidR="00C92164" w:rsidRPr="007F28C1">
        <w:rPr>
          <w:rFonts w:ascii="Times New Roman" w:eastAsia="Times New Roman" w:hAnsi="Times New Roman" w:cs="Times New Roman"/>
          <w:sz w:val="24"/>
          <w:szCs w:val="24"/>
          <w:lang w:eastAsia="pl-PL"/>
        </w:rPr>
        <w:t>dodanym</w:t>
      </w:r>
      <w:r w:rsidR="00E03FE9" w:rsidRPr="007F28C1">
        <w:rPr>
          <w:rFonts w:ascii="Times New Roman" w:eastAsia="Times New Roman" w:hAnsi="Times New Roman" w:cs="Times New Roman"/>
          <w:sz w:val="24"/>
          <w:szCs w:val="24"/>
          <w:lang w:eastAsia="pl-PL"/>
        </w:rPr>
        <w:t xml:space="preserve"> </w:t>
      </w:r>
      <w:r w:rsidR="00BD09D9" w:rsidRPr="007F28C1">
        <w:rPr>
          <w:rFonts w:ascii="Times New Roman" w:eastAsia="Times New Roman" w:hAnsi="Times New Roman" w:cs="Times New Roman"/>
          <w:sz w:val="24"/>
          <w:szCs w:val="24"/>
          <w:lang w:eastAsia="pl-PL"/>
        </w:rPr>
        <w:t>art. 39 ust. 1a</w:t>
      </w:r>
      <w:r w:rsidR="00877C78" w:rsidRPr="007F28C1">
        <w:rPr>
          <w:rFonts w:ascii="Times New Roman" w:eastAsia="Times New Roman" w:hAnsi="Times New Roman" w:cs="Times New Roman"/>
          <w:sz w:val="24"/>
          <w:szCs w:val="24"/>
          <w:lang w:eastAsia="pl-PL"/>
        </w:rPr>
        <w:t xml:space="preserve"> </w:t>
      </w:r>
      <w:r w:rsidR="00BD09D9" w:rsidRPr="007F28C1">
        <w:rPr>
          <w:rFonts w:ascii="Times New Roman" w:eastAsia="Times New Roman" w:hAnsi="Times New Roman" w:cs="Times New Roman"/>
          <w:sz w:val="24"/>
          <w:szCs w:val="24"/>
          <w:lang w:eastAsia="pl-PL"/>
        </w:rPr>
        <w:t>P</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 xml:space="preserve"> </w:t>
      </w:r>
      <w:r w:rsidR="00395401" w:rsidRPr="007F28C1">
        <w:rPr>
          <w:rFonts w:ascii="Times New Roman" w:eastAsia="Times New Roman" w:hAnsi="Times New Roman" w:cs="Times New Roman"/>
          <w:sz w:val="24"/>
          <w:szCs w:val="24"/>
          <w:lang w:eastAsia="pl-PL"/>
        </w:rPr>
        <w:t xml:space="preserve">dopuszczono możliwość </w:t>
      </w:r>
      <w:r w:rsidR="00BD09D9" w:rsidRPr="007F28C1">
        <w:rPr>
          <w:rFonts w:ascii="Times New Roman" w:eastAsia="Times New Roman" w:hAnsi="Times New Roman" w:cs="Times New Roman"/>
          <w:sz w:val="24"/>
          <w:szCs w:val="24"/>
          <w:lang w:eastAsia="pl-PL"/>
        </w:rPr>
        <w:t>utrzymania zakładu górniczego (zwolnienie z obowiązku likwidacji zakładu górniczego)</w:t>
      </w:r>
      <w:r w:rsidR="00395401" w:rsidRPr="007F28C1">
        <w:rPr>
          <w:rFonts w:ascii="Times New Roman" w:eastAsia="Times New Roman" w:hAnsi="Times New Roman" w:cs="Times New Roman"/>
          <w:sz w:val="24"/>
          <w:szCs w:val="24"/>
          <w:lang w:eastAsia="pl-PL"/>
        </w:rPr>
        <w:t xml:space="preserve">. Pozwoli to uniknąć ponoszenia </w:t>
      </w:r>
      <w:r w:rsidR="00BD09D9" w:rsidRPr="007F28C1">
        <w:rPr>
          <w:rFonts w:ascii="Times New Roman" w:eastAsia="Times New Roman" w:hAnsi="Times New Roman" w:cs="Times New Roman"/>
          <w:sz w:val="24"/>
          <w:szCs w:val="24"/>
          <w:lang w:eastAsia="pl-PL"/>
        </w:rPr>
        <w:t>kosztów likwidacji zakładu górniczego w sytuacji</w:t>
      </w:r>
      <w:r w:rsidR="00D272AE" w:rsidRPr="007F28C1">
        <w:rPr>
          <w:rFonts w:ascii="Times New Roman" w:eastAsia="Times New Roman" w:hAnsi="Times New Roman" w:cs="Times New Roman"/>
          <w:sz w:val="24"/>
          <w:szCs w:val="24"/>
          <w:lang w:eastAsia="pl-PL"/>
        </w:rPr>
        <w:t>,</w:t>
      </w:r>
      <w:r w:rsidR="00BD09D9" w:rsidRPr="007F28C1">
        <w:rPr>
          <w:rFonts w:ascii="Times New Roman" w:eastAsia="Times New Roman" w:hAnsi="Times New Roman" w:cs="Times New Roman"/>
          <w:sz w:val="24"/>
          <w:szCs w:val="24"/>
          <w:lang w:eastAsia="pl-PL"/>
        </w:rPr>
        <w:t xml:space="preserve"> kiedy dotychczasowy zakład górniczy (lub </w:t>
      </w:r>
      <w:r w:rsidR="00DC1E76" w:rsidRPr="007F28C1">
        <w:rPr>
          <w:rFonts w:ascii="Times New Roman" w:eastAsia="Times New Roman" w:hAnsi="Times New Roman" w:cs="Times New Roman"/>
          <w:sz w:val="24"/>
          <w:szCs w:val="24"/>
          <w:lang w:eastAsia="pl-PL"/>
        </w:rPr>
        <w:t xml:space="preserve">jego </w:t>
      </w:r>
      <w:r w:rsidR="00BD09D9" w:rsidRPr="007F28C1">
        <w:rPr>
          <w:rFonts w:ascii="Times New Roman" w:eastAsia="Times New Roman" w:hAnsi="Times New Roman" w:cs="Times New Roman"/>
          <w:sz w:val="24"/>
          <w:szCs w:val="24"/>
          <w:lang w:eastAsia="pl-PL"/>
        </w:rPr>
        <w:t>określon</w:t>
      </w:r>
      <w:r w:rsidR="00DC1E76" w:rsidRPr="007F28C1">
        <w:rPr>
          <w:rFonts w:ascii="Times New Roman" w:eastAsia="Times New Roman" w:hAnsi="Times New Roman" w:cs="Times New Roman"/>
          <w:sz w:val="24"/>
          <w:szCs w:val="24"/>
          <w:lang w:eastAsia="pl-PL"/>
        </w:rPr>
        <w:t>a</w:t>
      </w:r>
      <w:r w:rsidR="00BD09D9" w:rsidRPr="007F28C1">
        <w:rPr>
          <w:rFonts w:ascii="Times New Roman" w:eastAsia="Times New Roman" w:hAnsi="Times New Roman" w:cs="Times New Roman"/>
          <w:sz w:val="24"/>
          <w:szCs w:val="24"/>
          <w:lang w:eastAsia="pl-PL"/>
        </w:rPr>
        <w:t xml:space="preserve"> część) </w:t>
      </w:r>
      <w:r w:rsidR="00395401" w:rsidRPr="007F28C1">
        <w:rPr>
          <w:rFonts w:ascii="Times New Roman" w:eastAsia="Times New Roman" w:hAnsi="Times New Roman" w:cs="Times New Roman"/>
          <w:sz w:val="24"/>
          <w:szCs w:val="24"/>
          <w:lang w:eastAsia="pl-PL"/>
        </w:rPr>
        <w:t xml:space="preserve">może być wykorzystywany </w:t>
      </w:r>
      <w:r w:rsidR="00BD09D9" w:rsidRPr="007F28C1">
        <w:rPr>
          <w:rFonts w:ascii="Times New Roman" w:eastAsia="Times New Roman" w:hAnsi="Times New Roman" w:cs="Times New Roman"/>
          <w:sz w:val="24"/>
          <w:szCs w:val="24"/>
          <w:lang w:eastAsia="pl-PL"/>
        </w:rPr>
        <w:t xml:space="preserve">do innej działalności. </w:t>
      </w:r>
      <w:r w:rsidR="00395401" w:rsidRPr="007F28C1">
        <w:rPr>
          <w:rFonts w:ascii="Times New Roman" w:eastAsia="Times New Roman" w:hAnsi="Times New Roman" w:cs="Times New Roman"/>
          <w:sz w:val="24"/>
          <w:szCs w:val="24"/>
          <w:lang w:eastAsia="pl-PL"/>
        </w:rPr>
        <w:t>Dotychczasowy przedsiębiorca b</w:t>
      </w:r>
      <w:r w:rsidR="00BD09D9" w:rsidRPr="007F28C1">
        <w:rPr>
          <w:rFonts w:ascii="Times New Roman" w:eastAsia="Times New Roman" w:hAnsi="Times New Roman" w:cs="Times New Roman"/>
          <w:sz w:val="24"/>
          <w:szCs w:val="24"/>
          <w:lang w:eastAsia="pl-PL"/>
        </w:rPr>
        <w:t>ędzie obowiązany do nadzoru nad utrzymywany</w:t>
      </w:r>
      <w:r w:rsidR="00DC1E76" w:rsidRPr="007F28C1">
        <w:rPr>
          <w:rFonts w:ascii="Times New Roman" w:eastAsia="Times New Roman" w:hAnsi="Times New Roman" w:cs="Times New Roman"/>
          <w:sz w:val="24"/>
          <w:szCs w:val="24"/>
          <w:lang w:eastAsia="pl-PL"/>
        </w:rPr>
        <w:t>m</w:t>
      </w:r>
      <w:r w:rsidR="00BD09D9" w:rsidRPr="007F28C1">
        <w:rPr>
          <w:rFonts w:ascii="Times New Roman" w:eastAsia="Times New Roman" w:hAnsi="Times New Roman" w:cs="Times New Roman"/>
          <w:sz w:val="24"/>
          <w:szCs w:val="24"/>
          <w:lang w:eastAsia="pl-PL"/>
        </w:rPr>
        <w:t xml:space="preserve"> zakładem górniczym, bez</w:t>
      </w:r>
      <w:r w:rsidR="00FC29C8" w:rsidRPr="007F28C1">
        <w:rPr>
          <w:rFonts w:ascii="Times New Roman" w:eastAsia="Times New Roman" w:hAnsi="Times New Roman" w:cs="Times New Roman"/>
          <w:sz w:val="24"/>
          <w:szCs w:val="24"/>
          <w:lang w:eastAsia="pl-PL"/>
        </w:rPr>
        <w:t> </w:t>
      </w:r>
      <w:r w:rsidR="00BD09D9" w:rsidRPr="007F28C1">
        <w:rPr>
          <w:rFonts w:ascii="Times New Roman" w:eastAsia="Times New Roman" w:hAnsi="Times New Roman" w:cs="Times New Roman"/>
          <w:sz w:val="24"/>
          <w:szCs w:val="24"/>
          <w:lang w:eastAsia="pl-PL"/>
        </w:rPr>
        <w:t>możliwości prowadzenia działalności</w:t>
      </w:r>
      <w:r w:rsidR="00395401" w:rsidRPr="007F28C1">
        <w:rPr>
          <w:rFonts w:ascii="Times New Roman" w:eastAsia="Times New Roman" w:hAnsi="Times New Roman" w:cs="Times New Roman"/>
          <w:sz w:val="24"/>
          <w:szCs w:val="24"/>
          <w:lang w:eastAsia="pl-PL"/>
        </w:rPr>
        <w:t xml:space="preserve">, </w:t>
      </w:r>
      <w:r w:rsidR="00DC1E76" w:rsidRPr="007F28C1">
        <w:rPr>
          <w:rFonts w:ascii="Times New Roman" w:eastAsia="Times New Roman" w:hAnsi="Times New Roman" w:cs="Times New Roman"/>
          <w:sz w:val="24"/>
          <w:szCs w:val="24"/>
          <w:lang w:eastAsia="pl-PL"/>
        </w:rPr>
        <w:t>do czasu uzyskania nowej koncesji</w:t>
      </w:r>
      <w:r w:rsidR="00CE685B" w:rsidRPr="007F28C1">
        <w:rPr>
          <w:rFonts w:ascii="Times New Roman" w:eastAsia="Times New Roman" w:hAnsi="Times New Roman" w:cs="Times New Roman"/>
          <w:sz w:val="24"/>
          <w:szCs w:val="24"/>
          <w:lang w:eastAsia="pl-PL"/>
        </w:rPr>
        <w:t>,</w:t>
      </w:r>
      <w:r w:rsidR="00DC1E76" w:rsidRPr="007F28C1">
        <w:rPr>
          <w:rFonts w:ascii="Times New Roman" w:eastAsia="Times New Roman" w:hAnsi="Times New Roman" w:cs="Times New Roman"/>
          <w:sz w:val="24"/>
          <w:szCs w:val="24"/>
          <w:lang w:eastAsia="pl-PL"/>
        </w:rPr>
        <w:t xml:space="preserve"> </w:t>
      </w:r>
      <w:r w:rsidR="00395401" w:rsidRPr="007F28C1">
        <w:rPr>
          <w:rFonts w:ascii="Times New Roman" w:eastAsia="Times New Roman" w:hAnsi="Times New Roman" w:cs="Times New Roman"/>
          <w:sz w:val="24"/>
          <w:szCs w:val="24"/>
          <w:lang w:eastAsia="pl-PL"/>
        </w:rPr>
        <w:t>jednak nie dłuż</w:t>
      </w:r>
      <w:r w:rsidR="00DC1E76" w:rsidRPr="007F28C1">
        <w:rPr>
          <w:rFonts w:ascii="Times New Roman" w:eastAsia="Times New Roman" w:hAnsi="Times New Roman" w:cs="Times New Roman"/>
          <w:sz w:val="24"/>
          <w:szCs w:val="24"/>
          <w:lang w:eastAsia="pl-PL"/>
        </w:rPr>
        <w:t>ej</w:t>
      </w:r>
      <w:r w:rsidR="00395401" w:rsidRPr="007F28C1">
        <w:rPr>
          <w:rFonts w:ascii="Times New Roman" w:eastAsia="Times New Roman" w:hAnsi="Times New Roman" w:cs="Times New Roman"/>
          <w:sz w:val="24"/>
          <w:szCs w:val="24"/>
          <w:lang w:eastAsia="pl-PL"/>
        </w:rPr>
        <w:t xml:space="preserve"> niż 5</w:t>
      </w:r>
      <w:r w:rsidR="00621E21" w:rsidRPr="007F28C1">
        <w:rPr>
          <w:rFonts w:ascii="Times New Roman" w:eastAsia="Times New Roman" w:hAnsi="Times New Roman" w:cs="Times New Roman"/>
          <w:sz w:val="24"/>
          <w:szCs w:val="24"/>
          <w:lang w:eastAsia="pl-PL"/>
        </w:rPr>
        <w:t> </w:t>
      </w:r>
      <w:r w:rsidR="00395401" w:rsidRPr="007F28C1">
        <w:rPr>
          <w:rFonts w:ascii="Times New Roman" w:eastAsia="Times New Roman" w:hAnsi="Times New Roman" w:cs="Times New Roman"/>
          <w:sz w:val="24"/>
          <w:szCs w:val="24"/>
          <w:lang w:eastAsia="pl-PL"/>
        </w:rPr>
        <w:t>lat od</w:t>
      </w:r>
      <w:r w:rsidR="00FC29C8" w:rsidRPr="007F28C1">
        <w:rPr>
          <w:rFonts w:ascii="Times New Roman" w:eastAsia="Times New Roman" w:hAnsi="Times New Roman" w:cs="Times New Roman"/>
          <w:sz w:val="24"/>
          <w:szCs w:val="24"/>
          <w:lang w:eastAsia="pl-PL"/>
        </w:rPr>
        <w:t> </w:t>
      </w:r>
      <w:r w:rsidR="00395401" w:rsidRPr="007F28C1">
        <w:rPr>
          <w:rFonts w:ascii="Times New Roman" w:eastAsia="Times New Roman" w:hAnsi="Times New Roman" w:cs="Times New Roman"/>
          <w:sz w:val="24"/>
          <w:szCs w:val="24"/>
          <w:lang w:eastAsia="pl-PL"/>
        </w:rPr>
        <w:t>rozliczenia zasobów złoża.</w:t>
      </w:r>
    </w:p>
    <w:p w14:paraId="4BEF56DB" w14:textId="36925261" w:rsidR="00395401" w:rsidRPr="007F28C1" w:rsidRDefault="00DC1E76"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Dotychczas </w:t>
      </w:r>
      <w:r w:rsidR="00E36415" w:rsidRPr="007F28C1">
        <w:rPr>
          <w:rFonts w:ascii="Times New Roman" w:eastAsia="Times New Roman" w:hAnsi="Times New Roman" w:cs="Times New Roman"/>
          <w:sz w:val="24"/>
          <w:szCs w:val="24"/>
          <w:lang w:eastAsia="pl-PL"/>
        </w:rPr>
        <w:t>P</w:t>
      </w:r>
      <w:r w:rsidR="00C92164"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547905" w:rsidRPr="007F28C1">
        <w:rPr>
          <w:rFonts w:ascii="Times New Roman" w:eastAsia="Times New Roman" w:hAnsi="Times New Roman" w:cs="Times New Roman"/>
          <w:sz w:val="24"/>
          <w:szCs w:val="24"/>
          <w:lang w:eastAsia="pl-PL"/>
        </w:rPr>
        <w:t xml:space="preserve"> nie określała definicji intensyfikacji wydobycia, a tym samym nie było wprost obowiązku wskazywania </w:t>
      </w:r>
      <w:r w:rsidR="00395401" w:rsidRPr="007F28C1">
        <w:rPr>
          <w:rFonts w:ascii="Times New Roman" w:eastAsia="Times New Roman" w:hAnsi="Times New Roman" w:cs="Times New Roman"/>
          <w:sz w:val="24"/>
          <w:szCs w:val="24"/>
          <w:lang w:eastAsia="pl-PL"/>
        </w:rPr>
        <w:t xml:space="preserve">m.in. </w:t>
      </w:r>
      <w:r w:rsidR="00547905" w:rsidRPr="007F28C1">
        <w:rPr>
          <w:rFonts w:ascii="Times New Roman" w:eastAsia="Times New Roman" w:hAnsi="Times New Roman" w:cs="Times New Roman"/>
          <w:sz w:val="24"/>
          <w:szCs w:val="24"/>
          <w:lang w:eastAsia="pl-PL"/>
        </w:rPr>
        <w:t>we wniosku koncesyjnym, w koncesji</w:t>
      </w:r>
      <w:r w:rsidR="00395401" w:rsidRPr="007F28C1">
        <w:rPr>
          <w:rFonts w:ascii="Times New Roman" w:eastAsia="Times New Roman" w:hAnsi="Times New Roman" w:cs="Times New Roman"/>
          <w:sz w:val="24"/>
          <w:szCs w:val="24"/>
          <w:lang w:eastAsia="pl-PL"/>
        </w:rPr>
        <w:t xml:space="preserve"> albo</w:t>
      </w:r>
      <w:r w:rsidR="00547905" w:rsidRPr="007F28C1">
        <w:rPr>
          <w:rFonts w:ascii="Times New Roman" w:eastAsia="Times New Roman" w:hAnsi="Times New Roman" w:cs="Times New Roman"/>
          <w:sz w:val="24"/>
          <w:szCs w:val="24"/>
          <w:lang w:eastAsia="pl-PL"/>
        </w:rPr>
        <w:t xml:space="preserve"> w decyzji inwestycyjnej sposobów intensyfikacji</w:t>
      </w:r>
      <w:r w:rsidRPr="007F28C1">
        <w:rPr>
          <w:rFonts w:ascii="Times New Roman" w:eastAsia="Times New Roman" w:hAnsi="Times New Roman" w:cs="Times New Roman"/>
          <w:sz w:val="24"/>
          <w:szCs w:val="24"/>
          <w:lang w:eastAsia="pl-PL"/>
        </w:rPr>
        <w:t xml:space="preserve"> wydobycia</w:t>
      </w:r>
      <w:r w:rsidR="00547905" w:rsidRPr="007F28C1">
        <w:rPr>
          <w:rFonts w:ascii="Times New Roman" w:eastAsia="Times New Roman" w:hAnsi="Times New Roman" w:cs="Times New Roman"/>
          <w:sz w:val="24"/>
          <w:szCs w:val="24"/>
          <w:lang w:eastAsia="pl-PL"/>
        </w:rPr>
        <w:t xml:space="preserve">. </w:t>
      </w:r>
      <w:r w:rsidR="00E7409D" w:rsidRPr="007F28C1">
        <w:rPr>
          <w:rFonts w:ascii="Times New Roman" w:eastAsia="Times New Roman" w:hAnsi="Times New Roman" w:cs="Times New Roman"/>
          <w:sz w:val="24"/>
          <w:szCs w:val="24"/>
          <w:lang w:eastAsia="pl-PL"/>
        </w:rPr>
        <w:t>Przepisy o</w:t>
      </w:r>
      <w:r w:rsidR="00547905" w:rsidRPr="007F28C1">
        <w:rPr>
          <w:rFonts w:ascii="Times New Roman" w:eastAsia="Times New Roman" w:hAnsi="Times New Roman" w:cs="Times New Roman"/>
          <w:sz w:val="24"/>
          <w:szCs w:val="24"/>
          <w:lang w:eastAsia="pl-PL"/>
        </w:rPr>
        <w:t>bowiązujące</w:t>
      </w:r>
      <w:r w:rsidR="00E7409D" w:rsidRPr="007F28C1">
        <w:rPr>
          <w:rFonts w:ascii="Times New Roman" w:eastAsia="Times New Roman" w:hAnsi="Times New Roman" w:cs="Times New Roman"/>
          <w:sz w:val="24"/>
          <w:szCs w:val="24"/>
          <w:lang w:eastAsia="pl-PL"/>
        </w:rPr>
        <w:t>go</w:t>
      </w:r>
      <w:r w:rsidR="00547905" w:rsidRPr="007F28C1">
        <w:rPr>
          <w:rFonts w:ascii="Times New Roman" w:eastAsia="Times New Roman" w:hAnsi="Times New Roman" w:cs="Times New Roman"/>
          <w:sz w:val="24"/>
          <w:szCs w:val="24"/>
          <w:lang w:eastAsia="pl-PL"/>
        </w:rPr>
        <w:t xml:space="preserve"> rozporządzenia Ministra Gospodarki z</w:t>
      </w:r>
      <w:r w:rsidR="00705A7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dnia </w:t>
      </w:r>
      <w:r w:rsidR="00547905" w:rsidRPr="007F28C1">
        <w:rPr>
          <w:rFonts w:ascii="Times New Roman" w:eastAsia="Times New Roman" w:hAnsi="Times New Roman" w:cs="Times New Roman"/>
          <w:sz w:val="24"/>
          <w:szCs w:val="24"/>
          <w:lang w:eastAsia="pl-PL"/>
        </w:rPr>
        <w:t>25</w:t>
      </w:r>
      <w:r w:rsidRPr="007F28C1">
        <w:rPr>
          <w:rFonts w:ascii="Times New Roman" w:eastAsia="Times New Roman" w:hAnsi="Times New Roman" w:cs="Times New Roman"/>
          <w:sz w:val="24"/>
          <w:szCs w:val="24"/>
          <w:lang w:eastAsia="pl-PL"/>
        </w:rPr>
        <w:t> </w:t>
      </w:r>
      <w:r w:rsidR="00547905" w:rsidRPr="007F28C1">
        <w:rPr>
          <w:rFonts w:ascii="Times New Roman" w:eastAsia="Times New Roman" w:hAnsi="Times New Roman" w:cs="Times New Roman"/>
          <w:sz w:val="24"/>
          <w:szCs w:val="24"/>
          <w:lang w:eastAsia="pl-PL"/>
        </w:rPr>
        <w:t>kwietnia 2014 r. w</w:t>
      </w:r>
      <w:r w:rsidR="00395401" w:rsidRPr="007F28C1">
        <w:rPr>
          <w:rFonts w:ascii="Times New Roman" w:eastAsia="Times New Roman" w:hAnsi="Times New Roman" w:cs="Times New Roman"/>
          <w:sz w:val="24"/>
          <w:szCs w:val="24"/>
          <w:lang w:eastAsia="pl-PL"/>
        </w:rPr>
        <w:t> </w:t>
      </w:r>
      <w:r w:rsidR="00547905" w:rsidRPr="007F28C1">
        <w:rPr>
          <w:rFonts w:ascii="Times New Roman" w:eastAsia="Times New Roman" w:hAnsi="Times New Roman" w:cs="Times New Roman"/>
          <w:sz w:val="24"/>
          <w:szCs w:val="24"/>
          <w:lang w:eastAsia="pl-PL"/>
        </w:rPr>
        <w:t xml:space="preserve">sprawie szczegółowych wymagań dotyczących prowadzenia ruchu zakładów górniczych wydobywających kopaliny otworami wiertniczymi </w:t>
      </w:r>
      <w:r w:rsidR="00B45F81" w:rsidRPr="007F28C1">
        <w:rPr>
          <w:rFonts w:ascii="Times New Roman" w:eastAsia="Times New Roman" w:hAnsi="Times New Roman" w:cs="Times New Roman"/>
          <w:sz w:val="24"/>
          <w:szCs w:val="24"/>
          <w:lang w:eastAsia="pl-PL"/>
        </w:rPr>
        <w:t>(Dz.</w:t>
      </w:r>
      <w:r w:rsidR="004C591B" w:rsidRPr="007F28C1">
        <w:rPr>
          <w:rFonts w:ascii="Times New Roman" w:eastAsia="Times New Roman" w:hAnsi="Times New Roman" w:cs="Times New Roman"/>
          <w:sz w:val="24"/>
          <w:szCs w:val="24"/>
          <w:lang w:eastAsia="pl-PL"/>
        </w:rPr>
        <w:t xml:space="preserve"> </w:t>
      </w:r>
      <w:r w:rsidR="00B45F81" w:rsidRPr="007F28C1">
        <w:rPr>
          <w:rFonts w:ascii="Times New Roman" w:eastAsia="Times New Roman" w:hAnsi="Times New Roman" w:cs="Times New Roman"/>
          <w:sz w:val="24"/>
          <w:szCs w:val="24"/>
          <w:lang w:eastAsia="pl-PL"/>
        </w:rPr>
        <w:t xml:space="preserve">U. poz. 812) </w:t>
      </w:r>
      <w:r w:rsidR="00547905" w:rsidRPr="007F28C1">
        <w:rPr>
          <w:rFonts w:ascii="Times New Roman" w:eastAsia="Times New Roman" w:hAnsi="Times New Roman" w:cs="Times New Roman"/>
          <w:sz w:val="24"/>
          <w:szCs w:val="24"/>
          <w:lang w:eastAsia="pl-PL"/>
        </w:rPr>
        <w:t xml:space="preserve">przewidują wtłaczanie gazu lub cieczy do złóż węglowodorów płynnych w celu intensyfikacji wydobycia (na podstawie projektu zatwierdzonego przez kierownika ruchu zakładu górniczego otworowego). </w:t>
      </w:r>
      <w:r w:rsidR="00B878A6" w:rsidRPr="007F28C1">
        <w:rPr>
          <w:rFonts w:ascii="Times New Roman" w:eastAsia="Times New Roman" w:hAnsi="Times New Roman" w:cs="Times New Roman"/>
          <w:sz w:val="24"/>
          <w:szCs w:val="24"/>
          <w:lang w:eastAsia="pl-PL"/>
        </w:rPr>
        <w:t xml:space="preserve">Pozostają one jednak bez związku z działalnością CCS. </w:t>
      </w:r>
      <w:r w:rsidR="00395401" w:rsidRPr="007F28C1">
        <w:rPr>
          <w:rFonts w:ascii="Times New Roman" w:eastAsia="Times New Roman" w:hAnsi="Times New Roman" w:cs="Times New Roman"/>
          <w:sz w:val="24"/>
          <w:szCs w:val="24"/>
          <w:lang w:eastAsia="pl-PL"/>
        </w:rPr>
        <w:t>Zgodnie z motywem 20</w:t>
      </w:r>
      <w:r w:rsidR="00813055">
        <w:rPr>
          <w:rFonts w:ascii="Times New Roman" w:eastAsia="Times New Roman" w:hAnsi="Times New Roman" w:cs="Times New Roman"/>
          <w:sz w:val="24"/>
          <w:szCs w:val="24"/>
          <w:lang w:eastAsia="pl-PL"/>
        </w:rPr>
        <w:t>.</w:t>
      </w:r>
      <w:r w:rsidR="00E7409D" w:rsidRPr="007F28C1">
        <w:rPr>
          <w:rFonts w:ascii="Times New Roman" w:eastAsia="Times New Roman" w:hAnsi="Times New Roman" w:cs="Times New Roman"/>
          <w:sz w:val="24"/>
          <w:szCs w:val="24"/>
          <w:lang w:eastAsia="pl-PL"/>
        </w:rPr>
        <w:t xml:space="preserve"> preambuły</w:t>
      </w:r>
      <w:r w:rsidR="00395401" w:rsidRPr="007F28C1">
        <w:rPr>
          <w:rFonts w:ascii="Times New Roman" w:eastAsia="Times New Roman" w:hAnsi="Times New Roman" w:cs="Times New Roman"/>
          <w:sz w:val="24"/>
          <w:szCs w:val="24"/>
          <w:lang w:eastAsia="pl-PL"/>
        </w:rPr>
        <w:t xml:space="preserve"> dyrektywy CCS intensyfikacja wydobycia węglowodorów (EHR) (…) jako taka nie wchodzi w zakres stosowania niniejszej dyrektywy. Jednakże w przypadku gdy EHR odbywa się w połączeniu z geologicznym składowaniem CO</w:t>
      </w:r>
      <w:r w:rsidR="00395401" w:rsidRPr="007F28C1">
        <w:rPr>
          <w:rFonts w:ascii="Times New Roman" w:eastAsia="Times New Roman" w:hAnsi="Times New Roman" w:cs="Times New Roman"/>
          <w:sz w:val="24"/>
          <w:szCs w:val="24"/>
          <w:vertAlign w:val="subscript"/>
          <w:lang w:eastAsia="pl-PL"/>
        </w:rPr>
        <w:t>2</w:t>
      </w:r>
      <w:r w:rsidR="00395401" w:rsidRPr="007F28C1">
        <w:rPr>
          <w:rFonts w:ascii="Times New Roman" w:eastAsia="Times New Roman" w:hAnsi="Times New Roman" w:cs="Times New Roman"/>
          <w:sz w:val="24"/>
          <w:szCs w:val="24"/>
          <w:lang w:eastAsia="pl-PL"/>
        </w:rPr>
        <w:t>, zastosowanie powinny mieć przepisy niniejszej dyrektywy dotyczące bezpiecznego dla środowiska składowania CO</w:t>
      </w:r>
      <w:r w:rsidR="00395401" w:rsidRPr="007F28C1">
        <w:rPr>
          <w:rFonts w:ascii="Times New Roman" w:eastAsia="Times New Roman" w:hAnsi="Times New Roman" w:cs="Times New Roman"/>
          <w:sz w:val="24"/>
          <w:szCs w:val="24"/>
          <w:vertAlign w:val="subscript"/>
          <w:lang w:eastAsia="pl-PL"/>
        </w:rPr>
        <w:t>2</w:t>
      </w:r>
      <w:r w:rsidR="00395401" w:rsidRPr="007F28C1">
        <w:rPr>
          <w:rFonts w:ascii="Times New Roman" w:eastAsia="Times New Roman" w:hAnsi="Times New Roman" w:cs="Times New Roman"/>
          <w:sz w:val="24"/>
          <w:szCs w:val="24"/>
          <w:lang w:eastAsia="pl-PL"/>
        </w:rPr>
        <w:t>. W takim przypadku przepisy niniejszej dyrektywy dotyczące wycieku nie mają zastosowania do uwalnianych z instalacji powierzchniowych ilości CO</w:t>
      </w:r>
      <w:r w:rsidR="00395401" w:rsidRPr="007F28C1">
        <w:rPr>
          <w:rFonts w:ascii="Times New Roman" w:eastAsia="Times New Roman" w:hAnsi="Times New Roman" w:cs="Times New Roman"/>
          <w:sz w:val="24"/>
          <w:szCs w:val="24"/>
          <w:vertAlign w:val="subscript"/>
          <w:lang w:eastAsia="pl-PL"/>
        </w:rPr>
        <w:t>2</w:t>
      </w:r>
      <w:r w:rsidR="00395401" w:rsidRPr="007F28C1">
        <w:rPr>
          <w:rFonts w:ascii="Times New Roman" w:eastAsia="Times New Roman" w:hAnsi="Times New Roman" w:cs="Times New Roman"/>
          <w:sz w:val="24"/>
          <w:szCs w:val="24"/>
          <w:lang w:eastAsia="pl-PL"/>
        </w:rPr>
        <w:t>, które są nie większe niż ilości konieczne w normalnym procesie wydobycia węglowodorów i które nie osłabiają bezpieczeństwa składowania geologicznego ani nie wpływają negatywnie na otaczające środowisko</w:t>
      </w:r>
      <w:r w:rsidR="00395401" w:rsidRPr="007F28C1">
        <w:rPr>
          <w:rFonts w:ascii="Times New Roman" w:eastAsia="Times New Roman" w:hAnsi="Times New Roman" w:cs="Times New Roman"/>
          <w:iCs/>
          <w:sz w:val="24"/>
          <w:szCs w:val="24"/>
          <w:lang w:eastAsia="pl-PL"/>
        </w:rPr>
        <w:t xml:space="preserve">. </w:t>
      </w:r>
      <w:r w:rsidR="00395401" w:rsidRPr="007F28C1">
        <w:rPr>
          <w:rFonts w:ascii="Times New Roman" w:eastAsia="Times New Roman" w:hAnsi="Times New Roman" w:cs="Times New Roman"/>
          <w:sz w:val="24"/>
          <w:szCs w:val="24"/>
          <w:lang w:eastAsia="pl-PL"/>
        </w:rPr>
        <w:t xml:space="preserve">Brzmienie motywu 20. </w:t>
      </w:r>
      <w:r w:rsidR="008E3865" w:rsidRPr="007F28C1">
        <w:rPr>
          <w:rFonts w:ascii="Times New Roman" w:eastAsia="Times New Roman" w:hAnsi="Times New Roman" w:cs="Times New Roman"/>
          <w:sz w:val="24"/>
          <w:szCs w:val="24"/>
          <w:lang w:eastAsia="pl-PL"/>
        </w:rPr>
        <w:t xml:space="preserve">preambuły </w:t>
      </w:r>
      <w:r w:rsidR="00395401" w:rsidRPr="007F28C1">
        <w:rPr>
          <w:rFonts w:ascii="Times New Roman" w:eastAsia="Times New Roman" w:hAnsi="Times New Roman" w:cs="Times New Roman"/>
          <w:sz w:val="24"/>
          <w:szCs w:val="24"/>
          <w:lang w:eastAsia="pl-PL"/>
        </w:rPr>
        <w:t xml:space="preserve">dyrektywy CCS pozwala zatem na wyprowadzenie wniosku, że dyrektywa ta nie sprzeciwia się połączeniu intensyfikacji wydobycia węglowodorów z geologicznym składowaniem </w:t>
      </w:r>
      <w:r w:rsidR="00395401" w:rsidRPr="007F28C1">
        <w:rPr>
          <w:rFonts w:ascii="Times New Roman" w:eastAsia="Times New Roman" w:hAnsi="Times New Roman" w:cs="Times New Roman"/>
          <w:sz w:val="24"/>
          <w:szCs w:val="24"/>
          <w:lang w:eastAsia="pl-PL"/>
        </w:rPr>
        <w:lastRenderedPageBreak/>
        <w:t>dwutlenku węgla</w:t>
      </w:r>
      <w:r w:rsidR="00395401" w:rsidRPr="007F28C1">
        <w:rPr>
          <w:rFonts w:ascii="Times New Roman" w:eastAsia="Times New Roman" w:hAnsi="Times New Roman" w:cs="Times New Roman"/>
          <w:sz w:val="24"/>
          <w:szCs w:val="24"/>
          <w:vertAlign w:val="subscript"/>
          <w:lang w:eastAsia="pl-PL"/>
        </w:rPr>
        <w:t xml:space="preserve">, </w:t>
      </w:r>
      <w:r w:rsidR="00395401" w:rsidRPr="007F28C1">
        <w:rPr>
          <w:rFonts w:ascii="Times New Roman" w:eastAsia="Times New Roman" w:hAnsi="Times New Roman" w:cs="Times New Roman"/>
          <w:sz w:val="24"/>
          <w:szCs w:val="24"/>
          <w:lang w:eastAsia="pl-PL"/>
        </w:rPr>
        <w:t xml:space="preserve">o ile </w:t>
      </w:r>
      <w:r w:rsidR="00E7409D" w:rsidRPr="007F28C1">
        <w:rPr>
          <w:rFonts w:ascii="Times New Roman" w:eastAsia="Times New Roman" w:hAnsi="Times New Roman" w:cs="Times New Roman"/>
          <w:sz w:val="24"/>
          <w:szCs w:val="24"/>
          <w:lang w:eastAsia="pl-PL"/>
        </w:rPr>
        <w:t xml:space="preserve">są </w:t>
      </w:r>
      <w:r w:rsidR="00395401" w:rsidRPr="007F28C1">
        <w:rPr>
          <w:rFonts w:ascii="Times New Roman" w:eastAsia="Times New Roman" w:hAnsi="Times New Roman" w:cs="Times New Roman"/>
          <w:sz w:val="24"/>
          <w:szCs w:val="24"/>
          <w:lang w:eastAsia="pl-PL"/>
        </w:rPr>
        <w:t>stosowane przy tym przedsięwzięciu przepisy dyrektywy dotyczące bezpiecznego dla</w:t>
      </w:r>
      <w:r w:rsidR="00FC29C8" w:rsidRPr="007F28C1">
        <w:rPr>
          <w:rFonts w:ascii="Times New Roman" w:eastAsia="Times New Roman" w:hAnsi="Times New Roman" w:cs="Times New Roman"/>
          <w:sz w:val="24"/>
          <w:szCs w:val="24"/>
          <w:lang w:eastAsia="pl-PL"/>
        </w:rPr>
        <w:t> </w:t>
      </w:r>
      <w:r w:rsidR="00395401" w:rsidRPr="007F28C1">
        <w:rPr>
          <w:rFonts w:ascii="Times New Roman" w:eastAsia="Times New Roman" w:hAnsi="Times New Roman" w:cs="Times New Roman"/>
          <w:sz w:val="24"/>
          <w:szCs w:val="24"/>
          <w:lang w:eastAsia="pl-PL"/>
        </w:rPr>
        <w:t>środowiska składowania dwutlenku węgla</w:t>
      </w:r>
      <w:r w:rsidR="00E56E60" w:rsidRPr="007F28C1">
        <w:rPr>
          <w:rFonts w:ascii="Times New Roman" w:eastAsia="Times New Roman" w:hAnsi="Times New Roman" w:cs="Times New Roman"/>
          <w:sz w:val="24"/>
          <w:szCs w:val="24"/>
          <w:lang w:eastAsia="pl-PL"/>
        </w:rPr>
        <w:t>.</w:t>
      </w:r>
      <w:r w:rsidR="00395401" w:rsidRPr="007F28C1">
        <w:rPr>
          <w:rFonts w:ascii="Times New Roman" w:eastAsia="Times New Roman" w:hAnsi="Times New Roman" w:cs="Times New Roman"/>
          <w:sz w:val="24"/>
          <w:szCs w:val="24"/>
          <w:lang w:eastAsia="pl-PL"/>
        </w:rPr>
        <w:t xml:space="preserve"> </w:t>
      </w:r>
    </w:p>
    <w:p w14:paraId="48FA8144" w14:textId="4E336482" w:rsidR="00395401" w:rsidRPr="007F28C1" w:rsidRDefault="00395401"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W związku z powyższym w</w:t>
      </w:r>
      <w:r w:rsidR="00855765" w:rsidRPr="007F28C1">
        <w:rPr>
          <w:rFonts w:ascii="Times New Roman" w:eastAsia="Times New Roman" w:hAnsi="Times New Roman" w:cs="Times New Roman"/>
          <w:sz w:val="24"/>
          <w:szCs w:val="24"/>
          <w:lang w:eastAsia="pl-PL"/>
        </w:rPr>
        <w:t xml:space="preserve"> </w:t>
      </w:r>
      <w:r w:rsidR="00C92164" w:rsidRPr="007F28C1">
        <w:rPr>
          <w:rFonts w:ascii="Times New Roman" w:eastAsia="Times New Roman" w:hAnsi="Times New Roman" w:cs="Times New Roman"/>
          <w:sz w:val="24"/>
          <w:szCs w:val="24"/>
          <w:lang w:eastAsia="pl-PL"/>
        </w:rPr>
        <w:t xml:space="preserve">dodanym </w:t>
      </w:r>
      <w:r w:rsidR="00855765" w:rsidRPr="007F28C1">
        <w:rPr>
          <w:rFonts w:ascii="Times New Roman" w:eastAsia="Times New Roman" w:hAnsi="Times New Roman" w:cs="Times New Roman"/>
          <w:sz w:val="24"/>
          <w:szCs w:val="24"/>
          <w:lang w:eastAsia="pl-PL"/>
        </w:rPr>
        <w:t xml:space="preserve">art. </w:t>
      </w:r>
      <w:r w:rsidR="00EF71C3" w:rsidRPr="007F28C1">
        <w:rPr>
          <w:rFonts w:ascii="Times New Roman" w:eastAsia="Times New Roman" w:hAnsi="Times New Roman" w:cs="Times New Roman"/>
          <w:sz w:val="24"/>
          <w:szCs w:val="24"/>
          <w:lang w:eastAsia="pl-PL"/>
        </w:rPr>
        <w:t>21</w:t>
      </w:r>
      <w:r w:rsidR="00855765" w:rsidRPr="007F28C1">
        <w:rPr>
          <w:rFonts w:ascii="Times New Roman" w:eastAsia="Times New Roman" w:hAnsi="Times New Roman" w:cs="Times New Roman"/>
          <w:sz w:val="24"/>
          <w:szCs w:val="24"/>
          <w:lang w:eastAsia="pl-PL"/>
        </w:rPr>
        <w:t xml:space="preserve"> ust. </w:t>
      </w:r>
      <w:r w:rsidR="00EF71C3" w:rsidRPr="007F28C1">
        <w:rPr>
          <w:rFonts w:ascii="Times New Roman" w:eastAsia="Times New Roman" w:hAnsi="Times New Roman" w:cs="Times New Roman"/>
          <w:sz w:val="24"/>
          <w:szCs w:val="24"/>
          <w:lang w:eastAsia="pl-PL"/>
        </w:rPr>
        <w:t>3</w:t>
      </w:r>
      <w:r w:rsidR="008E019C" w:rsidRPr="007F28C1">
        <w:rPr>
          <w:rFonts w:ascii="Times New Roman" w:eastAsia="Times New Roman" w:hAnsi="Times New Roman" w:cs="Times New Roman"/>
          <w:sz w:val="24"/>
          <w:szCs w:val="24"/>
          <w:lang w:eastAsia="pl-PL"/>
        </w:rPr>
        <w:t>a</w:t>
      </w:r>
      <w:r w:rsidR="00855765" w:rsidRPr="007F28C1">
        <w:rPr>
          <w:rFonts w:ascii="Times New Roman" w:eastAsia="Times New Roman" w:hAnsi="Times New Roman" w:cs="Times New Roman"/>
          <w:sz w:val="24"/>
          <w:szCs w:val="24"/>
          <w:lang w:eastAsia="pl-PL"/>
        </w:rPr>
        <w:t xml:space="preserve"> P</w:t>
      </w:r>
      <w:r w:rsidR="00C92164" w:rsidRPr="007F28C1">
        <w:rPr>
          <w:rFonts w:ascii="Times New Roman" w:eastAsia="Times New Roman" w:hAnsi="Times New Roman" w:cs="Times New Roman"/>
          <w:sz w:val="24"/>
          <w:szCs w:val="24"/>
          <w:lang w:eastAsia="pl-PL"/>
        </w:rPr>
        <w:t>.</w:t>
      </w:r>
      <w:r w:rsidR="0085576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85576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855765"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zaproponowano wprowadzenie przepisów, które umożliwiałyby połączenie wydobywania węglowodorów ze złoża z zastosowaniem intensyfikacji wydobycia polegającej na</w:t>
      </w:r>
      <w:r w:rsidR="00855765"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zatłaczaniu dwutlenku węgla do złoża oraz jednoczesne składowanie dwutlenku węgla.</w:t>
      </w:r>
      <w:r w:rsidR="00DC1E76" w:rsidRPr="007F28C1">
        <w:rPr>
          <w:rFonts w:ascii="Times New Roman" w:eastAsia="Times New Roman" w:hAnsi="Times New Roman" w:cs="Times New Roman"/>
          <w:sz w:val="24"/>
          <w:szCs w:val="24"/>
          <w:lang w:eastAsia="pl-PL"/>
        </w:rPr>
        <w:t xml:space="preserve"> Jednocześnie nadal będzie możliwe </w:t>
      </w:r>
      <w:r w:rsidR="00855765" w:rsidRPr="007F28C1">
        <w:rPr>
          <w:rFonts w:ascii="Times New Roman" w:eastAsia="Times New Roman" w:hAnsi="Times New Roman" w:cs="Times New Roman"/>
          <w:sz w:val="24"/>
          <w:szCs w:val="24"/>
          <w:lang w:eastAsia="pl-PL"/>
        </w:rPr>
        <w:t>stosowanie zabiegów intensyfikacji wydobycia węglowodorów (z wykorzystaniem dwutlenku węgla) bez składowania dwutlenku węgla</w:t>
      </w:r>
      <w:r w:rsidR="004465C2" w:rsidRPr="007F28C1">
        <w:rPr>
          <w:rFonts w:ascii="Times New Roman" w:eastAsia="Times New Roman" w:hAnsi="Times New Roman" w:cs="Times New Roman"/>
          <w:sz w:val="24"/>
          <w:szCs w:val="24"/>
          <w:lang w:eastAsia="pl-PL"/>
        </w:rPr>
        <w:t>, co nie będzie wymagało stosowania przepisów dyrektywy CCS.</w:t>
      </w:r>
    </w:p>
    <w:p w14:paraId="63E69692" w14:textId="02F152F9" w:rsidR="000E1D5E" w:rsidRPr="007F28C1" w:rsidRDefault="00547905"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W związku z wprowadzeniem możliwości prowadzenia działalności w zakresie intensyfikacji wydobywania węglowodorów przez zatłaczanie dwutlenku węgla do eksploatowanego złoża w</w:t>
      </w:r>
      <w:r w:rsidR="00395401"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połączeniu z podziemnym składowaniem dwutlenku węgla, mając na względzie motyw 20</w:t>
      </w:r>
      <w:r w:rsidR="00B939FA" w:rsidRPr="007F28C1">
        <w:rPr>
          <w:rFonts w:ascii="Times New Roman" w:eastAsia="Times New Roman" w:hAnsi="Times New Roman" w:cs="Times New Roman"/>
          <w:sz w:val="24"/>
          <w:szCs w:val="24"/>
          <w:lang w:eastAsia="pl-PL"/>
        </w:rPr>
        <w:t>.</w:t>
      </w:r>
      <w:r w:rsidR="00FC29C8" w:rsidRPr="007F28C1">
        <w:rPr>
          <w:rFonts w:ascii="Times New Roman" w:eastAsia="Times New Roman" w:hAnsi="Times New Roman" w:cs="Times New Roman"/>
          <w:sz w:val="24"/>
          <w:szCs w:val="24"/>
          <w:lang w:eastAsia="pl-PL"/>
        </w:rPr>
        <w:t> </w:t>
      </w:r>
      <w:r w:rsidR="008E3865" w:rsidRPr="007F28C1">
        <w:rPr>
          <w:rFonts w:ascii="Times New Roman" w:eastAsia="Times New Roman" w:hAnsi="Times New Roman" w:cs="Times New Roman"/>
          <w:sz w:val="24"/>
          <w:szCs w:val="24"/>
          <w:lang w:eastAsia="pl-PL"/>
        </w:rPr>
        <w:t xml:space="preserve">preambuły </w:t>
      </w:r>
      <w:r w:rsidRPr="007F28C1">
        <w:rPr>
          <w:rFonts w:ascii="Times New Roman" w:eastAsia="Times New Roman" w:hAnsi="Times New Roman" w:cs="Times New Roman"/>
          <w:sz w:val="24"/>
          <w:szCs w:val="24"/>
          <w:lang w:eastAsia="pl-PL"/>
        </w:rPr>
        <w:t xml:space="preserve">dyrektywy CCS, </w:t>
      </w:r>
      <w:r w:rsidR="00C92164" w:rsidRPr="007F28C1">
        <w:rPr>
          <w:rFonts w:ascii="Times New Roman" w:eastAsia="Times New Roman" w:hAnsi="Times New Roman" w:cs="Times New Roman"/>
          <w:sz w:val="24"/>
          <w:szCs w:val="24"/>
          <w:lang w:eastAsia="pl-PL"/>
        </w:rPr>
        <w:t>dodano</w:t>
      </w:r>
      <w:r w:rsidR="00E03FE9" w:rsidRPr="007F28C1">
        <w:rPr>
          <w:rFonts w:ascii="Times New Roman" w:eastAsia="Times New Roman" w:hAnsi="Times New Roman" w:cs="Times New Roman"/>
          <w:sz w:val="24"/>
          <w:szCs w:val="24"/>
          <w:lang w:eastAsia="pl-PL"/>
        </w:rPr>
        <w:t xml:space="preserve"> </w:t>
      </w:r>
      <w:r w:rsidR="00261894" w:rsidRPr="007F28C1">
        <w:rPr>
          <w:rFonts w:ascii="Times New Roman" w:eastAsia="Times New Roman" w:hAnsi="Times New Roman" w:cs="Times New Roman"/>
          <w:sz w:val="24"/>
          <w:szCs w:val="24"/>
          <w:lang w:eastAsia="pl-PL"/>
        </w:rPr>
        <w:t xml:space="preserve">w </w:t>
      </w:r>
      <w:r w:rsidR="007A7448" w:rsidRPr="007F28C1">
        <w:rPr>
          <w:rFonts w:ascii="Times New Roman" w:eastAsia="Times New Roman" w:hAnsi="Times New Roman" w:cs="Times New Roman"/>
          <w:sz w:val="24"/>
          <w:szCs w:val="24"/>
          <w:lang w:eastAsia="pl-PL"/>
        </w:rPr>
        <w:t xml:space="preserve">art. 6 </w:t>
      </w:r>
      <w:r w:rsidR="00261894" w:rsidRPr="007F28C1">
        <w:rPr>
          <w:rFonts w:ascii="Times New Roman" w:eastAsia="Times New Roman" w:hAnsi="Times New Roman" w:cs="Times New Roman"/>
          <w:sz w:val="24"/>
          <w:szCs w:val="24"/>
          <w:lang w:eastAsia="pl-PL"/>
        </w:rPr>
        <w:t xml:space="preserve">w </w:t>
      </w:r>
      <w:r w:rsidR="007A7448" w:rsidRPr="007F28C1">
        <w:rPr>
          <w:rFonts w:ascii="Times New Roman" w:eastAsia="Times New Roman" w:hAnsi="Times New Roman" w:cs="Times New Roman"/>
          <w:sz w:val="24"/>
          <w:szCs w:val="24"/>
          <w:lang w:eastAsia="pl-PL"/>
        </w:rPr>
        <w:t>ust. 1 pkt 2</w:t>
      </w:r>
      <w:r w:rsidR="0071254F" w:rsidRPr="007F28C1">
        <w:rPr>
          <w:rFonts w:ascii="Times New Roman" w:eastAsia="Times New Roman" w:hAnsi="Times New Roman" w:cs="Times New Roman"/>
          <w:sz w:val="24"/>
          <w:szCs w:val="24"/>
          <w:lang w:eastAsia="pl-PL"/>
        </w:rPr>
        <w:t>b</w:t>
      </w:r>
      <w:r w:rsidR="007A7448" w:rsidRPr="007F28C1">
        <w:rPr>
          <w:rFonts w:ascii="Times New Roman" w:eastAsia="Times New Roman" w:hAnsi="Times New Roman" w:cs="Times New Roman"/>
          <w:sz w:val="24"/>
          <w:szCs w:val="24"/>
          <w:lang w:eastAsia="pl-PL"/>
        </w:rPr>
        <w:t xml:space="preserve"> </w:t>
      </w:r>
      <w:r w:rsidR="00E36415" w:rsidRPr="007F28C1">
        <w:rPr>
          <w:rFonts w:ascii="Times New Roman" w:eastAsia="Times New Roman" w:hAnsi="Times New Roman" w:cs="Times New Roman"/>
          <w:sz w:val="24"/>
          <w:szCs w:val="24"/>
          <w:lang w:eastAsia="pl-PL"/>
        </w:rPr>
        <w:t>P</w:t>
      </w:r>
      <w:r w:rsidR="00C92164"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 xml:space="preserve">. </w:t>
      </w:r>
      <w:r w:rsidR="007A7448" w:rsidRPr="007F28C1">
        <w:rPr>
          <w:rFonts w:ascii="Times New Roman" w:eastAsia="Times New Roman" w:hAnsi="Times New Roman" w:cs="Times New Roman"/>
          <w:sz w:val="24"/>
          <w:szCs w:val="24"/>
          <w:lang w:eastAsia="pl-PL"/>
        </w:rPr>
        <w:t xml:space="preserve">definicję </w:t>
      </w:r>
      <w:r w:rsidRPr="007F28C1">
        <w:rPr>
          <w:rFonts w:ascii="Times New Roman" w:eastAsia="Times New Roman" w:hAnsi="Times New Roman" w:cs="Times New Roman"/>
          <w:sz w:val="24"/>
          <w:szCs w:val="24"/>
          <w:lang w:eastAsia="pl-PL"/>
        </w:rPr>
        <w:t>intensyfikacji wydobycia</w:t>
      </w:r>
      <w:r w:rsidR="006B60C5" w:rsidRPr="007F28C1">
        <w:rPr>
          <w:rFonts w:ascii="Times New Roman" w:eastAsia="Times New Roman" w:hAnsi="Times New Roman" w:cs="Times New Roman"/>
          <w:sz w:val="24"/>
          <w:szCs w:val="24"/>
          <w:lang w:eastAsia="pl-PL"/>
        </w:rPr>
        <w:t xml:space="preserve"> węglowodorów</w:t>
      </w:r>
      <w:r w:rsidRPr="007F28C1">
        <w:rPr>
          <w:rFonts w:ascii="Times New Roman" w:eastAsia="Times New Roman" w:hAnsi="Times New Roman" w:cs="Times New Roman"/>
          <w:sz w:val="24"/>
          <w:szCs w:val="24"/>
          <w:lang w:eastAsia="pl-PL"/>
        </w:rPr>
        <w:t>. W</w:t>
      </w:r>
      <w:r w:rsidR="007A7448"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konsekwencji </w:t>
      </w:r>
      <w:r w:rsidR="00100F70" w:rsidRPr="007F28C1">
        <w:rPr>
          <w:rFonts w:ascii="Times New Roman" w:eastAsia="Times New Roman" w:hAnsi="Times New Roman" w:cs="Times New Roman"/>
          <w:sz w:val="24"/>
          <w:szCs w:val="24"/>
          <w:lang w:eastAsia="pl-PL"/>
        </w:rPr>
        <w:t xml:space="preserve">była </w:t>
      </w:r>
      <w:r w:rsidRPr="007F28C1">
        <w:rPr>
          <w:rFonts w:ascii="Times New Roman" w:eastAsia="Times New Roman" w:hAnsi="Times New Roman" w:cs="Times New Roman"/>
          <w:sz w:val="24"/>
          <w:szCs w:val="24"/>
          <w:lang w:eastAsia="pl-PL"/>
        </w:rPr>
        <w:t>konieczna również zmiana</w:t>
      </w:r>
      <w:r w:rsidR="00261894" w:rsidRPr="007F28C1">
        <w:rPr>
          <w:rFonts w:ascii="Times New Roman" w:eastAsia="Times New Roman" w:hAnsi="Times New Roman" w:cs="Times New Roman"/>
          <w:sz w:val="24"/>
          <w:szCs w:val="24"/>
          <w:lang w:eastAsia="pl-PL"/>
        </w:rPr>
        <w:t xml:space="preserve"> w</w:t>
      </w:r>
      <w:r w:rsidRPr="007F28C1">
        <w:rPr>
          <w:rFonts w:ascii="Times New Roman" w:eastAsia="Times New Roman" w:hAnsi="Times New Roman" w:cs="Times New Roman"/>
          <w:sz w:val="24"/>
          <w:szCs w:val="24"/>
          <w:lang w:eastAsia="pl-PL"/>
        </w:rPr>
        <w:t xml:space="preserve"> </w:t>
      </w:r>
      <w:r w:rsidR="007A7448" w:rsidRPr="007F28C1">
        <w:rPr>
          <w:rFonts w:ascii="Times New Roman" w:eastAsia="Times New Roman" w:hAnsi="Times New Roman" w:cs="Times New Roman"/>
          <w:sz w:val="24"/>
          <w:szCs w:val="24"/>
          <w:lang w:eastAsia="pl-PL"/>
        </w:rPr>
        <w:t xml:space="preserve">art. 6 ust. 1 pkt 16a </w:t>
      </w:r>
      <w:r w:rsidR="00E36415" w:rsidRPr="007F28C1">
        <w:rPr>
          <w:rFonts w:ascii="Times New Roman" w:eastAsia="Times New Roman" w:hAnsi="Times New Roman" w:cs="Times New Roman"/>
          <w:sz w:val="24"/>
          <w:szCs w:val="24"/>
          <w:lang w:eastAsia="pl-PL"/>
        </w:rPr>
        <w:t>P</w:t>
      </w:r>
      <w:r w:rsidR="00C92164"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C92164" w:rsidRPr="007F28C1">
        <w:rPr>
          <w:rFonts w:ascii="Times New Roman" w:eastAsia="Times New Roman" w:hAnsi="Times New Roman" w:cs="Times New Roman"/>
          <w:sz w:val="24"/>
          <w:szCs w:val="24"/>
          <w:lang w:eastAsia="pl-PL"/>
        </w:rPr>
        <w:t>.</w:t>
      </w:r>
      <w:r w:rsidR="007A7448"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definicji wycieku</w:t>
      </w:r>
      <w:r w:rsidRPr="007F28C1">
        <w:rPr>
          <w:rFonts w:ascii="Times New Roman" w:hAnsi="Times New Roman" w:cs="Times New Roman"/>
          <w:sz w:val="24"/>
          <w:szCs w:val="24"/>
        </w:rPr>
        <w:t xml:space="preserve"> dwutlenku węgla.</w:t>
      </w:r>
      <w:r w:rsidR="00DD704D" w:rsidRPr="007F28C1">
        <w:rPr>
          <w:rFonts w:ascii="Times New Roman" w:hAnsi="Times New Roman" w:cs="Times New Roman"/>
          <w:sz w:val="24"/>
          <w:szCs w:val="24"/>
        </w:rPr>
        <w:t xml:space="preserve"> </w:t>
      </w:r>
      <w:r w:rsidR="000E1D5E" w:rsidRPr="007F28C1">
        <w:rPr>
          <w:rFonts w:ascii="Times New Roman" w:eastAsia="Times New Roman" w:hAnsi="Times New Roman" w:cs="Times New Roman"/>
          <w:sz w:val="24"/>
          <w:szCs w:val="24"/>
          <w:lang w:eastAsia="pl-PL"/>
        </w:rPr>
        <w:t>Powyższe rozwiązanie wymaga uwzględnienia w</w:t>
      </w:r>
      <w:r w:rsidR="00042D3C" w:rsidRPr="007F28C1">
        <w:rPr>
          <w:rFonts w:ascii="Times New Roman" w:eastAsia="Times New Roman" w:hAnsi="Times New Roman" w:cs="Times New Roman"/>
          <w:sz w:val="24"/>
          <w:szCs w:val="24"/>
          <w:lang w:eastAsia="pl-PL"/>
        </w:rPr>
        <w:t> </w:t>
      </w:r>
      <w:r w:rsidR="000E1D5E" w:rsidRPr="007F28C1">
        <w:rPr>
          <w:rFonts w:ascii="Times New Roman" w:eastAsia="Times New Roman" w:hAnsi="Times New Roman" w:cs="Times New Roman"/>
          <w:sz w:val="24"/>
          <w:szCs w:val="24"/>
          <w:lang w:eastAsia="pl-PL"/>
        </w:rPr>
        <w:t>koncesji na wydobywanie węglowodorów albo w</w:t>
      </w:r>
      <w:r w:rsidR="00DD704D" w:rsidRPr="007F28C1">
        <w:rPr>
          <w:rFonts w:ascii="Times New Roman" w:eastAsia="Times New Roman" w:hAnsi="Times New Roman" w:cs="Times New Roman"/>
          <w:sz w:val="24"/>
          <w:szCs w:val="24"/>
          <w:lang w:eastAsia="pl-PL"/>
        </w:rPr>
        <w:t> </w:t>
      </w:r>
      <w:r w:rsidR="000E1D5E" w:rsidRPr="007F28C1">
        <w:rPr>
          <w:rFonts w:ascii="Times New Roman" w:eastAsia="Times New Roman" w:hAnsi="Times New Roman" w:cs="Times New Roman"/>
          <w:sz w:val="24"/>
          <w:szCs w:val="24"/>
          <w:lang w:eastAsia="pl-PL"/>
        </w:rPr>
        <w:t>decyzji inwestycyjnej warunków wykonywania działalności w</w:t>
      </w:r>
      <w:r w:rsidR="00855765" w:rsidRPr="007F28C1">
        <w:rPr>
          <w:rFonts w:ascii="Times New Roman" w:eastAsia="Times New Roman" w:hAnsi="Times New Roman" w:cs="Times New Roman"/>
          <w:sz w:val="24"/>
          <w:szCs w:val="24"/>
          <w:lang w:eastAsia="pl-PL"/>
        </w:rPr>
        <w:t> </w:t>
      </w:r>
      <w:r w:rsidR="000E1D5E" w:rsidRPr="007F28C1">
        <w:rPr>
          <w:rFonts w:ascii="Times New Roman" w:eastAsia="Times New Roman" w:hAnsi="Times New Roman" w:cs="Times New Roman"/>
          <w:sz w:val="24"/>
          <w:szCs w:val="24"/>
          <w:lang w:eastAsia="pl-PL"/>
        </w:rPr>
        <w:t>zakresie CCS (m.in. wprowadzenie dodatkowego zabezpieczenia finansowego, zabezpieczenia środków ustanawianych w celu finansowania realizacji zadań K</w:t>
      </w:r>
      <w:r w:rsidR="001C26C3" w:rsidRPr="007F28C1">
        <w:rPr>
          <w:rFonts w:ascii="Times New Roman" w:eastAsia="Times New Roman" w:hAnsi="Times New Roman" w:cs="Times New Roman"/>
          <w:sz w:val="24"/>
          <w:szCs w:val="24"/>
          <w:lang w:eastAsia="pl-PL"/>
        </w:rPr>
        <w:t xml:space="preserve">rajowego </w:t>
      </w:r>
      <w:r w:rsidR="000E1D5E" w:rsidRPr="007F28C1">
        <w:rPr>
          <w:rFonts w:ascii="Times New Roman" w:eastAsia="Times New Roman" w:hAnsi="Times New Roman" w:cs="Times New Roman"/>
          <w:sz w:val="24"/>
          <w:szCs w:val="24"/>
          <w:lang w:eastAsia="pl-PL"/>
        </w:rPr>
        <w:t>A</w:t>
      </w:r>
      <w:r w:rsidR="001C26C3" w:rsidRPr="007F28C1">
        <w:rPr>
          <w:rFonts w:ascii="Times New Roman" w:eastAsia="Times New Roman" w:hAnsi="Times New Roman" w:cs="Times New Roman"/>
          <w:sz w:val="24"/>
          <w:szCs w:val="24"/>
          <w:lang w:eastAsia="pl-PL"/>
        </w:rPr>
        <w:t xml:space="preserve">dministratora </w:t>
      </w:r>
      <w:r w:rsidR="000E1D5E" w:rsidRPr="007F28C1">
        <w:rPr>
          <w:rFonts w:ascii="Times New Roman" w:eastAsia="Times New Roman" w:hAnsi="Times New Roman" w:cs="Times New Roman"/>
          <w:sz w:val="24"/>
          <w:szCs w:val="24"/>
          <w:lang w:eastAsia="pl-PL"/>
        </w:rPr>
        <w:t>P</w:t>
      </w:r>
      <w:r w:rsidR="00C451C0" w:rsidRPr="007F28C1">
        <w:rPr>
          <w:rFonts w:ascii="Times New Roman" w:eastAsia="Times New Roman" w:hAnsi="Times New Roman" w:cs="Times New Roman"/>
          <w:sz w:val="24"/>
          <w:szCs w:val="24"/>
          <w:lang w:eastAsia="pl-PL"/>
        </w:rPr>
        <w:t xml:space="preserve">odziemnych </w:t>
      </w:r>
      <w:r w:rsidR="000E1D5E" w:rsidRPr="007F28C1">
        <w:rPr>
          <w:rFonts w:ascii="Times New Roman" w:eastAsia="Times New Roman" w:hAnsi="Times New Roman" w:cs="Times New Roman"/>
          <w:sz w:val="24"/>
          <w:szCs w:val="24"/>
          <w:lang w:eastAsia="pl-PL"/>
        </w:rPr>
        <w:t>S</w:t>
      </w:r>
      <w:r w:rsidR="00C451C0" w:rsidRPr="007F28C1">
        <w:rPr>
          <w:rFonts w:ascii="Times New Roman" w:eastAsia="Times New Roman" w:hAnsi="Times New Roman" w:cs="Times New Roman"/>
          <w:sz w:val="24"/>
          <w:szCs w:val="24"/>
          <w:lang w:eastAsia="pl-PL"/>
        </w:rPr>
        <w:t>kładowisk</w:t>
      </w:r>
      <w:r w:rsidR="000E1D5E" w:rsidRPr="007F28C1">
        <w:rPr>
          <w:rFonts w:ascii="Times New Roman" w:eastAsia="Times New Roman" w:hAnsi="Times New Roman" w:cs="Times New Roman"/>
          <w:sz w:val="24"/>
          <w:szCs w:val="24"/>
          <w:lang w:eastAsia="pl-PL"/>
        </w:rPr>
        <w:t xml:space="preserve"> </w:t>
      </w:r>
      <w:r w:rsidR="00C451C0" w:rsidRPr="007F28C1">
        <w:rPr>
          <w:rFonts w:ascii="Times New Roman" w:eastAsia="Times New Roman" w:hAnsi="Times New Roman" w:cs="Times New Roman"/>
          <w:sz w:val="24"/>
          <w:szCs w:val="24"/>
          <w:lang w:eastAsia="pl-PL"/>
        </w:rPr>
        <w:t xml:space="preserve">Dwutlenku Węgla (dalej „KAPS </w:t>
      </w:r>
      <w:r w:rsidR="000E1D5E" w:rsidRPr="007F28C1">
        <w:rPr>
          <w:rFonts w:ascii="Times New Roman" w:eastAsia="Times New Roman" w:hAnsi="Times New Roman" w:cs="Times New Roman"/>
          <w:sz w:val="24"/>
          <w:szCs w:val="24"/>
          <w:lang w:eastAsia="pl-PL"/>
        </w:rPr>
        <w:t>CO</w:t>
      </w:r>
      <w:r w:rsidR="000E1D5E" w:rsidRPr="007F28C1">
        <w:rPr>
          <w:rFonts w:ascii="Times New Roman" w:eastAsia="Times New Roman" w:hAnsi="Times New Roman" w:cs="Times New Roman"/>
          <w:sz w:val="24"/>
          <w:szCs w:val="24"/>
          <w:vertAlign w:val="subscript"/>
          <w:lang w:eastAsia="pl-PL"/>
        </w:rPr>
        <w:t>2</w:t>
      </w:r>
      <w:r w:rsidR="00C451C0" w:rsidRPr="007F28C1">
        <w:rPr>
          <w:rFonts w:ascii="Times New Roman" w:hAnsi="Times New Roman" w:cs="Times New Roman"/>
          <w:sz w:val="24"/>
          <w:szCs w:val="24"/>
        </w:rPr>
        <w:t>”</w:t>
      </w:r>
      <w:r w:rsidR="00C451C0" w:rsidRPr="007F28C1">
        <w:rPr>
          <w:rFonts w:ascii="Times New Roman" w:eastAsia="Times New Roman" w:hAnsi="Times New Roman" w:cs="Times New Roman"/>
          <w:sz w:val="24"/>
          <w:szCs w:val="24"/>
          <w:lang w:eastAsia="pl-PL"/>
        </w:rPr>
        <w:t>)</w:t>
      </w:r>
      <w:r w:rsidR="00C451C0" w:rsidRPr="007F28C1">
        <w:rPr>
          <w:rFonts w:ascii="Times New Roman" w:eastAsia="Times New Roman" w:hAnsi="Times New Roman" w:cs="Times New Roman"/>
          <w:sz w:val="24"/>
          <w:szCs w:val="24"/>
          <w:vertAlign w:val="subscript"/>
          <w:lang w:eastAsia="pl-PL"/>
        </w:rPr>
        <w:t xml:space="preserve"> </w:t>
      </w:r>
      <w:r w:rsidR="000E1D5E" w:rsidRPr="007F28C1">
        <w:rPr>
          <w:rFonts w:ascii="Times New Roman" w:eastAsia="Times New Roman" w:hAnsi="Times New Roman" w:cs="Times New Roman"/>
          <w:sz w:val="24"/>
          <w:szCs w:val="24"/>
          <w:lang w:eastAsia="pl-PL"/>
        </w:rPr>
        <w:t>po</w:t>
      </w:r>
      <w:r w:rsidR="00DA07DC" w:rsidRPr="007F28C1">
        <w:rPr>
          <w:rFonts w:ascii="Times New Roman" w:eastAsia="Times New Roman" w:hAnsi="Times New Roman" w:cs="Times New Roman"/>
          <w:sz w:val="24"/>
          <w:szCs w:val="24"/>
          <w:lang w:eastAsia="pl-PL"/>
        </w:rPr>
        <w:t> </w:t>
      </w:r>
      <w:r w:rsidR="000E1D5E" w:rsidRPr="007F28C1">
        <w:rPr>
          <w:rFonts w:ascii="Times New Roman" w:eastAsia="Times New Roman" w:hAnsi="Times New Roman" w:cs="Times New Roman"/>
          <w:sz w:val="24"/>
          <w:szCs w:val="24"/>
          <w:lang w:eastAsia="pl-PL"/>
        </w:rPr>
        <w:t>przekazaniu mu odpowiedzialności za zamknięte podziemne składowisko dwutlenku węgla, obowiązkowego monitoringu).</w:t>
      </w:r>
    </w:p>
    <w:p w14:paraId="29308BC4" w14:textId="03EAF86F" w:rsidR="00DD704D" w:rsidRPr="007F28C1" w:rsidRDefault="00DD704D"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W konsekwencji wprowadzenia możliwości wykonywania działalności w zakresie wydobywania węglowodorów w połączeniu z podziemnym składowaniem dwutlenku węgla</w:t>
      </w:r>
      <w:r w:rsidR="00442E59" w:rsidRPr="007F28C1">
        <w:rPr>
          <w:rFonts w:ascii="Times New Roman" w:eastAsia="Times New Roman" w:hAnsi="Times New Roman" w:cs="Times New Roman"/>
          <w:sz w:val="24"/>
          <w:szCs w:val="24"/>
          <w:lang w:eastAsia="pl-PL"/>
        </w:rPr>
        <w:t xml:space="preserve"> oraz definicji intensyfikacji wydobycia węglowodorów</w:t>
      </w:r>
      <w:r w:rsidRPr="007F28C1">
        <w:rPr>
          <w:rFonts w:ascii="Times New Roman" w:eastAsia="Times New Roman" w:hAnsi="Times New Roman" w:cs="Times New Roman"/>
          <w:sz w:val="24"/>
          <w:szCs w:val="24"/>
          <w:lang w:eastAsia="pl-PL"/>
        </w:rPr>
        <w:t xml:space="preserve"> wprowadzono następujące zmiany porządkowe:</w:t>
      </w:r>
    </w:p>
    <w:p w14:paraId="1E6D572C" w14:textId="6E57A407" w:rsidR="000E1D5E" w:rsidRPr="007F28C1" w:rsidRDefault="00065151"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zmiana </w:t>
      </w:r>
      <w:r w:rsidR="004465C2" w:rsidRPr="007F28C1">
        <w:rPr>
          <w:rFonts w:ascii="Times New Roman" w:eastAsia="Times New Roman" w:hAnsi="Times New Roman" w:cs="Times New Roman"/>
          <w:sz w:val="24"/>
          <w:szCs w:val="24"/>
          <w:lang w:eastAsia="pl-PL"/>
        </w:rPr>
        <w:t xml:space="preserve">w </w:t>
      </w:r>
      <w:r w:rsidR="00EF71C3" w:rsidRPr="007F28C1">
        <w:rPr>
          <w:rFonts w:ascii="Times New Roman" w:eastAsia="Times New Roman" w:hAnsi="Times New Roman" w:cs="Times New Roman"/>
          <w:sz w:val="24"/>
          <w:szCs w:val="24"/>
          <w:lang w:eastAsia="pl-PL"/>
        </w:rPr>
        <w:t>art. 26 ust. 1 pkt 5 P</w:t>
      </w:r>
      <w:r w:rsidR="006D6671" w:rsidRPr="007F28C1">
        <w:rPr>
          <w:rFonts w:ascii="Times New Roman" w:eastAsia="Times New Roman" w:hAnsi="Times New Roman" w:cs="Times New Roman"/>
          <w:sz w:val="24"/>
          <w:szCs w:val="24"/>
          <w:lang w:eastAsia="pl-PL"/>
        </w:rPr>
        <w:t>.</w:t>
      </w:r>
      <w:r w:rsidR="00EF71C3"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F71C3"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04DF169A" w14:textId="333C9090" w:rsidR="00442E59" w:rsidRPr="007F28C1" w:rsidRDefault="00065151"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zmiana</w:t>
      </w:r>
      <w:r w:rsidR="00E03FE9" w:rsidRPr="007F28C1">
        <w:rPr>
          <w:rFonts w:ascii="Times New Roman" w:eastAsia="Times New Roman" w:hAnsi="Times New Roman" w:cs="Times New Roman"/>
          <w:sz w:val="24"/>
          <w:szCs w:val="24"/>
          <w:lang w:eastAsia="pl-PL"/>
        </w:rPr>
        <w:t xml:space="preserve"> </w:t>
      </w:r>
      <w:r w:rsidR="004465C2" w:rsidRPr="007F28C1">
        <w:rPr>
          <w:rFonts w:ascii="Times New Roman" w:eastAsia="Times New Roman" w:hAnsi="Times New Roman" w:cs="Times New Roman"/>
          <w:sz w:val="24"/>
          <w:szCs w:val="24"/>
          <w:lang w:eastAsia="pl-PL"/>
        </w:rPr>
        <w:t xml:space="preserve">w </w:t>
      </w:r>
      <w:r w:rsidR="00442E59" w:rsidRPr="007F28C1">
        <w:rPr>
          <w:rFonts w:ascii="Times New Roman" w:eastAsia="Times New Roman" w:hAnsi="Times New Roman" w:cs="Times New Roman"/>
          <w:sz w:val="24"/>
          <w:szCs w:val="24"/>
          <w:lang w:eastAsia="pl-PL"/>
        </w:rPr>
        <w:t>art. 32 ust. 4 pkt 1 P</w:t>
      </w:r>
      <w:r w:rsidR="006D6671" w:rsidRPr="007F28C1">
        <w:rPr>
          <w:rFonts w:ascii="Times New Roman" w:eastAsia="Times New Roman" w:hAnsi="Times New Roman" w:cs="Times New Roman"/>
          <w:sz w:val="24"/>
          <w:szCs w:val="24"/>
          <w:lang w:eastAsia="pl-PL"/>
        </w:rPr>
        <w:t>.</w:t>
      </w:r>
      <w:r w:rsidR="00442E59"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442E59"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0B6127C9" w14:textId="3582AD12" w:rsidR="008720B7" w:rsidRPr="007F28C1" w:rsidRDefault="006D6671"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dodanie </w:t>
      </w:r>
      <w:r w:rsidR="004465C2" w:rsidRPr="007F28C1">
        <w:rPr>
          <w:rFonts w:ascii="Times New Roman" w:eastAsia="Times New Roman" w:hAnsi="Times New Roman" w:cs="Times New Roman"/>
          <w:sz w:val="24"/>
          <w:szCs w:val="24"/>
          <w:lang w:eastAsia="pl-PL"/>
        </w:rPr>
        <w:t xml:space="preserve">w </w:t>
      </w:r>
      <w:r w:rsidR="008720B7" w:rsidRPr="007F28C1">
        <w:rPr>
          <w:rFonts w:ascii="Times New Roman" w:eastAsia="Times New Roman" w:hAnsi="Times New Roman" w:cs="Times New Roman"/>
          <w:sz w:val="24"/>
          <w:szCs w:val="24"/>
          <w:lang w:eastAsia="pl-PL"/>
        </w:rPr>
        <w:t>art. 39 ust. 1a</w:t>
      </w:r>
      <w:r w:rsidR="00473760" w:rsidRPr="007F28C1">
        <w:rPr>
          <w:rFonts w:ascii="Times New Roman" w:eastAsia="Times New Roman" w:hAnsi="Times New Roman" w:cs="Times New Roman"/>
          <w:sz w:val="24"/>
          <w:szCs w:val="24"/>
          <w:lang w:eastAsia="pl-PL"/>
        </w:rPr>
        <w:t xml:space="preserve"> i 1b</w:t>
      </w:r>
      <w:r w:rsidR="008720B7" w:rsidRPr="007F28C1">
        <w:rPr>
          <w:rFonts w:ascii="Times New Roman" w:eastAsia="Times New Roman" w:hAnsi="Times New Roman" w:cs="Times New Roman"/>
          <w:sz w:val="24"/>
          <w:szCs w:val="24"/>
          <w:lang w:eastAsia="pl-PL"/>
        </w:rPr>
        <w:t xml:space="preserve"> P</w:t>
      </w:r>
      <w:r w:rsidRPr="007F28C1">
        <w:rPr>
          <w:rFonts w:ascii="Times New Roman" w:eastAsia="Times New Roman" w:hAnsi="Times New Roman" w:cs="Times New Roman"/>
          <w:sz w:val="24"/>
          <w:szCs w:val="24"/>
          <w:lang w:eastAsia="pl-PL"/>
        </w:rPr>
        <w:t>.</w:t>
      </w:r>
      <w:r w:rsidR="008720B7"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w:t>
      </w:r>
      <w:r w:rsidR="008720B7"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1329A6EB" w14:textId="0753E40C" w:rsidR="00F02DD2" w:rsidRPr="007F28C1" w:rsidRDefault="00065151"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zmiana </w:t>
      </w:r>
      <w:r w:rsidR="004465C2" w:rsidRPr="007F28C1">
        <w:rPr>
          <w:rFonts w:ascii="Times New Roman" w:eastAsia="Times New Roman" w:hAnsi="Times New Roman" w:cs="Times New Roman"/>
          <w:sz w:val="24"/>
          <w:szCs w:val="24"/>
          <w:lang w:eastAsia="pl-PL"/>
        </w:rPr>
        <w:t xml:space="preserve">w </w:t>
      </w:r>
      <w:r w:rsidR="00F02DD2" w:rsidRPr="007F28C1">
        <w:rPr>
          <w:rFonts w:ascii="Times New Roman" w:eastAsia="Times New Roman" w:hAnsi="Times New Roman" w:cs="Times New Roman"/>
          <w:sz w:val="24"/>
          <w:szCs w:val="24"/>
          <w:lang w:eastAsia="pl-PL"/>
        </w:rPr>
        <w:t>art. 49eb ust. 1 pkt 5 lit</w:t>
      </w:r>
      <w:r w:rsidR="000B2B42">
        <w:rPr>
          <w:rFonts w:ascii="Times New Roman" w:eastAsia="Times New Roman" w:hAnsi="Times New Roman" w:cs="Times New Roman"/>
          <w:sz w:val="24"/>
          <w:szCs w:val="24"/>
          <w:lang w:eastAsia="pl-PL"/>
        </w:rPr>
        <w:t>.</w:t>
      </w:r>
      <w:r w:rsidR="00F02DD2" w:rsidRPr="007F28C1">
        <w:rPr>
          <w:rFonts w:ascii="Times New Roman" w:eastAsia="Times New Roman" w:hAnsi="Times New Roman" w:cs="Times New Roman"/>
          <w:sz w:val="24"/>
          <w:szCs w:val="24"/>
          <w:lang w:eastAsia="pl-PL"/>
        </w:rPr>
        <w:t xml:space="preserve"> d</w:t>
      </w:r>
      <w:r w:rsidRPr="007F28C1">
        <w:rPr>
          <w:rFonts w:ascii="Times New Roman" w:eastAsia="Times New Roman" w:hAnsi="Times New Roman" w:cs="Times New Roman"/>
          <w:sz w:val="24"/>
          <w:szCs w:val="24"/>
          <w:lang w:eastAsia="pl-PL"/>
        </w:rPr>
        <w:t xml:space="preserve"> oraz</w:t>
      </w:r>
      <w:r w:rsidR="006D6671" w:rsidRPr="007F28C1">
        <w:rPr>
          <w:rFonts w:ascii="Times New Roman" w:eastAsia="Times New Roman" w:hAnsi="Times New Roman" w:cs="Times New Roman"/>
          <w:sz w:val="24"/>
          <w:szCs w:val="24"/>
          <w:lang w:eastAsia="pl-PL"/>
        </w:rPr>
        <w:t xml:space="preserve"> dodanie</w:t>
      </w:r>
      <w:r w:rsidRPr="007F28C1">
        <w:rPr>
          <w:rFonts w:ascii="Times New Roman" w:eastAsia="Times New Roman" w:hAnsi="Times New Roman" w:cs="Times New Roman"/>
          <w:sz w:val="24"/>
          <w:szCs w:val="24"/>
          <w:lang w:eastAsia="pl-PL"/>
        </w:rPr>
        <w:t xml:space="preserve"> </w:t>
      </w:r>
      <w:r w:rsidR="00F02DD2" w:rsidRPr="007F28C1">
        <w:rPr>
          <w:rFonts w:ascii="Times New Roman" w:eastAsia="Times New Roman" w:hAnsi="Times New Roman" w:cs="Times New Roman"/>
          <w:sz w:val="24"/>
          <w:szCs w:val="24"/>
          <w:lang w:eastAsia="pl-PL"/>
        </w:rPr>
        <w:t>ust. 2a</w:t>
      </w:r>
      <w:r w:rsidR="00A33C61" w:rsidRPr="007F28C1">
        <w:rPr>
          <w:rFonts w:ascii="Times New Roman" w:eastAsia="Times New Roman" w:hAnsi="Times New Roman" w:cs="Times New Roman"/>
          <w:sz w:val="24"/>
          <w:szCs w:val="24"/>
          <w:lang w:eastAsia="pl-PL"/>
        </w:rPr>
        <w:t xml:space="preserve"> i </w:t>
      </w:r>
      <w:r w:rsidR="00F02DD2" w:rsidRPr="007F28C1">
        <w:rPr>
          <w:rFonts w:ascii="Times New Roman" w:eastAsia="Times New Roman" w:hAnsi="Times New Roman" w:cs="Times New Roman"/>
          <w:sz w:val="24"/>
          <w:szCs w:val="24"/>
          <w:lang w:eastAsia="pl-PL"/>
        </w:rPr>
        <w:t>2</w:t>
      </w:r>
      <w:r w:rsidR="00A33C61" w:rsidRPr="007F28C1">
        <w:rPr>
          <w:rFonts w:ascii="Times New Roman" w:eastAsia="Times New Roman" w:hAnsi="Times New Roman" w:cs="Times New Roman"/>
          <w:sz w:val="24"/>
          <w:szCs w:val="24"/>
          <w:lang w:eastAsia="pl-PL"/>
        </w:rPr>
        <w:t>b</w:t>
      </w:r>
      <w:r w:rsidR="00F02DD2" w:rsidRPr="007F28C1">
        <w:rPr>
          <w:rFonts w:ascii="Times New Roman" w:eastAsia="Times New Roman" w:hAnsi="Times New Roman" w:cs="Times New Roman"/>
          <w:sz w:val="24"/>
          <w:szCs w:val="24"/>
          <w:lang w:eastAsia="pl-PL"/>
        </w:rPr>
        <w:t xml:space="preserve"> P</w:t>
      </w:r>
      <w:r w:rsidR="006D6671" w:rsidRPr="007F28C1">
        <w:rPr>
          <w:rFonts w:ascii="Times New Roman" w:eastAsia="Times New Roman" w:hAnsi="Times New Roman" w:cs="Times New Roman"/>
          <w:sz w:val="24"/>
          <w:szCs w:val="24"/>
          <w:lang w:eastAsia="pl-PL"/>
        </w:rPr>
        <w:t>.</w:t>
      </w:r>
      <w:r w:rsidR="00F02DD2"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F02DD2"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7E110995" w14:textId="4B41556C" w:rsidR="00442E59" w:rsidRPr="007F28C1" w:rsidRDefault="00065151"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zmiana </w:t>
      </w:r>
      <w:r w:rsidR="004465C2" w:rsidRPr="007F28C1">
        <w:rPr>
          <w:rFonts w:ascii="Times New Roman" w:eastAsia="Times New Roman" w:hAnsi="Times New Roman" w:cs="Times New Roman"/>
          <w:sz w:val="24"/>
          <w:szCs w:val="24"/>
          <w:lang w:eastAsia="pl-PL"/>
        </w:rPr>
        <w:t xml:space="preserve">w </w:t>
      </w:r>
      <w:r w:rsidR="003F43BC" w:rsidRPr="007F28C1">
        <w:rPr>
          <w:rFonts w:ascii="Times New Roman" w:eastAsia="Times New Roman" w:hAnsi="Times New Roman" w:cs="Times New Roman"/>
          <w:sz w:val="24"/>
          <w:szCs w:val="24"/>
          <w:lang w:eastAsia="pl-PL"/>
        </w:rPr>
        <w:t>art. 49w ust. 1 pkt 2 P</w:t>
      </w:r>
      <w:r w:rsidR="006D6671" w:rsidRPr="007F28C1">
        <w:rPr>
          <w:rFonts w:ascii="Times New Roman" w:eastAsia="Times New Roman" w:hAnsi="Times New Roman" w:cs="Times New Roman"/>
          <w:sz w:val="24"/>
          <w:szCs w:val="24"/>
          <w:lang w:eastAsia="pl-PL"/>
        </w:rPr>
        <w:t>.</w:t>
      </w:r>
      <w:r w:rsidR="003F43BC"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3F43BC"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3BEBEB02" w14:textId="2476FC35" w:rsidR="00A43D2A" w:rsidRPr="007F28C1" w:rsidRDefault="006D6671"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dodanie </w:t>
      </w:r>
      <w:r w:rsidR="00A43D2A" w:rsidRPr="007F28C1">
        <w:rPr>
          <w:rFonts w:ascii="Times New Roman" w:eastAsia="Times New Roman" w:hAnsi="Times New Roman" w:cs="Times New Roman"/>
          <w:sz w:val="24"/>
          <w:szCs w:val="24"/>
          <w:lang w:eastAsia="pl-PL"/>
        </w:rPr>
        <w:t xml:space="preserve">art. 49wa </w:t>
      </w:r>
      <w:r w:rsidR="00E36415" w:rsidRPr="007F28C1">
        <w:rPr>
          <w:rFonts w:ascii="Times New Roman" w:eastAsia="Times New Roman" w:hAnsi="Times New Roman" w:cs="Times New Roman"/>
          <w:sz w:val="24"/>
          <w:szCs w:val="24"/>
          <w:lang w:eastAsia="pl-PL"/>
        </w:rPr>
        <w:t>P</w:t>
      </w:r>
      <w:r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33FECD7A" w14:textId="03B64D48" w:rsidR="00A43D2A" w:rsidRPr="007F28C1" w:rsidRDefault="0090560C"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lastRenderedPageBreak/>
        <w:t xml:space="preserve">dodanie </w:t>
      </w:r>
      <w:r w:rsidR="00362025" w:rsidRPr="007F28C1">
        <w:rPr>
          <w:rFonts w:ascii="Times New Roman" w:eastAsia="Times New Roman" w:hAnsi="Times New Roman" w:cs="Times New Roman"/>
          <w:sz w:val="24"/>
          <w:szCs w:val="24"/>
          <w:lang w:eastAsia="pl-PL"/>
        </w:rPr>
        <w:t xml:space="preserve">w </w:t>
      </w:r>
      <w:r w:rsidR="00A43D2A" w:rsidRPr="007F28C1">
        <w:rPr>
          <w:rFonts w:ascii="Times New Roman" w:eastAsia="Times New Roman" w:hAnsi="Times New Roman" w:cs="Times New Roman"/>
          <w:sz w:val="24"/>
          <w:szCs w:val="24"/>
          <w:lang w:eastAsia="pl-PL"/>
        </w:rPr>
        <w:t>art. 49y</w:t>
      </w:r>
      <w:r w:rsidR="003F43BC" w:rsidRPr="007F28C1">
        <w:rPr>
          <w:rFonts w:ascii="Times New Roman" w:eastAsia="Times New Roman" w:hAnsi="Times New Roman" w:cs="Times New Roman"/>
          <w:sz w:val="24"/>
          <w:szCs w:val="24"/>
          <w:lang w:eastAsia="pl-PL"/>
        </w:rPr>
        <w:t xml:space="preserve"> ust.</w:t>
      </w:r>
      <w:r w:rsidR="00A43D2A" w:rsidRPr="007F28C1">
        <w:rPr>
          <w:rFonts w:ascii="Times New Roman" w:eastAsia="Times New Roman" w:hAnsi="Times New Roman" w:cs="Times New Roman"/>
          <w:sz w:val="24"/>
          <w:szCs w:val="24"/>
          <w:lang w:eastAsia="pl-PL"/>
        </w:rPr>
        <w:t xml:space="preserve"> 6b</w:t>
      </w:r>
      <w:r w:rsidR="00065151" w:rsidRPr="007F28C1">
        <w:rPr>
          <w:rFonts w:ascii="Times New Roman" w:eastAsia="Times New Roman" w:hAnsi="Times New Roman" w:cs="Times New Roman"/>
          <w:sz w:val="24"/>
          <w:szCs w:val="24"/>
          <w:lang w:eastAsia="pl-PL"/>
        </w:rPr>
        <w:t xml:space="preserve"> oraz</w:t>
      </w:r>
      <w:r w:rsidR="00E03FE9"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zmiana </w:t>
      </w:r>
      <w:r w:rsidR="00261894" w:rsidRPr="007F28C1">
        <w:rPr>
          <w:rFonts w:ascii="Times New Roman" w:eastAsia="Times New Roman" w:hAnsi="Times New Roman" w:cs="Times New Roman"/>
          <w:sz w:val="24"/>
          <w:szCs w:val="24"/>
          <w:lang w:eastAsia="pl-PL"/>
        </w:rPr>
        <w:t xml:space="preserve">ust. </w:t>
      </w:r>
      <w:r w:rsidR="00A43D2A" w:rsidRPr="007F28C1">
        <w:rPr>
          <w:rFonts w:ascii="Times New Roman" w:eastAsia="Times New Roman" w:hAnsi="Times New Roman" w:cs="Times New Roman"/>
          <w:sz w:val="24"/>
          <w:szCs w:val="24"/>
          <w:lang w:eastAsia="pl-PL"/>
        </w:rPr>
        <w:t>8</w:t>
      </w:r>
      <w:r w:rsidR="00261894" w:rsidRPr="007F28C1">
        <w:rPr>
          <w:rFonts w:ascii="Times New Roman" w:eastAsia="Times New Roman" w:hAnsi="Times New Roman" w:cs="Times New Roman"/>
          <w:sz w:val="24"/>
          <w:szCs w:val="24"/>
          <w:lang w:eastAsia="pl-PL"/>
        </w:rPr>
        <w:t xml:space="preserve"> i</w:t>
      </w:r>
      <w:r w:rsidR="00A43D2A" w:rsidRPr="007F28C1">
        <w:rPr>
          <w:rFonts w:ascii="Times New Roman" w:eastAsia="Times New Roman" w:hAnsi="Times New Roman" w:cs="Times New Roman"/>
          <w:sz w:val="24"/>
          <w:szCs w:val="24"/>
          <w:lang w:eastAsia="pl-PL"/>
        </w:rPr>
        <w:t xml:space="preserve"> 9 pkt 2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5E780DC9" w14:textId="03BF7656" w:rsidR="00A43D2A" w:rsidRPr="007F28C1" w:rsidRDefault="00261894"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zmiana</w:t>
      </w:r>
      <w:r w:rsidR="004465C2" w:rsidRPr="007F28C1">
        <w:rPr>
          <w:rFonts w:ascii="Times New Roman" w:eastAsia="Times New Roman" w:hAnsi="Times New Roman" w:cs="Times New Roman"/>
          <w:sz w:val="24"/>
          <w:szCs w:val="24"/>
          <w:lang w:eastAsia="pl-PL"/>
        </w:rPr>
        <w:t xml:space="preserve"> w</w:t>
      </w:r>
      <w:r w:rsidRPr="007F28C1">
        <w:rPr>
          <w:rFonts w:ascii="Times New Roman" w:eastAsia="Times New Roman" w:hAnsi="Times New Roman" w:cs="Times New Roman"/>
          <w:sz w:val="24"/>
          <w:szCs w:val="24"/>
          <w:lang w:eastAsia="pl-PL"/>
        </w:rPr>
        <w:t xml:space="preserve"> </w:t>
      </w:r>
      <w:r w:rsidR="00A43D2A" w:rsidRPr="007F28C1">
        <w:rPr>
          <w:rFonts w:ascii="Times New Roman" w:eastAsia="Times New Roman" w:hAnsi="Times New Roman" w:cs="Times New Roman"/>
          <w:sz w:val="24"/>
          <w:szCs w:val="24"/>
          <w:lang w:eastAsia="pl-PL"/>
        </w:rPr>
        <w:t>art. 49z ust. 3 pkt 6</w:t>
      </w:r>
      <w:r w:rsidR="00362025" w:rsidRPr="007F28C1">
        <w:rPr>
          <w:rFonts w:ascii="Times New Roman" w:eastAsia="Times New Roman" w:hAnsi="Times New Roman" w:cs="Times New Roman"/>
          <w:sz w:val="24"/>
          <w:szCs w:val="24"/>
          <w:lang w:eastAsia="pl-PL"/>
        </w:rPr>
        <w:t xml:space="preserve"> oraz</w:t>
      </w:r>
      <w:r w:rsidR="00A43D2A" w:rsidRPr="007F28C1">
        <w:rPr>
          <w:rFonts w:ascii="Times New Roman" w:eastAsia="Times New Roman" w:hAnsi="Times New Roman" w:cs="Times New Roman"/>
          <w:sz w:val="24"/>
          <w:szCs w:val="24"/>
          <w:lang w:eastAsia="pl-PL"/>
        </w:rPr>
        <w:t xml:space="preserve"> </w:t>
      </w:r>
      <w:r w:rsidR="0090560C" w:rsidRPr="007F28C1">
        <w:rPr>
          <w:rFonts w:ascii="Times New Roman" w:eastAsia="Times New Roman" w:hAnsi="Times New Roman" w:cs="Times New Roman"/>
          <w:sz w:val="24"/>
          <w:szCs w:val="24"/>
          <w:lang w:eastAsia="pl-PL"/>
        </w:rPr>
        <w:t xml:space="preserve">dodanie </w:t>
      </w:r>
      <w:r w:rsidR="00A43D2A" w:rsidRPr="007F28C1">
        <w:rPr>
          <w:rFonts w:ascii="Times New Roman" w:eastAsia="Times New Roman" w:hAnsi="Times New Roman" w:cs="Times New Roman"/>
          <w:sz w:val="24"/>
          <w:szCs w:val="24"/>
          <w:lang w:eastAsia="pl-PL"/>
        </w:rPr>
        <w:t xml:space="preserve">ust. 5 i 6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7CD6F70B" w14:textId="632B770A" w:rsidR="00A43D2A" w:rsidRPr="007F28C1" w:rsidRDefault="00261894"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zmiana</w:t>
      </w:r>
      <w:r w:rsidR="004465C2" w:rsidRPr="007F28C1">
        <w:rPr>
          <w:rFonts w:ascii="Times New Roman" w:eastAsia="Times New Roman" w:hAnsi="Times New Roman" w:cs="Times New Roman"/>
          <w:sz w:val="24"/>
          <w:szCs w:val="24"/>
          <w:lang w:eastAsia="pl-PL"/>
        </w:rPr>
        <w:t xml:space="preserve"> w</w:t>
      </w:r>
      <w:r w:rsidRPr="007F28C1">
        <w:rPr>
          <w:rFonts w:ascii="Times New Roman" w:eastAsia="Times New Roman" w:hAnsi="Times New Roman" w:cs="Times New Roman"/>
          <w:sz w:val="24"/>
          <w:szCs w:val="24"/>
          <w:lang w:eastAsia="pl-PL"/>
        </w:rPr>
        <w:t xml:space="preserve"> </w:t>
      </w:r>
      <w:r w:rsidR="00A43D2A" w:rsidRPr="007F28C1">
        <w:rPr>
          <w:rFonts w:ascii="Times New Roman" w:eastAsia="Times New Roman" w:hAnsi="Times New Roman" w:cs="Times New Roman"/>
          <w:sz w:val="24"/>
          <w:szCs w:val="24"/>
          <w:lang w:eastAsia="pl-PL"/>
        </w:rPr>
        <w:t>art. 49za ust. 1 pkt 4</w:t>
      </w:r>
      <w:r w:rsidR="00362025" w:rsidRPr="007F28C1">
        <w:rPr>
          <w:rFonts w:ascii="Times New Roman" w:eastAsia="Times New Roman" w:hAnsi="Times New Roman" w:cs="Times New Roman"/>
          <w:sz w:val="24"/>
          <w:szCs w:val="24"/>
          <w:lang w:eastAsia="pl-PL"/>
        </w:rPr>
        <w:t xml:space="preserve"> oraz</w:t>
      </w:r>
      <w:r w:rsidR="00A43D2A" w:rsidRPr="007F28C1">
        <w:rPr>
          <w:rFonts w:ascii="Times New Roman" w:eastAsia="Times New Roman" w:hAnsi="Times New Roman" w:cs="Times New Roman"/>
          <w:sz w:val="24"/>
          <w:szCs w:val="24"/>
          <w:lang w:eastAsia="pl-PL"/>
        </w:rPr>
        <w:t xml:space="preserve"> </w:t>
      </w:r>
      <w:r w:rsidR="0090560C" w:rsidRPr="007F28C1">
        <w:rPr>
          <w:rFonts w:ascii="Times New Roman" w:eastAsia="Times New Roman" w:hAnsi="Times New Roman" w:cs="Times New Roman"/>
          <w:sz w:val="24"/>
          <w:szCs w:val="24"/>
          <w:lang w:eastAsia="pl-PL"/>
        </w:rPr>
        <w:t xml:space="preserve">dodanie </w:t>
      </w:r>
      <w:r w:rsidR="00A43D2A" w:rsidRPr="007F28C1">
        <w:rPr>
          <w:rFonts w:ascii="Times New Roman" w:eastAsia="Times New Roman" w:hAnsi="Times New Roman" w:cs="Times New Roman"/>
          <w:sz w:val="24"/>
          <w:szCs w:val="24"/>
          <w:lang w:eastAsia="pl-PL"/>
        </w:rPr>
        <w:t>ust. 2</w:t>
      </w:r>
      <w:r w:rsidR="0090560C" w:rsidRPr="007F28C1">
        <w:rPr>
          <w:rFonts w:ascii="Times New Roman" w:eastAsia="Times New Roman" w:hAnsi="Times New Roman" w:cs="Times New Roman"/>
          <w:sz w:val="24"/>
          <w:szCs w:val="24"/>
          <w:lang w:eastAsia="pl-PL"/>
        </w:rPr>
        <w:t>a</w:t>
      </w:r>
      <w:r w:rsidR="00A43D2A" w:rsidRPr="007F28C1">
        <w:rPr>
          <w:rFonts w:ascii="Times New Roman" w:eastAsia="Times New Roman" w:hAnsi="Times New Roman" w:cs="Times New Roman"/>
          <w:sz w:val="24"/>
          <w:szCs w:val="24"/>
          <w:lang w:eastAsia="pl-PL"/>
        </w:rPr>
        <w:t xml:space="preserve">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781E220C" w14:textId="1582A482" w:rsidR="00A43D2A" w:rsidRPr="007F28C1" w:rsidRDefault="0090560C"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dodanie </w:t>
      </w:r>
      <w:r w:rsidR="00362025" w:rsidRPr="007F28C1">
        <w:rPr>
          <w:rFonts w:ascii="Times New Roman" w:eastAsia="Times New Roman" w:hAnsi="Times New Roman" w:cs="Times New Roman"/>
          <w:sz w:val="24"/>
          <w:szCs w:val="24"/>
          <w:lang w:eastAsia="pl-PL"/>
        </w:rPr>
        <w:t xml:space="preserve">w </w:t>
      </w:r>
      <w:r w:rsidR="00A43D2A" w:rsidRPr="007F28C1">
        <w:rPr>
          <w:rFonts w:ascii="Times New Roman" w:eastAsia="Times New Roman" w:hAnsi="Times New Roman" w:cs="Times New Roman"/>
          <w:sz w:val="24"/>
          <w:szCs w:val="24"/>
          <w:lang w:eastAsia="pl-PL"/>
        </w:rPr>
        <w:t xml:space="preserve">art. 49zd ust. 7a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0E7BF4D7" w14:textId="4FEDDBF4" w:rsidR="00A43D2A" w:rsidRPr="007F28C1" w:rsidRDefault="0090560C"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dodanie w </w:t>
      </w:r>
      <w:r w:rsidR="00A43D2A" w:rsidRPr="007F28C1">
        <w:rPr>
          <w:rFonts w:ascii="Times New Roman" w:eastAsia="Times New Roman" w:hAnsi="Times New Roman" w:cs="Times New Roman"/>
          <w:sz w:val="24"/>
          <w:szCs w:val="24"/>
          <w:lang w:eastAsia="pl-PL"/>
        </w:rPr>
        <w:t xml:space="preserve">art. 49ze ust. 1 pkt </w:t>
      </w:r>
      <w:r w:rsidR="008C1DD9" w:rsidRPr="007F28C1">
        <w:rPr>
          <w:rFonts w:ascii="Times New Roman" w:eastAsia="Times New Roman" w:hAnsi="Times New Roman" w:cs="Times New Roman"/>
          <w:sz w:val="24"/>
          <w:szCs w:val="24"/>
          <w:lang w:eastAsia="pl-PL"/>
        </w:rPr>
        <w:t>3</w:t>
      </w:r>
      <w:r w:rsidRPr="007F28C1">
        <w:rPr>
          <w:rFonts w:ascii="Times New Roman" w:eastAsia="Times New Roman" w:hAnsi="Times New Roman" w:cs="Times New Roman"/>
          <w:sz w:val="24"/>
          <w:szCs w:val="24"/>
          <w:lang w:eastAsia="pl-PL"/>
        </w:rPr>
        <w:t xml:space="preserve"> oraz</w:t>
      </w:r>
      <w:r w:rsidR="005B7604" w:rsidRPr="007F28C1">
        <w:rPr>
          <w:rFonts w:ascii="Times New Roman" w:eastAsia="Times New Roman" w:hAnsi="Times New Roman" w:cs="Times New Roman"/>
          <w:sz w:val="24"/>
          <w:szCs w:val="24"/>
          <w:lang w:eastAsia="pl-PL"/>
        </w:rPr>
        <w:t xml:space="preserve"> </w:t>
      </w:r>
      <w:r w:rsidR="00A43D2A" w:rsidRPr="007F28C1">
        <w:rPr>
          <w:rFonts w:ascii="Times New Roman" w:eastAsia="Times New Roman" w:hAnsi="Times New Roman" w:cs="Times New Roman"/>
          <w:sz w:val="24"/>
          <w:szCs w:val="24"/>
          <w:lang w:eastAsia="pl-PL"/>
        </w:rPr>
        <w:t xml:space="preserve">ust. 3 pkt </w:t>
      </w:r>
      <w:r w:rsidR="008C1DD9" w:rsidRPr="007F28C1">
        <w:rPr>
          <w:rFonts w:ascii="Times New Roman" w:eastAsia="Times New Roman" w:hAnsi="Times New Roman" w:cs="Times New Roman"/>
          <w:sz w:val="24"/>
          <w:szCs w:val="24"/>
          <w:lang w:eastAsia="pl-PL"/>
        </w:rPr>
        <w:t>3</w:t>
      </w:r>
      <w:r w:rsidR="00A43D2A" w:rsidRPr="007F28C1">
        <w:rPr>
          <w:rFonts w:ascii="Times New Roman" w:eastAsia="Times New Roman" w:hAnsi="Times New Roman" w:cs="Times New Roman"/>
          <w:sz w:val="24"/>
          <w:szCs w:val="24"/>
          <w:lang w:eastAsia="pl-PL"/>
        </w:rPr>
        <w:t xml:space="preserve">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12BC0517" w14:textId="731BF97A" w:rsidR="00A43D2A" w:rsidRPr="007F28C1" w:rsidRDefault="0090560C"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dodanie </w:t>
      </w:r>
      <w:r w:rsidR="00A43D2A" w:rsidRPr="007F28C1">
        <w:rPr>
          <w:rFonts w:ascii="Times New Roman" w:eastAsia="Times New Roman" w:hAnsi="Times New Roman" w:cs="Times New Roman"/>
          <w:sz w:val="24"/>
          <w:szCs w:val="24"/>
          <w:lang w:eastAsia="pl-PL"/>
        </w:rPr>
        <w:t xml:space="preserve">art. 49zha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155C3AE3" w14:textId="133EB55C" w:rsidR="001B2D0F" w:rsidRPr="007F28C1" w:rsidRDefault="0090560C"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dodanie </w:t>
      </w:r>
      <w:r w:rsidR="00362025" w:rsidRPr="007F28C1">
        <w:rPr>
          <w:rFonts w:ascii="Times New Roman" w:eastAsia="Times New Roman" w:hAnsi="Times New Roman" w:cs="Times New Roman"/>
          <w:sz w:val="24"/>
          <w:szCs w:val="24"/>
          <w:lang w:eastAsia="pl-PL"/>
        </w:rPr>
        <w:t xml:space="preserve">w </w:t>
      </w:r>
      <w:r w:rsidR="001B2D0F" w:rsidRPr="007F28C1">
        <w:rPr>
          <w:rFonts w:ascii="Times New Roman" w:eastAsia="Times New Roman" w:hAnsi="Times New Roman" w:cs="Times New Roman"/>
          <w:sz w:val="24"/>
          <w:szCs w:val="24"/>
          <w:lang w:eastAsia="pl-PL"/>
        </w:rPr>
        <w:t>art. 107a</w:t>
      </w:r>
      <w:r w:rsidR="0079474F" w:rsidRPr="007F28C1">
        <w:rPr>
          <w:rFonts w:ascii="Times New Roman" w:eastAsia="Times New Roman" w:hAnsi="Times New Roman" w:cs="Times New Roman"/>
          <w:sz w:val="24"/>
          <w:szCs w:val="24"/>
          <w:lang w:eastAsia="pl-PL"/>
        </w:rPr>
        <w:t xml:space="preserve"> ust. 5</w:t>
      </w:r>
      <w:r w:rsidR="001B2D0F" w:rsidRPr="007F28C1">
        <w:rPr>
          <w:rFonts w:ascii="Times New Roman" w:eastAsia="Times New Roman" w:hAnsi="Times New Roman" w:cs="Times New Roman"/>
          <w:sz w:val="24"/>
          <w:szCs w:val="24"/>
          <w:lang w:eastAsia="pl-PL"/>
        </w:rPr>
        <w:t xml:space="preserve">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47F96DC5" w14:textId="67C03D99" w:rsidR="0079474F" w:rsidRPr="007F28C1" w:rsidRDefault="00065151"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zmiana</w:t>
      </w:r>
      <w:r w:rsidR="004465C2" w:rsidRPr="007F28C1">
        <w:rPr>
          <w:rFonts w:ascii="Times New Roman" w:eastAsia="Times New Roman" w:hAnsi="Times New Roman" w:cs="Times New Roman"/>
          <w:sz w:val="24"/>
          <w:szCs w:val="24"/>
          <w:lang w:eastAsia="pl-PL"/>
        </w:rPr>
        <w:t xml:space="preserve"> w</w:t>
      </w:r>
      <w:r w:rsidRPr="007F28C1">
        <w:rPr>
          <w:rFonts w:ascii="Times New Roman" w:eastAsia="Times New Roman" w:hAnsi="Times New Roman" w:cs="Times New Roman"/>
          <w:sz w:val="24"/>
          <w:szCs w:val="24"/>
          <w:lang w:eastAsia="pl-PL"/>
        </w:rPr>
        <w:t xml:space="preserve"> </w:t>
      </w:r>
      <w:r w:rsidR="0079474F" w:rsidRPr="007F28C1">
        <w:rPr>
          <w:rFonts w:ascii="Times New Roman" w:eastAsia="Times New Roman" w:hAnsi="Times New Roman" w:cs="Times New Roman"/>
          <w:sz w:val="24"/>
          <w:szCs w:val="24"/>
          <w:lang w:eastAsia="pl-PL"/>
        </w:rPr>
        <w:t xml:space="preserve">art. 108 ust. 2a </w:t>
      </w:r>
      <w:r w:rsidR="00695F64" w:rsidRPr="007F28C1">
        <w:rPr>
          <w:rFonts w:ascii="Times New Roman" w:eastAsia="Times New Roman" w:hAnsi="Times New Roman" w:cs="Times New Roman"/>
          <w:sz w:val="24"/>
          <w:szCs w:val="24"/>
          <w:lang w:eastAsia="pl-PL"/>
        </w:rPr>
        <w:t xml:space="preserve">i 6a </w:t>
      </w:r>
      <w:r w:rsidR="0079474F"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79474F"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79474F"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0126E81D" w14:textId="5507F2BE" w:rsidR="00373A17" w:rsidRPr="007F28C1" w:rsidRDefault="0090560C"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dodanie</w:t>
      </w:r>
      <w:r w:rsidR="00E03FE9" w:rsidRPr="007F28C1">
        <w:rPr>
          <w:rFonts w:ascii="Times New Roman" w:eastAsia="Times New Roman" w:hAnsi="Times New Roman" w:cs="Times New Roman"/>
          <w:sz w:val="24"/>
          <w:szCs w:val="24"/>
          <w:lang w:eastAsia="pl-PL"/>
        </w:rPr>
        <w:t xml:space="preserve"> </w:t>
      </w:r>
      <w:r w:rsidR="001B2D0F" w:rsidRPr="007F28C1">
        <w:rPr>
          <w:rFonts w:ascii="Times New Roman" w:eastAsia="Times New Roman" w:hAnsi="Times New Roman" w:cs="Times New Roman"/>
          <w:sz w:val="24"/>
          <w:szCs w:val="24"/>
          <w:lang w:eastAsia="pl-PL"/>
        </w:rPr>
        <w:t xml:space="preserve">art. 127p </w:t>
      </w:r>
      <w:r w:rsidR="00E36415" w:rsidRPr="007F28C1">
        <w:rPr>
          <w:rFonts w:ascii="Times New Roman" w:eastAsia="Times New Roman" w:hAnsi="Times New Roman" w:cs="Times New Roman"/>
          <w:sz w:val="24"/>
          <w:szCs w:val="24"/>
          <w:lang w:eastAsia="pl-PL"/>
        </w:rPr>
        <w:t>P</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6D6671" w:rsidRPr="007F28C1">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w:t>
      </w:r>
    </w:p>
    <w:p w14:paraId="2C07AA93" w14:textId="1D1A372E" w:rsidR="003A1CCF" w:rsidRPr="007F28C1" w:rsidRDefault="00373A17" w:rsidP="007F28C1">
      <w:pPr>
        <w:pStyle w:val="Akapitzlist"/>
        <w:numPr>
          <w:ilvl w:val="0"/>
          <w:numId w:val="6"/>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art. </w:t>
      </w:r>
      <w:r w:rsidR="009D5FC3" w:rsidRPr="007F28C1">
        <w:rPr>
          <w:rFonts w:ascii="Times New Roman" w:eastAsia="Times New Roman" w:hAnsi="Times New Roman" w:cs="Times New Roman"/>
          <w:sz w:val="24"/>
          <w:szCs w:val="24"/>
          <w:lang w:eastAsia="pl-PL"/>
        </w:rPr>
        <w:t>6</w:t>
      </w:r>
      <w:r w:rsidR="00352A48" w:rsidRPr="007F28C1">
        <w:rPr>
          <w:rFonts w:ascii="Times New Roman" w:eastAsia="Times New Roman" w:hAnsi="Times New Roman" w:cs="Times New Roman"/>
          <w:sz w:val="24"/>
          <w:szCs w:val="24"/>
          <w:lang w:eastAsia="pl-PL"/>
        </w:rPr>
        <w:t>2</w:t>
      </w:r>
      <w:r w:rsidRPr="007F28C1">
        <w:rPr>
          <w:rFonts w:ascii="Times New Roman" w:eastAsia="Times New Roman" w:hAnsi="Times New Roman" w:cs="Times New Roman"/>
          <w:sz w:val="24"/>
          <w:szCs w:val="24"/>
          <w:lang w:eastAsia="pl-PL"/>
        </w:rPr>
        <w:t xml:space="preserve"> projektu</w:t>
      </w:r>
      <w:r w:rsidR="004D1453" w:rsidRPr="007F28C1">
        <w:rPr>
          <w:rFonts w:ascii="Times New Roman" w:eastAsia="Times New Roman" w:hAnsi="Times New Roman" w:cs="Times New Roman"/>
          <w:sz w:val="24"/>
          <w:szCs w:val="24"/>
          <w:lang w:eastAsia="pl-PL"/>
        </w:rPr>
        <w:t xml:space="preserve"> nowelizacji</w:t>
      </w:r>
      <w:r w:rsidR="0079474F" w:rsidRPr="007F28C1">
        <w:rPr>
          <w:rFonts w:ascii="Times New Roman" w:eastAsia="Times New Roman" w:hAnsi="Times New Roman" w:cs="Times New Roman"/>
          <w:sz w:val="24"/>
          <w:szCs w:val="24"/>
          <w:lang w:eastAsia="pl-PL"/>
        </w:rPr>
        <w:t>.</w:t>
      </w:r>
    </w:p>
    <w:p w14:paraId="1F0F76DF" w14:textId="60631708" w:rsidR="00547905" w:rsidRPr="007F28C1" w:rsidRDefault="00547905"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 xml:space="preserve">Uznano również za uzasadnione wprowadzenie do </w:t>
      </w:r>
      <w:r w:rsidR="00E36415" w:rsidRPr="007F28C1">
        <w:rPr>
          <w:rFonts w:ascii="Times New Roman" w:hAnsi="Times New Roman" w:cs="Times New Roman"/>
          <w:sz w:val="24"/>
          <w:szCs w:val="24"/>
        </w:rPr>
        <w:t>P</w:t>
      </w:r>
      <w:r w:rsidR="00065151"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065151"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065151" w:rsidRPr="007F28C1">
        <w:rPr>
          <w:rFonts w:ascii="Times New Roman" w:hAnsi="Times New Roman" w:cs="Times New Roman"/>
          <w:sz w:val="24"/>
          <w:szCs w:val="24"/>
        </w:rPr>
        <w:t>.</w:t>
      </w:r>
      <w:r w:rsidR="0079474F"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definicji </w:t>
      </w:r>
      <w:r w:rsidRPr="007F28C1">
        <w:rPr>
          <w:rFonts w:ascii="Times New Roman" w:eastAsia="Times New Roman" w:hAnsi="Times New Roman" w:cs="Times New Roman"/>
          <w:sz w:val="24"/>
          <w:szCs w:val="24"/>
          <w:lang w:eastAsia="pl-PL"/>
        </w:rPr>
        <w:t>podziemnego składowania dwutlenku węgla (</w:t>
      </w:r>
      <w:r w:rsidR="00065151" w:rsidRPr="007F28C1">
        <w:rPr>
          <w:rFonts w:ascii="Times New Roman" w:eastAsia="Times New Roman" w:hAnsi="Times New Roman" w:cs="Times New Roman"/>
          <w:sz w:val="24"/>
          <w:szCs w:val="24"/>
          <w:lang w:eastAsia="pl-PL"/>
        </w:rPr>
        <w:t xml:space="preserve">nowy </w:t>
      </w:r>
      <w:r w:rsidRPr="007F28C1">
        <w:rPr>
          <w:rFonts w:ascii="Times New Roman" w:hAnsi="Times New Roman" w:cs="Times New Roman"/>
          <w:sz w:val="24"/>
          <w:szCs w:val="24"/>
        </w:rPr>
        <w:t>art. 6 ust. 1 pkt 5b</w:t>
      </w:r>
      <w:r w:rsidR="00877C78" w:rsidRPr="007F28C1">
        <w:rPr>
          <w:rFonts w:ascii="Times New Roman" w:eastAsia="Times New Roman" w:hAnsi="Times New Roman" w:cs="Times New Roman"/>
          <w:sz w:val="24"/>
          <w:szCs w:val="24"/>
          <w:lang w:eastAsia="pl-PL"/>
        </w:rPr>
        <w:t xml:space="preserve"> </w:t>
      </w:r>
      <w:r w:rsidR="00E36415" w:rsidRPr="007F28C1">
        <w:rPr>
          <w:rFonts w:ascii="Times New Roman" w:hAnsi="Times New Roman" w:cs="Times New Roman"/>
          <w:sz w:val="24"/>
          <w:szCs w:val="24"/>
        </w:rPr>
        <w:t>P</w:t>
      </w:r>
      <w:r w:rsidR="00065151"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065151"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065151" w:rsidRPr="007F28C1">
        <w:rPr>
          <w:rFonts w:ascii="Times New Roman" w:hAnsi="Times New Roman" w:cs="Times New Roman"/>
          <w:sz w:val="24"/>
          <w:szCs w:val="24"/>
        </w:rPr>
        <w:t>.</w:t>
      </w:r>
      <w:r w:rsidRPr="007F28C1">
        <w:rPr>
          <w:rFonts w:ascii="Times New Roman" w:hAnsi="Times New Roman" w:cs="Times New Roman"/>
          <w:sz w:val="24"/>
          <w:szCs w:val="24"/>
        </w:rPr>
        <w:t xml:space="preserve">), </w:t>
      </w:r>
      <w:r w:rsidR="005A0E90" w:rsidRPr="007F28C1">
        <w:rPr>
          <w:rFonts w:ascii="Times New Roman" w:hAnsi="Times New Roman" w:cs="Times New Roman"/>
          <w:sz w:val="24"/>
          <w:szCs w:val="24"/>
        </w:rPr>
        <w:t>spójnej z definicją zawartą</w:t>
      </w:r>
      <w:r w:rsidRPr="007F28C1">
        <w:rPr>
          <w:rFonts w:ascii="Times New Roman" w:hAnsi="Times New Roman" w:cs="Times New Roman"/>
          <w:sz w:val="24"/>
          <w:szCs w:val="24"/>
        </w:rPr>
        <w:t xml:space="preserve"> </w:t>
      </w:r>
      <w:r w:rsidR="005A0E90" w:rsidRPr="007F28C1">
        <w:rPr>
          <w:rFonts w:ascii="Times New Roman" w:hAnsi="Times New Roman" w:cs="Times New Roman"/>
          <w:sz w:val="24"/>
          <w:szCs w:val="24"/>
        </w:rPr>
        <w:t xml:space="preserve">w </w:t>
      </w:r>
      <w:r w:rsidRPr="007F28C1">
        <w:rPr>
          <w:rFonts w:ascii="Times New Roman" w:hAnsi="Times New Roman" w:cs="Times New Roman"/>
          <w:sz w:val="24"/>
          <w:szCs w:val="24"/>
        </w:rPr>
        <w:t>dyrektyw</w:t>
      </w:r>
      <w:r w:rsidR="005A0E90" w:rsidRPr="007F28C1">
        <w:rPr>
          <w:rFonts w:ascii="Times New Roman" w:hAnsi="Times New Roman" w:cs="Times New Roman"/>
          <w:sz w:val="24"/>
          <w:szCs w:val="24"/>
        </w:rPr>
        <w:t>ie</w:t>
      </w:r>
      <w:r w:rsidRPr="007F28C1">
        <w:rPr>
          <w:rFonts w:ascii="Times New Roman" w:hAnsi="Times New Roman" w:cs="Times New Roman"/>
          <w:sz w:val="24"/>
          <w:szCs w:val="24"/>
        </w:rPr>
        <w:t xml:space="preserve"> CCS.</w:t>
      </w:r>
    </w:p>
    <w:p w14:paraId="3655B98E" w14:textId="20CAA4C8" w:rsidR="00DB7F13" w:rsidRPr="007F28C1" w:rsidRDefault="00DB7F13"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Zgodnie z motywem 18</w:t>
      </w:r>
      <w:r w:rsidR="003937AE">
        <w:rPr>
          <w:rFonts w:ascii="Times New Roman" w:eastAsia="Times New Roman" w:hAnsi="Times New Roman" w:cs="Times New Roman"/>
          <w:sz w:val="24"/>
          <w:szCs w:val="24"/>
          <w:lang w:eastAsia="pl-PL"/>
        </w:rPr>
        <w:t>.</w:t>
      </w:r>
      <w:r w:rsidR="00100F70" w:rsidRPr="007F28C1">
        <w:rPr>
          <w:rFonts w:ascii="Times New Roman" w:eastAsia="Times New Roman" w:hAnsi="Times New Roman" w:cs="Times New Roman"/>
          <w:sz w:val="24"/>
          <w:szCs w:val="24"/>
          <w:lang w:eastAsia="pl-PL"/>
        </w:rPr>
        <w:t xml:space="preserve"> preambuły</w:t>
      </w:r>
      <w:r w:rsidRPr="007F28C1">
        <w:rPr>
          <w:rFonts w:ascii="Times New Roman" w:eastAsia="Times New Roman" w:hAnsi="Times New Roman" w:cs="Times New Roman"/>
          <w:sz w:val="24"/>
          <w:szCs w:val="24"/>
          <w:lang w:eastAsia="pl-PL"/>
        </w:rPr>
        <w:t xml:space="preserve"> oraz art. 2 ust. 2 dyrektywy CCS, niniejsza dyrektywa nie ma zastosowania do</w:t>
      </w:r>
      <w:r w:rsidR="000F690B"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projektów, w ramach których planuje się łączne składowanie poniżej 100 kiloton, realizowanych dla celów badań, rozwoju lub testowania nowych produktów i procesów. Mając powyższe na względzie, w</w:t>
      </w:r>
      <w:r w:rsidR="000F690B"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związku z rozszerzeniem możliwości realizacji działalności CCS o projekty inne od</w:t>
      </w:r>
      <w:r w:rsidR="000F690B"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demonstracyjnych, w tym w ramach których planuje się łączne składowanie poniżej 100 kiloton, konieczne jest doprecyzowanie w art. 23 w ust. 1 pkt 4</w:t>
      </w:r>
      <w:r w:rsidR="000E1D5E" w:rsidRPr="007F28C1">
        <w:rPr>
          <w:rFonts w:ascii="Times New Roman" w:eastAsia="Times New Roman" w:hAnsi="Times New Roman" w:cs="Times New Roman"/>
          <w:sz w:val="24"/>
          <w:szCs w:val="24"/>
          <w:lang w:eastAsia="pl-PL"/>
        </w:rPr>
        <w:t xml:space="preserve"> </w:t>
      </w:r>
      <w:r w:rsidR="00E36415" w:rsidRPr="007F28C1">
        <w:rPr>
          <w:rFonts w:ascii="Times New Roman" w:eastAsia="Times New Roman" w:hAnsi="Times New Roman" w:cs="Times New Roman"/>
          <w:sz w:val="24"/>
          <w:szCs w:val="24"/>
          <w:lang w:eastAsia="pl-PL"/>
        </w:rPr>
        <w:t>P</w:t>
      </w:r>
      <w:r w:rsidR="0006515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5151"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5151" w:rsidRPr="007F28C1">
        <w:rPr>
          <w:rFonts w:ascii="Times New Roman" w:eastAsia="Times New Roman" w:hAnsi="Times New Roman" w:cs="Times New Roman"/>
          <w:sz w:val="24"/>
          <w:szCs w:val="24"/>
          <w:lang w:eastAsia="pl-PL"/>
        </w:rPr>
        <w:t>.</w:t>
      </w:r>
      <w:r w:rsidR="005A0E90" w:rsidRPr="007F28C1">
        <w:rPr>
          <w:rFonts w:ascii="Times New Roman" w:eastAsia="Times New Roman" w:hAnsi="Times New Roman" w:cs="Times New Roman"/>
          <w:sz w:val="24"/>
          <w:szCs w:val="24"/>
          <w:lang w:eastAsia="pl-PL"/>
        </w:rPr>
        <w:t xml:space="preserve"> przez wskazanie</w:t>
      </w:r>
      <w:r w:rsidRPr="007F28C1">
        <w:rPr>
          <w:rFonts w:ascii="Times New Roman" w:eastAsia="Times New Roman" w:hAnsi="Times New Roman" w:cs="Times New Roman"/>
          <w:sz w:val="24"/>
          <w:szCs w:val="24"/>
          <w:lang w:eastAsia="pl-PL"/>
        </w:rPr>
        <w:t xml:space="preserve">, że opinia Komisji Europejskiej, zgodnie z art. 10 dyrektywy CCS, </w:t>
      </w:r>
      <w:r w:rsidR="00100F70"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wymagana wyłącznie dla projektów, w</w:t>
      </w:r>
      <w:r w:rsidR="000F690B"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ramach których planuje się łączne składowanie </w:t>
      </w:r>
      <w:r w:rsidR="00362025" w:rsidRPr="007F28C1">
        <w:rPr>
          <w:rFonts w:ascii="Times New Roman" w:eastAsia="Times New Roman" w:hAnsi="Times New Roman" w:cs="Times New Roman"/>
          <w:sz w:val="24"/>
          <w:szCs w:val="24"/>
          <w:lang w:eastAsia="pl-PL"/>
        </w:rPr>
        <w:t xml:space="preserve">w ilości równej lub </w:t>
      </w:r>
      <w:r w:rsidR="004C591B" w:rsidRPr="007F28C1">
        <w:rPr>
          <w:rFonts w:ascii="Times New Roman" w:eastAsia="Times New Roman" w:hAnsi="Times New Roman" w:cs="Times New Roman"/>
          <w:sz w:val="24"/>
          <w:szCs w:val="24"/>
          <w:lang w:eastAsia="pl-PL"/>
        </w:rPr>
        <w:t>większej niż</w:t>
      </w:r>
      <w:r w:rsidRPr="007F28C1">
        <w:rPr>
          <w:rFonts w:ascii="Times New Roman" w:eastAsia="Times New Roman" w:hAnsi="Times New Roman" w:cs="Times New Roman"/>
          <w:sz w:val="24"/>
          <w:szCs w:val="24"/>
          <w:lang w:eastAsia="pl-PL"/>
        </w:rPr>
        <w:t xml:space="preserve"> 100 kiloton (tzn. </w:t>
      </w:r>
      <w:r w:rsidR="00261894" w:rsidRPr="007F28C1">
        <w:rPr>
          <w:rFonts w:ascii="Times New Roman" w:eastAsia="Times New Roman" w:hAnsi="Times New Roman" w:cs="Times New Roman"/>
          <w:sz w:val="24"/>
          <w:szCs w:val="24"/>
          <w:lang w:eastAsia="pl-PL"/>
        </w:rPr>
        <w:t>takich</w:t>
      </w:r>
      <w:r w:rsidRPr="007F28C1">
        <w:rPr>
          <w:rFonts w:ascii="Times New Roman" w:eastAsia="Times New Roman" w:hAnsi="Times New Roman" w:cs="Times New Roman"/>
          <w:sz w:val="24"/>
          <w:szCs w:val="24"/>
          <w:lang w:eastAsia="pl-PL"/>
        </w:rPr>
        <w:t>, które wchodzą w</w:t>
      </w:r>
      <w:r w:rsidR="000F690B"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zakres dyrektywy CCS).</w:t>
      </w:r>
    </w:p>
    <w:p w14:paraId="3AAC4AAA" w14:textId="669CDE05" w:rsidR="00686670" w:rsidRPr="007F28C1" w:rsidRDefault="00DD704D" w:rsidP="007F28C1">
      <w:pPr>
        <w:autoSpaceDE w:val="0"/>
        <w:autoSpaceDN w:val="0"/>
        <w:adjustRightInd w:val="0"/>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w:t>
      </w:r>
      <w:r w:rsidR="00686670" w:rsidRPr="007F28C1">
        <w:rPr>
          <w:rFonts w:ascii="Times New Roman" w:hAnsi="Times New Roman" w:cs="Times New Roman"/>
          <w:sz w:val="24"/>
          <w:szCs w:val="24"/>
        </w:rPr>
        <w:t>art. 49t</w:t>
      </w:r>
      <w:r w:rsidR="00065151" w:rsidRPr="007F28C1">
        <w:rPr>
          <w:rFonts w:ascii="Times New Roman" w:hAnsi="Times New Roman" w:cs="Times New Roman"/>
          <w:sz w:val="24"/>
          <w:szCs w:val="24"/>
        </w:rPr>
        <w:t xml:space="preserve"> P.g.g.</w:t>
      </w:r>
      <w:r w:rsidR="00686670" w:rsidRPr="007F28C1">
        <w:rPr>
          <w:rFonts w:ascii="Times New Roman" w:hAnsi="Times New Roman" w:cs="Times New Roman"/>
          <w:sz w:val="24"/>
          <w:szCs w:val="24"/>
        </w:rPr>
        <w:t xml:space="preserve"> </w:t>
      </w:r>
      <w:r w:rsidR="00065151" w:rsidRPr="007F28C1">
        <w:rPr>
          <w:rFonts w:ascii="Times New Roman" w:hAnsi="Times New Roman" w:cs="Times New Roman"/>
          <w:sz w:val="24"/>
          <w:szCs w:val="24"/>
        </w:rPr>
        <w:t xml:space="preserve">zmieniono brzmienie </w:t>
      </w:r>
      <w:r w:rsidR="00686670" w:rsidRPr="007F28C1">
        <w:rPr>
          <w:rFonts w:ascii="Times New Roman" w:hAnsi="Times New Roman" w:cs="Times New Roman"/>
          <w:sz w:val="24"/>
          <w:szCs w:val="24"/>
        </w:rPr>
        <w:t>ust. 1</w:t>
      </w:r>
      <w:r w:rsidR="00065151" w:rsidRPr="007F28C1">
        <w:rPr>
          <w:rFonts w:ascii="Times New Roman" w:hAnsi="Times New Roman" w:cs="Times New Roman"/>
          <w:sz w:val="24"/>
          <w:szCs w:val="24"/>
        </w:rPr>
        <w:t xml:space="preserve"> i dodano ust. </w:t>
      </w:r>
      <w:r w:rsidRPr="007F28C1">
        <w:rPr>
          <w:rFonts w:ascii="Times New Roman" w:hAnsi="Times New Roman" w:cs="Times New Roman"/>
          <w:sz w:val="24"/>
          <w:szCs w:val="24"/>
        </w:rPr>
        <w:t>1a</w:t>
      </w:r>
      <w:r w:rsidR="00100F70" w:rsidRPr="007F28C1">
        <w:rPr>
          <w:rFonts w:ascii="Times New Roman" w:hAnsi="Times New Roman" w:cs="Times New Roman"/>
          <w:sz w:val="24"/>
          <w:szCs w:val="24"/>
        </w:rPr>
        <w:t>–</w:t>
      </w:r>
      <w:r w:rsidRPr="007F28C1">
        <w:rPr>
          <w:rFonts w:ascii="Times New Roman" w:hAnsi="Times New Roman" w:cs="Times New Roman"/>
          <w:sz w:val="24"/>
          <w:szCs w:val="24"/>
        </w:rPr>
        <w:t>1c</w:t>
      </w:r>
      <w:r w:rsidR="00261894" w:rsidRPr="007F28C1">
        <w:rPr>
          <w:rFonts w:ascii="Times New Roman" w:hAnsi="Times New Roman" w:cs="Times New Roman"/>
          <w:sz w:val="24"/>
          <w:szCs w:val="24"/>
        </w:rPr>
        <w:t>,</w:t>
      </w:r>
      <w:r w:rsidR="00686670" w:rsidRPr="007F28C1">
        <w:rPr>
          <w:rFonts w:ascii="Times New Roman" w:hAnsi="Times New Roman" w:cs="Times New Roman"/>
          <w:sz w:val="24"/>
          <w:szCs w:val="24"/>
        </w:rPr>
        <w:t xml:space="preserve"> </w:t>
      </w:r>
      <w:r w:rsidR="00065151" w:rsidRPr="007F28C1">
        <w:rPr>
          <w:rFonts w:ascii="Times New Roman" w:hAnsi="Times New Roman" w:cs="Times New Roman"/>
          <w:sz w:val="24"/>
          <w:szCs w:val="24"/>
        </w:rPr>
        <w:t>aby wskazać</w:t>
      </w:r>
      <w:r w:rsidR="00686670" w:rsidRPr="007F28C1">
        <w:rPr>
          <w:rFonts w:ascii="Times New Roman" w:hAnsi="Times New Roman" w:cs="Times New Roman"/>
          <w:sz w:val="24"/>
          <w:szCs w:val="24"/>
        </w:rPr>
        <w:t xml:space="preserve">, analogicznie jak w art. 21 ust. 4 </w:t>
      </w:r>
      <w:r w:rsidR="00E36415" w:rsidRPr="007F28C1">
        <w:rPr>
          <w:rFonts w:ascii="Times New Roman" w:hAnsi="Times New Roman" w:cs="Times New Roman"/>
          <w:sz w:val="24"/>
          <w:szCs w:val="24"/>
        </w:rPr>
        <w:t>P</w:t>
      </w:r>
      <w:r w:rsidR="00065151"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065151"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065151" w:rsidRPr="007F28C1">
        <w:rPr>
          <w:rFonts w:ascii="Times New Roman" w:hAnsi="Times New Roman" w:cs="Times New Roman"/>
          <w:sz w:val="24"/>
          <w:szCs w:val="24"/>
        </w:rPr>
        <w:t>.</w:t>
      </w:r>
      <w:r w:rsidR="00686670" w:rsidRPr="007F28C1">
        <w:rPr>
          <w:rFonts w:ascii="Times New Roman" w:hAnsi="Times New Roman" w:cs="Times New Roman"/>
          <w:sz w:val="24"/>
          <w:szCs w:val="24"/>
        </w:rPr>
        <w:t xml:space="preserve">, że koncesja na wydobywanie </w:t>
      </w:r>
      <w:r w:rsidR="00C121D5" w:rsidRPr="007F28C1">
        <w:rPr>
          <w:rFonts w:ascii="Times New Roman" w:hAnsi="Times New Roman" w:cs="Times New Roman"/>
          <w:sz w:val="24"/>
          <w:szCs w:val="24"/>
        </w:rPr>
        <w:t xml:space="preserve">węglowodorów ze złoża </w:t>
      </w:r>
      <w:r w:rsidR="00686670" w:rsidRPr="007F28C1">
        <w:rPr>
          <w:rFonts w:ascii="Times New Roman" w:hAnsi="Times New Roman" w:cs="Times New Roman"/>
          <w:sz w:val="24"/>
          <w:szCs w:val="24"/>
        </w:rPr>
        <w:t>może zostać udzielona na czas krótszy niż 10 lat, o</w:t>
      </w:r>
      <w:r w:rsidRPr="007F28C1">
        <w:rPr>
          <w:rFonts w:ascii="Times New Roman" w:hAnsi="Times New Roman" w:cs="Times New Roman"/>
          <w:sz w:val="24"/>
          <w:szCs w:val="24"/>
        </w:rPr>
        <w:t> </w:t>
      </w:r>
      <w:r w:rsidR="00686670" w:rsidRPr="007F28C1">
        <w:rPr>
          <w:rFonts w:ascii="Times New Roman" w:hAnsi="Times New Roman" w:cs="Times New Roman"/>
          <w:sz w:val="24"/>
          <w:szCs w:val="24"/>
        </w:rPr>
        <w:t>ile przedsiębiorca złoży wniosek o udzielenie takiej koncesji na czas krótszy. Będzie to związane ze</w:t>
      </w:r>
      <w:r w:rsidR="00B54DED" w:rsidRPr="007F28C1">
        <w:rPr>
          <w:rFonts w:ascii="Times New Roman" w:hAnsi="Times New Roman" w:cs="Times New Roman"/>
          <w:sz w:val="24"/>
          <w:szCs w:val="24"/>
        </w:rPr>
        <w:t> </w:t>
      </w:r>
      <w:r w:rsidR="00686670" w:rsidRPr="007F28C1">
        <w:rPr>
          <w:rFonts w:ascii="Times New Roman" w:hAnsi="Times New Roman" w:cs="Times New Roman"/>
          <w:sz w:val="24"/>
          <w:szCs w:val="24"/>
        </w:rPr>
        <w:t xml:space="preserve">złożami, których eksploatacja </w:t>
      </w:r>
      <w:r w:rsidR="00100F70" w:rsidRPr="007F28C1">
        <w:rPr>
          <w:rFonts w:ascii="Times New Roman" w:hAnsi="Times New Roman" w:cs="Times New Roman"/>
          <w:sz w:val="24"/>
          <w:szCs w:val="24"/>
        </w:rPr>
        <w:t xml:space="preserve">jest </w:t>
      </w:r>
      <w:r w:rsidR="00686670" w:rsidRPr="007F28C1">
        <w:rPr>
          <w:rFonts w:ascii="Times New Roman" w:hAnsi="Times New Roman" w:cs="Times New Roman"/>
          <w:sz w:val="24"/>
          <w:szCs w:val="24"/>
        </w:rPr>
        <w:t>przewidziana na czas krótszy niż 10 lat.</w:t>
      </w:r>
      <w:r w:rsidRPr="007F28C1">
        <w:rPr>
          <w:rFonts w:ascii="Times New Roman" w:hAnsi="Times New Roman" w:cs="Times New Roman"/>
          <w:sz w:val="24"/>
          <w:szCs w:val="24"/>
        </w:rPr>
        <w:t xml:space="preserve"> </w:t>
      </w:r>
      <w:r w:rsidR="0079474F" w:rsidRPr="007F28C1">
        <w:rPr>
          <w:rFonts w:ascii="Times New Roman" w:hAnsi="Times New Roman" w:cs="Times New Roman"/>
          <w:sz w:val="24"/>
          <w:szCs w:val="24"/>
        </w:rPr>
        <w:t xml:space="preserve">Natomiast koncesja na działalność w zakresie wydobywania węglowodorów połączonego z podziemnym składowaniem dwutlenku węgla </w:t>
      </w:r>
      <w:r w:rsidR="00686670" w:rsidRPr="007F28C1">
        <w:rPr>
          <w:rFonts w:ascii="Times New Roman" w:hAnsi="Times New Roman" w:cs="Times New Roman"/>
          <w:sz w:val="24"/>
          <w:szCs w:val="24"/>
        </w:rPr>
        <w:lastRenderedPageBreak/>
        <w:t xml:space="preserve">musi obejmować minimum 20 lat monitoringu, z tego też względu może zostać udzielona na czas nie </w:t>
      </w:r>
      <w:r w:rsidR="0079474F" w:rsidRPr="007F28C1">
        <w:rPr>
          <w:rFonts w:ascii="Times New Roman" w:hAnsi="Times New Roman" w:cs="Times New Roman"/>
          <w:sz w:val="24"/>
          <w:szCs w:val="24"/>
        </w:rPr>
        <w:t>krótszy</w:t>
      </w:r>
      <w:r w:rsidR="00686670" w:rsidRPr="007F28C1">
        <w:rPr>
          <w:rFonts w:ascii="Times New Roman" w:hAnsi="Times New Roman" w:cs="Times New Roman"/>
          <w:sz w:val="24"/>
          <w:szCs w:val="24"/>
        </w:rPr>
        <w:t xml:space="preserve"> niż 30 lat</w:t>
      </w:r>
      <w:r w:rsidR="003D41AC" w:rsidRPr="007F28C1">
        <w:rPr>
          <w:rFonts w:ascii="Times New Roman" w:hAnsi="Times New Roman" w:cs="Times New Roman"/>
          <w:sz w:val="24"/>
          <w:szCs w:val="24"/>
        </w:rPr>
        <w:t>, ale nie dłuższy niż 50 lat</w:t>
      </w:r>
      <w:r w:rsidR="00686670" w:rsidRPr="007F28C1">
        <w:rPr>
          <w:rFonts w:ascii="Times New Roman" w:hAnsi="Times New Roman" w:cs="Times New Roman"/>
          <w:sz w:val="24"/>
          <w:szCs w:val="24"/>
        </w:rPr>
        <w:t xml:space="preserve">. </w:t>
      </w:r>
    </w:p>
    <w:p w14:paraId="4B5B5B0B" w14:textId="00B214A3" w:rsidR="00547905" w:rsidRPr="007F28C1" w:rsidRDefault="00547905" w:rsidP="007F28C1">
      <w:pPr>
        <w:numPr>
          <w:ilvl w:val="0"/>
          <w:numId w:val="9"/>
        </w:numPr>
        <w:spacing w:before="240" w:after="0" w:line="360" w:lineRule="auto"/>
        <w:ind w:left="397" w:hanging="397"/>
        <w:jc w:val="both"/>
        <w:rPr>
          <w:rFonts w:ascii="Times New Roman" w:hAnsi="Times New Roman" w:cs="Times New Roman"/>
          <w:b/>
          <w:bCs/>
          <w:color w:val="000000"/>
          <w:sz w:val="24"/>
          <w:szCs w:val="24"/>
        </w:rPr>
      </w:pPr>
      <w:r w:rsidRPr="007F28C1">
        <w:rPr>
          <w:rFonts w:ascii="Times New Roman" w:hAnsi="Times New Roman" w:cs="Times New Roman"/>
          <w:b/>
          <w:bCs/>
          <w:color w:val="000000"/>
          <w:sz w:val="24"/>
          <w:szCs w:val="24"/>
        </w:rPr>
        <w:t>Podziemne bezzbiornikowe magazynowanie</w:t>
      </w:r>
      <w:r w:rsidR="004465C2" w:rsidRPr="007F28C1">
        <w:rPr>
          <w:rFonts w:ascii="Times New Roman" w:hAnsi="Times New Roman" w:cs="Times New Roman"/>
          <w:b/>
          <w:bCs/>
          <w:color w:val="000000"/>
          <w:sz w:val="24"/>
          <w:szCs w:val="24"/>
        </w:rPr>
        <w:t xml:space="preserve"> substancji, w tym</w:t>
      </w:r>
      <w:r w:rsidRPr="007F28C1">
        <w:rPr>
          <w:rFonts w:ascii="Times New Roman" w:hAnsi="Times New Roman" w:cs="Times New Roman"/>
          <w:b/>
          <w:bCs/>
          <w:color w:val="000000"/>
          <w:sz w:val="24"/>
          <w:szCs w:val="24"/>
        </w:rPr>
        <w:t xml:space="preserve"> wodoru</w:t>
      </w:r>
    </w:p>
    <w:p w14:paraId="64EEDC3C" w14:textId="77E40F29" w:rsidR="003D4402" w:rsidRPr="007F28C1" w:rsidRDefault="003D4402"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Zgodnie z opublikowanym projektem „Polskiej strategii wodorowej do roku 2030 z perspektywą do 2040 r.” </w:t>
      </w:r>
      <w:r w:rsidRPr="007F28C1">
        <w:rPr>
          <w:rFonts w:ascii="Times New Roman" w:hAnsi="Times New Roman" w:cs="Times New Roman"/>
          <w:color w:val="000000"/>
          <w:sz w:val="24"/>
          <w:szCs w:val="24"/>
        </w:rPr>
        <w:t xml:space="preserve">(dalej </w:t>
      </w:r>
      <w:r w:rsidR="00100F70" w:rsidRPr="007F28C1">
        <w:rPr>
          <w:rFonts w:ascii="Times New Roman" w:hAnsi="Times New Roman" w:cs="Times New Roman"/>
          <w:color w:val="000000"/>
          <w:sz w:val="24"/>
          <w:szCs w:val="24"/>
        </w:rPr>
        <w:t>„</w:t>
      </w:r>
      <w:r w:rsidRPr="007F28C1">
        <w:rPr>
          <w:rFonts w:ascii="Times New Roman" w:hAnsi="Times New Roman" w:cs="Times New Roman"/>
          <w:color w:val="000000"/>
          <w:sz w:val="24"/>
          <w:szCs w:val="24"/>
        </w:rPr>
        <w:t>Polska Strategia Wodorowa</w:t>
      </w:r>
      <w:r w:rsidR="00100F70" w:rsidRPr="007F28C1">
        <w:rPr>
          <w:rFonts w:ascii="Times New Roman" w:hAnsi="Times New Roman" w:cs="Times New Roman"/>
          <w:color w:val="000000"/>
          <w:sz w:val="24"/>
          <w:szCs w:val="24"/>
        </w:rPr>
        <w:t>”</w:t>
      </w:r>
      <w:r w:rsidRPr="007F28C1">
        <w:rPr>
          <w:rFonts w:ascii="Times New Roman" w:hAnsi="Times New Roman" w:cs="Times New Roman"/>
          <w:color w:val="000000"/>
          <w:sz w:val="24"/>
          <w:szCs w:val="24"/>
        </w:rPr>
        <w:t xml:space="preserve">) </w:t>
      </w:r>
      <w:r w:rsidRPr="007F28C1">
        <w:rPr>
          <w:rFonts w:ascii="Times New Roman" w:eastAsia="Times New Roman" w:hAnsi="Times New Roman" w:cs="Times New Roman"/>
          <w:sz w:val="24"/>
          <w:szCs w:val="24"/>
          <w:lang w:eastAsia="pl-PL"/>
        </w:rPr>
        <w:t xml:space="preserve">wodór może odegrać istotną rolę w procesie dekarbonizacji, będącym obecnie centralną częścią globalnych i europejskich wysiłków w dziedzinie energii, koniecznym dla osiągnięcia celów Porozumienia paryskiego. </w:t>
      </w:r>
      <w:r w:rsidRPr="007F28C1">
        <w:rPr>
          <w:rFonts w:ascii="Times New Roman" w:hAnsi="Times New Roman" w:cs="Times New Roman"/>
          <w:color w:val="000000"/>
          <w:sz w:val="24"/>
          <w:szCs w:val="24"/>
        </w:rPr>
        <w:t>Polska Strategia Wodorowa określa ambitne i realne cele w zakresie rozwoju wykorzystania technologii wodorowych w Polsce, jest odpowiedzią na zmiany zachodzące w europejskim i globalnym krajobrazie energetycznym, w którym obserwuje się wyścig technologiczny w zakresie innowacyjnych metod produkcji, transportu i wykorzystania wodoru. Jego siłą napędową są przemiany w polityce energetycznej i klimatycznej skutkujące odejściem od paliw konwencjonalnych na rzecz rozwiązań niskoemisyjnych. W Polskiej Strategii Wodorowej</w:t>
      </w:r>
      <w:r w:rsidRPr="007F28C1" w:rsidDel="00D0225F">
        <w:rPr>
          <w:rFonts w:ascii="Times New Roman" w:hAnsi="Times New Roman" w:cs="Times New Roman"/>
          <w:color w:val="000000"/>
          <w:sz w:val="24"/>
          <w:szCs w:val="24"/>
        </w:rPr>
        <w:t xml:space="preserve"> </w:t>
      </w:r>
      <w:r w:rsidRPr="007F28C1">
        <w:rPr>
          <w:rFonts w:ascii="Times New Roman" w:hAnsi="Times New Roman" w:cs="Times New Roman"/>
          <w:color w:val="000000"/>
          <w:sz w:val="24"/>
          <w:szCs w:val="24"/>
        </w:rPr>
        <w:t xml:space="preserve">poruszono aspekty dotyczące wszystkich części łańcucha wartości produkcji, przesyłu, magazynowania i wykorzystania wodoru. </w:t>
      </w:r>
    </w:p>
    <w:p w14:paraId="646F5B8E" w14:textId="44340A47" w:rsidR="003D4402" w:rsidRPr="007F28C1" w:rsidRDefault="003D4402"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color w:val="000000"/>
          <w:sz w:val="24"/>
          <w:szCs w:val="24"/>
        </w:rPr>
        <w:t xml:space="preserve">Podziemne </w:t>
      </w:r>
      <w:r w:rsidR="004465C2" w:rsidRPr="007F28C1">
        <w:rPr>
          <w:rFonts w:ascii="Times New Roman" w:hAnsi="Times New Roman" w:cs="Times New Roman"/>
          <w:color w:val="000000"/>
          <w:sz w:val="24"/>
          <w:szCs w:val="24"/>
        </w:rPr>
        <w:t xml:space="preserve">bezzbiornikowe </w:t>
      </w:r>
      <w:r w:rsidRPr="007F28C1">
        <w:rPr>
          <w:rFonts w:ascii="Times New Roman" w:hAnsi="Times New Roman" w:cs="Times New Roman"/>
          <w:color w:val="000000"/>
          <w:sz w:val="24"/>
          <w:szCs w:val="24"/>
        </w:rPr>
        <w:t>magazynowanie wodoru stanowi kluczowy element łańcucha dostaw energii. Struktury geologiczne mogą zapewnić możliwość magazynowania wodoru dla różnej skali czasowej (średnio</w:t>
      </w:r>
      <w:r w:rsidR="005739F8">
        <w:rPr>
          <w:rFonts w:ascii="Times New Roman" w:hAnsi="Times New Roman" w:cs="Times New Roman"/>
          <w:color w:val="000000"/>
          <w:sz w:val="24"/>
          <w:szCs w:val="24"/>
        </w:rPr>
        <w:t>-</w:t>
      </w:r>
      <w:r w:rsidRPr="007F28C1">
        <w:rPr>
          <w:rFonts w:ascii="Times New Roman" w:hAnsi="Times New Roman" w:cs="Times New Roman"/>
          <w:color w:val="000000"/>
          <w:sz w:val="24"/>
          <w:szCs w:val="24"/>
        </w:rPr>
        <w:t xml:space="preserve"> i</w:t>
      </w:r>
      <w:r w:rsidR="007960BA" w:rsidRPr="007F28C1">
        <w:rPr>
          <w:rFonts w:ascii="Times New Roman" w:hAnsi="Times New Roman" w:cs="Times New Roman"/>
          <w:color w:val="000000"/>
          <w:sz w:val="24"/>
          <w:szCs w:val="24"/>
        </w:rPr>
        <w:t> </w:t>
      </w:r>
      <w:r w:rsidRPr="007F28C1">
        <w:rPr>
          <w:rFonts w:ascii="Times New Roman" w:hAnsi="Times New Roman" w:cs="Times New Roman"/>
          <w:color w:val="000000"/>
          <w:sz w:val="24"/>
          <w:szCs w:val="24"/>
        </w:rPr>
        <w:t xml:space="preserve">długoterminowej) i są </w:t>
      </w:r>
      <w:r w:rsidR="003B1ECC" w:rsidRPr="007F28C1">
        <w:rPr>
          <w:rFonts w:ascii="Times New Roman" w:hAnsi="Times New Roman" w:cs="Times New Roman"/>
          <w:color w:val="000000"/>
          <w:sz w:val="24"/>
          <w:szCs w:val="24"/>
        </w:rPr>
        <w:t xml:space="preserve">jedynym </w:t>
      </w:r>
      <w:r w:rsidRPr="007F28C1">
        <w:rPr>
          <w:rFonts w:ascii="Times New Roman" w:hAnsi="Times New Roman" w:cs="Times New Roman"/>
          <w:color w:val="000000"/>
          <w:sz w:val="24"/>
          <w:szCs w:val="24"/>
        </w:rPr>
        <w:t xml:space="preserve">sposobem na przechowywanie dużych ilości wodoru, </w:t>
      </w:r>
      <w:r w:rsidR="003B1ECC" w:rsidRPr="007F28C1">
        <w:rPr>
          <w:rFonts w:ascii="Times New Roman" w:hAnsi="Times New Roman" w:cs="Times New Roman"/>
          <w:color w:val="000000"/>
          <w:sz w:val="24"/>
          <w:szCs w:val="24"/>
        </w:rPr>
        <w:t xml:space="preserve">zapewniającym </w:t>
      </w:r>
      <w:r w:rsidRPr="007F28C1">
        <w:rPr>
          <w:rFonts w:ascii="Times New Roman" w:hAnsi="Times New Roman" w:cs="Times New Roman"/>
          <w:color w:val="000000"/>
          <w:sz w:val="24"/>
          <w:szCs w:val="24"/>
        </w:rPr>
        <w:t xml:space="preserve">jego bezpieczeństwo. </w:t>
      </w:r>
      <w:r w:rsidRPr="007F28C1">
        <w:rPr>
          <w:rFonts w:ascii="Times New Roman" w:hAnsi="Times New Roman" w:cs="Times New Roman"/>
          <w:sz w:val="24"/>
          <w:szCs w:val="24"/>
        </w:rPr>
        <w:t xml:space="preserve">Wodór będzie stanowił jedno z kluczowych paliw transformacji energetycznej zachodzącej </w:t>
      </w:r>
      <w:r w:rsidR="00D15995" w:rsidRPr="007F28C1">
        <w:rPr>
          <w:rFonts w:ascii="Times New Roman" w:hAnsi="Times New Roman" w:cs="Times New Roman"/>
          <w:sz w:val="24"/>
          <w:szCs w:val="24"/>
        </w:rPr>
        <w:t xml:space="preserve">w </w:t>
      </w:r>
      <w:r w:rsidRPr="007F28C1">
        <w:rPr>
          <w:rFonts w:ascii="Times New Roman" w:hAnsi="Times New Roman" w:cs="Times New Roman"/>
          <w:sz w:val="24"/>
          <w:szCs w:val="24"/>
        </w:rPr>
        <w:t xml:space="preserve">UE. Prowadzona przez UE polityka klimatyczna zakłada zwiększenie wolumenu energii elektrycznej pochodzącej z odnawialnych źródeł energii. Coraz większą wagę przykłada się także do racjonalnego i zrównoważonego wykorzystywania zasobów i surowców energetycznych. W zamierzeniach KE technologie wodorowe </w:t>
      </w:r>
      <w:r w:rsidR="00100F70" w:rsidRPr="007F28C1">
        <w:rPr>
          <w:rFonts w:ascii="Times New Roman" w:hAnsi="Times New Roman" w:cs="Times New Roman"/>
          <w:sz w:val="24"/>
          <w:szCs w:val="24"/>
        </w:rPr>
        <w:t xml:space="preserve">będą </w:t>
      </w:r>
      <w:r w:rsidRPr="007F28C1">
        <w:rPr>
          <w:rFonts w:ascii="Times New Roman" w:hAnsi="Times New Roman" w:cs="Times New Roman"/>
          <w:sz w:val="24"/>
          <w:szCs w:val="24"/>
        </w:rPr>
        <w:t xml:space="preserve">stanowić jeden z filarów transformacji europejskiego rynku energii. Wiąże się z tym przewidywany wzrost zainteresowania wodorem, jako nośnikiem energii, i możliwością jego magazynowania na dużą skalę w podziemnych strukturach geologicznych. </w:t>
      </w:r>
    </w:p>
    <w:p w14:paraId="5AAFC380" w14:textId="60E10B90" w:rsidR="003B1ECC" w:rsidRPr="007F28C1" w:rsidRDefault="00F1378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W obowiązującym stanie prawnym nie ma przepisów regulujących wprost prowadzenie działalności w zakresie podziemnego </w:t>
      </w:r>
      <w:r w:rsidR="004465C2" w:rsidRPr="007F28C1">
        <w:rPr>
          <w:rFonts w:ascii="Times New Roman" w:hAnsi="Times New Roman" w:cs="Times New Roman"/>
          <w:color w:val="000000"/>
          <w:sz w:val="24"/>
          <w:szCs w:val="24"/>
        </w:rPr>
        <w:t xml:space="preserve">bezzbiornikowego </w:t>
      </w:r>
      <w:r w:rsidRPr="007F28C1">
        <w:rPr>
          <w:rFonts w:ascii="Times New Roman" w:eastAsia="Times New Roman" w:hAnsi="Times New Roman" w:cs="Times New Roman"/>
          <w:sz w:val="24"/>
          <w:szCs w:val="24"/>
          <w:lang w:eastAsia="pl-PL"/>
        </w:rPr>
        <w:t xml:space="preserve">magazynowania wodoru. </w:t>
      </w:r>
      <w:r w:rsidRPr="007F28C1">
        <w:rPr>
          <w:rFonts w:ascii="Times New Roman" w:hAnsi="Times New Roman" w:cs="Times New Roman"/>
          <w:color w:val="000000"/>
          <w:sz w:val="24"/>
          <w:szCs w:val="24"/>
        </w:rPr>
        <w:t xml:space="preserve">Możliwe jest magazynowanie substancji, w tym wodoru, </w:t>
      </w:r>
      <w:r w:rsidRPr="007F28C1">
        <w:rPr>
          <w:rFonts w:ascii="Times New Roman" w:eastAsia="Times New Roman" w:hAnsi="Times New Roman" w:cs="Times New Roman"/>
          <w:sz w:val="24"/>
          <w:szCs w:val="24"/>
          <w:lang w:eastAsia="pl-PL"/>
        </w:rPr>
        <w:t>w wyeksploatowanych złoża</w:t>
      </w:r>
      <w:r w:rsidR="004465C2" w:rsidRPr="007F28C1">
        <w:rPr>
          <w:rFonts w:ascii="Times New Roman" w:eastAsia="Times New Roman" w:hAnsi="Times New Roman" w:cs="Times New Roman"/>
          <w:sz w:val="24"/>
          <w:szCs w:val="24"/>
          <w:lang w:eastAsia="pl-PL"/>
        </w:rPr>
        <w:t>ch</w:t>
      </w:r>
      <w:r w:rsidRPr="007F28C1">
        <w:rPr>
          <w:rFonts w:ascii="Times New Roman" w:eastAsia="Times New Roman" w:hAnsi="Times New Roman" w:cs="Times New Roman"/>
          <w:sz w:val="24"/>
          <w:szCs w:val="24"/>
          <w:lang w:eastAsia="pl-PL"/>
        </w:rPr>
        <w:t xml:space="preserve"> węglowodorów</w:t>
      </w:r>
      <w:r w:rsidRPr="007F28C1">
        <w:rPr>
          <w:rFonts w:ascii="Times New Roman" w:hAnsi="Times New Roman" w:cs="Times New Roman"/>
          <w:color w:val="000000"/>
          <w:sz w:val="24"/>
          <w:szCs w:val="24"/>
        </w:rPr>
        <w:t xml:space="preserve"> albo w podziemnych kawernach solnych. </w:t>
      </w:r>
      <w:r w:rsidRPr="007F28C1">
        <w:rPr>
          <w:rFonts w:ascii="Times New Roman" w:eastAsia="Times New Roman" w:hAnsi="Times New Roman" w:cs="Times New Roman"/>
          <w:sz w:val="24"/>
          <w:szCs w:val="24"/>
          <w:lang w:eastAsia="pl-PL"/>
        </w:rPr>
        <w:t xml:space="preserve">Bazując na dotychczasowych rozwiązaniach w zakresie bezzbiornikowego magazynowania substancji, wprowadzono szczególne przepisy </w:t>
      </w:r>
      <w:r w:rsidRPr="007F28C1">
        <w:rPr>
          <w:rFonts w:ascii="Times New Roman" w:eastAsia="Times New Roman" w:hAnsi="Times New Roman" w:cs="Times New Roman"/>
          <w:sz w:val="24"/>
          <w:szCs w:val="24"/>
          <w:lang w:eastAsia="pl-PL"/>
        </w:rPr>
        <w:lastRenderedPageBreak/>
        <w:t>dotyczące podziemnego bezzbiornikowego magazynowania wodor</w:t>
      </w:r>
      <w:r w:rsidR="00540A39" w:rsidRPr="007F28C1">
        <w:rPr>
          <w:rFonts w:ascii="Times New Roman" w:eastAsia="Times New Roman" w:hAnsi="Times New Roman" w:cs="Times New Roman"/>
          <w:sz w:val="24"/>
          <w:szCs w:val="24"/>
          <w:lang w:eastAsia="pl-PL"/>
        </w:rPr>
        <w:t>u, a także doprecyzowano istniejące przepisy w zakresie magazynowania substancji</w:t>
      </w:r>
      <w:r w:rsidRPr="007F28C1">
        <w:rPr>
          <w:rFonts w:ascii="Times New Roman" w:eastAsia="Times New Roman" w:hAnsi="Times New Roman" w:cs="Times New Roman"/>
          <w:sz w:val="24"/>
          <w:szCs w:val="24"/>
          <w:lang w:eastAsia="pl-PL"/>
        </w:rPr>
        <w:t>.</w:t>
      </w:r>
    </w:p>
    <w:p w14:paraId="5C8F301D" w14:textId="011DC2E7" w:rsidR="00F1378E" w:rsidRPr="007F28C1" w:rsidRDefault="003B1ECC"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Podziemne bezzbiornikowe magazynowanie wodoru zostało uznane za inwestycję celu publicznego,</w:t>
      </w:r>
      <w:r w:rsidRPr="007F28C1">
        <w:rPr>
          <w:rFonts w:ascii="Times New Roman" w:eastAsia="Times New Roman" w:hAnsi="Times New Roman" w:cs="Times New Roman"/>
          <w:sz w:val="24"/>
          <w:szCs w:val="24"/>
          <w:lang w:eastAsia="pl-PL"/>
        </w:rPr>
        <w:t xml:space="preserve"> </w:t>
      </w:r>
      <w:r w:rsidR="007B0D04" w:rsidRPr="007F28C1">
        <w:rPr>
          <w:rFonts w:ascii="Times New Roman" w:eastAsia="Times New Roman" w:hAnsi="Times New Roman" w:cs="Times New Roman"/>
          <w:sz w:val="24"/>
          <w:szCs w:val="24"/>
          <w:lang w:eastAsia="pl-PL"/>
        </w:rPr>
        <w:t>przez zmianę</w:t>
      </w:r>
      <w:r w:rsidR="00150999"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art. 6 ustawy </w:t>
      </w:r>
      <w:r w:rsidR="00215262" w:rsidRPr="007F28C1">
        <w:rPr>
          <w:rFonts w:ascii="Times New Roman" w:eastAsia="Times New Roman" w:hAnsi="Times New Roman" w:cs="Times New Roman"/>
          <w:sz w:val="24"/>
          <w:szCs w:val="24"/>
          <w:lang w:eastAsia="pl-PL"/>
        </w:rPr>
        <w:t xml:space="preserve">z dnia 21 sierpnia 1997 r. </w:t>
      </w:r>
      <w:r w:rsidRPr="007F28C1">
        <w:rPr>
          <w:rFonts w:ascii="Times New Roman" w:eastAsia="Times New Roman" w:hAnsi="Times New Roman" w:cs="Times New Roman"/>
          <w:sz w:val="24"/>
          <w:szCs w:val="24"/>
          <w:lang w:eastAsia="pl-PL"/>
        </w:rPr>
        <w:t xml:space="preserve">o gospodarce nieruchomościami. </w:t>
      </w:r>
      <w:r w:rsidR="00F1378E" w:rsidRPr="007F28C1">
        <w:rPr>
          <w:rFonts w:ascii="Times New Roman" w:eastAsia="Times New Roman" w:hAnsi="Times New Roman" w:cs="Times New Roman"/>
          <w:sz w:val="24"/>
          <w:szCs w:val="24"/>
          <w:lang w:eastAsia="pl-PL"/>
        </w:rPr>
        <w:t>W konsekwencji uznano za uzasadnione rozszerzenie katalogu koncesji, dla</w:t>
      </w:r>
      <w:r w:rsidR="00DA2CA7" w:rsidRPr="007F28C1">
        <w:rPr>
          <w:rFonts w:ascii="Times New Roman" w:eastAsia="Times New Roman" w:hAnsi="Times New Roman" w:cs="Times New Roman"/>
          <w:sz w:val="24"/>
          <w:szCs w:val="24"/>
          <w:lang w:eastAsia="pl-PL"/>
        </w:rPr>
        <w:t> </w:t>
      </w:r>
      <w:r w:rsidR="00F1378E" w:rsidRPr="007F28C1">
        <w:rPr>
          <w:rFonts w:ascii="Times New Roman" w:eastAsia="Times New Roman" w:hAnsi="Times New Roman" w:cs="Times New Roman"/>
          <w:sz w:val="24"/>
          <w:szCs w:val="24"/>
          <w:lang w:eastAsia="pl-PL"/>
        </w:rPr>
        <w:t>których przedsiębiorca może żądać wykupu nieruchomości lub jej części położonej w</w:t>
      </w:r>
      <w:r w:rsidR="007D79DE" w:rsidRPr="007F28C1">
        <w:rPr>
          <w:rFonts w:ascii="Times New Roman" w:eastAsia="Times New Roman" w:hAnsi="Times New Roman" w:cs="Times New Roman"/>
          <w:sz w:val="24"/>
          <w:szCs w:val="24"/>
          <w:lang w:eastAsia="pl-PL"/>
        </w:rPr>
        <w:t> </w:t>
      </w:r>
      <w:r w:rsidR="00F1378E" w:rsidRPr="007F28C1">
        <w:rPr>
          <w:rFonts w:ascii="Times New Roman" w:eastAsia="Times New Roman" w:hAnsi="Times New Roman" w:cs="Times New Roman"/>
          <w:sz w:val="24"/>
          <w:szCs w:val="24"/>
          <w:lang w:eastAsia="pl-PL"/>
        </w:rPr>
        <w:t>obszarze górniczym, w</w:t>
      </w:r>
      <w:r w:rsidR="00DA2CA7" w:rsidRPr="007F28C1">
        <w:rPr>
          <w:rFonts w:ascii="Times New Roman" w:eastAsia="Times New Roman" w:hAnsi="Times New Roman" w:cs="Times New Roman"/>
          <w:sz w:val="24"/>
          <w:szCs w:val="24"/>
          <w:lang w:eastAsia="pl-PL"/>
        </w:rPr>
        <w:t> </w:t>
      </w:r>
      <w:r w:rsidR="00F1378E" w:rsidRPr="007F28C1">
        <w:rPr>
          <w:rFonts w:ascii="Times New Roman" w:eastAsia="Times New Roman" w:hAnsi="Times New Roman" w:cs="Times New Roman"/>
          <w:sz w:val="24"/>
          <w:szCs w:val="24"/>
          <w:lang w:eastAsia="pl-PL"/>
        </w:rPr>
        <w:t>zakresie niezbędnym do wykonywania zamierzonej działalności, o koncesję na</w:t>
      </w:r>
      <w:r w:rsidR="00DA2CA7" w:rsidRPr="007F28C1">
        <w:rPr>
          <w:rFonts w:ascii="Times New Roman" w:eastAsia="Times New Roman" w:hAnsi="Times New Roman" w:cs="Times New Roman"/>
          <w:sz w:val="24"/>
          <w:szCs w:val="24"/>
          <w:lang w:eastAsia="pl-PL"/>
        </w:rPr>
        <w:t> </w:t>
      </w:r>
      <w:r w:rsidR="00F1378E" w:rsidRPr="007F28C1">
        <w:rPr>
          <w:rFonts w:ascii="Times New Roman" w:eastAsia="Times New Roman" w:hAnsi="Times New Roman" w:cs="Times New Roman"/>
          <w:sz w:val="24"/>
          <w:szCs w:val="24"/>
          <w:lang w:eastAsia="pl-PL"/>
        </w:rPr>
        <w:t>podziemne bezzbiornikowe magazynowanie wodoru</w:t>
      </w:r>
      <w:r w:rsidR="00261894" w:rsidRPr="007F28C1">
        <w:rPr>
          <w:rFonts w:ascii="Times New Roman" w:eastAsia="Times New Roman" w:hAnsi="Times New Roman" w:cs="Times New Roman"/>
          <w:sz w:val="24"/>
          <w:szCs w:val="24"/>
          <w:lang w:eastAsia="pl-PL"/>
        </w:rPr>
        <w:t xml:space="preserve"> (dodanie w art. 19 w</w:t>
      </w:r>
      <w:r w:rsidR="00FC29C8" w:rsidRPr="007F28C1">
        <w:rPr>
          <w:rFonts w:ascii="Times New Roman" w:eastAsia="Times New Roman" w:hAnsi="Times New Roman" w:cs="Times New Roman"/>
          <w:sz w:val="24"/>
          <w:szCs w:val="24"/>
          <w:lang w:eastAsia="pl-PL"/>
        </w:rPr>
        <w:t> </w:t>
      </w:r>
      <w:r w:rsidR="00261894" w:rsidRPr="007F28C1">
        <w:rPr>
          <w:rFonts w:ascii="Times New Roman" w:eastAsia="Times New Roman" w:hAnsi="Times New Roman" w:cs="Times New Roman"/>
          <w:sz w:val="24"/>
          <w:szCs w:val="24"/>
          <w:lang w:eastAsia="pl-PL"/>
        </w:rPr>
        <w:t>ust. 1 pkt 4a P.g.g.).</w:t>
      </w:r>
    </w:p>
    <w:p w14:paraId="46CDC5AD" w14:textId="266F2403" w:rsidR="007D79DE" w:rsidRPr="007F28C1" w:rsidRDefault="00E91311" w:rsidP="007F28C1">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color w:val="000000"/>
          <w:sz w:val="24"/>
          <w:szCs w:val="24"/>
        </w:rPr>
        <w:t>Określenie wymogów i warunków decydujących o wyborze złoża lub struktury geologicznej z</w:t>
      </w:r>
      <w:r w:rsidR="00F1378E" w:rsidRPr="007F28C1">
        <w:rPr>
          <w:rFonts w:ascii="Times New Roman" w:hAnsi="Times New Roman" w:cs="Times New Roman"/>
          <w:color w:val="000000"/>
          <w:sz w:val="24"/>
          <w:szCs w:val="24"/>
        </w:rPr>
        <w:t> </w:t>
      </w:r>
      <w:r w:rsidRPr="007F28C1">
        <w:rPr>
          <w:rFonts w:ascii="Times New Roman" w:hAnsi="Times New Roman" w:cs="Times New Roman"/>
          <w:color w:val="000000"/>
          <w:sz w:val="24"/>
          <w:szCs w:val="24"/>
        </w:rPr>
        <w:t xml:space="preserve">przeznaczeniem na podziemny magazyn wodoru powinno odbywać </w:t>
      </w:r>
      <w:r w:rsidR="006D1549" w:rsidRPr="007F28C1">
        <w:rPr>
          <w:rFonts w:ascii="Times New Roman" w:hAnsi="Times New Roman" w:cs="Times New Roman"/>
          <w:color w:val="000000"/>
          <w:sz w:val="24"/>
          <w:szCs w:val="24"/>
        </w:rPr>
        <w:t xml:space="preserve">się </w:t>
      </w:r>
      <w:r w:rsidRPr="007F28C1">
        <w:rPr>
          <w:rFonts w:ascii="Times New Roman" w:hAnsi="Times New Roman" w:cs="Times New Roman"/>
          <w:color w:val="000000"/>
          <w:sz w:val="24"/>
          <w:szCs w:val="24"/>
        </w:rPr>
        <w:t xml:space="preserve">na podstawie wnikliwej analizy geologicznej z wykorzystaniem inżynierii złożowej. </w:t>
      </w:r>
      <w:r w:rsidRPr="007F28C1">
        <w:rPr>
          <w:rFonts w:ascii="Times New Roman" w:eastAsia="Times New Roman" w:hAnsi="Times New Roman" w:cs="Times New Roman"/>
          <w:sz w:val="24"/>
          <w:szCs w:val="24"/>
          <w:lang w:eastAsia="pl-PL"/>
        </w:rPr>
        <w:t>Podobnie jak dotychczas podmiot wykona prace geologiczne, w tym roboty geologiczne, na podstawie zatwierdzanego przez organ administracji geologicznej projekt</w:t>
      </w:r>
      <w:r w:rsidR="000D1E5E" w:rsidRPr="007F28C1">
        <w:rPr>
          <w:rFonts w:ascii="Times New Roman" w:eastAsia="Times New Roman" w:hAnsi="Times New Roman" w:cs="Times New Roman"/>
          <w:sz w:val="24"/>
          <w:szCs w:val="24"/>
          <w:lang w:eastAsia="pl-PL"/>
        </w:rPr>
        <w:t>u</w:t>
      </w:r>
      <w:r w:rsidRPr="007F28C1">
        <w:rPr>
          <w:rFonts w:ascii="Times New Roman" w:eastAsia="Times New Roman" w:hAnsi="Times New Roman" w:cs="Times New Roman"/>
          <w:sz w:val="24"/>
          <w:szCs w:val="24"/>
          <w:lang w:eastAsia="pl-PL"/>
        </w:rPr>
        <w:t xml:space="preserve"> robót geologicznych</w:t>
      </w:r>
      <w:r w:rsidR="0042513C" w:rsidRPr="007F28C1">
        <w:rPr>
          <w:rFonts w:ascii="Times New Roman" w:eastAsia="Times New Roman" w:hAnsi="Times New Roman" w:cs="Times New Roman"/>
          <w:sz w:val="24"/>
          <w:szCs w:val="24"/>
          <w:lang w:eastAsia="pl-PL"/>
        </w:rPr>
        <w:t>, zgodnie z art. 79 i art. 80 P</w:t>
      </w:r>
      <w:r w:rsidR="007B0D04" w:rsidRPr="007F28C1">
        <w:rPr>
          <w:rFonts w:ascii="Times New Roman" w:eastAsia="Times New Roman" w:hAnsi="Times New Roman" w:cs="Times New Roman"/>
          <w:sz w:val="24"/>
          <w:szCs w:val="24"/>
          <w:lang w:eastAsia="pl-PL"/>
        </w:rPr>
        <w:t>.</w:t>
      </w:r>
      <w:r w:rsidR="0042513C"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42513C"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 Wyniki tych prac zostaną przedstawione w dokumentacji hydrogeologicznej oraz w dokumentacji geologiczno-inżynierskiej</w:t>
      </w:r>
      <w:r w:rsidR="0042513C" w:rsidRPr="007F28C1">
        <w:rPr>
          <w:rFonts w:ascii="Times New Roman" w:eastAsia="Times New Roman" w:hAnsi="Times New Roman" w:cs="Times New Roman"/>
          <w:sz w:val="24"/>
          <w:szCs w:val="24"/>
          <w:lang w:eastAsia="pl-PL"/>
        </w:rPr>
        <w:t>, zgodnie z art. 90 i art. 91 P</w:t>
      </w:r>
      <w:r w:rsidR="007B0D04" w:rsidRPr="007F28C1">
        <w:rPr>
          <w:rFonts w:ascii="Times New Roman" w:eastAsia="Times New Roman" w:hAnsi="Times New Roman" w:cs="Times New Roman"/>
          <w:sz w:val="24"/>
          <w:szCs w:val="24"/>
          <w:lang w:eastAsia="pl-PL"/>
        </w:rPr>
        <w:t>.</w:t>
      </w:r>
      <w:r w:rsidR="0042513C"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42513C"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 xml:space="preserve">. </w:t>
      </w:r>
    </w:p>
    <w:p w14:paraId="27D00B1B" w14:textId="0326A211" w:rsidR="00E91311" w:rsidRPr="007F28C1" w:rsidRDefault="007D79DE" w:rsidP="007F28C1">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 xml:space="preserve">Magazynowanie substancji, w tym wodoru, jest możliwe </w:t>
      </w:r>
      <w:r w:rsidRPr="007F28C1">
        <w:rPr>
          <w:rFonts w:ascii="Times New Roman" w:eastAsia="Times New Roman" w:hAnsi="Times New Roman" w:cs="Times New Roman"/>
          <w:sz w:val="24"/>
          <w:szCs w:val="24"/>
          <w:lang w:eastAsia="pl-PL"/>
        </w:rPr>
        <w:t>w wyeksploatowanych złożach węglowodorów</w:t>
      </w:r>
      <w:r w:rsidRPr="007F28C1">
        <w:rPr>
          <w:rFonts w:ascii="Times New Roman" w:hAnsi="Times New Roman" w:cs="Times New Roman"/>
          <w:sz w:val="24"/>
          <w:szCs w:val="24"/>
        </w:rPr>
        <w:t xml:space="preserve"> albo w podziemnych kawernach solnych. Oczywist</w:t>
      </w:r>
      <w:r w:rsidR="00215262" w:rsidRPr="007F28C1">
        <w:rPr>
          <w:rFonts w:ascii="Times New Roman" w:hAnsi="Times New Roman" w:cs="Times New Roman"/>
          <w:sz w:val="24"/>
          <w:szCs w:val="24"/>
        </w:rPr>
        <w:t>e</w:t>
      </w:r>
      <w:r w:rsidRPr="007F28C1">
        <w:rPr>
          <w:rFonts w:ascii="Times New Roman" w:hAnsi="Times New Roman" w:cs="Times New Roman"/>
          <w:sz w:val="24"/>
          <w:szCs w:val="24"/>
        </w:rPr>
        <w:t xml:space="preserve"> jest, że prowadzeniem działalności w zakresie magazynowania</w:t>
      </w:r>
      <w:r w:rsidR="004465C2" w:rsidRPr="007F28C1">
        <w:rPr>
          <w:rFonts w:ascii="Times New Roman" w:hAnsi="Times New Roman" w:cs="Times New Roman"/>
          <w:sz w:val="24"/>
          <w:szCs w:val="24"/>
        </w:rPr>
        <w:t xml:space="preserve"> substancji, w tym</w:t>
      </w:r>
      <w:r w:rsidRPr="007F28C1">
        <w:rPr>
          <w:rFonts w:ascii="Times New Roman" w:hAnsi="Times New Roman" w:cs="Times New Roman"/>
          <w:sz w:val="24"/>
          <w:szCs w:val="24"/>
        </w:rPr>
        <w:t xml:space="preserve"> wodoru</w:t>
      </w:r>
      <w:r w:rsidR="004465C2" w:rsidRPr="007F28C1">
        <w:rPr>
          <w:rFonts w:ascii="Times New Roman" w:hAnsi="Times New Roman" w:cs="Times New Roman"/>
          <w:sz w:val="24"/>
          <w:szCs w:val="24"/>
        </w:rPr>
        <w:t>,</w:t>
      </w:r>
      <w:r w:rsidRPr="007F28C1">
        <w:rPr>
          <w:rFonts w:ascii="Times New Roman" w:hAnsi="Times New Roman" w:cs="Times New Roman"/>
          <w:sz w:val="24"/>
          <w:szCs w:val="24"/>
        </w:rPr>
        <w:t xml:space="preserve"> najbardziej zainteresowani mogą być ci przedsiębiorcy, którzy posiadali koncesję na wydobywanie węglowodorów lub soli ze złoża i zakończyli eksploatację złoża. </w:t>
      </w:r>
      <w:r w:rsidR="00E91311" w:rsidRPr="007F28C1">
        <w:rPr>
          <w:rFonts w:ascii="Times New Roman" w:eastAsia="Times New Roman" w:hAnsi="Times New Roman" w:cs="Times New Roman"/>
          <w:sz w:val="24"/>
          <w:szCs w:val="24"/>
          <w:lang w:eastAsia="pl-PL"/>
        </w:rPr>
        <w:t xml:space="preserve">W przypadku zakończenia eksploatacji złoża kopaliny albo jego części, </w:t>
      </w:r>
      <w:r w:rsidR="00E91311" w:rsidRPr="007F28C1">
        <w:rPr>
          <w:rFonts w:ascii="Times New Roman" w:hAnsi="Times New Roman" w:cs="Times New Roman"/>
          <w:sz w:val="24"/>
          <w:szCs w:val="24"/>
        </w:rPr>
        <w:t>przewidzianego do podziemnego bezzbiornikowego magazynowania</w:t>
      </w:r>
      <w:r w:rsidR="004465C2" w:rsidRPr="007F28C1">
        <w:rPr>
          <w:rFonts w:ascii="Times New Roman" w:hAnsi="Times New Roman" w:cs="Times New Roman"/>
          <w:sz w:val="24"/>
          <w:szCs w:val="24"/>
        </w:rPr>
        <w:t xml:space="preserve"> substancji, w tym</w:t>
      </w:r>
      <w:r w:rsidR="00E91311" w:rsidRPr="007F28C1">
        <w:rPr>
          <w:rFonts w:ascii="Times New Roman" w:hAnsi="Times New Roman" w:cs="Times New Roman"/>
          <w:sz w:val="24"/>
          <w:szCs w:val="24"/>
        </w:rPr>
        <w:t xml:space="preserve"> wodoru, </w:t>
      </w:r>
      <w:r w:rsidR="00215262" w:rsidRPr="007F28C1">
        <w:rPr>
          <w:rFonts w:ascii="Times New Roman" w:eastAsia="Times New Roman" w:hAnsi="Times New Roman" w:cs="Times New Roman"/>
          <w:sz w:val="24"/>
          <w:szCs w:val="24"/>
          <w:lang w:eastAsia="pl-PL"/>
        </w:rPr>
        <w:t xml:space="preserve">będzie </w:t>
      </w:r>
      <w:r w:rsidR="00E91311" w:rsidRPr="007F28C1">
        <w:rPr>
          <w:rFonts w:ascii="Times New Roman" w:eastAsia="Times New Roman" w:hAnsi="Times New Roman" w:cs="Times New Roman"/>
          <w:sz w:val="24"/>
          <w:szCs w:val="24"/>
          <w:lang w:eastAsia="pl-PL"/>
        </w:rPr>
        <w:t>konieczne uprzednie rozliczenie zasobów złoża i sporządzenie dodatku do dokumentacji geologicznej złoża kopaliny albo dokumentacji geologiczno-inwestycyjnej złoża węglowodorów</w:t>
      </w:r>
      <w:r w:rsidR="00CD57A8" w:rsidRPr="007F28C1">
        <w:rPr>
          <w:rFonts w:ascii="Times New Roman" w:eastAsia="Times New Roman" w:hAnsi="Times New Roman" w:cs="Times New Roman"/>
          <w:sz w:val="24"/>
          <w:szCs w:val="24"/>
          <w:lang w:eastAsia="pl-PL"/>
        </w:rPr>
        <w:t xml:space="preserve"> </w:t>
      </w:r>
      <w:r w:rsidR="00261894" w:rsidRPr="007F28C1">
        <w:rPr>
          <w:rFonts w:ascii="Times New Roman" w:eastAsia="Times New Roman" w:hAnsi="Times New Roman" w:cs="Times New Roman"/>
          <w:sz w:val="24"/>
          <w:szCs w:val="24"/>
          <w:lang w:eastAsia="pl-PL"/>
        </w:rPr>
        <w:t xml:space="preserve">zgodnie z dodanym art. 89 ust. 7 P.g.g. </w:t>
      </w:r>
      <w:r w:rsidR="00CD57A8" w:rsidRPr="007F28C1">
        <w:rPr>
          <w:rFonts w:ascii="Times New Roman" w:eastAsia="Times New Roman" w:hAnsi="Times New Roman" w:cs="Times New Roman"/>
          <w:sz w:val="24"/>
          <w:szCs w:val="24"/>
          <w:lang w:eastAsia="pl-PL"/>
        </w:rPr>
        <w:t>oraz określenie w dokumentacji rozliczeniowej podstawowych informacji o</w:t>
      </w:r>
      <w:r w:rsidR="00705A7E" w:rsidRPr="007F28C1">
        <w:rPr>
          <w:rFonts w:ascii="Times New Roman" w:eastAsia="Times New Roman" w:hAnsi="Times New Roman" w:cs="Times New Roman"/>
          <w:sz w:val="24"/>
          <w:szCs w:val="24"/>
          <w:lang w:eastAsia="pl-PL"/>
        </w:rPr>
        <w:t> </w:t>
      </w:r>
      <w:r w:rsidR="00CD57A8" w:rsidRPr="007F28C1">
        <w:rPr>
          <w:rFonts w:ascii="Times New Roman" w:eastAsia="Times New Roman" w:hAnsi="Times New Roman" w:cs="Times New Roman"/>
          <w:sz w:val="24"/>
          <w:szCs w:val="24"/>
          <w:lang w:eastAsia="pl-PL"/>
        </w:rPr>
        <w:t>warunkach hydrogeologicznych i geologiczno-inżynierskich w zakresie niezbędnym do</w:t>
      </w:r>
      <w:r w:rsidR="00FC29C8" w:rsidRPr="007F28C1">
        <w:rPr>
          <w:rFonts w:ascii="Times New Roman" w:eastAsia="Times New Roman" w:hAnsi="Times New Roman" w:cs="Times New Roman"/>
          <w:sz w:val="24"/>
          <w:szCs w:val="24"/>
          <w:lang w:eastAsia="pl-PL"/>
        </w:rPr>
        <w:t> </w:t>
      </w:r>
      <w:r w:rsidR="00CD57A8" w:rsidRPr="007F28C1">
        <w:rPr>
          <w:rFonts w:ascii="Times New Roman" w:eastAsia="Times New Roman" w:hAnsi="Times New Roman" w:cs="Times New Roman"/>
          <w:sz w:val="24"/>
          <w:szCs w:val="24"/>
          <w:lang w:eastAsia="pl-PL"/>
        </w:rPr>
        <w:t>projektowania tej działalności</w:t>
      </w:r>
      <w:r w:rsidR="0042513C" w:rsidRPr="007F28C1">
        <w:rPr>
          <w:rFonts w:ascii="Times New Roman" w:eastAsia="Times New Roman" w:hAnsi="Times New Roman" w:cs="Times New Roman"/>
          <w:sz w:val="24"/>
          <w:szCs w:val="24"/>
          <w:lang w:eastAsia="pl-PL"/>
        </w:rPr>
        <w:t>,</w:t>
      </w:r>
      <w:r w:rsidR="00CD57A8" w:rsidRPr="007F28C1">
        <w:rPr>
          <w:rFonts w:ascii="Times New Roman" w:eastAsia="Times New Roman" w:hAnsi="Times New Roman" w:cs="Times New Roman"/>
          <w:sz w:val="24"/>
          <w:szCs w:val="24"/>
          <w:lang w:eastAsia="pl-PL"/>
        </w:rPr>
        <w:t xml:space="preserve"> </w:t>
      </w:r>
      <w:r w:rsidR="00261894" w:rsidRPr="007F28C1">
        <w:rPr>
          <w:rFonts w:ascii="Times New Roman" w:eastAsia="Times New Roman" w:hAnsi="Times New Roman" w:cs="Times New Roman"/>
          <w:sz w:val="24"/>
          <w:szCs w:val="24"/>
          <w:lang w:eastAsia="pl-PL"/>
        </w:rPr>
        <w:t>zgodnie</w:t>
      </w:r>
      <w:r w:rsidR="00CD57A8" w:rsidRPr="007F28C1">
        <w:rPr>
          <w:rFonts w:ascii="Times New Roman" w:eastAsia="Times New Roman" w:hAnsi="Times New Roman" w:cs="Times New Roman"/>
          <w:sz w:val="24"/>
          <w:szCs w:val="24"/>
          <w:lang w:eastAsia="pl-PL"/>
        </w:rPr>
        <w:t xml:space="preserve"> z art. 89a </w:t>
      </w:r>
      <w:r w:rsidR="00261894" w:rsidRPr="007F28C1">
        <w:rPr>
          <w:rFonts w:ascii="Times New Roman" w:eastAsia="Times New Roman" w:hAnsi="Times New Roman" w:cs="Times New Roman"/>
          <w:sz w:val="24"/>
          <w:szCs w:val="24"/>
          <w:lang w:eastAsia="pl-PL"/>
        </w:rPr>
        <w:t xml:space="preserve">ust. </w:t>
      </w:r>
      <w:r w:rsidR="00EE48A1" w:rsidRPr="007F28C1">
        <w:rPr>
          <w:rFonts w:ascii="Times New Roman" w:eastAsia="Times New Roman" w:hAnsi="Times New Roman" w:cs="Times New Roman"/>
          <w:sz w:val="24"/>
          <w:szCs w:val="24"/>
          <w:lang w:eastAsia="pl-PL"/>
        </w:rPr>
        <w:t>2</w:t>
      </w:r>
      <w:r w:rsidR="00261894" w:rsidRPr="007F28C1">
        <w:rPr>
          <w:rFonts w:ascii="Times New Roman" w:eastAsia="Times New Roman" w:hAnsi="Times New Roman" w:cs="Times New Roman"/>
          <w:sz w:val="24"/>
          <w:szCs w:val="24"/>
          <w:lang w:eastAsia="pl-PL"/>
        </w:rPr>
        <w:t xml:space="preserve"> </w:t>
      </w:r>
      <w:r w:rsidR="00CD57A8" w:rsidRPr="007F28C1">
        <w:rPr>
          <w:rFonts w:ascii="Times New Roman" w:eastAsia="Times New Roman" w:hAnsi="Times New Roman" w:cs="Times New Roman"/>
          <w:sz w:val="24"/>
          <w:szCs w:val="24"/>
          <w:lang w:eastAsia="pl-PL"/>
        </w:rPr>
        <w:t>P</w:t>
      </w:r>
      <w:r w:rsidR="007B0D04" w:rsidRPr="007F28C1">
        <w:rPr>
          <w:rFonts w:ascii="Times New Roman" w:eastAsia="Times New Roman" w:hAnsi="Times New Roman" w:cs="Times New Roman"/>
          <w:sz w:val="24"/>
          <w:szCs w:val="24"/>
          <w:lang w:eastAsia="pl-PL"/>
        </w:rPr>
        <w:t>.</w:t>
      </w:r>
      <w:r w:rsidR="00CD57A8"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CD57A8"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 w zmienionym brzmieniu</w:t>
      </w:r>
      <w:r w:rsidR="00CD57A8" w:rsidRPr="007F28C1">
        <w:rPr>
          <w:rFonts w:ascii="Times New Roman" w:eastAsia="Times New Roman" w:hAnsi="Times New Roman" w:cs="Times New Roman"/>
          <w:sz w:val="24"/>
          <w:szCs w:val="24"/>
          <w:lang w:eastAsia="pl-PL"/>
        </w:rPr>
        <w:t>.</w:t>
      </w:r>
    </w:p>
    <w:p w14:paraId="4BBACE93" w14:textId="7E0AA8CE" w:rsidR="007D79DE" w:rsidRPr="007F28C1" w:rsidRDefault="00E91311" w:rsidP="007F28C1">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Mając na względzie nakłady ponoszone przez inwestorów na roboty geologiczne związane z</w:t>
      </w:r>
      <w:r w:rsidR="00F137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określaniem warunków hydrogeologicznych oraz geologiczno-inżynierskich </w:t>
      </w:r>
      <w:r w:rsidR="006D1549">
        <w:rPr>
          <w:rFonts w:ascii="Times New Roman" w:eastAsia="Times New Roman" w:hAnsi="Times New Roman" w:cs="Times New Roman"/>
          <w:sz w:val="24"/>
          <w:szCs w:val="24"/>
          <w:lang w:eastAsia="pl-PL"/>
        </w:rPr>
        <w:t>na</w:t>
      </w:r>
      <w:r w:rsidR="006D1549"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potrzeb</w:t>
      </w:r>
      <w:r w:rsidR="006D1549">
        <w:rPr>
          <w:rFonts w:ascii="Times New Roman" w:eastAsia="Times New Roman" w:hAnsi="Times New Roman" w:cs="Times New Roman"/>
          <w:sz w:val="24"/>
          <w:szCs w:val="24"/>
          <w:lang w:eastAsia="pl-PL"/>
        </w:rPr>
        <w:t>y</w:t>
      </w:r>
      <w:r w:rsidRPr="007F28C1">
        <w:rPr>
          <w:rFonts w:ascii="Times New Roman" w:eastAsia="Times New Roman" w:hAnsi="Times New Roman" w:cs="Times New Roman"/>
          <w:sz w:val="24"/>
          <w:szCs w:val="24"/>
          <w:lang w:eastAsia="pl-PL"/>
        </w:rPr>
        <w:t xml:space="preserve"> podziemnego bezzbiornikowego magazynowania</w:t>
      </w:r>
      <w:r w:rsidR="00540A39" w:rsidRPr="007F28C1">
        <w:rPr>
          <w:rFonts w:ascii="Times New Roman" w:eastAsia="Times New Roman" w:hAnsi="Times New Roman" w:cs="Times New Roman"/>
          <w:sz w:val="24"/>
          <w:szCs w:val="24"/>
          <w:lang w:eastAsia="pl-PL"/>
        </w:rPr>
        <w:t xml:space="preserve"> substancji, w tym</w:t>
      </w:r>
      <w:r w:rsidRPr="007F28C1">
        <w:rPr>
          <w:rFonts w:ascii="Times New Roman" w:eastAsia="Times New Roman" w:hAnsi="Times New Roman" w:cs="Times New Roman"/>
          <w:sz w:val="24"/>
          <w:szCs w:val="24"/>
          <w:lang w:eastAsia="pl-PL"/>
        </w:rPr>
        <w:t xml:space="preserve"> wodoru</w:t>
      </w:r>
      <w:r w:rsidR="00540A39"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r w:rsidR="007D79DE" w:rsidRPr="007F28C1">
        <w:rPr>
          <w:rFonts w:ascii="Times New Roman" w:eastAsia="Times New Roman" w:hAnsi="Times New Roman" w:cs="Times New Roman"/>
          <w:sz w:val="24"/>
          <w:szCs w:val="24"/>
          <w:lang w:eastAsia="pl-PL"/>
        </w:rPr>
        <w:t xml:space="preserve">jak i nakłady </w:t>
      </w:r>
      <w:r w:rsidR="007D79DE" w:rsidRPr="007F28C1">
        <w:rPr>
          <w:rFonts w:ascii="Times New Roman" w:eastAsia="Times New Roman" w:hAnsi="Times New Roman" w:cs="Times New Roman"/>
          <w:sz w:val="24"/>
          <w:szCs w:val="24"/>
          <w:lang w:eastAsia="pl-PL"/>
        </w:rPr>
        <w:lastRenderedPageBreak/>
        <w:t xml:space="preserve">związane z wydobyciem węglowodorów albo soli ze złóż, w </w:t>
      </w:r>
      <w:r w:rsidR="007B0D04" w:rsidRPr="007F28C1">
        <w:rPr>
          <w:rFonts w:ascii="Times New Roman" w:eastAsia="Times New Roman" w:hAnsi="Times New Roman" w:cs="Times New Roman"/>
          <w:sz w:val="24"/>
          <w:szCs w:val="24"/>
          <w:lang w:eastAsia="pl-PL"/>
        </w:rPr>
        <w:t xml:space="preserve">dodanym </w:t>
      </w:r>
      <w:r w:rsidR="007D79DE" w:rsidRPr="007F28C1">
        <w:rPr>
          <w:rFonts w:ascii="Times New Roman" w:eastAsia="Times New Roman" w:hAnsi="Times New Roman" w:cs="Times New Roman"/>
          <w:sz w:val="24"/>
          <w:szCs w:val="24"/>
          <w:lang w:eastAsia="pl-PL"/>
        </w:rPr>
        <w:t>art. 21b</w:t>
      </w:r>
      <w:r w:rsidR="005B7604" w:rsidRPr="007F28C1">
        <w:rPr>
          <w:rFonts w:ascii="Times New Roman" w:eastAsia="Times New Roman" w:hAnsi="Times New Roman" w:cs="Times New Roman"/>
          <w:sz w:val="24"/>
          <w:szCs w:val="24"/>
          <w:lang w:eastAsia="pl-PL"/>
        </w:rPr>
        <w:t xml:space="preserve"> </w:t>
      </w:r>
      <w:r w:rsidR="007D79DE" w:rsidRPr="007F28C1">
        <w:rPr>
          <w:rFonts w:ascii="Times New Roman" w:eastAsia="Times New Roman" w:hAnsi="Times New Roman" w:cs="Times New Roman"/>
          <w:sz w:val="24"/>
          <w:szCs w:val="24"/>
          <w:lang w:eastAsia="pl-PL"/>
        </w:rPr>
        <w:t>P</w:t>
      </w:r>
      <w:r w:rsidR="007B0D04"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bCs/>
          <w:sz w:val="24"/>
          <w:szCs w:val="24"/>
          <w:lang w:eastAsia="pl-PL"/>
        </w:rPr>
        <w:t xml:space="preserve"> </w:t>
      </w:r>
      <w:r w:rsidR="007D79DE" w:rsidRPr="007F28C1">
        <w:rPr>
          <w:rFonts w:ascii="Times New Roman" w:eastAsia="Times New Roman" w:hAnsi="Times New Roman" w:cs="Times New Roman"/>
          <w:sz w:val="24"/>
          <w:szCs w:val="24"/>
          <w:lang w:eastAsia="pl-PL"/>
        </w:rPr>
        <w:t>uznano za pożądane, aby przedsiębiorcy ci po zakończeniu wydobywania kopaliny ze złoża mieli wyłączne prawo do złożenia wniosku o</w:t>
      </w:r>
      <w:r w:rsidR="00FC29C8" w:rsidRPr="007F28C1">
        <w:rPr>
          <w:rFonts w:ascii="Times New Roman" w:eastAsia="Times New Roman" w:hAnsi="Times New Roman" w:cs="Times New Roman"/>
          <w:sz w:val="24"/>
          <w:szCs w:val="24"/>
          <w:lang w:eastAsia="pl-PL"/>
        </w:rPr>
        <w:t> </w:t>
      </w:r>
      <w:r w:rsidR="007D79DE" w:rsidRPr="007F28C1">
        <w:rPr>
          <w:rFonts w:ascii="Times New Roman" w:eastAsia="Times New Roman" w:hAnsi="Times New Roman" w:cs="Times New Roman"/>
          <w:sz w:val="24"/>
          <w:szCs w:val="24"/>
          <w:lang w:eastAsia="pl-PL"/>
        </w:rPr>
        <w:t xml:space="preserve">udzielenie koncesji na podziemne bezzbiornikowe magazynowanie </w:t>
      </w:r>
      <w:r w:rsidR="00973B10" w:rsidRPr="007F28C1">
        <w:rPr>
          <w:rFonts w:ascii="Times New Roman" w:eastAsia="Times New Roman" w:hAnsi="Times New Roman" w:cs="Times New Roman"/>
          <w:sz w:val="24"/>
          <w:szCs w:val="24"/>
          <w:lang w:eastAsia="pl-PL"/>
        </w:rPr>
        <w:t xml:space="preserve">substancji </w:t>
      </w:r>
      <w:r w:rsidR="007D79DE" w:rsidRPr="007F28C1">
        <w:rPr>
          <w:rFonts w:ascii="Times New Roman" w:eastAsia="Times New Roman" w:hAnsi="Times New Roman" w:cs="Times New Roman"/>
          <w:sz w:val="24"/>
          <w:szCs w:val="24"/>
          <w:lang w:eastAsia="pl-PL"/>
        </w:rPr>
        <w:t xml:space="preserve">w przestrzeni objętej uprzednio koncesją wydobywczą. Jeżeli w dodatku do dokumentacji geologicznej złoża albo dokumentacji geologiczno-inwestycyjnej złoża węglowodorów sporządzonej w związku z zakończeniem eksploatacji złoże </w:t>
      </w:r>
      <w:r w:rsidR="00E26A70" w:rsidRPr="007F28C1">
        <w:rPr>
          <w:rFonts w:ascii="Times New Roman" w:eastAsia="Times New Roman" w:hAnsi="Times New Roman" w:cs="Times New Roman"/>
          <w:sz w:val="24"/>
          <w:szCs w:val="24"/>
          <w:lang w:eastAsia="pl-PL"/>
        </w:rPr>
        <w:t xml:space="preserve">albo </w:t>
      </w:r>
      <w:r w:rsidR="007D79DE" w:rsidRPr="007F28C1">
        <w:rPr>
          <w:rFonts w:ascii="Times New Roman" w:eastAsia="Times New Roman" w:hAnsi="Times New Roman" w:cs="Times New Roman"/>
          <w:sz w:val="24"/>
          <w:szCs w:val="24"/>
          <w:lang w:eastAsia="pl-PL"/>
        </w:rPr>
        <w:t xml:space="preserve">jego część nie zostaną przewidziane do podziemnego bezzbiornikowego magazynowania substancji, podmiot nie będzie miał prawa do wyłączności, a inny zainteresowany podmiot będzie mógł wystąpić o koncesję na tę działalność. Uprawnienie to będzie przysługiwało przedsiębiorcy w okresie 5 lat od zatwierdzenia dokumentacji geologicznych niezbędnych dla prowadzenia działalności w zakresie podziemnego bezzbiornikowego magazynowania </w:t>
      </w:r>
      <w:r w:rsidR="00973B10" w:rsidRPr="007F28C1">
        <w:rPr>
          <w:rFonts w:ascii="Times New Roman" w:eastAsia="Times New Roman" w:hAnsi="Times New Roman" w:cs="Times New Roman"/>
          <w:sz w:val="24"/>
          <w:szCs w:val="24"/>
          <w:lang w:eastAsia="pl-PL"/>
        </w:rPr>
        <w:t>substancji</w:t>
      </w:r>
      <w:r w:rsidR="007D79DE" w:rsidRPr="007F28C1">
        <w:rPr>
          <w:rFonts w:ascii="Times New Roman" w:eastAsia="Times New Roman" w:hAnsi="Times New Roman" w:cs="Times New Roman"/>
          <w:sz w:val="24"/>
          <w:szCs w:val="24"/>
          <w:lang w:eastAsia="pl-PL"/>
        </w:rPr>
        <w:t xml:space="preserve">, przy czym przedsiębiorca, który w trakcie biegu terminu do złożenia wniosku zrezygnuje z planów magazynowania </w:t>
      </w:r>
      <w:r w:rsidR="00973B10" w:rsidRPr="007F28C1">
        <w:rPr>
          <w:rFonts w:ascii="Times New Roman" w:eastAsia="Times New Roman" w:hAnsi="Times New Roman" w:cs="Times New Roman"/>
          <w:sz w:val="24"/>
          <w:szCs w:val="24"/>
          <w:lang w:eastAsia="pl-PL"/>
        </w:rPr>
        <w:t>substancji</w:t>
      </w:r>
      <w:r w:rsidR="00E101DA" w:rsidRPr="007F28C1">
        <w:rPr>
          <w:rFonts w:ascii="Times New Roman" w:eastAsia="Times New Roman" w:hAnsi="Times New Roman" w:cs="Times New Roman"/>
          <w:sz w:val="24"/>
          <w:szCs w:val="24"/>
          <w:lang w:eastAsia="pl-PL"/>
        </w:rPr>
        <w:t>,</w:t>
      </w:r>
      <w:r w:rsidR="00973B10" w:rsidRPr="007F28C1">
        <w:rPr>
          <w:rFonts w:ascii="Times New Roman" w:eastAsia="Times New Roman" w:hAnsi="Times New Roman" w:cs="Times New Roman"/>
          <w:sz w:val="24"/>
          <w:szCs w:val="24"/>
          <w:lang w:eastAsia="pl-PL"/>
        </w:rPr>
        <w:t xml:space="preserve"> </w:t>
      </w:r>
      <w:r w:rsidR="007D79DE" w:rsidRPr="007F28C1">
        <w:rPr>
          <w:rFonts w:ascii="Times New Roman" w:eastAsia="Times New Roman" w:hAnsi="Times New Roman" w:cs="Times New Roman"/>
          <w:sz w:val="24"/>
          <w:szCs w:val="24"/>
          <w:lang w:eastAsia="pl-PL"/>
        </w:rPr>
        <w:t>będzie mógł się zrzec tego uprawnienia zgodnie z</w:t>
      </w:r>
      <w:r w:rsidR="007D79DE" w:rsidRPr="007F28C1">
        <w:rPr>
          <w:rFonts w:ascii="Times New Roman" w:eastAsia="Times New Roman" w:hAnsi="Times New Roman" w:cs="Times New Roman"/>
          <w:bCs/>
          <w:sz w:val="24"/>
          <w:szCs w:val="24"/>
          <w:lang w:eastAsia="pl-PL"/>
        </w:rPr>
        <w:t xml:space="preserve"> </w:t>
      </w:r>
      <w:r w:rsidR="007D79DE" w:rsidRPr="007F28C1">
        <w:rPr>
          <w:rFonts w:ascii="Times New Roman" w:eastAsia="Times New Roman" w:hAnsi="Times New Roman" w:cs="Times New Roman"/>
          <w:sz w:val="24"/>
          <w:szCs w:val="24"/>
          <w:lang w:eastAsia="pl-PL"/>
        </w:rPr>
        <w:t>art. 21c P</w:t>
      </w:r>
      <w:r w:rsidR="007B0D04"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sz w:val="24"/>
          <w:szCs w:val="24"/>
          <w:lang w:eastAsia="pl-PL"/>
        </w:rPr>
        <w:t>g</w:t>
      </w:r>
      <w:r w:rsidR="007D79DE" w:rsidRPr="007F28C1">
        <w:rPr>
          <w:rFonts w:ascii="Times New Roman" w:eastAsia="Times New Roman" w:hAnsi="Times New Roman" w:cs="Times New Roman"/>
          <w:bCs/>
          <w:sz w:val="24"/>
          <w:szCs w:val="24"/>
          <w:lang w:eastAsia="pl-PL"/>
        </w:rPr>
        <w:t>.</w:t>
      </w:r>
      <w:r w:rsidR="007D79DE" w:rsidRPr="007F28C1">
        <w:rPr>
          <w:rFonts w:ascii="Times New Roman" w:eastAsia="Times New Roman" w:hAnsi="Times New Roman" w:cs="Times New Roman"/>
          <w:sz w:val="24"/>
          <w:szCs w:val="24"/>
          <w:lang w:eastAsia="pl-PL"/>
        </w:rPr>
        <w:t xml:space="preserve"> Rozwiązanie to ma zapobiec blokowaniu przestrzeni potencjalnego magazynu </w:t>
      </w:r>
      <w:r w:rsidR="004465C2" w:rsidRPr="007F28C1">
        <w:rPr>
          <w:rFonts w:ascii="Times New Roman" w:eastAsia="Times New Roman" w:hAnsi="Times New Roman" w:cs="Times New Roman"/>
          <w:sz w:val="24"/>
          <w:szCs w:val="24"/>
          <w:lang w:eastAsia="pl-PL"/>
        </w:rPr>
        <w:t xml:space="preserve">substancji, w tym </w:t>
      </w:r>
      <w:r w:rsidR="007D79DE" w:rsidRPr="007F28C1">
        <w:rPr>
          <w:rFonts w:ascii="Times New Roman" w:eastAsia="Times New Roman" w:hAnsi="Times New Roman" w:cs="Times New Roman"/>
          <w:sz w:val="24"/>
          <w:szCs w:val="24"/>
          <w:lang w:eastAsia="pl-PL"/>
        </w:rPr>
        <w:t>wodoru</w:t>
      </w:r>
      <w:r w:rsidR="004465C2"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sz w:val="24"/>
          <w:szCs w:val="24"/>
          <w:lang w:eastAsia="pl-PL"/>
        </w:rPr>
        <w:t xml:space="preserve"> przez przedsiębiorcę, który porzucił zamiar prowadzenia takiej działalności. Konsekwencją złożenia oświadczenia o zrzeczeniu się prawa wyłączności będzie również automatyczne wygaśnięcie wyłącznego prawa do korzystania </w:t>
      </w:r>
      <w:r w:rsidR="009D60D2">
        <w:rPr>
          <w:rFonts w:ascii="Times New Roman" w:eastAsia="Times New Roman" w:hAnsi="Times New Roman" w:cs="Times New Roman"/>
          <w:sz w:val="24"/>
          <w:szCs w:val="24"/>
          <w:lang w:eastAsia="pl-PL"/>
        </w:rPr>
        <w:t xml:space="preserve">z </w:t>
      </w:r>
      <w:r w:rsidR="007D79DE" w:rsidRPr="007F28C1">
        <w:rPr>
          <w:rFonts w:ascii="Times New Roman" w:eastAsia="Times New Roman" w:hAnsi="Times New Roman" w:cs="Times New Roman"/>
          <w:sz w:val="24"/>
          <w:szCs w:val="24"/>
          <w:lang w:eastAsia="pl-PL"/>
        </w:rPr>
        <w:t>informacji geologicznej, o którym mowa w art. 99 ust. 3 P</w:t>
      </w:r>
      <w:r w:rsidR="007B0D04"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7D79DE" w:rsidRPr="007F28C1">
        <w:rPr>
          <w:rFonts w:ascii="Times New Roman" w:eastAsia="Times New Roman" w:hAnsi="Times New Roman" w:cs="Times New Roman"/>
          <w:sz w:val="24"/>
          <w:szCs w:val="24"/>
          <w:lang w:eastAsia="pl-PL"/>
        </w:rPr>
        <w:t>g.</w:t>
      </w:r>
    </w:p>
    <w:p w14:paraId="510D2C90" w14:textId="7C24178D" w:rsidR="00632EEA" w:rsidRPr="007F28C1" w:rsidRDefault="00632EEA" w:rsidP="007F28C1">
      <w:pPr>
        <w:spacing w:before="120" w:after="0" w:line="360" w:lineRule="auto"/>
        <w:jc w:val="both"/>
        <w:rPr>
          <w:rFonts w:ascii="Times New Roman" w:eastAsia="SimSun" w:hAnsi="Times New Roman" w:cs="Times New Roman"/>
          <w:sz w:val="24"/>
          <w:szCs w:val="24"/>
          <w:lang w:bidi="pl-PL"/>
        </w:rPr>
      </w:pPr>
      <w:r w:rsidRPr="007F28C1">
        <w:rPr>
          <w:rFonts w:ascii="Times New Roman" w:eastAsia="Times New Roman" w:hAnsi="Times New Roman" w:cs="Times New Roman"/>
          <w:sz w:val="24"/>
          <w:szCs w:val="24"/>
          <w:lang w:eastAsia="pl-PL"/>
        </w:rPr>
        <w:t xml:space="preserve">Ponadto, mając na uwadze specyfikę prowadzenia działalności w zakresie podziemnego bezzbiornikowego magazynowania substancji, w tym wodoru, w </w:t>
      </w:r>
      <w:r w:rsidRPr="007F28C1">
        <w:rPr>
          <w:rFonts w:ascii="Times New Roman" w:eastAsia="SimSun" w:hAnsi="Times New Roman" w:cs="Times New Roman"/>
          <w:sz w:val="24"/>
          <w:szCs w:val="24"/>
          <w:lang w:bidi="pl-PL"/>
        </w:rPr>
        <w:t>art. 21 P.g.g. dodano ust. 4c, który przewiduje możliwość równoczesnego wykonywania w tej samej przestrzeni działalności w zakresie wydobywania kopaliny ze złoża, na podstawie koncesji na wydobywanie kopaliny ze złoża albo decyzji inwestycyjnej i działalności wykonywanej na podstawie koncesji na podziemne bezzbiornikowe magazynowanie substancji (również koncesji na podziemne składowanie odpadów), przy czym w</w:t>
      </w:r>
      <w:r w:rsidR="00705A7E" w:rsidRPr="007F28C1">
        <w:rPr>
          <w:rFonts w:ascii="Times New Roman" w:eastAsia="SimSun" w:hAnsi="Times New Roman" w:cs="Times New Roman"/>
          <w:sz w:val="24"/>
          <w:szCs w:val="24"/>
          <w:lang w:bidi="pl-PL"/>
        </w:rPr>
        <w:t> </w:t>
      </w:r>
      <w:r w:rsidRPr="007F28C1">
        <w:rPr>
          <w:rFonts w:ascii="Times New Roman" w:eastAsia="SimSun" w:hAnsi="Times New Roman" w:cs="Times New Roman"/>
          <w:sz w:val="24"/>
          <w:szCs w:val="24"/>
          <w:lang w:bidi="pl-PL"/>
        </w:rPr>
        <w:t>przypadku złóż węglowodorów warunkiem koniecznym dla równoczesnego wykonywania tych działalności jest uprzednie uzyskanie decyzji zatwierdzającej dodatek do dokumentacji geologiczno-inwestycyjnej złoża węglowodorów, sporządzony w związku z zakończeniem eksploatacji złoża albo jego części.</w:t>
      </w:r>
    </w:p>
    <w:p w14:paraId="5F1E9FF2" w14:textId="79FAD474" w:rsidR="00D06B84" w:rsidRPr="007F28C1" w:rsidRDefault="002C0516" w:rsidP="007F28C1">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W</w:t>
      </w:r>
      <w:r w:rsidR="00D06B84" w:rsidRPr="007F28C1">
        <w:rPr>
          <w:rFonts w:ascii="Times New Roman" w:eastAsia="Times New Roman" w:hAnsi="Times New Roman" w:cs="Times New Roman"/>
          <w:bCs/>
          <w:sz w:val="24"/>
          <w:szCs w:val="24"/>
          <w:lang w:eastAsia="pl-PL"/>
        </w:rPr>
        <w:t xml:space="preserve"> </w:t>
      </w:r>
      <w:r w:rsidR="007B0D04" w:rsidRPr="007F28C1">
        <w:rPr>
          <w:rFonts w:ascii="Times New Roman" w:eastAsia="Times New Roman" w:hAnsi="Times New Roman" w:cs="Times New Roman"/>
          <w:sz w:val="24"/>
          <w:szCs w:val="24"/>
          <w:lang w:eastAsia="pl-PL"/>
        </w:rPr>
        <w:t xml:space="preserve">dodanym </w:t>
      </w:r>
      <w:r w:rsidR="00D06B84" w:rsidRPr="007F28C1">
        <w:rPr>
          <w:rFonts w:ascii="Times New Roman" w:eastAsia="Times New Roman" w:hAnsi="Times New Roman" w:cs="Times New Roman"/>
          <w:sz w:val="24"/>
          <w:szCs w:val="24"/>
          <w:lang w:eastAsia="pl-PL"/>
        </w:rPr>
        <w:t>art. 39 ust. 1a P</w:t>
      </w:r>
      <w:r w:rsidR="007B0D04" w:rsidRPr="007F28C1">
        <w:rPr>
          <w:rFonts w:ascii="Times New Roman" w:eastAsia="Times New Roman" w:hAnsi="Times New Roman" w:cs="Times New Roman"/>
          <w:sz w:val="24"/>
          <w:szCs w:val="24"/>
          <w:lang w:eastAsia="pl-PL"/>
        </w:rPr>
        <w:t>.</w:t>
      </w:r>
      <w:r w:rsidR="00D06B84"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D06B84"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00D06B84" w:rsidRPr="007F28C1">
        <w:rPr>
          <w:rFonts w:ascii="Times New Roman" w:eastAsia="Times New Roman" w:hAnsi="Times New Roman" w:cs="Times New Roman"/>
          <w:sz w:val="24"/>
          <w:szCs w:val="24"/>
          <w:lang w:eastAsia="pl-PL"/>
        </w:rPr>
        <w:t xml:space="preserve"> dopuszczono możliwość utrzymania zakładu górniczego (zwolnienie z obowiązku likwidacji zakładu górniczego) </w:t>
      </w:r>
      <w:r w:rsidR="0042513C" w:rsidRPr="007F28C1">
        <w:rPr>
          <w:rFonts w:ascii="Times New Roman" w:eastAsia="Times New Roman" w:hAnsi="Times New Roman" w:cs="Times New Roman"/>
          <w:sz w:val="24"/>
          <w:szCs w:val="24"/>
          <w:lang w:eastAsia="pl-PL"/>
        </w:rPr>
        <w:t xml:space="preserve">przez </w:t>
      </w:r>
      <w:r w:rsidR="00D06B84" w:rsidRPr="007F28C1">
        <w:rPr>
          <w:rFonts w:ascii="Times New Roman" w:eastAsia="Times New Roman" w:hAnsi="Times New Roman" w:cs="Times New Roman"/>
          <w:sz w:val="24"/>
          <w:szCs w:val="24"/>
          <w:lang w:eastAsia="pl-PL"/>
        </w:rPr>
        <w:t xml:space="preserve">podmiot, który ma wyłączne prawo </w:t>
      </w:r>
      <w:r w:rsidR="00215262" w:rsidRPr="007F28C1">
        <w:rPr>
          <w:rFonts w:ascii="Times New Roman" w:eastAsia="Times New Roman" w:hAnsi="Times New Roman" w:cs="Times New Roman"/>
          <w:sz w:val="24"/>
          <w:szCs w:val="24"/>
          <w:lang w:eastAsia="pl-PL"/>
        </w:rPr>
        <w:t xml:space="preserve">do </w:t>
      </w:r>
      <w:r w:rsidR="00D06B84" w:rsidRPr="007F28C1">
        <w:rPr>
          <w:rFonts w:ascii="Times New Roman" w:eastAsia="Times New Roman" w:hAnsi="Times New Roman" w:cs="Times New Roman"/>
          <w:sz w:val="24"/>
          <w:szCs w:val="24"/>
          <w:lang w:eastAsia="pl-PL"/>
        </w:rPr>
        <w:t>wystąpi</w:t>
      </w:r>
      <w:r w:rsidR="00215262" w:rsidRPr="007F28C1">
        <w:rPr>
          <w:rFonts w:ascii="Times New Roman" w:eastAsia="Times New Roman" w:hAnsi="Times New Roman" w:cs="Times New Roman"/>
          <w:sz w:val="24"/>
          <w:szCs w:val="24"/>
          <w:lang w:eastAsia="pl-PL"/>
        </w:rPr>
        <w:t>enia</w:t>
      </w:r>
      <w:r w:rsidR="00D06B84" w:rsidRPr="007F28C1">
        <w:rPr>
          <w:rFonts w:ascii="Times New Roman" w:eastAsia="Times New Roman" w:hAnsi="Times New Roman" w:cs="Times New Roman"/>
          <w:sz w:val="24"/>
          <w:szCs w:val="24"/>
          <w:lang w:eastAsia="pl-PL"/>
        </w:rPr>
        <w:t xml:space="preserve"> </w:t>
      </w:r>
      <w:r w:rsidR="00215262" w:rsidRPr="007F28C1">
        <w:rPr>
          <w:rFonts w:ascii="Times New Roman" w:eastAsia="Times New Roman" w:hAnsi="Times New Roman" w:cs="Times New Roman"/>
          <w:sz w:val="24"/>
          <w:szCs w:val="24"/>
          <w:lang w:eastAsia="pl-PL"/>
        </w:rPr>
        <w:t>z </w:t>
      </w:r>
      <w:r w:rsidR="00D06B84" w:rsidRPr="007F28C1">
        <w:rPr>
          <w:rFonts w:ascii="Times New Roman" w:eastAsia="Times New Roman" w:hAnsi="Times New Roman" w:cs="Times New Roman"/>
          <w:sz w:val="24"/>
          <w:szCs w:val="24"/>
          <w:lang w:eastAsia="pl-PL"/>
        </w:rPr>
        <w:t xml:space="preserve">wnioskiem o udzielenie koncesji na podziemne bezzbiornikowe magazynowanie </w:t>
      </w:r>
      <w:r w:rsidR="007662CC" w:rsidRPr="007F28C1">
        <w:rPr>
          <w:rFonts w:ascii="Times New Roman" w:eastAsia="Times New Roman" w:hAnsi="Times New Roman" w:cs="Times New Roman"/>
          <w:sz w:val="24"/>
          <w:szCs w:val="24"/>
          <w:lang w:eastAsia="pl-PL"/>
        </w:rPr>
        <w:t xml:space="preserve">substancji, w tym </w:t>
      </w:r>
      <w:r w:rsidR="00D06B84" w:rsidRPr="007F28C1">
        <w:rPr>
          <w:rFonts w:ascii="Times New Roman" w:eastAsia="Times New Roman" w:hAnsi="Times New Roman" w:cs="Times New Roman"/>
          <w:sz w:val="24"/>
          <w:szCs w:val="24"/>
          <w:lang w:eastAsia="pl-PL"/>
        </w:rPr>
        <w:t>wodoru. Pozwoli to uniknąć ponoszenia kosztów likwidacji zakładu górniczego w sytuacji</w:t>
      </w:r>
      <w:r w:rsidR="009D60D2">
        <w:rPr>
          <w:rFonts w:ascii="Times New Roman" w:eastAsia="Times New Roman" w:hAnsi="Times New Roman" w:cs="Times New Roman"/>
          <w:sz w:val="24"/>
          <w:szCs w:val="24"/>
          <w:lang w:eastAsia="pl-PL"/>
        </w:rPr>
        <w:t>,</w:t>
      </w:r>
      <w:r w:rsidR="00D06B84" w:rsidRPr="007F28C1">
        <w:rPr>
          <w:rFonts w:ascii="Times New Roman" w:eastAsia="Times New Roman" w:hAnsi="Times New Roman" w:cs="Times New Roman"/>
          <w:sz w:val="24"/>
          <w:szCs w:val="24"/>
          <w:lang w:eastAsia="pl-PL"/>
        </w:rPr>
        <w:t xml:space="preserve"> kiedy dotychczasowy zakład górniczy (lub </w:t>
      </w:r>
      <w:r w:rsidR="005C5D34" w:rsidRPr="007F28C1">
        <w:rPr>
          <w:rFonts w:ascii="Times New Roman" w:eastAsia="Times New Roman" w:hAnsi="Times New Roman" w:cs="Times New Roman"/>
          <w:sz w:val="24"/>
          <w:szCs w:val="24"/>
          <w:lang w:eastAsia="pl-PL"/>
        </w:rPr>
        <w:t xml:space="preserve">jego </w:t>
      </w:r>
      <w:r w:rsidR="00D06B84" w:rsidRPr="007F28C1">
        <w:rPr>
          <w:rFonts w:ascii="Times New Roman" w:eastAsia="Times New Roman" w:hAnsi="Times New Roman" w:cs="Times New Roman"/>
          <w:sz w:val="24"/>
          <w:szCs w:val="24"/>
          <w:lang w:eastAsia="pl-PL"/>
        </w:rPr>
        <w:t>określon</w:t>
      </w:r>
      <w:r w:rsidR="0042513C" w:rsidRPr="007F28C1">
        <w:rPr>
          <w:rFonts w:ascii="Times New Roman" w:eastAsia="Times New Roman" w:hAnsi="Times New Roman" w:cs="Times New Roman"/>
          <w:sz w:val="24"/>
          <w:szCs w:val="24"/>
          <w:lang w:eastAsia="pl-PL"/>
        </w:rPr>
        <w:t>a</w:t>
      </w:r>
      <w:r w:rsidR="00D06B84" w:rsidRPr="007F28C1">
        <w:rPr>
          <w:rFonts w:ascii="Times New Roman" w:eastAsia="Times New Roman" w:hAnsi="Times New Roman" w:cs="Times New Roman"/>
          <w:sz w:val="24"/>
          <w:szCs w:val="24"/>
          <w:lang w:eastAsia="pl-PL"/>
        </w:rPr>
        <w:t xml:space="preserve"> </w:t>
      </w:r>
      <w:r w:rsidR="00D06B84" w:rsidRPr="007F28C1">
        <w:rPr>
          <w:rFonts w:ascii="Times New Roman" w:eastAsia="Times New Roman" w:hAnsi="Times New Roman" w:cs="Times New Roman"/>
          <w:sz w:val="24"/>
          <w:szCs w:val="24"/>
          <w:lang w:eastAsia="pl-PL"/>
        </w:rPr>
        <w:lastRenderedPageBreak/>
        <w:t>część) może być wykorzystywany do innej działalności. Dotychczasowy przedsiębiorca będzie obowiązany do nadzoru nad utrzymywany</w:t>
      </w:r>
      <w:r w:rsidR="0042513C" w:rsidRPr="007F28C1">
        <w:rPr>
          <w:rFonts w:ascii="Times New Roman" w:eastAsia="Times New Roman" w:hAnsi="Times New Roman" w:cs="Times New Roman"/>
          <w:sz w:val="24"/>
          <w:szCs w:val="24"/>
          <w:lang w:eastAsia="pl-PL"/>
        </w:rPr>
        <w:t>m</w:t>
      </w:r>
      <w:r w:rsidR="00D06B84" w:rsidRPr="007F28C1">
        <w:rPr>
          <w:rFonts w:ascii="Times New Roman" w:eastAsia="Times New Roman" w:hAnsi="Times New Roman" w:cs="Times New Roman"/>
          <w:sz w:val="24"/>
          <w:szCs w:val="24"/>
          <w:lang w:eastAsia="pl-PL"/>
        </w:rPr>
        <w:t xml:space="preserve"> zakładem górniczym, bez możliwości prowadzenia działalności, </w:t>
      </w:r>
      <w:r w:rsidR="0042513C" w:rsidRPr="007F28C1">
        <w:rPr>
          <w:rFonts w:ascii="Times New Roman" w:eastAsia="Times New Roman" w:hAnsi="Times New Roman" w:cs="Times New Roman"/>
          <w:sz w:val="24"/>
          <w:szCs w:val="24"/>
          <w:lang w:eastAsia="pl-PL"/>
        </w:rPr>
        <w:t>do czasu uzyskania koncesji</w:t>
      </w:r>
      <w:r w:rsidR="009D60D2">
        <w:rPr>
          <w:rFonts w:ascii="Times New Roman" w:eastAsia="Times New Roman" w:hAnsi="Times New Roman" w:cs="Times New Roman"/>
          <w:sz w:val="24"/>
          <w:szCs w:val="24"/>
          <w:lang w:eastAsia="pl-PL"/>
        </w:rPr>
        <w:t>,</w:t>
      </w:r>
      <w:r w:rsidR="0042513C" w:rsidRPr="007F28C1">
        <w:rPr>
          <w:rFonts w:ascii="Times New Roman" w:eastAsia="Times New Roman" w:hAnsi="Times New Roman" w:cs="Times New Roman"/>
          <w:sz w:val="24"/>
          <w:szCs w:val="24"/>
          <w:lang w:eastAsia="pl-PL"/>
        </w:rPr>
        <w:t xml:space="preserve"> </w:t>
      </w:r>
      <w:r w:rsidR="00D06B84" w:rsidRPr="007F28C1">
        <w:rPr>
          <w:rFonts w:ascii="Times New Roman" w:eastAsia="Times New Roman" w:hAnsi="Times New Roman" w:cs="Times New Roman"/>
          <w:sz w:val="24"/>
          <w:szCs w:val="24"/>
          <w:lang w:eastAsia="pl-PL"/>
        </w:rPr>
        <w:t>jednak nie</w:t>
      </w:r>
      <w:r w:rsidR="00D2588E" w:rsidRPr="007F28C1">
        <w:rPr>
          <w:rFonts w:ascii="Times New Roman" w:eastAsia="Times New Roman" w:hAnsi="Times New Roman" w:cs="Times New Roman"/>
          <w:sz w:val="24"/>
          <w:szCs w:val="24"/>
          <w:lang w:eastAsia="pl-PL"/>
        </w:rPr>
        <w:t> </w:t>
      </w:r>
      <w:r w:rsidR="00D06B84" w:rsidRPr="007F28C1">
        <w:rPr>
          <w:rFonts w:ascii="Times New Roman" w:eastAsia="Times New Roman" w:hAnsi="Times New Roman" w:cs="Times New Roman"/>
          <w:sz w:val="24"/>
          <w:szCs w:val="24"/>
          <w:lang w:eastAsia="pl-PL"/>
        </w:rPr>
        <w:t>dłuż</w:t>
      </w:r>
      <w:r w:rsidR="00C451C0" w:rsidRPr="007F28C1">
        <w:rPr>
          <w:rFonts w:ascii="Times New Roman" w:eastAsia="Times New Roman" w:hAnsi="Times New Roman" w:cs="Times New Roman"/>
          <w:sz w:val="24"/>
          <w:szCs w:val="24"/>
          <w:lang w:eastAsia="pl-PL"/>
        </w:rPr>
        <w:t>ej</w:t>
      </w:r>
      <w:r w:rsidR="00D06B84" w:rsidRPr="007F28C1">
        <w:rPr>
          <w:rFonts w:ascii="Times New Roman" w:eastAsia="Times New Roman" w:hAnsi="Times New Roman" w:cs="Times New Roman"/>
          <w:sz w:val="24"/>
          <w:szCs w:val="24"/>
          <w:lang w:eastAsia="pl-PL"/>
        </w:rPr>
        <w:t xml:space="preserve"> niż 5 lat od rozliczenia zasobów złoża.</w:t>
      </w:r>
    </w:p>
    <w:p w14:paraId="27D5E9EF" w14:textId="26B55C74" w:rsidR="009E4BA6" w:rsidRPr="007F28C1" w:rsidRDefault="009E4BA6"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Zgodnie z dotychczasowymi przepisami P</w:t>
      </w:r>
      <w:r w:rsidR="007B0D0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we wniosku o udzielenie koncesji na podziemne bezzbiornikowe magazynowanie substancji nie było obowiązku wskazywania </w:t>
      </w:r>
      <w:r w:rsidRPr="007F28C1">
        <w:rPr>
          <w:rFonts w:ascii="Times New Roman" w:hAnsi="Times New Roman" w:cs="Times New Roman"/>
          <w:sz w:val="24"/>
          <w:szCs w:val="24"/>
        </w:rPr>
        <w:t>projektowanej pojemności czynnej magazynu albo projektowanego zakresu i sposobu monitorowania podziemnego składowiska odpadów albo magazynu. W</w:t>
      </w:r>
      <w:r w:rsidR="007B0D04" w:rsidRPr="007F28C1">
        <w:rPr>
          <w:rFonts w:ascii="Times New Roman" w:hAnsi="Times New Roman" w:cs="Times New Roman"/>
          <w:sz w:val="24"/>
          <w:szCs w:val="24"/>
        </w:rPr>
        <w:t>e wprowadzonym</w:t>
      </w:r>
      <w:r w:rsidRPr="007F28C1">
        <w:rPr>
          <w:rFonts w:ascii="Times New Roman" w:hAnsi="Times New Roman" w:cs="Times New Roman"/>
          <w:sz w:val="24"/>
          <w:szCs w:val="24"/>
        </w:rPr>
        <w:t xml:space="preserve"> </w:t>
      </w:r>
      <w:r w:rsidR="00261894" w:rsidRPr="007F28C1">
        <w:rPr>
          <w:rFonts w:ascii="Times New Roman" w:hAnsi="Times New Roman" w:cs="Times New Roman"/>
          <w:sz w:val="24"/>
          <w:szCs w:val="24"/>
        </w:rPr>
        <w:t xml:space="preserve">w </w:t>
      </w:r>
      <w:r w:rsidRPr="007F28C1">
        <w:rPr>
          <w:rFonts w:ascii="Times New Roman" w:eastAsia="Times New Roman" w:hAnsi="Times New Roman" w:cs="Times New Roman"/>
          <w:sz w:val="24"/>
          <w:szCs w:val="24"/>
          <w:lang w:eastAsia="pl-PL"/>
        </w:rPr>
        <w:t xml:space="preserve">art. 27 </w:t>
      </w:r>
      <w:r w:rsidR="00261894" w:rsidRPr="007F28C1">
        <w:rPr>
          <w:rFonts w:ascii="Times New Roman" w:eastAsia="Times New Roman" w:hAnsi="Times New Roman" w:cs="Times New Roman"/>
          <w:sz w:val="24"/>
          <w:szCs w:val="24"/>
          <w:lang w:eastAsia="pl-PL"/>
        </w:rPr>
        <w:t xml:space="preserve">w </w:t>
      </w:r>
      <w:r w:rsidRPr="007F28C1">
        <w:rPr>
          <w:rFonts w:ascii="Times New Roman" w:eastAsia="Times New Roman" w:hAnsi="Times New Roman" w:cs="Times New Roman"/>
          <w:sz w:val="24"/>
          <w:szCs w:val="24"/>
          <w:lang w:eastAsia="pl-PL"/>
        </w:rPr>
        <w:t>ust. 1 pkt 5 i 6 P</w:t>
      </w:r>
      <w:r w:rsidR="007B0D0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7B0D04"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u</w:t>
      </w:r>
      <w:r w:rsidRPr="007F28C1">
        <w:rPr>
          <w:rFonts w:ascii="Times New Roman" w:hAnsi="Times New Roman" w:cs="Times New Roman"/>
          <w:sz w:val="24"/>
          <w:szCs w:val="24"/>
        </w:rPr>
        <w:t>znano za</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uzasadnione doprecyzowanie tej kwestii. Dodatkowo w art. </w:t>
      </w:r>
      <w:r w:rsidR="00875422" w:rsidRPr="007F28C1">
        <w:rPr>
          <w:rFonts w:ascii="Times New Roman" w:hAnsi="Times New Roman" w:cs="Times New Roman"/>
          <w:sz w:val="24"/>
          <w:szCs w:val="24"/>
        </w:rPr>
        <w:t>32a</w:t>
      </w:r>
      <w:r w:rsidRPr="007F28C1">
        <w:rPr>
          <w:rFonts w:ascii="Times New Roman" w:hAnsi="Times New Roman" w:cs="Times New Roman"/>
          <w:sz w:val="24"/>
          <w:szCs w:val="24"/>
        </w:rPr>
        <w:t xml:space="preserve"> </w:t>
      </w:r>
      <w:r w:rsidR="00ED782B" w:rsidRPr="007F28C1">
        <w:rPr>
          <w:rFonts w:ascii="Times New Roman" w:hAnsi="Times New Roman" w:cs="Times New Roman"/>
          <w:sz w:val="24"/>
          <w:szCs w:val="24"/>
        </w:rPr>
        <w:t xml:space="preserve">ust. </w:t>
      </w:r>
      <w:r w:rsidR="00CD7863" w:rsidRPr="007F28C1">
        <w:rPr>
          <w:rFonts w:ascii="Times New Roman" w:hAnsi="Times New Roman" w:cs="Times New Roman"/>
          <w:sz w:val="24"/>
          <w:szCs w:val="24"/>
        </w:rPr>
        <w:t xml:space="preserve">3 </w:t>
      </w:r>
      <w:r w:rsidRPr="007F28C1">
        <w:rPr>
          <w:rFonts w:ascii="Times New Roman" w:hAnsi="Times New Roman" w:cs="Times New Roman"/>
          <w:sz w:val="24"/>
          <w:szCs w:val="24"/>
        </w:rPr>
        <w:t>P</w:t>
      </w:r>
      <w:r w:rsidR="007B0D04" w:rsidRPr="007F28C1">
        <w:rPr>
          <w:rFonts w:ascii="Times New Roman" w:hAnsi="Times New Roman" w:cs="Times New Roman"/>
          <w:sz w:val="24"/>
          <w:szCs w:val="24"/>
        </w:rPr>
        <w:t>.</w:t>
      </w:r>
      <w:r w:rsidRPr="007F28C1">
        <w:rPr>
          <w:rFonts w:ascii="Times New Roman" w:hAnsi="Times New Roman" w:cs="Times New Roman"/>
          <w:sz w:val="24"/>
          <w:szCs w:val="24"/>
        </w:rPr>
        <w:t>g</w:t>
      </w:r>
      <w:r w:rsidR="007B0D04" w:rsidRPr="007F28C1">
        <w:rPr>
          <w:rFonts w:ascii="Times New Roman" w:hAnsi="Times New Roman" w:cs="Times New Roman"/>
          <w:sz w:val="24"/>
          <w:szCs w:val="24"/>
        </w:rPr>
        <w:t>.</w:t>
      </w:r>
      <w:r w:rsidRPr="007F28C1">
        <w:rPr>
          <w:rFonts w:ascii="Times New Roman" w:hAnsi="Times New Roman" w:cs="Times New Roman"/>
          <w:sz w:val="24"/>
          <w:szCs w:val="24"/>
        </w:rPr>
        <w:t>g</w:t>
      </w:r>
      <w:r w:rsidR="007B0D04" w:rsidRPr="007F28C1">
        <w:rPr>
          <w:rFonts w:ascii="Times New Roman" w:hAnsi="Times New Roman" w:cs="Times New Roman"/>
          <w:sz w:val="24"/>
          <w:szCs w:val="24"/>
        </w:rPr>
        <w:t>.</w:t>
      </w:r>
      <w:r w:rsidRPr="007F28C1">
        <w:rPr>
          <w:rFonts w:ascii="Times New Roman" w:hAnsi="Times New Roman" w:cs="Times New Roman"/>
          <w:sz w:val="24"/>
          <w:szCs w:val="24"/>
        </w:rPr>
        <w:t xml:space="preserve"> doprecyzowano, że</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wyniki </w:t>
      </w:r>
      <w:r w:rsidR="00875422" w:rsidRPr="007F28C1">
        <w:rPr>
          <w:rFonts w:ascii="Times New Roman" w:hAnsi="Times New Roman" w:cs="Times New Roman"/>
          <w:sz w:val="24"/>
          <w:szCs w:val="24"/>
        </w:rPr>
        <w:t xml:space="preserve">bieżącego monitorowania magazynu </w:t>
      </w:r>
      <w:r w:rsidRPr="007F28C1">
        <w:rPr>
          <w:rFonts w:ascii="Times New Roman" w:hAnsi="Times New Roman" w:cs="Times New Roman"/>
          <w:sz w:val="24"/>
          <w:szCs w:val="24"/>
        </w:rPr>
        <w:t>będą przekazywane do</w:t>
      </w:r>
      <w:r w:rsidR="00A65A69" w:rsidRPr="007F28C1">
        <w:rPr>
          <w:rFonts w:ascii="Times New Roman" w:hAnsi="Times New Roman" w:cs="Times New Roman"/>
          <w:sz w:val="24"/>
          <w:szCs w:val="24"/>
        </w:rPr>
        <w:t xml:space="preserve"> PSG</w:t>
      </w:r>
      <w:r w:rsidRPr="007F28C1">
        <w:rPr>
          <w:rFonts w:ascii="Times New Roman" w:hAnsi="Times New Roman" w:cs="Times New Roman"/>
          <w:sz w:val="24"/>
          <w:szCs w:val="24"/>
        </w:rPr>
        <w:t xml:space="preserve">, która zgodnie z </w:t>
      </w:r>
      <w:r w:rsidR="007B0D04" w:rsidRPr="007F28C1">
        <w:rPr>
          <w:rFonts w:ascii="Times New Roman" w:hAnsi="Times New Roman" w:cs="Times New Roman"/>
          <w:sz w:val="24"/>
          <w:szCs w:val="24"/>
        </w:rPr>
        <w:t xml:space="preserve">dodanym </w:t>
      </w:r>
      <w:r w:rsidRPr="007F28C1">
        <w:rPr>
          <w:rFonts w:ascii="Times New Roman" w:hAnsi="Times New Roman" w:cs="Times New Roman"/>
          <w:sz w:val="24"/>
          <w:szCs w:val="24"/>
        </w:rPr>
        <w:t>art. 162 ust. 1 pkt 1</w:t>
      </w:r>
      <w:r w:rsidR="00FB7AFF" w:rsidRPr="007F28C1">
        <w:rPr>
          <w:rFonts w:ascii="Times New Roman" w:hAnsi="Times New Roman" w:cs="Times New Roman"/>
          <w:sz w:val="24"/>
          <w:szCs w:val="24"/>
        </w:rPr>
        <w:t>0</w:t>
      </w:r>
      <w:r w:rsidR="00875422" w:rsidRPr="007F28C1">
        <w:rPr>
          <w:rFonts w:ascii="Times New Roman" w:hAnsi="Times New Roman" w:cs="Times New Roman"/>
          <w:sz w:val="24"/>
          <w:szCs w:val="24"/>
        </w:rPr>
        <w:t>c</w:t>
      </w:r>
      <w:r w:rsidR="007B0D04" w:rsidRPr="007F28C1">
        <w:rPr>
          <w:rFonts w:ascii="Times New Roman" w:hAnsi="Times New Roman" w:cs="Times New Roman"/>
          <w:sz w:val="24"/>
          <w:szCs w:val="24"/>
        </w:rPr>
        <w:t xml:space="preserve"> i</w:t>
      </w:r>
      <w:r w:rsidRPr="007F28C1">
        <w:rPr>
          <w:rFonts w:ascii="Times New Roman" w:hAnsi="Times New Roman" w:cs="Times New Roman"/>
          <w:sz w:val="24"/>
          <w:szCs w:val="24"/>
        </w:rPr>
        <w:t xml:space="preserve"> ust. 1a P</w:t>
      </w:r>
      <w:r w:rsidR="007B0D04" w:rsidRPr="007F28C1">
        <w:rPr>
          <w:rFonts w:ascii="Times New Roman" w:hAnsi="Times New Roman" w:cs="Times New Roman"/>
          <w:sz w:val="24"/>
          <w:szCs w:val="24"/>
        </w:rPr>
        <w:t>.</w:t>
      </w:r>
      <w:r w:rsidRPr="007F28C1">
        <w:rPr>
          <w:rFonts w:ascii="Times New Roman" w:hAnsi="Times New Roman" w:cs="Times New Roman"/>
          <w:sz w:val="24"/>
          <w:szCs w:val="24"/>
        </w:rPr>
        <w:t>g</w:t>
      </w:r>
      <w:r w:rsidR="007B0D04" w:rsidRPr="007F28C1">
        <w:rPr>
          <w:rFonts w:ascii="Times New Roman" w:hAnsi="Times New Roman" w:cs="Times New Roman"/>
          <w:sz w:val="24"/>
          <w:szCs w:val="24"/>
        </w:rPr>
        <w:t>.</w:t>
      </w:r>
      <w:r w:rsidRPr="007F28C1">
        <w:rPr>
          <w:rFonts w:ascii="Times New Roman" w:hAnsi="Times New Roman" w:cs="Times New Roman"/>
          <w:sz w:val="24"/>
          <w:szCs w:val="24"/>
        </w:rPr>
        <w:t>g</w:t>
      </w:r>
      <w:r w:rsidR="007B0D04" w:rsidRPr="007F28C1">
        <w:rPr>
          <w:rFonts w:ascii="Times New Roman" w:hAnsi="Times New Roman" w:cs="Times New Roman"/>
          <w:sz w:val="24"/>
          <w:szCs w:val="24"/>
        </w:rPr>
        <w:t>.</w:t>
      </w:r>
      <w:r w:rsidRPr="007F28C1">
        <w:rPr>
          <w:rFonts w:ascii="Times New Roman" w:hAnsi="Times New Roman" w:cs="Times New Roman"/>
          <w:sz w:val="24"/>
          <w:szCs w:val="24"/>
        </w:rPr>
        <w:t xml:space="preserve"> będzie </w:t>
      </w:r>
      <w:r w:rsidR="00FB7AFF" w:rsidRPr="007F28C1">
        <w:rPr>
          <w:rFonts w:ascii="Times New Roman" w:hAnsi="Times New Roman" w:cs="Times New Roman"/>
          <w:sz w:val="24"/>
          <w:szCs w:val="24"/>
        </w:rPr>
        <w:t>gromadzić</w:t>
      </w:r>
      <w:r w:rsidR="00197AC3" w:rsidRPr="007F28C1">
        <w:rPr>
          <w:rFonts w:ascii="Times New Roman" w:hAnsi="Times New Roman" w:cs="Times New Roman"/>
          <w:sz w:val="24"/>
          <w:szCs w:val="24"/>
        </w:rPr>
        <w:t xml:space="preserve"> i przetwarzać</w:t>
      </w:r>
      <w:r w:rsidR="0058597C" w:rsidRPr="007F28C1">
        <w:rPr>
          <w:rFonts w:ascii="Times New Roman" w:hAnsi="Times New Roman" w:cs="Times New Roman"/>
          <w:sz w:val="24"/>
          <w:szCs w:val="24"/>
        </w:rPr>
        <w:t xml:space="preserve"> </w:t>
      </w:r>
      <w:r w:rsidR="00FB7AFF" w:rsidRPr="007F28C1">
        <w:rPr>
          <w:rFonts w:ascii="Times New Roman" w:hAnsi="Times New Roman" w:cs="Times New Roman"/>
          <w:sz w:val="24"/>
          <w:szCs w:val="24"/>
        </w:rPr>
        <w:t>informacje o wynikach z bieżącego monitorowania podziemnych bezzbiornikowych magazynów substancji</w:t>
      </w:r>
      <w:r w:rsidR="00155054" w:rsidRPr="007F28C1">
        <w:rPr>
          <w:rFonts w:ascii="Times New Roman" w:hAnsi="Times New Roman" w:cs="Times New Roman"/>
          <w:sz w:val="24"/>
          <w:szCs w:val="24"/>
        </w:rPr>
        <w:t>,</w:t>
      </w:r>
      <w:r w:rsidR="00261894" w:rsidRPr="007F28C1">
        <w:rPr>
          <w:rFonts w:ascii="Times New Roman" w:hAnsi="Times New Roman" w:cs="Times New Roman"/>
          <w:sz w:val="24"/>
          <w:szCs w:val="24"/>
        </w:rPr>
        <w:t xml:space="preserve"> </w:t>
      </w:r>
      <w:r w:rsidR="00155054" w:rsidRPr="007F28C1">
        <w:rPr>
          <w:rFonts w:ascii="Times New Roman" w:hAnsi="Times New Roman" w:cs="Times New Roman"/>
          <w:sz w:val="24"/>
          <w:szCs w:val="24"/>
        </w:rPr>
        <w:t xml:space="preserve">a także </w:t>
      </w:r>
      <w:r w:rsidRPr="007F28C1">
        <w:rPr>
          <w:rFonts w:ascii="Times New Roman" w:hAnsi="Times New Roman" w:cs="Times New Roman"/>
          <w:sz w:val="24"/>
          <w:szCs w:val="24"/>
        </w:rPr>
        <w:t xml:space="preserve">sporządzać </w:t>
      </w:r>
      <w:r w:rsidR="00FB7AFF" w:rsidRPr="007F28C1">
        <w:rPr>
          <w:rFonts w:ascii="Times New Roman" w:hAnsi="Times New Roman" w:cs="Times New Roman"/>
          <w:sz w:val="24"/>
          <w:szCs w:val="24"/>
        </w:rPr>
        <w:t xml:space="preserve">na ich podstawie </w:t>
      </w:r>
      <w:r w:rsidRPr="007F28C1">
        <w:rPr>
          <w:rFonts w:ascii="Times New Roman" w:hAnsi="Times New Roman" w:cs="Times New Roman"/>
          <w:sz w:val="24"/>
          <w:szCs w:val="24"/>
        </w:rPr>
        <w:t xml:space="preserve">analizę wyników tego monitoringu, a wyniki tej analizy przekazywać </w:t>
      </w:r>
      <w:r w:rsidR="00155054" w:rsidRPr="007F28C1">
        <w:rPr>
          <w:rFonts w:ascii="Times New Roman" w:hAnsi="Times New Roman" w:cs="Times New Roman"/>
          <w:sz w:val="24"/>
          <w:szCs w:val="24"/>
        </w:rPr>
        <w:t xml:space="preserve">corocznie </w:t>
      </w:r>
      <w:r w:rsidR="00D62AA3" w:rsidRPr="007F28C1">
        <w:rPr>
          <w:rFonts w:ascii="Times New Roman" w:hAnsi="Times New Roman" w:cs="Times New Roman"/>
          <w:sz w:val="24"/>
          <w:szCs w:val="24"/>
        </w:rPr>
        <w:t xml:space="preserve">ministrowi właściwemu do spraw środowiska </w:t>
      </w:r>
      <w:r w:rsidR="00CD6FBD" w:rsidRPr="007F28C1">
        <w:rPr>
          <w:rFonts w:ascii="Times New Roman" w:hAnsi="Times New Roman" w:cs="Times New Roman"/>
          <w:sz w:val="24"/>
          <w:szCs w:val="24"/>
        </w:rPr>
        <w:t xml:space="preserve">oraz </w:t>
      </w:r>
      <w:r w:rsidR="00E101DA" w:rsidRPr="007F28C1">
        <w:rPr>
          <w:rFonts w:ascii="Times New Roman" w:hAnsi="Times New Roman" w:cs="Times New Roman"/>
          <w:sz w:val="24"/>
          <w:szCs w:val="24"/>
        </w:rPr>
        <w:t xml:space="preserve">do </w:t>
      </w:r>
      <w:r w:rsidR="00CD6FBD" w:rsidRPr="007F28C1">
        <w:rPr>
          <w:rFonts w:ascii="Times New Roman" w:hAnsi="Times New Roman" w:cs="Times New Roman"/>
          <w:sz w:val="24"/>
          <w:szCs w:val="24"/>
        </w:rPr>
        <w:t xml:space="preserve">właściwego </w:t>
      </w:r>
      <w:r w:rsidR="00215262" w:rsidRPr="007F28C1">
        <w:rPr>
          <w:rFonts w:ascii="Times New Roman" w:hAnsi="Times New Roman" w:cs="Times New Roman"/>
          <w:sz w:val="24"/>
          <w:szCs w:val="24"/>
        </w:rPr>
        <w:t xml:space="preserve">organu </w:t>
      </w:r>
      <w:r w:rsidR="00CD6FBD" w:rsidRPr="007F28C1">
        <w:rPr>
          <w:rFonts w:ascii="Times New Roman" w:hAnsi="Times New Roman" w:cs="Times New Roman"/>
          <w:sz w:val="24"/>
          <w:szCs w:val="24"/>
        </w:rPr>
        <w:t>nadzoru górniczego</w:t>
      </w:r>
      <w:r w:rsidR="00001DA3" w:rsidRPr="007F28C1">
        <w:rPr>
          <w:rFonts w:ascii="Times New Roman" w:hAnsi="Times New Roman" w:cs="Times New Roman"/>
          <w:sz w:val="24"/>
          <w:szCs w:val="24"/>
        </w:rPr>
        <w:t>.</w:t>
      </w:r>
      <w:r w:rsidR="001C4848" w:rsidRPr="007F28C1">
        <w:rPr>
          <w:rFonts w:ascii="Times New Roman" w:hAnsi="Times New Roman" w:cs="Times New Roman"/>
          <w:sz w:val="24"/>
          <w:szCs w:val="24"/>
        </w:rPr>
        <w:t xml:space="preserve"> </w:t>
      </w:r>
    </w:p>
    <w:p w14:paraId="2BBA93DB" w14:textId="16A8A0CA" w:rsidR="00423B98" w:rsidRPr="007F28C1" w:rsidRDefault="00014727"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Mając na uwadze fakt, że zainteresowanie przedsiębiorców dotyczy nie tylko magazynowania wodoru w podziemnych bezzbiornikowych magazynach gazu, ale </w:t>
      </w:r>
      <w:r w:rsidR="007424BE" w:rsidRPr="007F28C1">
        <w:rPr>
          <w:rFonts w:ascii="Times New Roman" w:hAnsi="Times New Roman" w:cs="Times New Roman"/>
          <w:sz w:val="24"/>
          <w:szCs w:val="24"/>
        </w:rPr>
        <w:t xml:space="preserve">powoli </w:t>
      </w:r>
      <w:r w:rsidRPr="007F28C1">
        <w:rPr>
          <w:rFonts w:ascii="Times New Roman" w:hAnsi="Times New Roman" w:cs="Times New Roman"/>
          <w:sz w:val="24"/>
          <w:szCs w:val="24"/>
        </w:rPr>
        <w:t>zaczyna obejmować również poszukiwanie i</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rozpoznawanie jego złóż, a w dalszej perspektywie czasowej również jego wydobywanie, projektodawca zdecydował się objąć złoża wodoru własnością górniczą i </w:t>
      </w:r>
      <w:r w:rsidR="00423B98" w:rsidRPr="007F28C1">
        <w:rPr>
          <w:rFonts w:ascii="Times New Roman" w:hAnsi="Times New Roman" w:cs="Times New Roman"/>
          <w:sz w:val="24"/>
          <w:szCs w:val="24"/>
        </w:rPr>
        <w:t>dokonał</w:t>
      </w:r>
      <w:r w:rsidR="00967A32">
        <w:rPr>
          <w:rFonts w:ascii="Times New Roman" w:hAnsi="Times New Roman" w:cs="Times New Roman"/>
          <w:sz w:val="24"/>
          <w:szCs w:val="24"/>
        </w:rPr>
        <w:t xml:space="preserve"> </w:t>
      </w:r>
      <w:r w:rsidR="00624D24" w:rsidRPr="007F28C1">
        <w:rPr>
          <w:rFonts w:ascii="Times New Roman" w:hAnsi="Times New Roman" w:cs="Times New Roman"/>
          <w:sz w:val="24"/>
          <w:szCs w:val="24"/>
        </w:rPr>
        <w:t xml:space="preserve">w tym zakresie </w:t>
      </w:r>
      <w:r w:rsidR="00423B98" w:rsidRPr="007F28C1">
        <w:rPr>
          <w:rFonts w:ascii="Times New Roman" w:hAnsi="Times New Roman" w:cs="Times New Roman"/>
          <w:sz w:val="24"/>
          <w:szCs w:val="24"/>
        </w:rPr>
        <w:t>zmiany w art. 10 ust. 1</w:t>
      </w:r>
      <w:r w:rsidR="005B7604" w:rsidRPr="007F28C1">
        <w:rPr>
          <w:rFonts w:ascii="Times New Roman" w:hAnsi="Times New Roman" w:cs="Times New Roman"/>
          <w:sz w:val="24"/>
          <w:szCs w:val="24"/>
        </w:rPr>
        <w:t xml:space="preserve"> </w:t>
      </w:r>
      <w:r w:rsidR="00423B98" w:rsidRPr="007F28C1">
        <w:rPr>
          <w:rFonts w:ascii="Times New Roman" w:hAnsi="Times New Roman" w:cs="Times New Roman"/>
          <w:sz w:val="24"/>
          <w:szCs w:val="24"/>
        </w:rPr>
        <w:t xml:space="preserve">P.g.g. </w:t>
      </w:r>
    </w:p>
    <w:p w14:paraId="55783133" w14:textId="0FA870F7" w:rsidR="00EF002F" w:rsidRPr="007F28C1" w:rsidRDefault="00423B9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w:t>
      </w:r>
      <w:r w:rsidR="007424BE" w:rsidRPr="007F28C1">
        <w:rPr>
          <w:rFonts w:ascii="Times New Roman" w:hAnsi="Times New Roman" w:cs="Times New Roman"/>
          <w:sz w:val="24"/>
          <w:szCs w:val="24"/>
        </w:rPr>
        <w:t>onadto p</w:t>
      </w:r>
      <w:r w:rsidRPr="007F28C1">
        <w:rPr>
          <w:rFonts w:ascii="Times New Roman" w:hAnsi="Times New Roman" w:cs="Times New Roman"/>
          <w:sz w:val="24"/>
          <w:szCs w:val="24"/>
        </w:rPr>
        <w:t>rojektodawca</w:t>
      </w:r>
      <w:r w:rsidR="007424BE" w:rsidRPr="007F28C1">
        <w:rPr>
          <w:rFonts w:ascii="Times New Roman" w:hAnsi="Times New Roman" w:cs="Times New Roman"/>
          <w:sz w:val="24"/>
          <w:szCs w:val="24"/>
        </w:rPr>
        <w:t>,</w:t>
      </w:r>
      <w:r w:rsidRPr="007F28C1">
        <w:rPr>
          <w:rFonts w:ascii="Times New Roman" w:hAnsi="Times New Roman" w:cs="Times New Roman"/>
          <w:sz w:val="24"/>
          <w:szCs w:val="24"/>
        </w:rPr>
        <w:t xml:space="preserve"> zmieniając art. 2a P.g.g.</w:t>
      </w:r>
      <w:r w:rsidR="00624D24" w:rsidRPr="007F28C1">
        <w:rPr>
          <w:rFonts w:ascii="Times New Roman" w:hAnsi="Times New Roman" w:cs="Times New Roman"/>
          <w:sz w:val="24"/>
          <w:szCs w:val="24"/>
        </w:rPr>
        <w:t>,</w:t>
      </w:r>
      <w:r w:rsidRPr="007F28C1">
        <w:rPr>
          <w:rFonts w:ascii="Times New Roman" w:hAnsi="Times New Roman" w:cs="Times New Roman"/>
          <w:sz w:val="24"/>
          <w:szCs w:val="24"/>
        </w:rPr>
        <w:t xml:space="preserve"> przyjął, że do wodoru – jego poszukiwania, rozpoznawania, dokumentowania i wydobywania – będą miały zastosowanie przepisy P.g.g. dotyczące węglowodorów, podobnie jak przewidują </w:t>
      </w:r>
      <w:r w:rsidR="00624D24" w:rsidRPr="007F28C1">
        <w:rPr>
          <w:rFonts w:ascii="Times New Roman" w:hAnsi="Times New Roman" w:cs="Times New Roman"/>
          <w:sz w:val="24"/>
          <w:szCs w:val="24"/>
        </w:rPr>
        <w:t xml:space="preserve">to przepisy </w:t>
      </w:r>
      <w:r w:rsidRPr="007F28C1">
        <w:rPr>
          <w:rFonts w:ascii="Times New Roman" w:hAnsi="Times New Roman" w:cs="Times New Roman"/>
          <w:sz w:val="24"/>
          <w:szCs w:val="24"/>
        </w:rPr>
        <w:t>w odniesieniu do gazów szlachetnych.</w:t>
      </w:r>
    </w:p>
    <w:p w14:paraId="489D1D6B" w14:textId="422B1C11" w:rsidR="00423B98" w:rsidRPr="007F28C1" w:rsidRDefault="00423B9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Konsekwencją powyższych zmian jest również zmiana</w:t>
      </w:r>
      <w:r w:rsidR="007424BE" w:rsidRPr="007F28C1">
        <w:rPr>
          <w:rFonts w:ascii="Times New Roman" w:hAnsi="Times New Roman" w:cs="Times New Roman"/>
          <w:sz w:val="24"/>
          <w:szCs w:val="24"/>
        </w:rPr>
        <w:t xml:space="preserve"> załącznika do P.g.g., w którym w tabeli dodano poz. 55a, określającą stawkę opłaty eksploatacyjnej za wydobycie wodoru.</w:t>
      </w:r>
    </w:p>
    <w:p w14:paraId="46F23F1A" w14:textId="3003E2AB" w:rsidR="00547905" w:rsidRPr="007F28C1" w:rsidRDefault="00547905" w:rsidP="007F28C1">
      <w:pPr>
        <w:numPr>
          <w:ilvl w:val="0"/>
          <w:numId w:val="14"/>
        </w:numPr>
        <w:spacing w:before="240" w:after="0" w:line="360" w:lineRule="auto"/>
        <w:ind w:left="409" w:hanging="125"/>
        <w:jc w:val="both"/>
        <w:rPr>
          <w:rFonts w:ascii="Times New Roman" w:hAnsi="Times New Roman" w:cs="Times New Roman"/>
          <w:b/>
          <w:bCs/>
          <w:color w:val="000000"/>
          <w:sz w:val="24"/>
          <w:szCs w:val="24"/>
        </w:rPr>
      </w:pPr>
      <w:r w:rsidRPr="007F28C1">
        <w:rPr>
          <w:rFonts w:ascii="Times New Roman" w:hAnsi="Times New Roman" w:cs="Times New Roman"/>
          <w:b/>
          <w:bCs/>
          <w:color w:val="000000"/>
          <w:sz w:val="24"/>
          <w:szCs w:val="24"/>
        </w:rPr>
        <w:t>Liberalizacja i uporządkowanie przepisów regulujących działalność prowadzoną na</w:t>
      </w:r>
      <w:r w:rsidR="000F690B" w:rsidRPr="007F28C1">
        <w:rPr>
          <w:rFonts w:ascii="Times New Roman" w:hAnsi="Times New Roman" w:cs="Times New Roman"/>
          <w:b/>
          <w:bCs/>
          <w:color w:val="000000"/>
          <w:sz w:val="24"/>
          <w:szCs w:val="24"/>
        </w:rPr>
        <w:t> </w:t>
      </w:r>
      <w:r w:rsidRPr="007F28C1">
        <w:rPr>
          <w:rFonts w:ascii="Times New Roman" w:hAnsi="Times New Roman" w:cs="Times New Roman"/>
          <w:b/>
          <w:bCs/>
          <w:color w:val="000000"/>
          <w:sz w:val="24"/>
          <w:szCs w:val="24"/>
        </w:rPr>
        <w:t xml:space="preserve">podstawie </w:t>
      </w:r>
      <w:r w:rsidR="00E36415" w:rsidRPr="007F28C1">
        <w:rPr>
          <w:rFonts w:ascii="Times New Roman" w:hAnsi="Times New Roman" w:cs="Times New Roman"/>
          <w:b/>
          <w:bCs/>
          <w:color w:val="000000"/>
          <w:sz w:val="24"/>
          <w:szCs w:val="24"/>
        </w:rPr>
        <w:t>P</w:t>
      </w:r>
      <w:r w:rsidR="003A7D28" w:rsidRPr="007F28C1">
        <w:rPr>
          <w:rFonts w:ascii="Times New Roman" w:hAnsi="Times New Roman" w:cs="Times New Roman"/>
          <w:b/>
          <w:bCs/>
          <w:color w:val="000000"/>
          <w:sz w:val="24"/>
          <w:szCs w:val="24"/>
        </w:rPr>
        <w:t>.</w:t>
      </w:r>
      <w:r w:rsidR="00E36415" w:rsidRPr="007F28C1">
        <w:rPr>
          <w:rFonts w:ascii="Times New Roman" w:hAnsi="Times New Roman" w:cs="Times New Roman"/>
          <w:b/>
          <w:bCs/>
          <w:color w:val="000000"/>
          <w:sz w:val="24"/>
          <w:szCs w:val="24"/>
        </w:rPr>
        <w:t>g</w:t>
      </w:r>
      <w:r w:rsidR="003A7D28" w:rsidRPr="007F28C1">
        <w:rPr>
          <w:rFonts w:ascii="Times New Roman" w:hAnsi="Times New Roman" w:cs="Times New Roman"/>
          <w:b/>
          <w:bCs/>
          <w:color w:val="000000"/>
          <w:sz w:val="24"/>
          <w:szCs w:val="24"/>
        </w:rPr>
        <w:t>.</w:t>
      </w:r>
      <w:r w:rsidR="00E36415" w:rsidRPr="007F28C1">
        <w:rPr>
          <w:rFonts w:ascii="Times New Roman" w:hAnsi="Times New Roman" w:cs="Times New Roman"/>
          <w:b/>
          <w:bCs/>
          <w:color w:val="000000"/>
          <w:sz w:val="24"/>
          <w:szCs w:val="24"/>
        </w:rPr>
        <w:t>g</w:t>
      </w:r>
      <w:r w:rsidR="00F75B96" w:rsidRPr="007F28C1">
        <w:rPr>
          <w:rFonts w:ascii="Times New Roman" w:hAnsi="Times New Roman" w:cs="Times New Roman"/>
          <w:b/>
          <w:bCs/>
          <w:color w:val="000000"/>
          <w:sz w:val="24"/>
          <w:szCs w:val="24"/>
        </w:rPr>
        <w:t>.</w:t>
      </w:r>
    </w:p>
    <w:p w14:paraId="4080ED77" w14:textId="720FC37B" w:rsidR="00F75B96" w:rsidRPr="007F28C1" w:rsidRDefault="00F75B96"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Wieloletnia praktyka ministra właściwego do spraw środowiska w stosowaniu P</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 xml:space="preserve"> wskazuje na</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potrzebę liberalizacji i uporządkowania przepisów regulujących działalność prowadzoną na</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podstawie tej ustawy w następującym zakresie: </w:t>
      </w:r>
    </w:p>
    <w:p w14:paraId="566BA548" w14:textId="2AFF8080" w:rsidR="00547905" w:rsidRPr="007F28C1" w:rsidRDefault="00547905" w:rsidP="007F28C1">
      <w:pPr>
        <w:numPr>
          <w:ilvl w:val="0"/>
          <w:numId w:val="5"/>
        </w:numPr>
        <w:spacing w:before="12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lastRenderedPageBreak/>
        <w:t>Wkopy i otwory wiertnicze w celu wykonywania ujęć wód podziemnych na potrzeby poboru wód podziemnych</w:t>
      </w:r>
    </w:p>
    <w:p w14:paraId="5EC4CA61" w14:textId="2A5F5262" w:rsidR="00221BA9" w:rsidRPr="009D60D2" w:rsidRDefault="00E913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Analiza art. 3 </w:t>
      </w:r>
      <w:r w:rsidR="00994D5C" w:rsidRPr="007F28C1">
        <w:rPr>
          <w:rFonts w:ascii="Times New Roman" w:hAnsi="Times New Roman" w:cs="Times New Roman"/>
          <w:sz w:val="24"/>
          <w:szCs w:val="24"/>
        </w:rPr>
        <w:t>pkt</w:t>
      </w:r>
      <w:r w:rsidRPr="007F28C1">
        <w:rPr>
          <w:rFonts w:ascii="Times New Roman" w:hAnsi="Times New Roman" w:cs="Times New Roman"/>
          <w:sz w:val="24"/>
          <w:szCs w:val="24"/>
        </w:rPr>
        <w:t xml:space="preserve"> 2a </w:t>
      </w:r>
      <w:r w:rsidR="00E36415" w:rsidRPr="007F28C1">
        <w:rPr>
          <w:rFonts w:ascii="Times New Roman" w:hAnsi="Times New Roman" w:cs="Times New Roman"/>
          <w:sz w:val="24"/>
          <w:szCs w:val="24"/>
        </w:rPr>
        <w:t>P</w:t>
      </w:r>
      <w:r w:rsidR="00542D4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542D4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542D40" w:rsidRPr="007F28C1">
        <w:rPr>
          <w:rFonts w:ascii="Times New Roman" w:hAnsi="Times New Roman" w:cs="Times New Roman"/>
          <w:sz w:val="24"/>
          <w:szCs w:val="24"/>
        </w:rPr>
        <w:t>.</w:t>
      </w:r>
      <w:r w:rsidRPr="007F28C1">
        <w:rPr>
          <w:rFonts w:ascii="Times New Roman" w:hAnsi="Times New Roman" w:cs="Times New Roman"/>
          <w:sz w:val="24"/>
          <w:szCs w:val="24"/>
        </w:rPr>
        <w:t xml:space="preserve"> w zakresie dotyczącym wkopów i otworów wiertniczych o głębokości do</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30</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m w celu wykonywania ujęć wód podziemnych na potrzeby poboru wód podziemnych w ilości nieprzekraczającej 5 m</w:t>
      </w:r>
      <w:r w:rsidRPr="007F28C1">
        <w:rPr>
          <w:rFonts w:ascii="Times New Roman" w:hAnsi="Times New Roman" w:cs="Times New Roman"/>
          <w:sz w:val="24"/>
          <w:szCs w:val="24"/>
          <w:vertAlign w:val="superscript"/>
        </w:rPr>
        <w:t>3</w:t>
      </w:r>
      <w:r w:rsidRPr="007F28C1">
        <w:rPr>
          <w:rFonts w:ascii="Times New Roman" w:hAnsi="Times New Roman" w:cs="Times New Roman"/>
          <w:sz w:val="24"/>
          <w:szCs w:val="24"/>
        </w:rPr>
        <w:t xml:space="preserve"> na dobę poza obszarami górniczymi utworzonymi w celu wykonywania działalności metodą otworów wiertnicznych wskazuje, że regulacja ta wymaga modyfikacji. </w:t>
      </w:r>
    </w:p>
    <w:p w14:paraId="5CC85501" w14:textId="25E84355" w:rsidR="004307ED" w:rsidRPr="007F28C1" w:rsidRDefault="000F690B" w:rsidP="007F28C1">
      <w:pPr>
        <w:spacing w:before="120" w:after="0" w:line="360" w:lineRule="auto"/>
        <w:jc w:val="both"/>
        <w:rPr>
          <w:rFonts w:ascii="Times New Roman" w:eastAsia="Times New Roman" w:hAnsi="Times New Roman" w:cs="Times New Roman"/>
          <w:strike/>
          <w:sz w:val="24"/>
          <w:szCs w:val="24"/>
          <w:lang w:eastAsia="pl-PL"/>
        </w:rPr>
      </w:pPr>
      <w:r w:rsidRPr="007F28C1">
        <w:rPr>
          <w:rFonts w:ascii="Times New Roman" w:eastAsia="Times New Roman" w:hAnsi="Times New Roman" w:cs="Times New Roman"/>
          <w:sz w:val="24"/>
          <w:szCs w:val="24"/>
          <w:lang w:eastAsia="pl-PL"/>
        </w:rPr>
        <w:t xml:space="preserve">Zmiana w </w:t>
      </w:r>
      <w:r w:rsidR="004307ED" w:rsidRPr="007F28C1">
        <w:rPr>
          <w:rFonts w:ascii="Times New Roman" w:eastAsia="Times New Roman" w:hAnsi="Times New Roman" w:cs="Times New Roman"/>
          <w:sz w:val="24"/>
          <w:szCs w:val="24"/>
          <w:lang w:eastAsia="pl-PL"/>
        </w:rPr>
        <w:t xml:space="preserve">art. 3 pkt 2a </w:t>
      </w:r>
      <w:r w:rsidR="00E36415" w:rsidRPr="007F28C1">
        <w:rPr>
          <w:rFonts w:ascii="Times New Roman" w:eastAsia="Times New Roman" w:hAnsi="Times New Roman" w:cs="Times New Roman"/>
          <w:sz w:val="24"/>
          <w:szCs w:val="24"/>
          <w:lang w:eastAsia="pl-PL"/>
        </w:rPr>
        <w:t>P</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42D4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i z</w:t>
      </w:r>
      <w:r w:rsidR="004307ED" w:rsidRPr="007F28C1">
        <w:rPr>
          <w:rFonts w:ascii="Times New Roman" w:eastAsia="Times New Roman" w:hAnsi="Times New Roman" w:cs="Times New Roman"/>
          <w:sz w:val="24"/>
          <w:szCs w:val="24"/>
          <w:lang w:eastAsia="pl-PL"/>
        </w:rPr>
        <w:t xml:space="preserve">awężenie stosowania </w:t>
      </w:r>
      <w:r w:rsidR="00E36415" w:rsidRPr="007F28C1">
        <w:rPr>
          <w:rFonts w:ascii="Times New Roman" w:eastAsia="Times New Roman" w:hAnsi="Times New Roman" w:cs="Times New Roman"/>
          <w:sz w:val="24"/>
          <w:szCs w:val="24"/>
          <w:lang w:eastAsia="pl-PL"/>
        </w:rPr>
        <w:t>P</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42D40" w:rsidRPr="007F28C1">
        <w:rPr>
          <w:rFonts w:ascii="Times New Roman" w:eastAsia="Times New Roman" w:hAnsi="Times New Roman" w:cs="Times New Roman"/>
          <w:sz w:val="24"/>
          <w:szCs w:val="24"/>
          <w:lang w:eastAsia="pl-PL"/>
        </w:rPr>
        <w:t>.</w:t>
      </w:r>
      <w:r w:rsidR="004307ED" w:rsidRPr="007F28C1">
        <w:rPr>
          <w:rFonts w:ascii="Times New Roman" w:eastAsia="Times New Roman" w:hAnsi="Times New Roman" w:cs="Times New Roman"/>
          <w:sz w:val="24"/>
          <w:szCs w:val="24"/>
          <w:lang w:eastAsia="pl-PL"/>
        </w:rPr>
        <w:t xml:space="preserve"> do wykonywania wkopów oraz otworów wiertniczych o głębokości do 30 m w celu wykonywania ujęć wód podziemnych na potrzeby poboru wód podziemnych w ilości nieprzekraczającej 5 m</w:t>
      </w:r>
      <w:r w:rsidR="004307ED" w:rsidRPr="007F28C1">
        <w:rPr>
          <w:rFonts w:ascii="Times New Roman" w:eastAsia="Times New Roman" w:hAnsi="Times New Roman" w:cs="Times New Roman"/>
          <w:sz w:val="24"/>
          <w:szCs w:val="24"/>
          <w:vertAlign w:val="superscript"/>
          <w:lang w:eastAsia="pl-PL"/>
        </w:rPr>
        <w:t>3</w:t>
      </w:r>
      <w:r w:rsidR="004307ED" w:rsidRPr="007F28C1">
        <w:rPr>
          <w:rFonts w:ascii="Times New Roman" w:eastAsia="Times New Roman" w:hAnsi="Times New Roman" w:cs="Times New Roman"/>
          <w:sz w:val="24"/>
          <w:szCs w:val="24"/>
          <w:lang w:eastAsia="pl-PL"/>
        </w:rPr>
        <w:t xml:space="preserve"> na dobę w</w:t>
      </w:r>
      <w:r w:rsidR="00BD0A23" w:rsidRPr="007F28C1">
        <w:rPr>
          <w:rFonts w:ascii="Times New Roman" w:eastAsia="Times New Roman" w:hAnsi="Times New Roman" w:cs="Times New Roman"/>
          <w:sz w:val="24"/>
          <w:szCs w:val="24"/>
          <w:lang w:eastAsia="pl-PL"/>
        </w:rPr>
        <w:t> </w:t>
      </w:r>
      <w:r w:rsidR="004307ED" w:rsidRPr="007F28C1">
        <w:rPr>
          <w:rFonts w:ascii="Times New Roman" w:eastAsia="Times New Roman" w:hAnsi="Times New Roman" w:cs="Times New Roman"/>
          <w:sz w:val="24"/>
          <w:szCs w:val="24"/>
          <w:lang w:eastAsia="pl-PL"/>
        </w:rPr>
        <w:t>obszarach górniczych utworzonych w</w:t>
      </w:r>
      <w:r w:rsidR="00D2588E" w:rsidRPr="007F28C1">
        <w:rPr>
          <w:rFonts w:ascii="Times New Roman" w:eastAsia="Times New Roman" w:hAnsi="Times New Roman" w:cs="Times New Roman"/>
          <w:sz w:val="24"/>
          <w:szCs w:val="24"/>
          <w:lang w:eastAsia="pl-PL"/>
        </w:rPr>
        <w:t> </w:t>
      </w:r>
      <w:r w:rsidR="004307ED" w:rsidRPr="007F28C1">
        <w:rPr>
          <w:rFonts w:ascii="Times New Roman" w:eastAsia="Times New Roman" w:hAnsi="Times New Roman" w:cs="Times New Roman"/>
          <w:sz w:val="24"/>
          <w:szCs w:val="24"/>
          <w:lang w:eastAsia="pl-PL"/>
        </w:rPr>
        <w:t>celu wydobywania wód leczniczych lub solanek (w</w:t>
      </w:r>
      <w:r w:rsidR="00BD0A23" w:rsidRPr="007F28C1">
        <w:rPr>
          <w:rFonts w:ascii="Times New Roman" w:eastAsia="Times New Roman" w:hAnsi="Times New Roman" w:cs="Times New Roman"/>
          <w:sz w:val="24"/>
          <w:szCs w:val="24"/>
          <w:lang w:eastAsia="pl-PL"/>
        </w:rPr>
        <w:t> </w:t>
      </w:r>
      <w:r w:rsidR="004307ED" w:rsidRPr="007F28C1">
        <w:rPr>
          <w:rFonts w:ascii="Times New Roman" w:eastAsia="Times New Roman" w:hAnsi="Times New Roman" w:cs="Times New Roman"/>
          <w:sz w:val="24"/>
          <w:szCs w:val="24"/>
          <w:lang w:eastAsia="pl-PL"/>
        </w:rPr>
        <w:t xml:space="preserve">obowiązującym stanie prawnym – w obszarach górniczych utworzonych w celu wykonywania działalności metodą otworów wiertniczych) jest </w:t>
      </w:r>
      <w:r w:rsidR="004465C2" w:rsidRPr="007F28C1">
        <w:rPr>
          <w:rFonts w:ascii="Times New Roman" w:eastAsia="Times New Roman" w:hAnsi="Times New Roman" w:cs="Times New Roman"/>
          <w:sz w:val="24"/>
          <w:szCs w:val="24"/>
          <w:lang w:eastAsia="pl-PL"/>
        </w:rPr>
        <w:t>uzasadnione</w:t>
      </w:r>
      <w:r w:rsidR="004307ED" w:rsidRPr="007F28C1">
        <w:rPr>
          <w:rFonts w:ascii="Times New Roman" w:eastAsia="Times New Roman" w:hAnsi="Times New Roman" w:cs="Times New Roman"/>
          <w:sz w:val="24"/>
          <w:szCs w:val="24"/>
          <w:lang w:eastAsia="pl-PL"/>
        </w:rPr>
        <w:t>, ponieważ większość kopalin eksploatowanych metodą wiertniczą zalega na znacznych głębokościach, tj. poniżej 100 m, i wkopy oraz otwory wiertnicze wykonywane do głębokości 30 m nie mają żadnego wpływu na ich zasoby. Wykonywanie wkopów i otworów wiertniczych w miejscu występowania płytko zalegających złóż wód leczniczych lub solanek może natomiast spowodować zaburzenie równowagi hydrogeologicznej, a w konsekwencji utratę właściwości leczniczych tych wód lub spadek ich zasobów. Złoża wód leczniczych lub solanek bardzo często występują bowiem tuż pod</w:t>
      </w:r>
      <w:r w:rsidR="00D2588E" w:rsidRPr="007F28C1">
        <w:rPr>
          <w:rFonts w:ascii="Times New Roman" w:eastAsia="Times New Roman" w:hAnsi="Times New Roman" w:cs="Times New Roman"/>
          <w:sz w:val="24"/>
          <w:szCs w:val="24"/>
          <w:lang w:eastAsia="pl-PL"/>
        </w:rPr>
        <w:t> </w:t>
      </w:r>
      <w:r w:rsidR="004307ED" w:rsidRPr="007F28C1">
        <w:rPr>
          <w:rFonts w:ascii="Times New Roman" w:eastAsia="Times New Roman" w:hAnsi="Times New Roman" w:cs="Times New Roman"/>
          <w:sz w:val="24"/>
          <w:szCs w:val="24"/>
          <w:lang w:eastAsia="pl-PL"/>
        </w:rPr>
        <w:t>powierzchnią ziemi i </w:t>
      </w:r>
      <w:r w:rsidR="00EA13CD" w:rsidRPr="007F28C1">
        <w:rPr>
          <w:rFonts w:ascii="Times New Roman" w:eastAsia="Times New Roman" w:hAnsi="Times New Roman" w:cs="Times New Roman"/>
          <w:sz w:val="24"/>
          <w:szCs w:val="24"/>
          <w:lang w:eastAsia="pl-PL"/>
        </w:rPr>
        <w:t xml:space="preserve">są </w:t>
      </w:r>
      <w:r w:rsidR="004307ED" w:rsidRPr="007F28C1">
        <w:rPr>
          <w:rFonts w:ascii="Times New Roman" w:eastAsia="Times New Roman" w:hAnsi="Times New Roman" w:cs="Times New Roman"/>
          <w:sz w:val="24"/>
          <w:szCs w:val="24"/>
          <w:lang w:eastAsia="pl-PL"/>
        </w:rPr>
        <w:t xml:space="preserve">eksploatowane jako źródła (samowypływy). </w:t>
      </w:r>
    </w:p>
    <w:p w14:paraId="3A274517" w14:textId="5E2D2645" w:rsidR="00B83877"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Proponowana zmiana</w:t>
      </w:r>
      <w:r w:rsidR="004E3FBB" w:rsidRPr="007F28C1">
        <w:rPr>
          <w:rFonts w:ascii="Times New Roman" w:eastAsia="Times New Roman" w:hAnsi="Times New Roman" w:cs="Times New Roman"/>
          <w:sz w:val="24"/>
          <w:szCs w:val="24"/>
          <w:lang w:eastAsia="pl-PL"/>
        </w:rPr>
        <w:t xml:space="preserve"> dotycząca</w:t>
      </w:r>
      <w:r w:rsidR="00B75ABE" w:rsidRPr="007F28C1">
        <w:rPr>
          <w:rFonts w:ascii="Times New Roman" w:eastAsia="Times New Roman" w:hAnsi="Times New Roman" w:cs="Times New Roman"/>
          <w:sz w:val="24"/>
          <w:szCs w:val="24"/>
          <w:lang w:eastAsia="pl-PL"/>
        </w:rPr>
        <w:t xml:space="preserve"> </w:t>
      </w:r>
      <w:r w:rsidR="008E61AE" w:rsidRPr="007F28C1">
        <w:rPr>
          <w:rFonts w:ascii="Times New Roman" w:eastAsia="Times New Roman" w:hAnsi="Times New Roman" w:cs="Times New Roman"/>
          <w:sz w:val="24"/>
          <w:szCs w:val="24"/>
          <w:lang w:eastAsia="pl-PL"/>
        </w:rPr>
        <w:t xml:space="preserve">nadania nowego brzmienia </w:t>
      </w:r>
      <w:r w:rsidR="00B75ABE" w:rsidRPr="007F28C1">
        <w:rPr>
          <w:rFonts w:ascii="Times New Roman" w:eastAsia="Times New Roman" w:hAnsi="Times New Roman" w:cs="Times New Roman"/>
          <w:sz w:val="24"/>
          <w:szCs w:val="24"/>
          <w:lang w:eastAsia="pl-PL"/>
        </w:rPr>
        <w:t xml:space="preserve">art. 85 ust. 1 </w:t>
      </w:r>
      <w:r w:rsidR="00E36415" w:rsidRPr="007F28C1">
        <w:rPr>
          <w:rFonts w:ascii="Times New Roman" w:eastAsia="Times New Roman" w:hAnsi="Times New Roman" w:cs="Times New Roman"/>
          <w:sz w:val="24"/>
          <w:szCs w:val="24"/>
          <w:lang w:eastAsia="pl-PL"/>
        </w:rPr>
        <w:t>P</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42D40" w:rsidRPr="007F28C1">
        <w:rPr>
          <w:rFonts w:ascii="Times New Roman" w:eastAsia="Times New Roman" w:hAnsi="Times New Roman" w:cs="Times New Roman"/>
          <w:sz w:val="24"/>
          <w:szCs w:val="24"/>
          <w:lang w:eastAsia="pl-PL"/>
        </w:rPr>
        <w:t>.</w:t>
      </w:r>
      <w:r w:rsidR="00503D3D"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stanowi wynik propozycji zmiany art. 3 pkt 2a </w:t>
      </w:r>
      <w:r w:rsidR="00E36415" w:rsidRPr="007F28C1">
        <w:rPr>
          <w:rFonts w:ascii="Times New Roman" w:eastAsia="Times New Roman" w:hAnsi="Times New Roman" w:cs="Times New Roman"/>
          <w:sz w:val="24"/>
          <w:szCs w:val="24"/>
          <w:lang w:eastAsia="pl-PL"/>
        </w:rPr>
        <w:t>P</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42D40"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9355D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w:t>
      </w:r>
      <w:r w:rsidR="00FA551A"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obecnym stanie prawnym projekt robót geologicznych obejmujących wykonywanie ujęć wód podziemnych na obszarach górniczych utworzonych w celu wykonywania działalności metodą otworów wiertniczych (w tym na obszarach wydobywania wód leczniczych lub solanek) nie wymaga zatwierdzenia i podlega jedynie zgłoszeniu staroście.</w:t>
      </w:r>
      <w:r w:rsidR="00221BA9" w:rsidRPr="007F28C1">
        <w:rPr>
          <w:rFonts w:ascii="Times New Roman" w:hAnsi="Times New Roman" w:cs="Times New Roman"/>
          <w:sz w:val="24"/>
          <w:szCs w:val="24"/>
        </w:rPr>
        <w:t xml:space="preserve"> </w:t>
      </w:r>
    </w:p>
    <w:p w14:paraId="5A711370" w14:textId="05220A73" w:rsidR="00B75ABE"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Okoliczności wskazane w uzasadnieniu propozycji zmiany art. 3 pkt 2a </w:t>
      </w:r>
      <w:r w:rsidR="00542D40" w:rsidRPr="007F28C1">
        <w:rPr>
          <w:rFonts w:ascii="Times New Roman" w:eastAsia="Times New Roman" w:hAnsi="Times New Roman" w:cs="Times New Roman"/>
          <w:sz w:val="24"/>
          <w:szCs w:val="24"/>
          <w:lang w:eastAsia="pl-PL"/>
        </w:rPr>
        <w:t>P.g.g.</w:t>
      </w:r>
      <w:r w:rsidRPr="007F28C1">
        <w:rPr>
          <w:rFonts w:ascii="Times New Roman" w:eastAsia="Times New Roman" w:hAnsi="Times New Roman" w:cs="Times New Roman"/>
          <w:sz w:val="24"/>
          <w:szCs w:val="24"/>
          <w:lang w:eastAsia="pl-PL"/>
        </w:rPr>
        <w:t xml:space="preserve"> przemawiają za celowością modyfikacji art. 85 ust. 1 </w:t>
      </w:r>
      <w:r w:rsidR="00542D40" w:rsidRPr="007F28C1">
        <w:rPr>
          <w:rFonts w:ascii="Times New Roman" w:eastAsia="Times New Roman" w:hAnsi="Times New Roman" w:cs="Times New Roman"/>
          <w:sz w:val="24"/>
          <w:szCs w:val="24"/>
          <w:lang w:eastAsia="pl-PL"/>
        </w:rPr>
        <w:t>P.g.g.</w:t>
      </w:r>
      <w:r w:rsidRPr="007F28C1">
        <w:rPr>
          <w:rFonts w:ascii="Times New Roman" w:eastAsia="Times New Roman" w:hAnsi="Times New Roman" w:cs="Times New Roman"/>
          <w:sz w:val="24"/>
          <w:szCs w:val="24"/>
          <w:lang w:eastAsia="pl-PL"/>
        </w:rPr>
        <w:t>, polegającej na</w:t>
      </w:r>
      <w:r w:rsidR="00B75ABE" w:rsidRPr="007F28C1">
        <w:rPr>
          <w:rFonts w:ascii="Times New Roman" w:hAnsi="Times New Roman" w:cs="Times New Roman"/>
          <w:sz w:val="24"/>
          <w:szCs w:val="24"/>
        </w:rPr>
        <w:t xml:space="preserve"> przywróceniu generalnej zasady zatwierdzania projektów robót geologicznych </w:t>
      </w:r>
      <w:r w:rsidR="00B83877" w:rsidRPr="007F28C1">
        <w:rPr>
          <w:rFonts w:ascii="Times New Roman" w:hAnsi="Times New Roman" w:cs="Times New Roman"/>
          <w:sz w:val="24"/>
          <w:szCs w:val="24"/>
        </w:rPr>
        <w:t>obejmujących wykonywanie wkopów i otworów wiertniczych o głębokości do 30 m na potrzeby poboru wód podziemnych w ilości nieprzekraczającej 5 m</w:t>
      </w:r>
      <w:r w:rsidR="00B83877" w:rsidRPr="007F28C1">
        <w:rPr>
          <w:rFonts w:ascii="Times New Roman" w:hAnsi="Times New Roman" w:cs="Times New Roman"/>
          <w:sz w:val="24"/>
          <w:szCs w:val="24"/>
          <w:vertAlign w:val="superscript"/>
        </w:rPr>
        <w:t>3</w:t>
      </w:r>
      <w:r w:rsidR="00B83877" w:rsidRPr="007F28C1">
        <w:rPr>
          <w:rFonts w:ascii="Times New Roman" w:hAnsi="Times New Roman" w:cs="Times New Roman"/>
          <w:sz w:val="24"/>
          <w:szCs w:val="24"/>
        </w:rPr>
        <w:t xml:space="preserve"> na dobę na obszarach górniczych utworzonych w celu wydobywania </w:t>
      </w:r>
      <w:r w:rsidR="00B83877" w:rsidRPr="007F28C1">
        <w:rPr>
          <w:rFonts w:ascii="Times New Roman" w:hAnsi="Times New Roman" w:cs="Times New Roman"/>
          <w:sz w:val="24"/>
          <w:szCs w:val="24"/>
        </w:rPr>
        <w:lastRenderedPageBreak/>
        <w:t>wód leczniczych lub solanek. Ponieważ płytko zalegające złoża wód leczniczych lub solanek są szczególnie podatne na działalność człowieka, istnieje potrzeba zwiększonego nadzoru organów administracji geologicznej nad tego rodzaju działalnością.</w:t>
      </w:r>
      <w:r w:rsidR="002B6EEC" w:rsidRPr="007F28C1">
        <w:rPr>
          <w:rFonts w:ascii="Times New Roman" w:hAnsi="Times New Roman" w:cs="Times New Roman"/>
          <w:sz w:val="24"/>
          <w:szCs w:val="24"/>
        </w:rPr>
        <w:t xml:space="preserve"> </w:t>
      </w:r>
      <w:r w:rsidR="00A61B62" w:rsidRPr="007F28C1">
        <w:rPr>
          <w:rFonts w:ascii="Times New Roman" w:hAnsi="Times New Roman" w:cs="Times New Roman"/>
          <w:sz w:val="24"/>
          <w:szCs w:val="24"/>
        </w:rPr>
        <w:t>W związku z nowym brzmieniem</w:t>
      </w:r>
      <w:r w:rsidR="00E03FE9" w:rsidRPr="007F28C1">
        <w:rPr>
          <w:rFonts w:ascii="Times New Roman" w:hAnsi="Times New Roman" w:cs="Times New Roman"/>
          <w:sz w:val="24"/>
          <w:szCs w:val="24"/>
        </w:rPr>
        <w:t xml:space="preserve"> </w:t>
      </w:r>
      <w:r w:rsidR="002B6EEC" w:rsidRPr="007F28C1">
        <w:rPr>
          <w:rFonts w:ascii="Times New Roman" w:hAnsi="Times New Roman" w:cs="Times New Roman"/>
          <w:sz w:val="24"/>
          <w:szCs w:val="24"/>
        </w:rPr>
        <w:t>art. 161 ust. 2 pkt 2 P</w:t>
      </w:r>
      <w:r w:rsidR="00542D40" w:rsidRPr="007F28C1">
        <w:rPr>
          <w:rFonts w:ascii="Times New Roman" w:hAnsi="Times New Roman" w:cs="Times New Roman"/>
          <w:sz w:val="24"/>
          <w:szCs w:val="24"/>
        </w:rPr>
        <w:t>.</w:t>
      </w:r>
      <w:r w:rsidR="002B6EEC" w:rsidRPr="007F28C1">
        <w:rPr>
          <w:rFonts w:ascii="Times New Roman" w:hAnsi="Times New Roman" w:cs="Times New Roman"/>
          <w:sz w:val="24"/>
          <w:szCs w:val="24"/>
        </w:rPr>
        <w:t>g</w:t>
      </w:r>
      <w:r w:rsidR="00542D40" w:rsidRPr="007F28C1">
        <w:rPr>
          <w:rFonts w:ascii="Times New Roman" w:hAnsi="Times New Roman" w:cs="Times New Roman"/>
          <w:sz w:val="24"/>
          <w:szCs w:val="24"/>
        </w:rPr>
        <w:t>.</w:t>
      </w:r>
      <w:r w:rsidR="002B6EEC" w:rsidRPr="007F28C1">
        <w:rPr>
          <w:rFonts w:ascii="Times New Roman" w:hAnsi="Times New Roman" w:cs="Times New Roman"/>
          <w:sz w:val="24"/>
          <w:szCs w:val="24"/>
        </w:rPr>
        <w:t>g</w:t>
      </w:r>
      <w:r w:rsidR="00542D40" w:rsidRPr="007F28C1">
        <w:rPr>
          <w:rFonts w:ascii="Times New Roman" w:hAnsi="Times New Roman" w:cs="Times New Roman"/>
          <w:sz w:val="24"/>
          <w:szCs w:val="24"/>
        </w:rPr>
        <w:t>.</w:t>
      </w:r>
      <w:r w:rsidR="002B6EEC" w:rsidRPr="007F28C1">
        <w:rPr>
          <w:rFonts w:ascii="Times New Roman" w:hAnsi="Times New Roman" w:cs="Times New Roman"/>
          <w:sz w:val="24"/>
          <w:szCs w:val="24"/>
        </w:rPr>
        <w:t xml:space="preserve"> zagadnienia t</w:t>
      </w:r>
      <w:r w:rsidR="008713F7">
        <w:rPr>
          <w:rFonts w:ascii="Times New Roman" w:hAnsi="Times New Roman" w:cs="Times New Roman"/>
          <w:sz w:val="24"/>
          <w:szCs w:val="24"/>
        </w:rPr>
        <w:t>e</w:t>
      </w:r>
      <w:r w:rsidR="002B6EEC" w:rsidRPr="007F28C1">
        <w:rPr>
          <w:rFonts w:ascii="Times New Roman" w:hAnsi="Times New Roman" w:cs="Times New Roman"/>
          <w:sz w:val="24"/>
          <w:szCs w:val="24"/>
        </w:rPr>
        <w:t xml:space="preserve"> będą należały do kompetencji marszałka województwa.</w:t>
      </w:r>
    </w:p>
    <w:p w14:paraId="71FA56E5" w14:textId="26F18711" w:rsidR="00547905" w:rsidRPr="007F28C1" w:rsidRDefault="00547905" w:rsidP="007F28C1">
      <w:pPr>
        <w:numPr>
          <w:ilvl w:val="0"/>
          <w:numId w:val="5"/>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Otwory wiertnicze w celu wykorzystania ciepła Ziemi</w:t>
      </w:r>
    </w:p>
    <w:p w14:paraId="27DBD4AA" w14:textId="48F309DD" w:rsidR="007D756A" w:rsidRPr="007F28C1" w:rsidRDefault="00AF04D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art. 161 ust. 2 pkt 5 </w:t>
      </w:r>
      <w:r w:rsidR="00542D40" w:rsidRPr="007F28C1">
        <w:rPr>
          <w:rFonts w:ascii="Times New Roman" w:eastAsia="Times New Roman" w:hAnsi="Times New Roman" w:cs="Times New Roman"/>
          <w:sz w:val="24"/>
          <w:szCs w:val="24"/>
          <w:lang w:eastAsia="pl-PL"/>
        </w:rPr>
        <w:t>P.g.g.</w:t>
      </w:r>
      <w:r w:rsidRPr="007F28C1">
        <w:rPr>
          <w:rFonts w:ascii="Times New Roman" w:hAnsi="Times New Roman" w:cs="Times New Roman"/>
          <w:sz w:val="24"/>
          <w:szCs w:val="24"/>
        </w:rPr>
        <w:t xml:space="preserve"> sprawy związane z projektami robót geologicznych oraz dokumentacjami geologicznymi dotyczącymi robót geologicznych wykonywanych w celu wykorzystywania ciepła Ziemi należą do kompetencji starosty. </w:t>
      </w:r>
      <w:r w:rsidR="00325028" w:rsidRPr="007F28C1">
        <w:rPr>
          <w:rFonts w:ascii="Times New Roman" w:hAnsi="Times New Roman" w:cs="Times New Roman"/>
          <w:sz w:val="24"/>
          <w:szCs w:val="24"/>
        </w:rPr>
        <w:t xml:space="preserve">Zgodnie z art. 85 </w:t>
      </w:r>
      <w:r w:rsidR="00542D40" w:rsidRPr="007F28C1">
        <w:rPr>
          <w:rFonts w:ascii="Times New Roman" w:eastAsia="Times New Roman" w:hAnsi="Times New Roman" w:cs="Times New Roman"/>
          <w:sz w:val="24"/>
          <w:szCs w:val="24"/>
          <w:lang w:eastAsia="pl-PL"/>
        </w:rPr>
        <w:t>P.g.g.</w:t>
      </w:r>
      <w:r w:rsidR="00325028" w:rsidRPr="007F28C1">
        <w:rPr>
          <w:rFonts w:ascii="Times New Roman" w:hAnsi="Times New Roman" w:cs="Times New Roman"/>
          <w:sz w:val="24"/>
          <w:szCs w:val="24"/>
        </w:rPr>
        <w:t xml:space="preserve"> wiercenia otworów w celu wykorzystania ciepła Ziemi są wykonywane na podstawie projektu robót geologicznych, który podlega zgłoszeniu staroście. </w:t>
      </w:r>
    </w:p>
    <w:p w14:paraId="66CB9E30" w14:textId="05F7880A" w:rsidR="00B563B7"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Niezależnie od wykonywania nowych otworów wiertniczych w celu wykorzystania ciepła Ziemi jest również </w:t>
      </w:r>
      <w:r w:rsidR="00F25912" w:rsidRPr="007F28C1">
        <w:rPr>
          <w:rFonts w:ascii="Times New Roman" w:hAnsi="Times New Roman" w:cs="Times New Roman"/>
          <w:sz w:val="24"/>
          <w:szCs w:val="24"/>
        </w:rPr>
        <w:t xml:space="preserve">możliwe </w:t>
      </w:r>
      <w:r w:rsidRPr="007F28C1">
        <w:rPr>
          <w:rFonts w:ascii="Times New Roman" w:hAnsi="Times New Roman" w:cs="Times New Roman"/>
          <w:sz w:val="24"/>
          <w:szCs w:val="24"/>
        </w:rPr>
        <w:t xml:space="preserve">wykorzystanie w tym celu starych zlikwidowanych otworów wiertniczych (niezależnie od pierwotnego celu wykonania otworu). W takim przypadku </w:t>
      </w:r>
      <w:r w:rsidR="00F25912"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konieczne wykonanie rekonstrukcji zlikwidowanych otworów i przystosowanie ich w celu wykorzystania ciepła Ziemi, co</w:t>
      </w:r>
      <w:r w:rsidR="00DC7C79" w:rsidRPr="007F28C1">
        <w:rPr>
          <w:rFonts w:ascii="Times New Roman" w:hAnsi="Times New Roman" w:cs="Times New Roman"/>
          <w:sz w:val="24"/>
          <w:szCs w:val="24"/>
        </w:rPr>
        <w:t> </w:t>
      </w:r>
      <w:r w:rsidRPr="007F28C1">
        <w:rPr>
          <w:rFonts w:ascii="Times New Roman" w:hAnsi="Times New Roman" w:cs="Times New Roman"/>
          <w:sz w:val="24"/>
          <w:szCs w:val="24"/>
        </w:rPr>
        <w:t xml:space="preserve">pozwoli uzyskać efekt ekologiczny przy mniejszych nakładach finansowych (zależnych od stanu technicznego otworu, zakresu koniecznych badań, a także od stopnia rekonstrukcji otworu). </w:t>
      </w:r>
      <w:r w:rsidR="00B563B7" w:rsidRPr="007F28C1">
        <w:rPr>
          <w:rFonts w:ascii="Times New Roman" w:hAnsi="Times New Roman" w:cs="Times New Roman"/>
          <w:sz w:val="24"/>
          <w:szCs w:val="24"/>
        </w:rPr>
        <w:t>Dotychczasowe przepisy P</w:t>
      </w:r>
      <w:r w:rsidR="00E03FE9" w:rsidRPr="007F28C1">
        <w:rPr>
          <w:rFonts w:ascii="Times New Roman" w:hAnsi="Times New Roman" w:cs="Times New Roman"/>
          <w:sz w:val="24"/>
          <w:szCs w:val="24"/>
        </w:rPr>
        <w:t>.</w:t>
      </w:r>
      <w:r w:rsidR="00B563B7" w:rsidRPr="007F28C1">
        <w:rPr>
          <w:rFonts w:ascii="Times New Roman" w:hAnsi="Times New Roman" w:cs="Times New Roman"/>
          <w:sz w:val="24"/>
          <w:szCs w:val="24"/>
        </w:rPr>
        <w:t>g</w:t>
      </w:r>
      <w:r w:rsidR="00E03FE9" w:rsidRPr="007F28C1">
        <w:rPr>
          <w:rFonts w:ascii="Times New Roman" w:hAnsi="Times New Roman" w:cs="Times New Roman"/>
          <w:sz w:val="24"/>
          <w:szCs w:val="24"/>
        </w:rPr>
        <w:t>.</w:t>
      </w:r>
      <w:r w:rsidR="00B563B7" w:rsidRPr="007F28C1">
        <w:rPr>
          <w:rFonts w:ascii="Times New Roman" w:hAnsi="Times New Roman" w:cs="Times New Roman"/>
          <w:sz w:val="24"/>
          <w:szCs w:val="24"/>
        </w:rPr>
        <w:t>g</w:t>
      </w:r>
      <w:r w:rsidR="00E03FE9" w:rsidRPr="007F28C1">
        <w:rPr>
          <w:rFonts w:ascii="Times New Roman" w:hAnsi="Times New Roman" w:cs="Times New Roman"/>
          <w:sz w:val="24"/>
          <w:szCs w:val="24"/>
        </w:rPr>
        <w:t>.</w:t>
      </w:r>
      <w:r w:rsidR="00B563B7" w:rsidRPr="007F28C1">
        <w:rPr>
          <w:rFonts w:ascii="Times New Roman" w:hAnsi="Times New Roman" w:cs="Times New Roman"/>
          <w:sz w:val="24"/>
          <w:szCs w:val="24"/>
        </w:rPr>
        <w:t xml:space="preserve"> nie zawierają regulacji w tym zakresie, co wymaga zmiany, chociażby z uwagi na coraz większe zainteresowanie organów samorządu terytorialnego wykorzystaniem ciepła Ziemi przy realizacji zadań komunalnych związanych z ciepłownictwem. </w:t>
      </w:r>
    </w:p>
    <w:p w14:paraId="599C0505" w14:textId="741CB55B" w:rsidR="00360874" w:rsidRPr="007F28C1" w:rsidRDefault="00E913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art. 85 </w:t>
      </w:r>
      <w:r w:rsidR="00A61B62" w:rsidRPr="007F28C1">
        <w:rPr>
          <w:rFonts w:ascii="Times New Roman" w:hAnsi="Times New Roman" w:cs="Times New Roman"/>
          <w:sz w:val="24"/>
          <w:szCs w:val="24"/>
        </w:rPr>
        <w:t xml:space="preserve">w </w:t>
      </w:r>
      <w:r w:rsidR="00D94F9E" w:rsidRPr="007F28C1">
        <w:rPr>
          <w:rFonts w:ascii="Times New Roman" w:hAnsi="Times New Roman" w:cs="Times New Roman"/>
          <w:sz w:val="24"/>
          <w:szCs w:val="24"/>
        </w:rPr>
        <w:t>ust. 4</w:t>
      </w:r>
      <w:r w:rsidR="00F25912" w:rsidRPr="007F28C1">
        <w:rPr>
          <w:rFonts w:ascii="Times New Roman" w:hAnsi="Times New Roman" w:cs="Times New Roman"/>
          <w:sz w:val="24"/>
          <w:szCs w:val="24"/>
        </w:rPr>
        <w:t>–</w:t>
      </w:r>
      <w:r w:rsidR="00360874" w:rsidRPr="007F28C1">
        <w:rPr>
          <w:rFonts w:ascii="Times New Roman" w:hAnsi="Times New Roman" w:cs="Times New Roman"/>
          <w:sz w:val="24"/>
          <w:szCs w:val="24"/>
        </w:rPr>
        <w:t xml:space="preserve">8 </w:t>
      </w:r>
      <w:r w:rsidR="00E36415" w:rsidRPr="007F28C1">
        <w:rPr>
          <w:rFonts w:ascii="Times New Roman" w:hAnsi="Times New Roman" w:cs="Times New Roman"/>
          <w:sz w:val="24"/>
          <w:szCs w:val="24"/>
        </w:rPr>
        <w:t>P</w:t>
      </w:r>
      <w:r w:rsidR="00542D4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542D4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542D40" w:rsidRPr="007F28C1">
        <w:rPr>
          <w:rFonts w:ascii="Times New Roman" w:hAnsi="Times New Roman" w:cs="Times New Roman"/>
          <w:sz w:val="24"/>
          <w:szCs w:val="24"/>
        </w:rPr>
        <w:t>.</w:t>
      </w:r>
      <w:r w:rsidR="009B067C" w:rsidRPr="007F28C1">
        <w:rPr>
          <w:rFonts w:ascii="Times New Roman" w:hAnsi="Times New Roman" w:cs="Times New Roman"/>
          <w:bCs/>
          <w:sz w:val="24"/>
          <w:szCs w:val="24"/>
        </w:rPr>
        <w:t xml:space="preserve"> </w:t>
      </w:r>
      <w:r w:rsidR="00366D2B" w:rsidRPr="007F28C1">
        <w:rPr>
          <w:rFonts w:ascii="Times New Roman" w:hAnsi="Times New Roman" w:cs="Times New Roman"/>
          <w:sz w:val="24"/>
          <w:szCs w:val="24"/>
        </w:rPr>
        <w:t>wprowadzono przepisy</w:t>
      </w:r>
      <w:r w:rsidRPr="007F28C1">
        <w:rPr>
          <w:rFonts w:ascii="Times New Roman" w:hAnsi="Times New Roman" w:cs="Times New Roman"/>
          <w:sz w:val="24"/>
          <w:szCs w:val="24"/>
        </w:rPr>
        <w:t xml:space="preserve"> regulujące możliwość wykonania rekonstrukcji zlikwidowanych otworów wiertniczych i przystosowania ich w celu wykorzystania ciepła Ziemi. W tym celu </w:t>
      </w:r>
      <w:r w:rsidR="00F25912" w:rsidRPr="007F28C1">
        <w:rPr>
          <w:rFonts w:ascii="Times New Roman" w:hAnsi="Times New Roman" w:cs="Times New Roman"/>
          <w:sz w:val="24"/>
          <w:szCs w:val="24"/>
        </w:rPr>
        <w:t xml:space="preserve">będzie </w:t>
      </w:r>
      <w:r w:rsidRPr="007F28C1">
        <w:rPr>
          <w:rFonts w:ascii="Times New Roman" w:hAnsi="Times New Roman" w:cs="Times New Roman"/>
          <w:sz w:val="24"/>
          <w:szCs w:val="24"/>
        </w:rPr>
        <w:t xml:space="preserve">niezbędne sporządzenie projektu robót geologicznych na wykonanie rekonstrukcji otworu wiertniczego, który będzie </w:t>
      </w:r>
      <w:r w:rsidR="00360874" w:rsidRPr="007F28C1">
        <w:rPr>
          <w:rFonts w:ascii="Times New Roman" w:hAnsi="Times New Roman" w:cs="Times New Roman"/>
          <w:sz w:val="24"/>
          <w:szCs w:val="24"/>
        </w:rPr>
        <w:t xml:space="preserve">podlegał zatwierdzeniu </w:t>
      </w:r>
      <w:r w:rsidRPr="007F28C1">
        <w:rPr>
          <w:rFonts w:ascii="Times New Roman" w:hAnsi="Times New Roman" w:cs="Times New Roman"/>
          <w:sz w:val="24"/>
          <w:szCs w:val="24"/>
        </w:rPr>
        <w:t xml:space="preserve">przez </w:t>
      </w:r>
      <w:r w:rsidR="007E600A" w:rsidRPr="007F28C1">
        <w:rPr>
          <w:rFonts w:ascii="Times New Roman" w:hAnsi="Times New Roman" w:cs="Times New Roman"/>
          <w:sz w:val="24"/>
          <w:szCs w:val="24"/>
        </w:rPr>
        <w:t>marszałka województwa</w:t>
      </w:r>
      <w:r w:rsidRPr="007F28C1">
        <w:rPr>
          <w:rFonts w:ascii="Times New Roman" w:hAnsi="Times New Roman" w:cs="Times New Roman"/>
          <w:sz w:val="24"/>
          <w:szCs w:val="24"/>
        </w:rPr>
        <w:t>.</w:t>
      </w:r>
      <w:r w:rsidR="00D94F9E" w:rsidRPr="007F28C1">
        <w:rPr>
          <w:rFonts w:ascii="Times New Roman" w:hAnsi="Times New Roman" w:cs="Times New Roman"/>
          <w:sz w:val="24"/>
          <w:szCs w:val="24"/>
        </w:rPr>
        <w:t xml:space="preserve"> Będzie to stanowiło odstępstwo od ogólnej zasady, że </w:t>
      </w:r>
      <w:r w:rsidR="007E600A" w:rsidRPr="007F28C1">
        <w:rPr>
          <w:rFonts w:ascii="Times New Roman" w:hAnsi="Times New Roman" w:cs="Times New Roman"/>
          <w:sz w:val="24"/>
          <w:szCs w:val="24"/>
        </w:rPr>
        <w:t>projekty robót geologicznych w celu wykorzystania ciepła Ziemi są</w:t>
      </w:r>
      <w:r w:rsidR="00621E21" w:rsidRPr="007F28C1">
        <w:rPr>
          <w:rFonts w:ascii="Times New Roman" w:hAnsi="Times New Roman" w:cs="Times New Roman"/>
          <w:sz w:val="24"/>
          <w:szCs w:val="24"/>
        </w:rPr>
        <w:t> </w:t>
      </w:r>
      <w:r w:rsidR="007E600A" w:rsidRPr="007F28C1">
        <w:rPr>
          <w:rFonts w:ascii="Times New Roman" w:hAnsi="Times New Roman" w:cs="Times New Roman"/>
          <w:sz w:val="24"/>
          <w:szCs w:val="24"/>
        </w:rPr>
        <w:t>zgłaszane i nie wymagają zatwierdzenia</w:t>
      </w:r>
      <w:r w:rsidR="00D94F9E" w:rsidRPr="007F28C1">
        <w:rPr>
          <w:rFonts w:ascii="Times New Roman" w:hAnsi="Times New Roman" w:cs="Times New Roman"/>
          <w:sz w:val="24"/>
          <w:szCs w:val="24"/>
        </w:rPr>
        <w:t xml:space="preserve">, z uwagi na fakt, że rekonstrukcja może dotyczyć </w:t>
      </w:r>
      <w:r w:rsidR="00EA0EF7" w:rsidRPr="007F28C1">
        <w:rPr>
          <w:rFonts w:ascii="Times New Roman" w:hAnsi="Times New Roman" w:cs="Times New Roman"/>
          <w:sz w:val="24"/>
          <w:szCs w:val="24"/>
        </w:rPr>
        <w:t xml:space="preserve">np. </w:t>
      </w:r>
      <w:r w:rsidR="00D94F9E" w:rsidRPr="007F28C1">
        <w:rPr>
          <w:rFonts w:ascii="Times New Roman" w:hAnsi="Times New Roman" w:cs="Times New Roman"/>
          <w:sz w:val="24"/>
          <w:szCs w:val="24"/>
        </w:rPr>
        <w:t>otworów wykonanych w celu poszukiwania lub rozpoznawania węglowodorów.</w:t>
      </w:r>
      <w:r w:rsidR="00EA0EF7" w:rsidRPr="007F28C1">
        <w:rPr>
          <w:rFonts w:ascii="Times New Roman" w:hAnsi="Times New Roman" w:cs="Times New Roman"/>
          <w:sz w:val="24"/>
          <w:szCs w:val="24"/>
        </w:rPr>
        <w:t xml:space="preserve"> Rekonstrukcja tych otworów będzie wymagać zwiększonego nadzoru organów administracji geologicznej oraz organów nadzoru górniczego, z uwagi na </w:t>
      </w:r>
      <w:r w:rsidR="00492DEC" w:rsidRPr="007F28C1">
        <w:rPr>
          <w:rFonts w:ascii="Times New Roman" w:hAnsi="Times New Roman" w:cs="Times New Roman"/>
          <w:sz w:val="24"/>
          <w:szCs w:val="24"/>
        </w:rPr>
        <w:t>większe</w:t>
      </w:r>
      <w:r w:rsidR="00EA0EF7" w:rsidRPr="007F28C1">
        <w:rPr>
          <w:rFonts w:ascii="Times New Roman" w:hAnsi="Times New Roman" w:cs="Times New Roman"/>
          <w:sz w:val="24"/>
          <w:szCs w:val="24"/>
        </w:rPr>
        <w:t xml:space="preserve"> zagrożenie </w:t>
      </w:r>
      <w:r w:rsidR="00492DEC" w:rsidRPr="007F28C1">
        <w:rPr>
          <w:rFonts w:ascii="Times New Roman" w:hAnsi="Times New Roman" w:cs="Times New Roman"/>
          <w:sz w:val="24"/>
          <w:szCs w:val="24"/>
        </w:rPr>
        <w:t xml:space="preserve">dla zakładu lub </w:t>
      </w:r>
      <w:r w:rsidR="00EA0EF7" w:rsidRPr="007F28C1">
        <w:rPr>
          <w:rFonts w:ascii="Times New Roman" w:hAnsi="Times New Roman" w:cs="Times New Roman"/>
          <w:sz w:val="24"/>
          <w:szCs w:val="24"/>
        </w:rPr>
        <w:t xml:space="preserve">środowiska (np. wyciek węglowodorów). </w:t>
      </w:r>
      <w:r w:rsidR="00360874" w:rsidRPr="007F28C1">
        <w:rPr>
          <w:rFonts w:ascii="Times New Roman" w:hAnsi="Times New Roman" w:cs="Times New Roman"/>
          <w:sz w:val="24"/>
          <w:szCs w:val="24"/>
        </w:rPr>
        <w:t xml:space="preserve">W przypadku rekonstrukcji w celu wykorzystania ciepła Ziemi </w:t>
      </w:r>
      <w:r w:rsidR="00360874" w:rsidRPr="007F28C1">
        <w:rPr>
          <w:rFonts w:ascii="Times New Roman" w:hAnsi="Times New Roman" w:cs="Times New Roman"/>
          <w:sz w:val="24"/>
          <w:szCs w:val="24"/>
        </w:rPr>
        <w:lastRenderedPageBreak/>
        <w:t>otworów wiertniczych pierwotnie wykonanych w celu poszukiwania, rozpoznawania lub wydobywania węglowodorów zatwierdzenie</w:t>
      </w:r>
      <w:r w:rsidR="005B7604" w:rsidRPr="007F28C1">
        <w:rPr>
          <w:rFonts w:ascii="Times New Roman" w:hAnsi="Times New Roman" w:cs="Times New Roman"/>
          <w:sz w:val="24"/>
          <w:szCs w:val="24"/>
        </w:rPr>
        <w:t xml:space="preserve"> </w:t>
      </w:r>
      <w:r w:rsidR="00360874" w:rsidRPr="007F28C1">
        <w:rPr>
          <w:rFonts w:ascii="Times New Roman" w:hAnsi="Times New Roman" w:cs="Times New Roman"/>
          <w:sz w:val="24"/>
          <w:szCs w:val="24"/>
        </w:rPr>
        <w:t xml:space="preserve">projektu robót geologicznych </w:t>
      </w:r>
      <w:r w:rsidR="00C20066" w:rsidRPr="007F28C1">
        <w:rPr>
          <w:rFonts w:ascii="Times New Roman" w:hAnsi="Times New Roman" w:cs="Times New Roman"/>
          <w:sz w:val="24"/>
          <w:szCs w:val="24"/>
        </w:rPr>
        <w:t xml:space="preserve">powierzono marszałkowi województwa. Zatwierdzenie takiego projektu </w:t>
      </w:r>
      <w:r w:rsidR="00360874" w:rsidRPr="007F28C1">
        <w:rPr>
          <w:rFonts w:ascii="Times New Roman" w:hAnsi="Times New Roman" w:cs="Times New Roman"/>
          <w:sz w:val="24"/>
          <w:szCs w:val="24"/>
        </w:rPr>
        <w:t>będzie wymagało uzgodnienia z</w:t>
      </w:r>
      <w:r w:rsidR="00AF01B4" w:rsidRPr="007F28C1">
        <w:rPr>
          <w:rFonts w:ascii="Times New Roman" w:hAnsi="Times New Roman" w:cs="Times New Roman"/>
          <w:sz w:val="24"/>
          <w:szCs w:val="24"/>
        </w:rPr>
        <w:t xml:space="preserve"> ministrem właściwym do spraw środowiska</w:t>
      </w:r>
      <w:r w:rsidR="00360874" w:rsidRPr="007F28C1">
        <w:rPr>
          <w:rFonts w:ascii="Times New Roman" w:hAnsi="Times New Roman" w:cs="Times New Roman"/>
          <w:sz w:val="24"/>
          <w:szCs w:val="24"/>
        </w:rPr>
        <w:t>, przy czym kryterium uzgodnienia będzie zgodność z</w:t>
      </w:r>
      <w:r w:rsidR="00D2588E" w:rsidRPr="007F28C1">
        <w:rPr>
          <w:rFonts w:ascii="Times New Roman" w:hAnsi="Times New Roman" w:cs="Times New Roman"/>
          <w:sz w:val="24"/>
          <w:szCs w:val="24"/>
        </w:rPr>
        <w:t> </w:t>
      </w:r>
      <w:r w:rsidR="00360874" w:rsidRPr="007F28C1">
        <w:rPr>
          <w:rFonts w:ascii="Times New Roman" w:hAnsi="Times New Roman" w:cs="Times New Roman"/>
          <w:sz w:val="24"/>
          <w:szCs w:val="24"/>
        </w:rPr>
        <w:t>racjonalną gospodarką złożami węglowodorów. Rozwiązanie takie ma zapobiec przeznacz</w:t>
      </w:r>
      <w:r w:rsidR="00FB00F1" w:rsidRPr="007F28C1">
        <w:rPr>
          <w:rFonts w:ascii="Times New Roman" w:hAnsi="Times New Roman" w:cs="Times New Roman"/>
          <w:sz w:val="24"/>
          <w:szCs w:val="24"/>
        </w:rPr>
        <w:t>a</w:t>
      </w:r>
      <w:r w:rsidR="00360874" w:rsidRPr="007F28C1">
        <w:rPr>
          <w:rFonts w:ascii="Times New Roman" w:hAnsi="Times New Roman" w:cs="Times New Roman"/>
          <w:sz w:val="24"/>
          <w:szCs w:val="24"/>
        </w:rPr>
        <w:t>ni</w:t>
      </w:r>
      <w:r w:rsidR="00FB00F1" w:rsidRPr="007F28C1">
        <w:rPr>
          <w:rFonts w:ascii="Times New Roman" w:hAnsi="Times New Roman" w:cs="Times New Roman"/>
          <w:sz w:val="24"/>
          <w:szCs w:val="24"/>
        </w:rPr>
        <w:t>a</w:t>
      </w:r>
      <w:r w:rsidR="00360874" w:rsidRPr="007F28C1">
        <w:rPr>
          <w:rFonts w:ascii="Times New Roman" w:hAnsi="Times New Roman" w:cs="Times New Roman"/>
          <w:sz w:val="24"/>
          <w:szCs w:val="24"/>
        </w:rPr>
        <w:t xml:space="preserve"> w celu wykorzystania ciepła Ziemi odwiertu,</w:t>
      </w:r>
      <w:r w:rsidR="00FB00F1" w:rsidRPr="007F28C1">
        <w:rPr>
          <w:rFonts w:ascii="Times New Roman" w:hAnsi="Times New Roman" w:cs="Times New Roman"/>
          <w:sz w:val="24"/>
          <w:szCs w:val="24"/>
        </w:rPr>
        <w:t xml:space="preserve"> w</w:t>
      </w:r>
      <w:r w:rsidR="00967A32">
        <w:rPr>
          <w:rFonts w:ascii="Times New Roman" w:hAnsi="Times New Roman" w:cs="Times New Roman"/>
          <w:sz w:val="24"/>
          <w:szCs w:val="24"/>
        </w:rPr>
        <w:t xml:space="preserve"> </w:t>
      </w:r>
      <w:r w:rsidR="00360874" w:rsidRPr="007F28C1">
        <w:rPr>
          <w:rFonts w:ascii="Times New Roman" w:hAnsi="Times New Roman" w:cs="Times New Roman"/>
          <w:sz w:val="24"/>
          <w:szCs w:val="24"/>
        </w:rPr>
        <w:t xml:space="preserve">którym nadal może być prowadzone wydobycie węglowodorów ze złoża. </w:t>
      </w:r>
    </w:p>
    <w:p w14:paraId="64F28114" w14:textId="6FC27394" w:rsidR="00D94F9E" w:rsidRPr="007F28C1" w:rsidRDefault="00EA0EF7"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Dodatkowo, maj</w:t>
      </w:r>
      <w:r w:rsidR="00E91311" w:rsidRPr="007F28C1">
        <w:rPr>
          <w:rFonts w:ascii="Times New Roman" w:hAnsi="Times New Roman" w:cs="Times New Roman"/>
          <w:sz w:val="24"/>
          <w:szCs w:val="24"/>
        </w:rPr>
        <w:t>ąc na względzie, że prawo do</w:t>
      </w:r>
      <w:r w:rsidR="00360874" w:rsidRPr="007F28C1">
        <w:rPr>
          <w:rFonts w:ascii="Times New Roman" w:hAnsi="Times New Roman" w:cs="Times New Roman"/>
          <w:sz w:val="24"/>
          <w:szCs w:val="24"/>
        </w:rPr>
        <w:t xml:space="preserve"> korzystania</w:t>
      </w:r>
      <w:r w:rsidR="00E91311" w:rsidRPr="007F28C1">
        <w:rPr>
          <w:rFonts w:ascii="Times New Roman" w:hAnsi="Times New Roman" w:cs="Times New Roman"/>
          <w:sz w:val="24"/>
          <w:szCs w:val="24"/>
        </w:rPr>
        <w:t xml:space="preserve"> </w:t>
      </w:r>
      <w:r w:rsidR="0015616E">
        <w:rPr>
          <w:rFonts w:ascii="Times New Roman" w:hAnsi="Times New Roman" w:cs="Times New Roman"/>
          <w:sz w:val="24"/>
          <w:szCs w:val="24"/>
        </w:rPr>
        <w:t xml:space="preserve">z </w:t>
      </w:r>
      <w:r w:rsidR="00E91311" w:rsidRPr="007F28C1">
        <w:rPr>
          <w:rFonts w:ascii="Times New Roman" w:hAnsi="Times New Roman" w:cs="Times New Roman"/>
          <w:sz w:val="24"/>
          <w:szCs w:val="24"/>
        </w:rPr>
        <w:t xml:space="preserve">informacji geologicznej, dotyczącej otworów wiertniczych, które </w:t>
      </w:r>
      <w:r w:rsidR="00360874" w:rsidRPr="007F28C1">
        <w:rPr>
          <w:rFonts w:ascii="Times New Roman" w:hAnsi="Times New Roman" w:cs="Times New Roman"/>
          <w:sz w:val="24"/>
          <w:szCs w:val="24"/>
        </w:rPr>
        <w:t xml:space="preserve">mają być zrekonstruowane </w:t>
      </w:r>
      <w:r w:rsidR="00E91311" w:rsidRPr="007F28C1">
        <w:rPr>
          <w:rFonts w:ascii="Times New Roman" w:hAnsi="Times New Roman" w:cs="Times New Roman"/>
          <w:sz w:val="24"/>
          <w:szCs w:val="24"/>
        </w:rPr>
        <w:t xml:space="preserve">w celu wykorzystania ciepła Ziemi, </w:t>
      </w:r>
      <w:r w:rsidR="00360874" w:rsidRPr="007F28C1">
        <w:rPr>
          <w:rFonts w:ascii="Times New Roman" w:hAnsi="Times New Roman" w:cs="Times New Roman"/>
          <w:sz w:val="24"/>
          <w:szCs w:val="24"/>
        </w:rPr>
        <w:t xml:space="preserve">nie w każdym przypadku </w:t>
      </w:r>
      <w:r w:rsidR="00E91311" w:rsidRPr="007F28C1">
        <w:rPr>
          <w:rFonts w:ascii="Times New Roman" w:hAnsi="Times New Roman" w:cs="Times New Roman"/>
          <w:sz w:val="24"/>
          <w:szCs w:val="24"/>
        </w:rPr>
        <w:t xml:space="preserve">należy do Skarbu Państwa, wprowadzono przepisy </w:t>
      </w:r>
      <w:r w:rsidR="00360874" w:rsidRPr="007F28C1">
        <w:rPr>
          <w:rFonts w:ascii="Times New Roman" w:hAnsi="Times New Roman" w:cs="Times New Roman"/>
          <w:sz w:val="24"/>
          <w:szCs w:val="24"/>
        </w:rPr>
        <w:t>nakładające wymóg dołączenia do</w:t>
      </w:r>
      <w:r w:rsidR="00D94F9E" w:rsidRPr="007F28C1">
        <w:rPr>
          <w:rFonts w:ascii="Times New Roman" w:hAnsi="Times New Roman" w:cs="Times New Roman"/>
          <w:sz w:val="24"/>
          <w:szCs w:val="24"/>
        </w:rPr>
        <w:t> </w:t>
      </w:r>
      <w:r w:rsidR="00E91311" w:rsidRPr="007F28C1">
        <w:rPr>
          <w:rFonts w:ascii="Times New Roman" w:hAnsi="Times New Roman" w:cs="Times New Roman"/>
          <w:sz w:val="24"/>
          <w:szCs w:val="24"/>
        </w:rPr>
        <w:t>wniosk</w:t>
      </w:r>
      <w:r w:rsidR="00360874" w:rsidRPr="007F28C1">
        <w:rPr>
          <w:rFonts w:ascii="Times New Roman" w:hAnsi="Times New Roman" w:cs="Times New Roman"/>
          <w:sz w:val="24"/>
          <w:szCs w:val="24"/>
        </w:rPr>
        <w:t>u</w:t>
      </w:r>
      <w:r w:rsidR="00E91311" w:rsidRPr="007F28C1">
        <w:rPr>
          <w:rFonts w:ascii="Times New Roman" w:hAnsi="Times New Roman" w:cs="Times New Roman"/>
          <w:sz w:val="24"/>
          <w:szCs w:val="24"/>
        </w:rPr>
        <w:t xml:space="preserve"> o</w:t>
      </w:r>
      <w:r w:rsidR="00F01401" w:rsidRPr="007F28C1">
        <w:rPr>
          <w:rFonts w:ascii="Times New Roman" w:hAnsi="Times New Roman" w:cs="Times New Roman"/>
          <w:sz w:val="24"/>
          <w:szCs w:val="24"/>
        </w:rPr>
        <w:t> </w:t>
      </w:r>
      <w:r w:rsidR="00E91311" w:rsidRPr="007F28C1">
        <w:rPr>
          <w:rFonts w:ascii="Times New Roman" w:hAnsi="Times New Roman" w:cs="Times New Roman"/>
          <w:sz w:val="24"/>
          <w:szCs w:val="24"/>
        </w:rPr>
        <w:t>zatwierdzenie projektu robót dowodu istnienia prawa do korzystania z</w:t>
      </w:r>
      <w:r w:rsidR="00F01401" w:rsidRPr="007F28C1">
        <w:rPr>
          <w:rFonts w:ascii="Times New Roman" w:hAnsi="Times New Roman" w:cs="Times New Roman"/>
          <w:sz w:val="24"/>
          <w:szCs w:val="24"/>
        </w:rPr>
        <w:t> </w:t>
      </w:r>
      <w:r w:rsidR="00E91311" w:rsidRPr="007F28C1">
        <w:rPr>
          <w:rFonts w:ascii="Times New Roman" w:hAnsi="Times New Roman" w:cs="Times New Roman"/>
          <w:sz w:val="24"/>
          <w:szCs w:val="24"/>
        </w:rPr>
        <w:t>informacji geologicznej</w:t>
      </w:r>
      <w:r w:rsidR="003C55D9" w:rsidRPr="007F28C1">
        <w:rPr>
          <w:rFonts w:ascii="Times New Roman" w:hAnsi="Times New Roman" w:cs="Times New Roman"/>
          <w:sz w:val="24"/>
          <w:szCs w:val="24"/>
        </w:rPr>
        <w:t>, a w przypadku gdy do nabycia prawa do korzystania z informacji geologicznej doszło z</w:t>
      </w:r>
      <w:r w:rsidR="00D2588E" w:rsidRPr="007F28C1">
        <w:rPr>
          <w:rFonts w:ascii="Times New Roman" w:hAnsi="Times New Roman" w:cs="Times New Roman"/>
          <w:sz w:val="24"/>
          <w:szCs w:val="24"/>
        </w:rPr>
        <w:t> </w:t>
      </w:r>
      <w:r w:rsidR="003C55D9" w:rsidRPr="007F28C1">
        <w:rPr>
          <w:rFonts w:ascii="Times New Roman" w:hAnsi="Times New Roman" w:cs="Times New Roman"/>
          <w:sz w:val="24"/>
          <w:szCs w:val="24"/>
        </w:rPr>
        <w:t xml:space="preserve">mocy prawa </w:t>
      </w:r>
      <w:r w:rsidR="00F25912" w:rsidRPr="007F28C1">
        <w:rPr>
          <w:rFonts w:ascii="Times New Roman" w:hAnsi="Times New Roman" w:cs="Times New Roman"/>
          <w:sz w:val="24"/>
          <w:szCs w:val="24"/>
        </w:rPr>
        <w:t xml:space="preserve">– </w:t>
      </w:r>
      <w:r w:rsidR="003C55D9" w:rsidRPr="007F28C1">
        <w:rPr>
          <w:rFonts w:ascii="Times New Roman" w:eastAsia="Times New Roman" w:hAnsi="Times New Roman" w:cs="Times New Roman"/>
          <w:sz w:val="24"/>
          <w:szCs w:val="24"/>
          <w:lang w:eastAsia="pl-PL"/>
        </w:rPr>
        <w:t>wymóg wskazania podstawy prawnej nabycia prawa do korzystania z informacji geologicznej oraz decyzji lub projektu robót geologicznych</w:t>
      </w:r>
      <w:r w:rsidR="00E91311" w:rsidRPr="007F28C1">
        <w:rPr>
          <w:rFonts w:ascii="Times New Roman" w:hAnsi="Times New Roman" w:cs="Times New Roman"/>
          <w:sz w:val="24"/>
          <w:szCs w:val="24"/>
        </w:rPr>
        <w:t>.</w:t>
      </w:r>
      <w:r w:rsidR="00FC3BE8" w:rsidRPr="007F28C1">
        <w:rPr>
          <w:rFonts w:ascii="Times New Roman" w:hAnsi="Times New Roman" w:cs="Times New Roman"/>
          <w:sz w:val="24"/>
          <w:szCs w:val="24"/>
        </w:rPr>
        <w:t xml:space="preserve"> W konsekwencji</w:t>
      </w:r>
      <w:r w:rsidR="00F25912" w:rsidRPr="007F28C1">
        <w:rPr>
          <w:rFonts w:ascii="Times New Roman" w:hAnsi="Times New Roman" w:cs="Times New Roman"/>
          <w:sz w:val="24"/>
          <w:szCs w:val="24"/>
        </w:rPr>
        <w:t>,</w:t>
      </w:r>
      <w:r w:rsidR="00FC3BE8" w:rsidRPr="007F28C1">
        <w:rPr>
          <w:rFonts w:ascii="Times New Roman" w:hAnsi="Times New Roman" w:cs="Times New Roman"/>
          <w:sz w:val="24"/>
          <w:szCs w:val="24"/>
        </w:rPr>
        <w:t xml:space="preserve"> </w:t>
      </w:r>
      <w:r w:rsidR="00A61B62" w:rsidRPr="007F28C1">
        <w:rPr>
          <w:rFonts w:ascii="Times New Roman" w:hAnsi="Times New Roman" w:cs="Times New Roman"/>
          <w:sz w:val="24"/>
          <w:szCs w:val="24"/>
        </w:rPr>
        <w:t>w przepisach regulujących informację geologiczną</w:t>
      </w:r>
      <w:r w:rsidR="00F25912" w:rsidRPr="007F28C1">
        <w:rPr>
          <w:rFonts w:ascii="Times New Roman" w:hAnsi="Times New Roman" w:cs="Times New Roman"/>
          <w:sz w:val="24"/>
          <w:szCs w:val="24"/>
        </w:rPr>
        <w:t>,</w:t>
      </w:r>
      <w:r w:rsidR="00A61B62" w:rsidRPr="007F28C1">
        <w:rPr>
          <w:rFonts w:ascii="Times New Roman" w:hAnsi="Times New Roman" w:cs="Times New Roman"/>
          <w:sz w:val="24"/>
          <w:szCs w:val="24"/>
        </w:rPr>
        <w:t xml:space="preserve"> w art. 100 w ust. 2 dodano pkt 4 dotyczący otworów wiertniczych, które mają być zrekonstruowane w celu wykorzystania ciepła Ziemi.</w:t>
      </w:r>
    </w:p>
    <w:p w14:paraId="53772734" w14:textId="0C6650EF" w:rsidR="005E00B3" w:rsidRPr="007F28C1" w:rsidRDefault="00360874"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w:t>
      </w:r>
      <w:r w:rsidR="00E91311" w:rsidRPr="007F28C1">
        <w:rPr>
          <w:rFonts w:ascii="Times New Roman" w:hAnsi="Times New Roman" w:cs="Times New Roman"/>
          <w:sz w:val="24"/>
          <w:szCs w:val="24"/>
        </w:rPr>
        <w:t>iezbędna będzie</w:t>
      </w:r>
      <w:r w:rsidR="00FC3BE8" w:rsidRPr="007F28C1">
        <w:rPr>
          <w:rFonts w:ascii="Times New Roman" w:hAnsi="Times New Roman" w:cs="Times New Roman"/>
          <w:sz w:val="24"/>
          <w:szCs w:val="24"/>
        </w:rPr>
        <w:t xml:space="preserve"> również</w:t>
      </w:r>
      <w:r w:rsidR="00E91311" w:rsidRPr="007F28C1">
        <w:rPr>
          <w:rFonts w:ascii="Times New Roman" w:hAnsi="Times New Roman" w:cs="Times New Roman"/>
          <w:sz w:val="24"/>
          <w:szCs w:val="24"/>
        </w:rPr>
        <w:t xml:space="preserve"> zmiana rozporządzenia Ministra Środowiska z dnia 20</w:t>
      </w:r>
      <w:r w:rsidR="00FC3BE8" w:rsidRPr="007F28C1">
        <w:rPr>
          <w:rFonts w:ascii="Times New Roman" w:hAnsi="Times New Roman" w:cs="Times New Roman"/>
          <w:sz w:val="24"/>
          <w:szCs w:val="24"/>
        </w:rPr>
        <w:t> </w:t>
      </w:r>
      <w:r w:rsidR="00E91311" w:rsidRPr="007F28C1">
        <w:rPr>
          <w:rFonts w:ascii="Times New Roman" w:hAnsi="Times New Roman" w:cs="Times New Roman"/>
          <w:sz w:val="24"/>
          <w:szCs w:val="24"/>
        </w:rPr>
        <w:t>grudnia 2011</w:t>
      </w:r>
      <w:r w:rsidR="005E00B3" w:rsidRPr="007F28C1">
        <w:rPr>
          <w:rFonts w:ascii="Times New Roman" w:hAnsi="Times New Roman" w:cs="Times New Roman"/>
          <w:sz w:val="24"/>
          <w:szCs w:val="24"/>
        </w:rPr>
        <w:t> </w:t>
      </w:r>
      <w:r w:rsidR="00E91311" w:rsidRPr="007F28C1">
        <w:rPr>
          <w:rFonts w:ascii="Times New Roman" w:hAnsi="Times New Roman" w:cs="Times New Roman"/>
          <w:sz w:val="24"/>
          <w:szCs w:val="24"/>
        </w:rPr>
        <w:t xml:space="preserve">r. </w:t>
      </w:r>
      <w:r w:rsidR="00E91311" w:rsidRPr="0079166F">
        <w:rPr>
          <w:rFonts w:ascii="Times New Roman" w:hAnsi="Times New Roman" w:cs="Times New Roman"/>
          <w:iCs/>
          <w:sz w:val="24"/>
          <w:szCs w:val="24"/>
        </w:rPr>
        <w:t>w</w:t>
      </w:r>
      <w:r w:rsidRPr="0079166F">
        <w:rPr>
          <w:rFonts w:ascii="Times New Roman" w:hAnsi="Times New Roman" w:cs="Times New Roman"/>
          <w:iCs/>
          <w:sz w:val="24"/>
          <w:szCs w:val="24"/>
        </w:rPr>
        <w:t> </w:t>
      </w:r>
      <w:r w:rsidR="00E91311" w:rsidRPr="0079166F">
        <w:rPr>
          <w:rFonts w:ascii="Times New Roman" w:hAnsi="Times New Roman" w:cs="Times New Roman"/>
          <w:iCs/>
          <w:sz w:val="24"/>
          <w:szCs w:val="24"/>
        </w:rPr>
        <w:t>sprawie korzystania z informacji geologicznej za wynagrodzeniem</w:t>
      </w:r>
      <w:r w:rsidR="00E91311" w:rsidRPr="007F28C1">
        <w:rPr>
          <w:rFonts w:ascii="Times New Roman" w:hAnsi="Times New Roman" w:cs="Times New Roman"/>
          <w:sz w:val="24"/>
          <w:szCs w:val="24"/>
        </w:rPr>
        <w:t xml:space="preserve"> (Dz.</w:t>
      </w:r>
      <w:r w:rsidR="00B939FA" w:rsidRPr="007F28C1">
        <w:rPr>
          <w:rFonts w:ascii="Times New Roman" w:hAnsi="Times New Roman" w:cs="Times New Roman"/>
          <w:sz w:val="24"/>
          <w:szCs w:val="24"/>
        </w:rPr>
        <w:t xml:space="preserve"> </w:t>
      </w:r>
      <w:r w:rsidR="00E91311" w:rsidRPr="007F28C1">
        <w:rPr>
          <w:rFonts w:ascii="Times New Roman" w:hAnsi="Times New Roman" w:cs="Times New Roman"/>
          <w:sz w:val="24"/>
          <w:szCs w:val="24"/>
        </w:rPr>
        <w:t>U. poz.</w:t>
      </w:r>
      <w:r w:rsidR="005E00B3" w:rsidRPr="007F28C1">
        <w:rPr>
          <w:rFonts w:ascii="Times New Roman" w:hAnsi="Times New Roman" w:cs="Times New Roman"/>
          <w:sz w:val="24"/>
          <w:szCs w:val="24"/>
        </w:rPr>
        <w:t> </w:t>
      </w:r>
      <w:r w:rsidR="00E91311" w:rsidRPr="007F28C1">
        <w:rPr>
          <w:rFonts w:ascii="Times New Roman" w:hAnsi="Times New Roman" w:cs="Times New Roman"/>
          <w:sz w:val="24"/>
          <w:szCs w:val="24"/>
        </w:rPr>
        <w:t xml:space="preserve">1724) oraz </w:t>
      </w:r>
      <w:r w:rsidRPr="007F28C1">
        <w:rPr>
          <w:rFonts w:ascii="Times New Roman" w:hAnsi="Times New Roman" w:cs="Times New Roman"/>
          <w:sz w:val="24"/>
          <w:szCs w:val="24"/>
        </w:rPr>
        <w:t xml:space="preserve">określenie </w:t>
      </w:r>
      <w:r w:rsidR="00E91311" w:rsidRPr="007F28C1">
        <w:rPr>
          <w:rFonts w:ascii="Times New Roman" w:hAnsi="Times New Roman" w:cs="Times New Roman"/>
          <w:sz w:val="24"/>
          <w:szCs w:val="24"/>
        </w:rPr>
        <w:t xml:space="preserve">metody szacowania wartości informacji geologicznej </w:t>
      </w:r>
      <w:r w:rsidR="005E00B3" w:rsidRPr="007F28C1">
        <w:rPr>
          <w:rFonts w:ascii="Times New Roman" w:hAnsi="Times New Roman" w:cs="Times New Roman"/>
          <w:sz w:val="24"/>
          <w:szCs w:val="24"/>
        </w:rPr>
        <w:t xml:space="preserve">dotyczącej </w:t>
      </w:r>
      <w:r w:rsidR="00A61B62" w:rsidRPr="007F28C1">
        <w:rPr>
          <w:rFonts w:ascii="Times New Roman" w:hAnsi="Times New Roman" w:cs="Times New Roman"/>
          <w:sz w:val="24"/>
          <w:szCs w:val="24"/>
        </w:rPr>
        <w:t xml:space="preserve">rekonstrukcji </w:t>
      </w:r>
      <w:r w:rsidR="005E00B3" w:rsidRPr="007F28C1">
        <w:rPr>
          <w:rFonts w:ascii="Times New Roman" w:hAnsi="Times New Roman" w:cs="Times New Roman"/>
          <w:sz w:val="24"/>
          <w:szCs w:val="24"/>
        </w:rPr>
        <w:t>zlikwidowan</w:t>
      </w:r>
      <w:r w:rsidR="0079166F">
        <w:rPr>
          <w:rFonts w:ascii="Times New Roman" w:hAnsi="Times New Roman" w:cs="Times New Roman"/>
          <w:sz w:val="24"/>
          <w:szCs w:val="24"/>
        </w:rPr>
        <w:t>ych</w:t>
      </w:r>
      <w:r w:rsidR="005E00B3" w:rsidRPr="007F28C1">
        <w:rPr>
          <w:rFonts w:ascii="Times New Roman" w:hAnsi="Times New Roman" w:cs="Times New Roman"/>
          <w:sz w:val="24"/>
          <w:szCs w:val="24"/>
        </w:rPr>
        <w:t xml:space="preserve"> otworów wiertniczych w celu wykorzystania ciepła Ziemi.</w:t>
      </w:r>
    </w:p>
    <w:p w14:paraId="5474248A" w14:textId="1AD7657A" w:rsidR="00547905" w:rsidRPr="007F28C1" w:rsidRDefault="00547905" w:rsidP="007F28C1">
      <w:pPr>
        <w:numPr>
          <w:ilvl w:val="0"/>
          <w:numId w:val="5"/>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Zmiana koncesji łącznej dla węglowodorów</w:t>
      </w:r>
    </w:p>
    <w:p w14:paraId="29283412" w14:textId="4D4D0878" w:rsidR="00F01401" w:rsidRPr="007F28C1" w:rsidRDefault="00492DEC"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Zgodnie z art. </w:t>
      </w:r>
      <w:r w:rsidR="003971EE" w:rsidRPr="007F28C1">
        <w:rPr>
          <w:rFonts w:ascii="Times New Roman" w:eastAsia="Times New Roman" w:hAnsi="Times New Roman" w:cs="Times New Roman"/>
          <w:sz w:val="24"/>
          <w:szCs w:val="24"/>
          <w:lang w:eastAsia="pl-PL"/>
        </w:rPr>
        <w:t>49eb</w:t>
      </w:r>
      <w:r w:rsidR="003971EE" w:rsidRPr="007F28C1">
        <w:rPr>
          <w:rFonts w:ascii="Times New Roman" w:hAnsi="Times New Roman" w:cs="Times New Roman"/>
          <w:sz w:val="24"/>
          <w:szCs w:val="24"/>
        </w:rPr>
        <w:t xml:space="preserve"> </w:t>
      </w:r>
      <w:r w:rsidR="003971EE" w:rsidRPr="007F28C1">
        <w:rPr>
          <w:rFonts w:ascii="Times New Roman" w:eastAsia="Times New Roman" w:hAnsi="Times New Roman" w:cs="Times New Roman"/>
          <w:sz w:val="24"/>
          <w:szCs w:val="24"/>
          <w:lang w:eastAsia="pl-PL"/>
        </w:rPr>
        <w:t xml:space="preserve">ust. 1 pkt 4 lit. b </w:t>
      </w:r>
      <w:r w:rsidR="009B3911" w:rsidRPr="007F28C1">
        <w:rPr>
          <w:rFonts w:ascii="Times New Roman" w:eastAsia="Times New Roman" w:hAnsi="Times New Roman" w:cs="Times New Roman"/>
          <w:sz w:val="24"/>
          <w:szCs w:val="24"/>
          <w:lang w:eastAsia="pl-PL"/>
        </w:rPr>
        <w:t>P.g.g.</w:t>
      </w:r>
      <w:r w:rsidR="003971EE" w:rsidRPr="007F28C1">
        <w:rPr>
          <w:rFonts w:ascii="Times New Roman" w:eastAsia="Times New Roman" w:hAnsi="Times New Roman" w:cs="Times New Roman"/>
          <w:sz w:val="24"/>
          <w:szCs w:val="24"/>
          <w:lang w:eastAsia="pl-PL"/>
        </w:rPr>
        <w:t xml:space="preserve"> </w:t>
      </w:r>
      <w:r w:rsidR="00F01401" w:rsidRPr="007F28C1">
        <w:rPr>
          <w:rFonts w:ascii="Times New Roman" w:eastAsia="Times New Roman" w:hAnsi="Times New Roman" w:cs="Times New Roman"/>
          <w:sz w:val="24"/>
          <w:szCs w:val="24"/>
          <w:lang w:eastAsia="pl-PL"/>
        </w:rPr>
        <w:t xml:space="preserve">we wniosku o udzielenie koncesji na poszukiwanie i rozpoznawanie złoża węglowodorów oraz wydobywanie węglowodorów ze złoża określa się m.in. harmonogram, w podziale na lata, realizacji prac geologicznych, w tym robót geologicznych, oraz ich zakres. </w:t>
      </w:r>
      <w:r w:rsidR="003C55D9" w:rsidRPr="007F28C1">
        <w:rPr>
          <w:rFonts w:ascii="Times New Roman" w:eastAsia="Times New Roman" w:hAnsi="Times New Roman" w:cs="Times New Roman"/>
          <w:sz w:val="24"/>
          <w:szCs w:val="24"/>
          <w:lang w:eastAsia="pl-PL"/>
        </w:rPr>
        <w:t>Jednocześnie</w:t>
      </w:r>
      <w:r w:rsidR="00F25912" w:rsidRPr="007F28C1">
        <w:rPr>
          <w:rFonts w:ascii="Times New Roman" w:eastAsia="Times New Roman" w:hAnsi="Times New Roman" w:cs="Times New Roman"/>
          <w:sz w:val="24"/>
          <w:szCs w:val="24"/>
          <w:lang w:eastAsia="pl-PL"/>
        </w:rPr>
        <w:t>,</w:t>
      </w:r>
      <w:r w:rsidR="00F01401" w:rsidRPr="007F28C1">
        <w:rPr>
          <w:rFonts w:ascii="Times New Roman" w:eastAsia="Times New Roman" w:hAnsi="Times New Roman" w:cs="Times New Roman"/>
          <w:sz w:val="24"/>
          <w:szCs w:val="24"/>
          <w:lang w:eastAsia="pl-PL"/>
        </w:rPr>
        <w:t xml:space="preserve"> zgodnie z a</w:t>
      </w:r>
      <w:r w:rsidR="003971EE" w:rsidRPr="007F28C1">
        <w:rPr>
          <w:rFonts w:ascii="Times New Roman" w:eastAsia="Times New Roman" w:hAnsi="Times New Roman" w:cs="Times New Roman"/>
          <w:sz w:val="24"/>
          <w:szCs w:val="24"/>
          <w:lang w:eastAsia="pl-PL"/>
        </w:rPr>
        <w:t xml:space="preserve">rt. </w:t>
      </w:r>
      <w:r w:rsidRPr="007F28C1">
        <w:rPr>
          <w:rFonts w:ascii="Times New Roman" w:eastAsia="Times New Roman" w:hAnsi="Times New Roman" w:cs="Times New Roman"/>
          <w:sz w:val="24"/>
          <w:szCs w:val="24"/>
          <w:lang w:eastAsia="pl-PL"/>
        </w:rPr>
        <w:t xml:space="preserve">49v pkt 3 </w:t>
      </w:r>
      <w:r w:rsidR="009B3911" w:rsidRPr="007F28C1">
        <w:rPr>
          <w:rFonts w:ascii="Times New Roman" w:eastAsia="Times New Roman" w:hAnsi="Times New Roman" w:cs="Times New Roman"/>
          <w:sz w:val="24"/>
          <w:szCs w:val="24"/>
          <w:lang w:eastAsia="pl-PL"/>
        </w:rPr>
        <w:t>P.g.g.</w:t>
      </w:r>
      <w:r w:rsidR="00F25912" w:rsidRPr="007F28C1">
        <w:rPr>
          <w:rFonts w:ascii="Times New Roman" w:eastAsia="Times New Roman" w:hAnsi="Times New Roman" w:cs="Times New Roman"/>
          <w:sz w:val="24"/>
          <w:szCs w:val="24"/>
          <w:lang w:eastAsia="pl-PL"/>
        </w:rPr>
        <w:t>,</w:t>
      </w:r>
      <w:r w:rsidR="00412BD9"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koncesja </w:t>
      </w:r>
      <w:r w:rsidR="005E00B3" w:rsidRPr="007F28C1">
        <w:rPr>
          <w:rFonts w:ascii="Times New Roman" w:eastAsia="Times New Roman" w:hAnsi="Times New Roman" w:cs="Times New Roman"/>
          <w:sz w:val="24"/>
          <w:szCs w:val="24"/>
          <w:lang w:eastAsia="pl-PL"/>
        </w:rPr>
        <w:t xml:space="preserve">łączna </w:t>
      </w:r>
      <w:r w:rsidRPr="007F28C1">
        <w:rPr>
          <w:rFonts w:ascii="Times New Roman" w:eastAsia="Times New Roman" w:hAnsi="Times New Roman" w:cs="Times New Roman"/>
          <w:sz w:val="24"/>
          <w:szCs w:val="24"/>
          <w:lang w:eastAsia="pl-PL"/>
        </w:rPr>
        <w:t xml:space="preserve">określa </w:t>
      </w:r>
      <w:r w:rsidR="00F01401" w:rsidRPr="007F28C1">
        <w:rPr>
          <w:rFonts w:ascii="Times New Roman" w:eastAsia="Times New Roman" w:hAnsi="Times New Roman" w:cs="Times New Roman"/>
          <w:sz w:val="24"/>
          <w:szCs w:val="24"/>
          <w:lang w:eastAsia="pl-PL"/>
        </w:rPr>
        <w:t xml:space="preserve">również </w:t>
      </w:r>
      <w:r w:rsidRPr="007F28C1">
        <w:rPr>
          <w:rFonts w:ascii="Times New Roman" w:eastAsia="Times New Roman" w:hAnsi="Times New Roman" w:cs="Times New Roman"/>
          <w:sz w:val="24"/>
          <w:szCs w:val="24"/>
          <w:lang w:eastAsia="pl-PL"/>
        </w:rPr>
        <w:t>m.in.</w:t>
      </w:r>
      <w:r w:rsidR="00F01401"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harmonogram, w podziale na lata, realizacji obowiązków wynikających z tej koncesji, w tym wynikających z harmonogramu określonego w</w:t>
      </w:r>
      <w:r w:rsidR="003971E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projekcie robót geologicznych</w:t>
      </w:r>
      <w:r w:rsidR="003971EE" w:rsidRPr="007F28C1">
        <w:rPr>
          <w:rFonts w:ascii="Times New Roman" w:eastAsia="Times New Roman" w:hAnsi="Times New Roman" w:cs="Times New Roman"/>
          <w:sz w:val="24"/>
          <w:szCs w:val="24"/>
          <w:lang w:eastAsia="pl-PL"/>
        </w:rPr>
        <w:t xml:space="preserve">. </w:t>
      </w:r>
    </w:p>
    <w:p w14:paraId="08585E72" w14:textId="23131373" w:rsidR="00F01401" w:rsidRPr="007F28C1" w:rsidRDefault="003971E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Mając na względzie postulaty zgłaszane przez przedsiębiorców, w</w:t>
      </w:r>
      <w:r w:rsidRPr="007F28C1">
        <w:rPr>
          <w:rFonts w:ascii="Times New Roman" w:eastAsia="Times New Roman" w:hAnsi="Times New Roman" w:cs="Times New Roman"/>
          <w:bCs/>
          <w:sz w:val="24"/>
          <w:szCs w:val="24"/>
          <w:lang w:eastAsia="pl-PL"/>
        </w:rPr>
        <w:t> </w:t>
      </w:r>
      <w:r w:rsidR="00822F52" w:rsidRPr="007F28C1">
        <w:rPr>
          <w:rFonts w:ascii="Times New Roman" w:eastAsia="Times New Roman" w:hAnsi="Times New Roman" w:cs="Times New Roman"/>
          <w:sz w:val="24"/>
          <w:szCs w:val="24"/>
          <w:lang w:eastAsia="pl-PL"/>
        </w:rPr>
        <w:t>zmienionym art.</w:t>
      </w:r>
      <w:r w:rsidR="00F01401" w:rsidRPr="007F28C1">
        <w:rPr>
          <w:rFonts w:ascii="Times New Roman" w:eastAsia="Times New Roman" w:hAnsi="Times New Roman" w:cs="Times New Roman"/>
          <w:sz w:val="24"/>
          <w:szCs w:val="24"/>
          <w:lang w:eastAsia="pl-PL"/>
        </w:rPr>
        <w:t xml:space="preserve"> 49eb ust. 1</w:t>
      </w:r>
      <w:r w:rsidR="005B7604" w:rsidRPr="007F28C1">
        <w:rPr>
          <w:rFonts w:ascii="Times New Roman" w:eastAsia="Times New Roman" w:hAnsi="Times New Roman" w:cs="Times New Roman"/>
          <w:sz w:val="24"/>
          <w:szCs w:val="24"/>
          <w:lang w:eastAsia="pl-PL"/>
        </w:rPr>
        <w:t xml:space="preserve"> </w:t>
      </w:r>
      <w:r w:rsidR="00822F52" w:rsidRPr="007F28C1">
        <w:rPr>
          <w:rFonts w:ascii="Times New Roman" w:eastAsia="Times New Roman" w:hAnsi="Times New Roman" w:cs="Times New Roman"/>
          <w:sz w:val="24"/>
          <w:szCs w:val="24"/>
          <w:lang w:eastAsia="pl-PL"/>
        </w:rPr>
        <w:t>P.g.g.</w:t>
      </w:r>
      <w:r w:rsidR="00E03FE9" w:rsidRPr="007F28C1">
        <w:rPr>
          <w:rFonts w:ascii="Times New Roman" w:eastAsia="Times New Roman" w:hAnsi="Times New Roman" w:cs="Times New Roman"/>
          <w:sz w:val="24"/>
          <w:szCs w:val="24"/>
          <w:lang w:eastAsia="pl-PL"/>
        </w:rPr>
        <w:t xml:space="preserve"> </w:t>
      </w:r>
      <w:r w:rsidR="00F01401" w:rsidRPr="007F28C1">
        <w:rPr>
          <w:rFonts w:ascii="Times New Roman" w:eastAsia="Times New Roman" w:hAnsi="Times New Roman" w:cs="Times New Roman"/>
          <w:sz w:val="24"/>
          <w:szCs w:val="24"/>
          <w:lang w:eastAsia="pl-PL"/>
        </w:rPr>
        <w:t>i</w:t>
      </w:r>
      <w:r w:rsidR="00D2588E" w:rsidRPr="007F28C1">
        <w:rPr>
          <w:rFonts w:ascii="Times New Roman" w:eastAsia="Times New Roman" w:hAnsi="Times New Roman" w:cs="Times New Roman"/>
          <w:sz w:val="24"/>
          <w:szCs w:val="24"/>
          <w:lang w:eastAsia="pl-PL"/>
        </w:rPr>
        <w:t> </w:t>
      </w:r>
      <w:r w:rsidR="000D2020" w:rsidRPr="007F28C1">
        <w:rPr>
          <w:rFonts w:ascii="Times New Roman" w:eastAsia="Times New Roman" w:hAnsi="Times New Roman" w:cs="Times New Roman"/>
          <w:sz w:val="24"/>
          <w:szCs w:val="24"/>
          <w:lang w:eastAsia="pl-PL"/>
        </w:rPr>
        <w:t xml:space="preserve">art. 49v pkt 3 </w:t>
      </w:r>
      <w:r w:rsidR="00822F52" w:rsidRPr="007F28C1">
        <w:rPr>
          <w:rFonts w:ascii="Times New Roman" w:eastAsia="Times New Roman" w:hAnsi="Times New Roman" w:cs="Times New Roman"/>
          <w:sz w:val="24"/>
          <w:szCs w:val="24"/>
          <w:lang w:eastAsia="pl-PL"/>
        </w:rPr>
        <w:t>P.g.g.</w:t>
      </w:r>
      <w:r w:rsidR="00C26F14" w:rsidRPr="007F28C1">
        <w:rPr>
          <w:rFonts w:ascii="Times New Roman" w:eastAsia="Times New Roman" w:hAnsi="Times New Roman" w:cs="Times New Roman"/>
          <w:bCs/>
          <w:sz w:val="24"/>
          <w:szCs w:val="24"/>
          <w:lang w:eastAsia="pl-PL"/>
        </w:rPr>
        <w:t xml:space="preserve"> </w:t>
      </w:r>
      <w:r w:rsidR="00C26103" w:rsidRPr="007F28C1">
        <w:rPr>
          <w:rFonts w:ascii="Times New Roman" w:eastAsia="Times New Roman" w:hAnsi="Times New Roman" w:cs="Times New Roman"/>
          <w:sz w:val="24"/>
          <w:szCs w:val="24"/>
          <w:lang w:eastAsia="pl-PL"/>
        </w:rPr>
        <w:t xml:space="preserve">uznano, że </w:t>
      </w:r>
      <w:r w:rsidR="00F25912" w:rsidRPr="007F28C1">
        <w:rPr>
          <w:rFonts w:ascii="Times New Roman" w:eastAsia="Times New Roman" w:hAnsi="Times New Roman" w:cs="Times New Roman"/>
          <w:sz w:val="24"/>
          <w:szCs w:val="24"/>
          <w:lang w:eastAsia="pl-PL"/>
        </w:rPr>
        <w:t xml:space="preserve">będzie </w:t>
      </w:r>
      <w:r w:rsidR="00C26103" w:rsidRPr="007F28C1">
        <w:rPr>
          <w:rFonts w:ascii="Times New Roman" w:eastAsia="Times New Roman" w:hAnsi="Times New Roman" w:cs="Times New Roman"/>
          <w:sz w:val="24"/>
          <w:szCs w:val="24"/>
          <w:lang w:eastAsia="pl-PL"/>
        </w:rPr>
        <w:t>wystarczające określenie zarówno we wniosku, jak i w koncesji, harmonogramu prac koncesyjnych (</w:t>
      </w:r>
      <w:r w:rsidR="00515FF0" w:rsidRPr="007F28C1">
        <w:rPr>
          <w:rFonts w:ascii="Times New Roman" w:eastAsia="Times New Roman" w:hAnsi="Times New Roman" w:cs="Times New Roman"/>
          <w:sz w:val="24"/>
          <w:szCs w:val="24"/>
          <w:lang w:eastAsia="pl-PL"/>
        </w:rPr>
        <w:t xml:space="preserve">terminów </w:t>
      </w:r>
      <w:r w:rsidR="00C26103" w:rsidRPr="007F28C1">
        <w:rPr>
          <w:rFonts w:ascii="Times New Roman" w:eastAsia="Times New Roman" w:hAnsi="Times New Roman" w:cs="Times New Roman"/>
          <w:sz w:val="24"/>
          <w:szCs w:val="24"/>
          <w:lang w:eastAsia="pl-PL"/>
        </w:rPr>
        <w:t xml:space="preserve">realizacji prac geologicznych, </w:t>
      </w:r>
      <w:r w:rsidR="00C26103" w:rsidRPr="007F28C1">
        <w:rPr>
          <w:rFonts w:ascii="Times New Roman" w:eastAsia="Times New Roman" w:hAnsi="Times New Roman" w:cs="Times New Roman"/>
          <w:sz w:val="24"/>
          <w:szCs w:val="24"/>
          <w:lang w:eastAsia="pl-PL"/>
        </w:rPr>
        <w:lastRenderedPageBreak/>
        <w:t>który powinien być uzależniony od zakresu tych prac</w:t>
      </w:r>
      <w:r w:rsidR="00412BD9" w:rsidRPr="007F28C1">
        <w:rPr>
          <w:rFonts w:ascii="Times New Roman" w:eastAsia="Times New Roman" w:hAnsi="Times New Roman" w:cs="Times New Roman"/>
          <w:sz w:val="24"/>
          <w:szCs w:val="24"/>
          <w:lang w:eastAsia="pl-PL"/>
        </w:rPr>
        <w:t>, a który nie zawsze może zostać określony w podziale na lata</w:t>
      </w:r>
      <w:r w:rsidR="006F65F8" w:rsidRPr="007F28C1">
        <w:rPr>
          <w:rFonts w:ascii="Times New Roman" w:eastAsia="Times New Roman" w:hAnsi="Times New Roman" w:cs="Times New Roman"/>
          <w:sz w:val="24"/>
          <w:szCs w:val="24"/>
          <w:lang w:eastAsia="pl-PL"/>
        </w:rPr>
        <w:t>)</w:t>
      </w:r>
      <w:r w:rsidR="00412BD9" w:rsidRPr="007F28C1">
        <w:rPr>
          <w:rFonts w:ascii="Times New Roman" w:eastAsia="Times New Roman" w:hAnsi="Times New Roman" w:cs="Times New Roman"/>
          <w:sz w:val="24"/>
          <w:szCs w:val="24"/>
          <w:lang w:eastAsia="pl-PL"/>
        </w:rPr>
        <w:t>. Powyższe powinno dać przedsiębiorcom większą elastyczność w</w:t>
      </w:r>
      <w:r w:rsidR="00515FF0" w:rsidRPr="007F28C1">
        <w:rPr>
          <w:rFonts w:ascii="Times New Roman" w:eastAsia="Times New Roman" w:hAnsi="Times New Roman" w:cs="Times New Roman"/>
          <w:sz w:val="24"/>
          <w:szCs w:val="24"/>
          <w:lang w:eastAsia="pl-PL"/>
        </w:rPr>
        <w:t> </w:t>
      </w:r>
      <w:r w:rsidR="00412BD9" w:rsidRPr="007F28C1">
        <w:rPr>
          <w:rFonts w:ascii="Times New Roman" w:eastAsia="Times New Roman" w:hAnsi="Times New Roman" w:cs="Times New Roman"/>
          <w:sz w:val="24"/>
          <w:szCs w:val="24"/>
          <w:lang w:eastAsia="pl-PL"/>
        </w:rPr>
        <w:t>projektowaniu prac geologicznych, w</w:t>
      </w:r>
      <w:r w:rsidR="00D2588E" w:rsidRPr="007F28C1">
        <w:rPr>
          <w:rFonts w:ascii="Times New Roman" w:eastAsia="Times New Roman" w:hAnsi="Times New Roman" w:cs="Times New Roman"/>
          <w:sz w:val="24"/>
          <w:szCs w:val="24"/>
          <w:lang w:eastAsia="pl-PL"/>
        </w:rPr>
        <w:t> </w:t>
      </w:r>
      <w:r w:rsidR="00412BD9" w:rsidRPr="007F28C1">
        <w:rPr>
          <w:rFonts w:ascii="Times New Roman" w:eastAsia="Times New Roman" w:hAnsi="Times New Roman" w:cs="Times New Roman"/>
          <w:sz w:val="24"/>
          <w:szCs w:val="24"/>
          <w:lang w:eastAsia="pl-PL"/>
        </w:rPr>
        <w:t xml:space="preserve">tym robót geologicznych. </w:t>
      </w:r>
      <w:r w:rsidR="00F01401" w:rsidRPr="007F28C1">
        <w:rPr>
          <w:rFonts w:ascii="Times New Roman" w:eastAsia="Times New Roman" w:hAnsi="Times New Roman" w:cs="Times New Roman"/>
          <w:sz w:val="24"/>
          <w:szCs w:val="24"/>
          <w:lang w:eastAsia="pl-PL"/>
        </w:rPr>
        <w:t>Niezależnie od powyższej zmiany</w:t>
      </w:r>
      <w:r w:rsidR="00F25912" w:rsidRPr="007F28C1">
        <w:rPr>
          <w:rFonts w:ascii="Times New Roman" w:eastAsia="Times New Roman" w:hAnsi="Times New Roman" w:cs="Times New Roman"/>
          <w:sz w:val="24"/>
          <w:szCs w:val="24"/>
          <w:lang w:eastAsia="pl-PL"/>
        </w:rPr>
        <w:t>,</w:t>
      </w:r>
      <w:r w:rsidR="00F01401" w:rsidRPr="007F28C1">
        <w:rPr>
          <w:rFonts w:ascii="Times New Roman" w:eastAsia="Times New Roman" w:hAnsi="Times New Roman" w:cs="Times New Roman"/>
          <w:sz w:val="24"/>
          <w:szCs w:val="24"/>
          <w:lang w:eastAsia="pl-PL"/>
        </w:rPr>
        <w:t xml:space="preserve"> we wniosku o udzielenie koncesji</w:t>
      </w:r>
      <w:r w:rsidR="00F25912" w:rsidRPr="007F28C1">
        <w:rPr>
          <w:rFonts w:ascii="Times New Roman" w:eastAsia="Times New Roman" w:hAnsi="Times New Roman" w:cs="Times New Roman"/>
          <w:sz w:val="24"/>
          <w:szCs w:val="24"/>
          <w:lang w:eastAsia="pl-PL"/>
        </w:rPr>
        <w:t>,</w:t>
      </w:r>
      <w:r w:rsidR="00F01401" w:rsidRPr="007F28C1">
        <w:rPr>
          <w:rFonts w:ascii="Times New Roman" w:eastAsia="Times New Roman" w:hAnsi="Times New Roman" w:cs="Times New Roman"/>
          <w:sz w:val="24"/>
          <w:szCs w:val="24"/>
          <w:lang w:eastAsia="pl-PL"/>
        </w:rPr>
        <w:t xml:space="preserve"> podmiot będzie obowiązany do</w:t>
      </w:r>
      <w:r w:rsidR="0098385D" w:rsidRPr="007F28C1">
        <w:rPr>
          <w:rFonts w:ascii="Times New Roman" w:eastAsia="Times New Roman" w:hAnsi="Times New Roman" w:cs="Times New Roman"/>
          <w:sz w:val="24"/>
          <w:szCs w:val="24"/>
          <w:lang w:eastAsia="pl-PL"/>
        </w:rPr>
        <w:t> </w:t>
      </w:r>
      <w:r w:rsidR="00F01401" w:rsidRPr="007F28C1">
        <w:rPr>
          <w:rFonts w:ascii="Times New Roman" w:eastAsia="Times New Roman" w:hAnsi="Times New Roman" w:cs="Times New Roman"/>
          <w:sz w:val="24"/>
          <w:szCs w:val="24"/>
          <w:lang w:eastAsia="pl-PL"/>
        </w:rPr>
        <w:t>określeni</w:t>
      </w:r>
      <w:r w:rsidR="00412BD9" w:rsidRPr="007F28C1">
        <w:rPr>
          <w:rFonts w:ascii="Times New Roman" w:eastAsia="Times New Roman" w:hAnsi="Times New Roman" w:cs="Times New Roman"/>
          <w:sz w:val="24"/>
          <w:szCs w:val="24"/>
          <w:lang w:eastAsia="pl-PL"/>
        </w:rPr>
        <w:t>a szczegółowego</w:t>
      </w:r>
      <w:r w:rsidR="00F01401" w:rsidRPr="007F28C1">
        <w:rPr>
          <w:rFonts w:ascii="Times New Roman" w:eastAsia="Times New Roman" w:hAnsi="Times New Roman" w:cs="Times New Roman"/>
          <w:sz w:val="24"/>
          <w:szCs w:val="24"/>
          <w:lang w:eastAsia="pl-PL"/>
        </w:rPr>
        <w:t xml:space="preserve"> harmonogramu </w:t>
      </w:r>
      <w:r w:rsidR="0098385D" w:rsidRPr="007F28C1">
        <w:rPr>
          <w:rFonts w:ascii="Times New Roman" w:eastAsia="Times New Roman" w:hAnsi="Times New Roman" w:cs="Times New Roman"/>
          <w:sz w:val="24"/>
          <w:szCs w:val="24"/>
          <w:lang w:eastAsia="pl-PL"/>
        </w:rPr>
        <w:t>prac geologicznych, w tym robót geologicznych</w:t>
      </w:r>
      <w:r w:rsidR="00412BD9" w:rsidRPr="007F28C1">
        <w:rPr>
          <w:rFonts w:ascii="Times New Roman" w:eastAsia="Times New Roman" w:hAnsi="Times New Roman" w:cs="Times New Roman"/>
          <w:sz w:val="24"/>
          <w:szCs w:val="24"/>
          <w:lang w:eastAsia="pl-PL"/>
        </w:rPr>
        <w:t>.</w:t>
      </w:r>
    </w:p>
    <w:p w14:paraId="3D12D556" w14:textId="239F4908" w:rsidR="00E32874"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art. 49y </w:t>
      </w:r>
      <w:r w:rsidR="00201859" w:rsidRPr="007F28C1">
        <w:rPr>
          <w:rFonts w:ascii="Times New Roman" w:hAnsi="Times New Roman" w:cs="Times New Roman"/>
          <w:sz w:val="24"/>
          <w:szCs w:val="24"/>
        </w:rPr>
        <w:t>ust. 5</w:t>
      </w:r>
      <w:r w:rsidRPr="007F28C1">
        <w:rPr>
          <w:rFonts w:ascii="Times New Roman" w:hAnsi="Times New Roman" w:cs="Times New Roman"/>
          <w:sz w:val="24"/>
          <w:szCs w:val="24"/>
        </w:rPr>
        <w:t xml:space="preserve"> </w:t>
      </w:r>
      <w:r w:rsidR="00822F52" w:rsidRPr="007F28C1">
        <w:rPr>
          <w:rFonts w:ascii="Times New Roman" w:eastAsia="Times New Roman" w:hAnsi="Times New Roman" w:cs="Times New Roman"/>
          <w:sz w:val="24"/>
          <w:szCs w:val="24"/>
          <w:lang w:eastAsia="pl-PL"/>
        </w:rPr>
        <w:t>P.g.g.</w:t>
      </w:r>
      <w:r w:rsidRPr="007F28C1">
        <w:rPr>
          <w:rFonts w:ascii="Times New Roman" w:hAnsi="Times New Roman" w:cs="Times New Roman"/>
          <w:sz w:val="24"/>
          <w:szCs w:val="24"/>
        </w:rPr>
        <w:t xml:space="preserve"> organ koncesyjny może, na wniosek</w:t>
      </w:r>
      <w:r w:rsidR="00412BD9" w:rsidRPr="007F28C1">
        <w:rPr>
          <w:rFonts w:ascii="Times New Roman" w:hAnsi="Times New Roman" w:cs="Times New Roman"/>
          <w:sz w:val="24"/>
          <w:szCs w:val="24"/>
        </w:rPr>
        <w:t xml:space="preserve"> przedsiębiorcy</w:t>
      </w:r>
      <w:r w:rsidRPr="007F28C1">
        <w:rPr>
          <w:rFonts w:ascii="Times New Roman" w:hAnsi="Times New Roman" w:cs="Times New Roman"/>
          <w:sz w:val="24"/>
          <w:szCs w:val="24"/>
        </w:rPr>
        <w:t xml:space="preserve">, przedłużyć czas trwania fazy </w:t>
      </w:r>
      <w:r w:rsidR="00201859" w:rsidRPr="007F28C1">
        <w:rPr>
          <w:rFonts w:ascii="Times New Roman" w:hAnsi="Times New Roman" w:cs="Times New Roman"/>
          <w:sz w:val="24"/>
          <w:szCs w:val="24"/>
        </w:rPr>
        <w:t>wydobywania węglowodorów, o ile działalność w tej fazie była prowadzona zgodnie z</w:t>
      </w:r>
      <w:r w:rsidR="00705A7E" w:rsidRPr="007F28C1">
        <w:rPr>
          <w:rFonts w:ascii="Times New Roman" w:hAnsi="Times New Roman" w:cs="Times New Roman"/>
          <w:sz w:val="24"/>
          <w:szCs w:val="24"/>
        </w:rPr>
        <w:t> </w:t>
      </w:r>
      <w:r w:rsidR="00201859" w:rsidRPr="007F28C1">
        <w:rPr>
          <w:rFonts w:ascii="Times New Roman" w:hAnsi="Times New Roman" w:cs="Times New Roman"/>
          <w:sz w:val="24"/>
          <w:szCs w:val="24"/>
        </w:rPr>
        <w:t>warunkami określonymi w koncesji</w:t>
      </w:r>
      <w:r w:rsidRPr="007F28C1">
        <w:rPr>
          <w:rFonts w:ascii="Times New Roman" w:hAnsi="Times New Roman" w:cs="Times New Roman"/>
          <w:sz w:val="24"/>
          <w:szCs w:val="24"/>
        </w:rPr>
        <w:t>.</w:t>
      </w:r>
      <w:r w:rsidR="00412BD9" w:rsidRPr="007F28C1">
        <w:rPr>
          <w:rFonts w:ascii="Times New Roman" w:hAnsi="Times New Roman" w:cs="Times New Roman"/>
          <w:sz w:val="24"/>
          <w:szCs w:val="24"/>
        </w:rPr>
        <w:t xml:space="preserve"> </w:t>
      </w:r>
      <w:r w:rsidR="00C20066" w:rsidRPr="007F28C1">
        <w:rPr>
          <w:rFonts w:ascii="Times New Roman" w:hAnsi="Times New Roman" w:cs="Times New Roman"/>
          <w:sz w:val="24"/>
          <w:szCs w:val="24"/>
        </w:rPr>
        <w:t xml:space="preserve">Ponieważ projektowana ustawa wprowadza możliwość </w:t>
      </w:r>
      <w:r w:rsidR="00201859" w:rsidRPr="007F28C1">
        <w:rPr>
          <w:rFonts w:ascii="Times New Roman" w:hAnsi="Times New Roman" w:cs="Times New Roman"/>
          <w:sz w:val="24"/>
          <w:szCs w:val="24"/>
        </w:rPr>
        <w:t>prowadzenia działalności polegającej na wydobywaniu ze złóż węglowodorów połączonej z</w:t>
      </w:r>
      <w:r w:rsidR="00705A7E" w:rsidRPr="007F28C1">
        <w:rPr>
          <w:rFonts w:ascii="Times New Roman" w:hAnsi="Times New Roman" w:cs="Times New Roman"/>
          <w:sz w:val="24"/>
          <w:szCs w:val="24"/>
        </w:rPr>
        <w:t> </w:t>
      </w:r>
      <w:r w:rsidR="00201859" w:rsidRPr="007F28C1">
        <w:rPr>
          <w:rFonts w:ascii="Times New Roman" w:hAnsi="Times New Roman" w:cs="Times New Roman"/>
          <w:sz w:val="24"/>
          <w:szCs w:val="24"/>
        </w:rPr>
        <w:t>podziemnym składowaniem dwutlenku węgla, przepisy dotyczące przedłużenia fazy wydobywania koncesji węglowodorowej dostosowano do specyfiki prowadzenia takiej połączonej działalnoś</w:t>
      </w:r>
      <w:r w:rsidR="003C4D88" w:rsidRPr="007F28C1">
        <w:rPr>
          <w:rFonts w:ascii="Times New Roman" w:hAnsi="Times New Roman" w:cs="Times New Roman"/>
          <w:sz w:val="24"/>
          <w:szCs w:val="24"/>
        </w:rPr>
        <w:t xml:space="preserve">ci. </w:t>
      </w:r>
      <w:r w:rsidR="00E32874" w:rsidRPr="007F28C1">
        <w:rPr>
          <w:rFonts w:ascii="Times New Roman" w:hAnsi="Times New Roman" w:cs="Times New Roman"/>
          <w:sz w:val="24"/>
          <w:szCs w:val="24"/>
        </w:rPr>
        <w:t xml:space="preserve">Zgodnie z </w:t>
      </w:r>
      <w:r w:rsidR="003136E0" w:rsidRPr="007F28C1">
        <w:rPr>
          <w:rFonts w:ascii="Times New Roman" w:hAnsi="Times New Roman" w:cs="Times New Roman"/>
          <w:sz w:val="24"/>
          <w:szCs w:val="24"/>
        </w:rPr>
        <w:t>przepisami przejściowymi</w:t>
      </w:r>
      <w:r w:rsidR="00E03FE9" w:rsidRPr="007F28C1">
        <w:rPr>
          <w:rFonts w:ascii="Times New Roman" w:hAnsi="Times New Roman" w:cs="Times New Roman"/>
          <w:sz w:val="24"/>
          <w:szCs w:val="24"/>
        </w:rPr>
        <w:t xml:space="preserve"> </w:t>
      </w:r>
      <w:r w:rsidR="00E32874" w:rsidRPr="007F28C1">
        <w:rPr>
          <w:rFonts w:ascii="Times New Roman" w:eastAsia="Times New Roman" w:hAnsi="Times New Roman" w:cs="Times New Roman"/>
          <w:sz w:val="24"/>
          <w:szCs w:val="24"/>
        </w:rPr>
        <w:t xml:space="preserve">nowe zasady postępowania znajdą zastosowanie w trwających postępowaniach w sprawie przedłużenia fazy </w:t>
      </w:r>
      <w:r w:rsidR="003C4D88" w:rsidRPr="007F28C1">
        <w:rPr>
          <w:rFonts w:ascii="Times New Roman" w:eastAsia="Times New Roman" w:hAnsi="Times New Roman" w:cs="Times New Roman"/>
          <w:sz w:val="24"/>
          <w:szCs w:val="24"/>
        </w:rPr>
        <w:t>wydobywania</w:t>
      </w:r>
      <w:r w:rsidR="00E32874" w:rsidRPr="007F28C1">
        <w:rPr>
          <w:rFonts w:ascii="Times New Roman" w:eastAsia="Times New Roman" w:hAnsi="Times New Roman" w:cs="Times New Roman"/>
          <w:sz w:val="24"/>
          <w:szCs w:val="24"/>
        </w:rPr>
        <w:t xml:space="preserve"> koncesji łącznych.</w:t>
      </w:r>
    </w:p>
    <w:p w14:paraId="15307EBC" w14:textId="4AAEB296" w:rsidR="00547905" w:rsidRPr="007F28C1" w:rsidRDefault="001739E6"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Dodatkowo w </w:t>
      </w:r>
      <w:r w:rsidR="003136E0" w:rsidRPr="007F28C1">
        <w:rPr>
          <w:rFonts w:ascii="Times New Roman" w:eastAsia="Times New Roman" w:hAnsi="Times New Roman" w:cs="Times New Roman"/>
          <w:sz w:val="24"/>
          <w:szCs w:val="24"/>
          <w:lang w:eastAsia="pl-PL"/>
        </w:rPr>
        <w:t xml:space="preserve">dodanym </w:t>
      </w:r>
      <w:r w:rsidR="000D2020" w:rsidRPr="007F28C1">
        <w:rPr>
          <w:rFonts w:ascii="Times New Roman" w:eastAsia="Times New Roman" w:hAnsi="Times New Roman" w:cs="Times New Roman"/>
          <w:sz w:val="24"/>
          <w:szCs w:val="24"/>
          <w:lang w:eastAsia="pl-PL"/>
        </w:rPr>
        <w:t>art. 49zf ust. 3</w:t>
      </w:r>
      <w:r w:rsidR="000D2020" w:rsidRPr="007F28C1">
        <w:rPr>
          <w:rFonts w:ascii="Times New Roman" w:eastAsia="Times New Roman" w:hAnsi="Times New Roman" w:cs="Times New Roman"/>
          <w:bCs/>
          <w:sz w:val="24"/>
          <w:szCs w:val="24"/>
          <w:lang w:eastAsia="pl-PL"/>
        </w:rPr>
        <w:t xml:space="preserve"> </w:t>
      </w:r>
      <w:r w:rsidR="003136E0" w:rsidRPr="007F28C1">
        <w:rPr>
          <w:rFonts w:ascii="Times New Roman" w:hAnsi="Times New Roman" w:cs="Times New Roman"/>
          <w:sz w:val="24"/>
          <w:szCs w:val="24"/>
        </w:rPr>
        <w:t>P.g.g.</w:t>
      </w:r>
      <w:r w:rsidR="00734536"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d</w:t>
      </w:r>
      <w:r w:rsidR="000D2020" w:rsidRPr="007F28C1">
        <w:rPr>
          <w:rFonts w:ascii="Times New Roman" w:eastAsia="Times New Roman" w:hAnsi="Times New Roman" w:cs="Times New Roman"/>
          <w:sz w:val="24"/>
          <w:szCs w:val="24"/>
          <w:lang w:eastAsia="pl-PL"/>
        </w:rPr>
        <w:t>oprecyzowan</w:t>
      </w:r>
      <w:r w:rsidRPr="007F28C1">
        <w:rPr>
          <w:rFonts w:ascii="Times New Roman" w:eastAsia="Times New Roman" w:hAnsi="Times New Roman" w:cs="Times New Roman"/>
          <w:sz w:val="24"/>
          <w:szCs w:val="24"/>
          <w:lang w:eastAsia="pl-PL"/>
        </w:rPr>
        <w:t>o</w:t>
      </w:r>
      <w:r w:rsidR="000D2020" w:rsidRPr="007F28C1">
        <w:rPr>
          <w:rFonts w:ascii="Times New Roman" w:eastAsia="Times New Roman" w:hAnsi="Times New Roman" w:cs="Times New Roman"/>
          <w:sz w:val="24"/>
          <w:szCs w:val="24"/>
          <w:lang w:eastAsia="pl-PL"/>
        </w:rPr>
        <w:t>, że</w:t>
      </w:r>
      <w:r w:rsidR="00734536" w:rsidRPr="007F28C1">
        <w:rPr>
          <w:rFonts w:ascii="Times New Roman" w:eastAsia="Times New Roman" w:hAnsi="Times New Roman" w:cs="Times New Roman"/>
          <w:sz w:val="24"/>
          <w:szCs w:val="24"/>
          <w:lang w:eastAsia="pl-PL"/>
        </w:rPr>
        <w:t> </w:t>
      </w:r>
      <w:r w:rsidR="000D2020" w:rsidRPr="007F28C1">
        <w:rPr>
          <w:rFonts w:ascii="Times New Roman" w:eastAsia="Times New Roman" w:hAnsi="Times New Roman" w:cs="Times New Roman"/>
          <w:sz w:val="24"/>
          <w:szCs w:val="24"/>
          <w:lang w:eastAsia="pl-PL"/>
        </w:rPr>
        <w:t xml:space="preserve">koncesja łączna wygasa </w:t>
      </w:r>
      <w:r w:rsidRPr="007F28C1">
        <w:rPr>
          <w:rFonts w:ascii="Times New Roman" w:eastAsia="Times New Roman" w:hAnsi="Times New Roman" w:cs="Times New Roman"/>
          <w:sz w:val="24"/>
          <w:szCs w:val="24"/>
          <w:lang w:eastAsia="pl-PL"/>
        </w:rPr>
        <w:t>w przypadku, gdy przed</w:t>
      </w:r>
      <w:r w:rsidR="000D2020" w:rsidRPr="007F28C1">
        <w:rPr>
          <w:rFonts w:ascii="Times New Roman" w:eastAsia="Times New Roman" w:hAnsi="Times New Roman" w:cs="Times New Roman"/>
          <w:sz w:val="24"/>
          <w:szCs w:val="24"/>
          <w:lang w:eastAsia="pl-PL"/>
        </w:rPr>
        <w:t xml:space="preserve"> zakończeni</w:t>
      </w:r>
      <w:r w:rsidRPr="007F28C1">
        <w:rPr>
          <w:rFonts w:ascii="Times New Roman" w:eastAsia="Times New Roman" w:hAnsi="Times New Roman" w:cs="Times New Roman"/>
          <w:sz w:val="24"/>
          <w:szCs w:val="24"/>
          <w:lang w:eastAsia="pl-PL"/>
        </w:rPr>
        <w:t>em</w:t>
      </w:r>
      <w:r w:rsidR="000D2020" w:rsidRPr="007F28C1">
        <w:rPr>
          <w:rFonts w:ascii="Times New Roman" w:eastAsia="Times New Roman" w:hAnsi="Times New Roman" w:cs="Times New Roman"/>
          <w:sz w:val="24"/>
          <w:szCs w:val="24"/>
          <w:lang w:eastAsia="pl-PL"/>
        </w:rPr>
        <w:t xml:space="preserve"> fazy poszukiwania i rozpoznawania nie zostanie wydania decyzja inwestycyjna (</w:t>
      </w:r>
      <w:r w:rsidR="003C4D88" w:rsidRPr="007F28C1">
        <w:rPr>
          <w:rFonts w:ascii="Times New Roman" w:eastAsia="Times New Roman" w:hAnsi="Times New Roman" w:cs="Times New Roman"/>
          <w:sz w:val="24"/>
          <w:szCs w:val="24"/>
          <w:lang w:eastAsia="pl-PL"/>
        </w:rPr>
        <w:t xml:space="preserve">a więc </w:t>
      </w:r>
      <w:r w:rsidR="000D2020" w:rsidRPr="007F28C1">
        <w:rPr>
          <w:rFonts w:ascii="Times New Roman" w:eastAsia="Times New Roman" w:hAnsi="Times New Roman" w:cs="Times New Roman"/>
          <w:sz w:val="24"/>
          <w:szCs w:val="24"/>
          <w:lang w:eastAsia="pl-PL"/>
        </w:rPr>
        <w:t>nie zostanie rozpoczęta faza wydobywania).</w:t>
      </w:r>
      <w:r w:rsidRPr="007F28C1">
        <w:rPr>
          <w:rFonts w:ascii="Times New Roman" w:eastAsia="Times New Roman" w:hAnsi="Times New Roman" w:cs="Times New Roman"/>
          <w:sz w:val="24"/>
          <w:szCs w:val="24"/>
          <w:lang w:eastAsia="pl-PL"/>
        </w:rPr>
        <w:t xml:space="preserve"> Niedopuszczalne jest, aby koncesja łączna obowiązywała </w:t>
      </w:r>
      <w:r w:rsidR="00F25912" w:rsidRPr="007F28C1">
        <w:rPr>
          <w:rFonts w:ascii="Times New Roman" w:eastAsia="Times New Roman" w:hAnsi="Times New Roman" w:cs="Times New Roman"/>
          <w:sz w:val="24"/>
          <w:szCs w:val="24"/>
          <w:lang w:eastAsia="pl-PL"/>
        </w:rPr>
        <w:t xml:space="preserve">nadal </w:t>
      </w:r>
      <w:r w:rsidRPr="007F28C1">
        <w:rPr>
          <w:rFonts w:ascii="Times New Roman" w:eastAsia="Times New Roman" w:hAnsi="Times New Roman" w:cs="Times New Roman"/>
          <w:sz w:val="24"/>
          <w:szCs w:val="24"/>
          <w:lang w:eastAsia="pl-PL"/>
        </w:rPr>
        <w:t xml:space="preserve">po zakończeniu fazy poszukiwania i rozpoznawania, </w:t>
      </w:r>
      <w:r w:rsidR="003C4D88" w:rsidRPr="007F28C1">
        <w:rPr>
          <w:rFonts w:ascii="Times New Roman" w:eastAsia="Times New Roman" w:hAnsi="Times New Roman" w:cs="Times New Roman"/>
          <w:sz w:val="24"/>
          <w:szCs w:val="24"/>
          <w:lang w:eastAsia="pl-PL"/>
        </w:rPr>
        <w:t>w przypadku gdy przedsiębiorca</w:t>
      </w:r>
      <w:r w:rsidRPr="007F28C1">
        <w:rPr>
          <w:rFonts w:ascii="Times New Roman" w:eastAsia="Times New Roman" w:hAnsi="Times New Roman" w:cs="Times New Roman"/>
          <w:sz w:val="24"/>
          <w:szCs w:val="24"/>
          <w:lang w:eastAsia="pl-PL"/>
        </w:rPr>
        <w:t xml:space="preserve"> </w:t>
      </w:r>
      <w:r w:rsidR="003C4D88" w:rsidRPr="007F28C1">
        <w:rPr>
          <w:rFonts w:ascii="Times New Roman" w:eastAsia="Times New Roman" w:hAnsi="Times New Roman" w:cs="Times New Roman"/>
          <w:sz w:val="24"/>
          <w:szCs w:val="24"/>
          <w:lang w:eastAsia="pl-PL"/>
        </w:rPr>
        <w:t xml:space="preserve">nie </w:t>
      </w:r>
      <w:r w:rsidRPr="007F28C1">
        <w:rPr>
          <w:rFonts w:ascii="Times New Roman" w:eastAsia="Times New Roman" w:hAnsi="Times New Roman" w:cs="Times New Roman"/>
          <w:sz w:val="24"/>
          <w:szCs w:val="24"/>
          <w:lang w:eastAsia="pl-PL"/>
        </w:rPr>
        <w:t>rozpocz</w:t>
      </w:r>
      <w:r w:rsidR="003C4D88" w:rsidRPr="007F28C1">
        <w:rPr>
          <w:rFonts w:ascii="Times New Roman" w:eastAsia="Times New Roman" w:hAnsi="Times New Roman" w:cs="Times New Roman"/>
          <w:sz w:val="24"/>
          <w:szCs w:val="24"/>
          <w:lang w:eastAsia="pl-PL"/>
        </w:rPr>
        <w:t>ął</w:t>
      </w:r>
      <w:r w:rsidRPr="007F28C1">
        <w:rPr>
          <w:rFonts w:ascii="Times New Roman" w:eastAsia="Times New Roman" w:hAnsi="Times New Roman" w:cs="Times New Roman"/>
          <w:sz w:val="24"/>
          <w:szCs w:val="24"/>
          <w:lang w:eastAsia="pl-PL"/>
        </w:rPr>
        <w:t xml:space="preserve"> fazy wydobywania</w:t>
      </w:r>
      <w:r w:rsidR="000B4BB5" w:rsidRPr="007F28C1">
        <w:rPr>
          <w:rFonts w:ascii="Times New Roman" w:eastAsia="Times New Roman" w:hAnsi="Times New Roman" w:cs="Times New Roman"/>
          <w:sz w:val="24"/>
          <w:szCs w:val="24"/>
          <w:lang w:eastAsia="pl-PL"/>
        </w:rPr>
        <w:t xml:space="preserve">. Przepis ma na celu </w:t>
      </w:r>
      <w:r w:rsidRPr="007F28C1">
        <w:rPr>
          <w:rFonts w:ascii="Times New Roman" w:eastAsia="Times New Roman" w:hAnsi="Times New Roman" w:cs="Times New Roman"/>
          <w:sz w:val="24"/>
          <w:szCs w:val="24"/>
          <w:lang w:eastAsia="pl-PL"/>
        </w:rPr>
        <w:t xml:space="preserve">usunięcie </w:t>
      </w:r>
      <w:r w:rsidR="000B4BB5" w:rsidRPr="007F28C1">
        <w:rPr>
          <w:rFonts w:ascii="Times New Roman" w:eastAsia="Times New Roman" w:hAnsi="Times New Roman" w:cs="Times New Roman"/>
          <w:sz w:val="24"/>
          <w:szCs w:val="24"/>
          <w:lang w:eastAsia="pl-PL"/>
        </w:rPr>
        <w:t xml:space="preserve">ewentualnych </w:t>
      </w:r>
      <w:r w:rsidRPr="007F28C1">
        <w:rPr>
          <w:rFonts w:ascii="Times New Roman" w:eastAsia="Times New Roman" w:hAnsi="Times New Roman" w:cs="Times New Roman"/>
          <w:sz w:val="24"/>
          <w:szCs w:val="24"/>
          <w:lang w:eastAsia="pl-PL"/>
        </w:rPr>
        <w:t>wątpliwości.</w:t>
      </w:r>
    </w:p>
    <w:p w14:paraId="11D9FF39" w14:textId="545CCC0A" w:rsidR="00547905" w:rsidRPr="007F28C1" w:rsidRDefault="00547905" w:rsidP="007F28C1">
      <w:pPr>
        <w:numPr>
          <w:ilvl w:val="0"/>
          <w:numId w:val="5"/>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Umowa o współpracy</w:t>
      </w:r>
    </w:p>
    <w:p w14:paraId="7DC78977" w14:textId="7A091CDC"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Przepisy art. 49zi</w:t>
      </w:r>
      <w:r w:rsidR="00F25912" w:rsidRPr="007F28C1">
        <w:rPr>
          <w:rFonts w:ascii="Times New Roman" w:hAnsi="Times New Roman" w:cs="Times New Roman"/>
          <w:sz w:val="24"/>
          <w:szCs w:val="24"/>
        </w:rPr>
        <w:t>–</w:t>
      </w:r>
      <w:r w:rsidRPr="007F28C1">
        <w:rPr>
          <w:rFonts w:ascii="Times New Roman" w:hAnsi="Times New Roman" w:cs="Times New Roman"/>
          <w:sz w:val="24"/>
          <w:szCs w:val="24"/>
        </w:rPr>
        <w:t xml:space="preserve">49zw </w:t>
      </w:r>
      <w:r w:rsidR="00E36415" w:rsidRPr="007F28C1">
        <w:rPr>
          <w:rFonts w:ascii="Times New Roman" w:hAnsi="Times New Roman" w:cs="Times New Roman"/>
          <w:sz w:val="24"/>
          <w:szCs w:val="24"/>
        </w:rPr>
        <w:t>P</w:t>
      </w:r>
      <w:r w:rsidR="003136E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136E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136E0" w:rsidRPr="007F28C1">
        <w:rPr>
          <w:rFonts w:ascii="Times New Roman" w:hAnsi="Times New Roman" w:cs="Times New Roman"/>
          <w:sz w:val="24"/>
          <w:szCs w:val="24"/>
        </w:rPr>
        <w:t>.</w:t>
      </w:r>
      <w:r w:rsidRPr="007F28C1">
        <w:rPr>
          <w:rFonts w:ascii="Times New Roman" w:hAnsi="Times New Roman" w:cs="Times New Roman"/>
          <w:sz w:val="24"/>
          <w:szCs w:val="24"/>
        </w:rPr>
        <w:t xml:space="preserve"> w bardzo szczegółowy sposób regulują zakres umowy o</w:t>
      </w:r>
      <w:r w:rsidR="00B75ABE" w:rsidRPr="007F28C1">
        <w:rPr>
          <w:rFonts w:ascii="Times New Roman" w:hAnsi="Times New Roman" w:cs="Times New Roman"/>
          <w:sz w:val="24"/>
          <w:szCs w:val="24"/>
        </w:rPr>
        <w:t> </w:t>
      </w:r>
      <w:r w:rsidRPr="007F28C1">
        <w:rPr>
          <w:rFonts w:ascii="Times New Roman" w:hAnsi="Times New Roman" w:cs="Times New Roman"/>
          <w:sz w:val="24"/>
          <w:szCs w:val="24"/>
        </w:rPr>
        <w:t>współpracy podmiotów, które wspólnie wykonują działalność w zakresie poszukiwania</w:t>
      </w:r>
      <w:r w:rsidR="00384D2A" w:rsidRPr="007F28C1">
        <w:rPr>
          <w:rFonts w:ascii="Times New Roman" w:hAnsi="Times New Roman" w:cs="Times New Roman"/>
          <w:sz w:val="24"/>
          <w:szCs w:val="24"/>
        </w:rPr>
        <w:t>,</w:t>
      </w:r>
      <w:r w:rsidR="00BD452B"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rozpoznawania </w:t>
      </w:r>
      <w:r w:rsidR="00384D2A" w:rsidRPr="007F28C1">
        <w:rPr>
          <w:rFonts w:ascii="Times New Roman" w:hAnsi="Times New Roman" w:cs="Times New Roman"/>
          <w:sz w:val="24"/>
          <w:szCs w:val="24"/>
        </w:rPr>
        <w:t xml:space="preserve">lub </w:t>
      </w:r>
      <w:r w:rsidRPr="007F28C1">
        <w:rPr>
          <w:rFonts w:ascii="Times New Roman" w:hAnsi="Times New Roman" w:cs="Times New Roman"/>
          <w:sz w:val="24"/>
          <w:szCs w:val="24"/>
        </w:rPr>
        <w:t xml:space="preserve">wydobywania węglowodorów. Przepisy te określają </w:t>
      </w:r>
      <w:r w:rsidR="00BD452B" w:rsidRPr="007F28C1">
        <w:rPr>
          <w:rFonts w:ascii="Times New Roman" w:hAnsi="Times New Roman" w:cs="Times New Roman"/>
          <w:sz w:val="24"/>
          <w:szCs w:val="24"/>
        </w:rPr>
        <w:t xml:space="preserve">nadmiernie </w:t>
      </w:r>
      <w:r w:rsidRPr="007F28C1">
        <w:rPr>
          <w:rFonts w:ascii="Times New Roman" w:hAnsi="Times New Roman" w:cs="Times New Roman"/>
          <w:sz w:val="24"/>
          <w:szCs w:val="24"/>
        </w:rPr>
        <w:t>szczegółowo warunki współpracy stron tej umowy,</w:t>
      </w:r>
      <w:r w:rsidR="00BD452B" w:rsidRPr="007F28C1">
        <w:rPr>
          <w:rFonts w:ascii="Times New Roman" w:hAnsi="Times New Roman" w:cs="Times New Roman"/>
          <w:sz w:val="24"/>
          <w:szCs w:val="24"/>
        </w:rPr>
        <w:t xml:space="preserve"> nawet tak nieistotne dla organu koncesyjnego jak</w:t>
      </w:r>
      <w:r w:rsidRPr="007F28C1">
        <w:rPr>
          <w:rFonts w:ascii="Times New Roman" w:hAnsi="Times New Roman" w:cs="Times New Roman"/>
          <w:sz w:val="24"/>
          <w:szCs w:val="24"/>
        </w:rPr>
        <w:t xml:space="preserve"> m.in. częstotliwość i sposób organizacji zebrań. Strony umowy o</w:t>
      </w:r>
      <w:r w:rsidR="00384D2A" w:rsidRPr="007F28C1">
        <w:rPr>
          <w:rFonts w:ascii="Times New Roman" w:hAnsi="Times New Roman" w:cs="Times New Roman"/>
          <w:sz w:val="24"/>
          <w:szCs w:val="24"/>
        </w:rPr>
        <w:t> </w:t>
      </w:r>
      <w:r w:rsidRPr="007F28C1">
        <w:rPr>
          <w:rFonts w:ascii="Times New Roman" w:hAnsi="Times New Roman" w:cs="Times New Roman"/>
          <w:sz w:val="24"/>
          <w:szCs w:val="24"/>
        </w:rPr>
        <w:t xml:space="preserve">współpracy są zobowiązane postępować zgodnie z dyspozycją </w:t>
      </w:r>
      <w:r w:rsidR="00BD452B" w:rsidRPr="007F28C1">
        <w:rPr>
          <w:rFonts w:ascii="Times New Roman" w:hAnsi="Times New Roman" w:cs="Times New Roman"/>
          <w:sz w:val="24"/>
          <w:szCs w:val="24"/>
        </w:rPr>
        <w:t xml:space="preserve">tych </w:t>
      </w:r>
      <w:r w:rsidRPr="007F28C1">
        <w:rPr>
          <w:rFonts w:ascii="Times New Roman" w:hAnsi="Times New Roman" w:cs="Times New Roman"/>
          <w:sz w:val="24"/>
          <w:szCs w:val="24"/>
        </w:rPr>
        <w:t>przepisów. Praktyka organu pokazuje, że niektóre z tych zagadnień nie powinny być regulowane w</w:t>
      </w:r>
      <w:r w:rsidR="005B7604" w:rsidRPr="007F28C1">
        <w:rPr>
          <w:rFonts w:ascii="Times New Roman" w:hAnsi="Times New Roman" w:cs="Times New Roman"/>
          <w:sz w:val="24"/>
          <w:szCs w:val="24"/>
        </w:rPr>
        <w:t xml:space="preserve"> </w:t>
      </w:r>
      <w:r w:rsidR="00E36415" w:rsidRPr="007F28C1">
        <w:rPr>
          <w:rFonts w:ascii="Times New Roman" w:hAnsi="Times New Roman" w:cs="Times New Roman"/>
          <w:sz w:val="24"/>
          <w:szCs w:val="24"/>
        </w:rPr>
        <w:t>P</w:t>
      </w:r>
      <w:r w:rsidR="003136E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136E0"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136E0" w:rsidRPr="007F28C1">
        <w:rPr>
          <w:rFonts w:ascii="Times New Roman" w:hAnsi="Times New Roman" w:cs="Times New Roman"/>
          <w:sz w:val="24"/>
          <w:szCs w:val="24"/>
        </w:rPr>
        <w:t>.</w:t>
      </w:r>
      <w:r w:rsidRPr="007F28C1">
        <w:rPr>
          <w:rFonts w:ascii="Times New Roman" w:hAnsi="Times New Roman" w:cs="Times New Roman"/>
          <w:sz w:val="24"/>
          <w:szCs w:val="24"/>
        </w:rPr>
        <w:t>, a</w:t>
      </w:r>
      <w:r w:rsidR="009355D1" w:rsidRPr="007F28C1">
        <w:rPr>
          <w:rFonts w:ascii="Times New Roman" w:hAnsi="Times New Roman" w:cs="Times New Roman"/>
          <w:sz w:val="24"/>
          <w:szCs w:val="24"/>
        </w:rPr>
        <w:t> </w:t>
      </w:r>
      <w:r w:rsidRPr="007F28C1">
        <w:rPr>
          <w:rFonts w:ascii="Times New Roman" w:hAnsi="Times New Roman" w:cs="Times New Roman"/>
          <w:sz w:val="24"/>
          <w:szCs w:val="24"/>
        </w:rPr>
        <w:t xml:space="preserve">sposób ich ustalenia powinien zostać </w:t>
      </w:r>
      <w:r w:rsidR="00384D2A" w:rsidRPr="007F28C1">
        <w:rPr>
          <w:rFonts w:ascii="Times New Roman" w:hAnsi="Times New Roman" w:cs="Times New Roman"/>
          <w:sz w:val="24"/>
          <w:szCs w:val="24"/>
        </w:rPr>
        <w:t xml:space="preserve">wyłącznie </w:t>
      </w:r>
      <w:r w:rsidRPr="007F28C1">
        <w:rPr>
          <w:rFonts w:ascii="Times New Roman" w:hAnsi="Times New Roman" w:cs="Times New Roman"/>
          <w:sz w:val="24"/>
          <w:szCs w:val="24"/>
        </w:rPr>
        <w:t>w</w:t>
      </w:r>
      <w:r w:rsidR="00384D2A" w:rsidRPr="007F28C1">
        <w:rPr>
          <w:rFonts w:ascii="Times New Roman" w:hAnsi="Times New Roman" w:cs="Times New Roman"/>
          <w:sz w:val="24"/>
          <w:szCs w:val="24"/>
        </w:rPr>
        <w:t> </w:t>
      </w:r>
      <w:r w:rsidRPr="007F28C1">
        <w:rPr>
          <w:rFonts w:ascii="Times New Roman" w:hAnsi="Times New Roman" w:cs="Times New Roman"/>
          <w:sz w:val="24"/>
          <w:szCs w:val="24"/>
        </w:rPr>
        <w:t>gestii stron umowy o współpracy (które mogą w</w:t>
      </w:r>
      <w:r w:rsidR="00B75ABE" w:rsidRPr="007F28C1">
        <w:rPr>
          <w:rFonts w:ascii="Times New Roman" w:hAnsi="Times New Roman" w:cs="Times New Roman"/>
          <w:sz w:val="24"/>
          <w:szCs w:val="24"/>
        </w:rPr>
        <w:t> </w:t>
      </w:r>
      <w:r w:rsidRPr="007F28C1">
        <w:rPr>
          <w:rFonts w:ascii="Times New Roman" w:hAnsi="Times New Roman" w:cs="Times New Roman"/>
          <w:sz w:val="24"/>
          <w:szCs w:val="24"/>
        </w:rPr>
        <w:t xml:space="preserve">dowolny sposób, zaakceptowany przez wszystkie strony, </w:t>
      </w:r>
      <w:r w:rsidR="00613F22" w:rsidRPr="007F28C1">
        <w:rPr>
          <w:rFonts w:ascii="Times New Roman" w:hAnsi="Times New Roman" w:cs="Times New Roman"/>
          <w:sz w:val="24"/>
          <w:szCs w:val="24"/>
        </w:rPr>
        <w:t>określić zasady współpracy</w:t>
      </w:r>
      <w:r w:rsidRPr="007F28C1">
        <w:rPr>
          <w:rFonts w:ascii="Times New Roman" w:hAnsi="Times New Roman" w:cs="Times New Roman"/>
          <w:sz w:val="24"/>
          <w:szCs w:val="24"/>
        </w:rPr>
        <w:t>).</w:t>
      </w:r>
    </w:p>
    <w:p w14:paraId="6AF18587" w14:textId="4C3B9174"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Jako przykład </w:t>
      </w:r>
      <w:r w:rsidR="00613F22" w:rsidRPr="007F28C1">
        <w:rPr>
          <w:rFonts w:ascii="Times New Roman" w:hAnsi="Times New Roman" w:cs="Times New Roman"/>
          <w:sz w:val="24"/>
          <w:szCs w:val="24"/>
        </w:rPr>
        <w:t xml:space="preserve">można </w:t>
      </w:r>
      <w:r w:rsidRPr="007F28C1">
        <w:rPr>
          <w:rFonts w:ascii="Times New Roman" w:hAnsi="Times New Roman" w:cs="Times New Roman"/>
          <w:sz w:val="24"/>
          <w:szCs w:val="24"/>
        </w:rPr>
        <w:t xml:space="preserve">wskazać art. 49zt ust. 2 </w:t>
      </w:r>
      <w:r w:rsidR="003136E0" w:rsidRPr="007F28C1">
        <w:rPr>
          <w:rFonts w:ascii="Times New Roman" w:hAnsi="Times New Roman" w:cs="Times New Roman"/>
          <w:sz w:val="24"/>
          <w:szCs w:val="24"/>
        </w:rPr>
        <w:t>P.g.g.</w:t>
      </w:r>
      <w:r w:rsidRPr="007F28C1">
        <w:rPr>
          <w:rFonts w:ascii="Times New Roman" w:hAnsi="Times New Roman" w:cs="Times New Roman"/>
          <w:sz w:val="24"/>
          <w:szCs w:val="24"/>
        </w:rPr>
        <w:t xml:space="preserve">, zgodnie z którym za zgodą wszystkich stron umowy o współpracy strona umowy niebędąca operatorem może wypowiedzieć swój </w:t>
      </w:r>
      <w:r w:rsidRPr="007F28C1">
        <w:rPr>
          <w:rFonts w:ascii="Times New Roman" w:hAnsi="Times New Roman" w:cs="Times New Roman"/>
          <w:sz w:val="24"/>
          <w:szCs w:val="24"/>
        </w:rPr>
        <w:lastRenderedPageBreak/>
        <w:t>udział w umowie lub jego część z zachowaniem sześciomiesięcznego terminu wypowiedzenia</w:t>
      </w:r>
      <w:r w:rsidRPr="007F28C1">
        <w:rPr>
          <w:rFonts w:ascii="Times New Roman" w:hAnsi="Times New Roman" w:cs="Times New Roman"/>
          <w:bCs/>
          <w:sz w:val="24"/>
          <w:szCs w:val="24"/>
        </w:rPr>
        <w:t xml:space="preserve">, </w:t>
      </w:r>
      <w:r w:rsidRPr="007F28C1">
        <w:rPr>
          <w:rFonts w:ascii="Times New Roman" w:hAnsi="Times New Roman" w:cs="Times New Roman"/>
          <w:sz w:val="24"/>
          <w:szCs w:val="24"/>
        </w:rPr>
        <w:t>ze skutkiem na dzień, w</w:t>
      </w:r>
      <w:r w:rsidR="00B75ABE" w:rsidRPr="007F28C1">
        <w:rPr>
          <w:rFonts w:ascii="Times New Roman" w:hAnsi="Times New Roman" w:cs="Times New Roman"/>
          <w:sz w:val="24"/>
          <w:szCs w:val="24"/>
        </w:rPr>
        <w:t> </w:t>
      </w:r>
      <w:r w:rsidRPr="007F28C1">
        <w:rPr>
          <w:rFonts w:ascii="Times New Roman" w:hAnsi="Times New Roman" w:cs="Times New Roman"/>
          <w:sz w:val="24"/>
          <w:szCs w:val="24"/>
        </w:rPr>
        <w:t>którym decyzja, o której mowa w art. 49zd ust. 1</w:t>
      </w:r>
      <w:r w:rsidR="00384D2A" w:rsidRPr="007F28C1">
        <w:rPr>
          <w:rFonts w:ascii="Times New Roman" w:hAnsi="Times New Roman" w:cs="Times New Roman"/>
          <w:sz w:val="24"/>
          <w:szCs w:val="24"/>
        </w:rPr>
        <w:t xml:space="preserve"> </w:t>
      </w:r>
      <w:r w:rsidR="003136E0" w:rsidRPr="007F28C1">
        <w:rPr>
          <w:rFonts w:ascii="Times New Roman" w:hAnsi="Times New Roman" w:cs="Times New Roman"/>
          <w:sz w:val="24"/>
          <w:szCs w:val="24"/>
        </w:rPr>
        <w:t>P.g.g.</w:t>
      </w:r>
      <w:r w:rsidRPr="007F28C1">
        <w:rPr>
          <w:rFonts w:ascii="Times New Roman" w:hAnsi="Times New Roman" w:cs="Times New Roman"/>
          <w:sz w:val="24"/>
          <w:szCs w:val="24"/>
        </w:rPr>
        <w:t>, stała się ostateczna, pod warunkiem przedstawienia kandydatury podmiotu wstępującego w jej prawa i obowiązki. Wprowadzenie wymogu wypowiedzenia udziału (części udziału) w umowie z zachowaniem sześciomiesięcznego okresu wypowiedzenia miało na celu przede wszystkim ochronę pozostałych stron umowy o współpracy, a</w:t>
      </w:r>
      <w:r w:rsidR="00B75ABE" w:rsidRPr="007F28C1">
        <w:rPr>
          <w:rFonts w:ascii="Times New Roman" w:hAnsi="Times New Roman" w:cs="Times New Roman"/>
          <w:sz w:val="24"/>
          <w:szCs w:val="24"/>
        </w:rPr>
        <w:t> </w:t>
      </w:r>
      <w:r w:rsidRPr="007F28C1">
        <w:rPr>
          <w:rFonts w:ascii="Times New Roman" w:hAnsi="Times New Roman" w:cs="Times New Roman"/>
          <w:sz w:val="24"/>
          <w:szCs w:val="24"/>
        </w:rPr>
        <w:t xml:space="preserve">także zapewnienie ciągłości prowadzonej przez nich działalności. </w:t>
      </w:r>
      <w:r w:rsidR="00613F22" w:rsidRPr="007F28C1">
        <w:rPr>
          <w:rFonts w:ascii="Times New Roman" w:hAnsi="Times New Roman" w:cs="Times New Roman"/>
          <w:sz w:val="24"/>
          <w:szCs w:val="24"/>
        </w:rPr>
        <w:t>W praktyce stosowania ustawy okazało się, że wymóg ten nadmiernie ingeruje w zasadę swobody umów i stanowi znaczne ograniczenie działalności podmiotów związanych umową o współpracy. Doświadczenie organu koncesyjnego prowadzi do</w:t>
      </w:r>
      <w:r w:rsidR="00D2588E" w:rsidRPr="007F28C1">
        <w:rPr>
          <w:rFonts w:ascii="Times New Roman" w:hAnsi="Times New Roman" w:cs="Times New Roman"/>
          <w:sz w:val="24"/>
          <w:szCs w:val="24"/>
        </w:rPr>
        <w:t> </w:t>
      </w:r>
      <w:r w:rsidR="00613F22" w:rsidRPr="007F28C1">
        <w:rPr>
          <w:rFonts w:ascii="Times New Roman" w:hAnsi="Times New Roman" w:cs="Times New Roman"/>
          <w:sz w:val="24"/>
          <w:szCs w:val="24"/>
        </w:rPr>
        <w:t xml:space="preserve">wniosku, że </w:t>
      </w:r>
      <w:r w:rsidRPr="007F28C1">
        <w:rPr>
          <w:rFonts w:ascii="Times New Roman" w:hAnsi="Times New Roman" w:cs="Times New Roman"/>
          <w:sz w:val="24"/>
          <w:szCs w:val="24"/>
        </w:rPr>
        <w:t xml:space="preserve">dopuszczalne powinno być </w:t>
      </w:r>
      <w:r w:rsidR="00613F22" w:rsidRPr="007F28C1">
        <w:rPr>
          <w:rFonts w:ascii="Times New Roman" w:hAnsi="Times New Roman" w:cs="Times New Roman"/>
          <w:sz w:val="24"/>
          <w:szCs w:val="24"/>
        </w:rPr>
        <w:t xml:space="preserve">przyjęcie krótszego </w:t>
      </w:r>
      <w:r w:rsidRPr="007F28C1">
        <w:rPr>
          <w:rFonts w:ascii="Times New Roman" w:hAnsi="Times New Roman" w:cs="Times New Roman"/>
          <w:sz w:val="24"/>
          <w:szCs w:val="24"/>
        </w:rPr>
        <w:t>niż sześciomiesięczny terminu wypowiedzenia</w:t>
      </w:r>
      <w:r w:rsidR="00F25912" w:rsidRPr="007F28C1">
        <w:rPr>
          <w:rFonts w:ascii="Times New Roman" w:hAnsi="Times New Roman" w:cs="Times New Roman"/>
          <w:sz w:val="24"/>
          <w:szCs w:val="24"/>
        </w:rPr>
        <w:t>,</w:t>
      </w:r>
      <w:r w:rsidRPr="007F28C1">
        <w:rPr>
          <w:rFonts w:ascii="Times New Roman" w:hAnsi="Times New Roman" w:cs="Times New Roman"/>
          <w:sz w:val="24"/>
          <w:szCs w:val="24"/>
        </w:rPr>
        <w:t xml:space="preserve"> </w:t>
      </w:r>
      <w:r w:rsidR="00613F22" w:rsidRPr="007F28C1">
        <w:rPr>
          <w:rFonts w:ascii="Times New Roman" w:hAnsi="Times New Roman" w:cs="Times New Roman"/>
          <w:sz w:val="24"/>
          <w:szCs w:val="24"/>
        </w:rPr>
        <w:t>o ile zgodzą się na to wszystkie strony umowy</w:t>
      </w:r>
      <w:r w:rsidRPr="007F28C1">
        <w:rPr>
          <w:rFonts w:ascii="Times New Roman" w:hAnsi="Times New Roman" w:cs="Times New Roman"/>
          <w:sz w:val="24"/>
          <w:szCs w:val="24"/>
        </w:rPr>
        <w:t>. Takie działanie pozwoli na</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wyczerpanie wszystkich wskazanych w ustawie przesłanek zbycia udziału, przy jednoczesnym zagwarantowaniu praw pozostałych stron umowy, które </w:t>
      </w:r>
      <w:r w:rsidR="00384D2A" w:rsidRPr="007F28C1">
        <w:rPr>
          <w:rFonts w:ascii="Times New Roman" w:hAnsi="Times New Roman" w:cs="Times New Roman"/>
          <w:sz w:val="24"/>
          <w:szCs w:val="24"/>
        </w:rPr>
        <w:t xml:space="preserve">będą mogły nie wyrazić </w:t>
      </w:r>
      <w:r w:rsidRPr="007F28C1">
        <w:rPr>
          <w:rFonts w:ascii="Times New Roman" w:hAnsi="Times New Roman" w:cs="Times New Roman"/>
          <w:sz w:val="24"/>
          <w:szCs w:val="24"/>
        </w:rPr>
        <w:t>zgody na skrócenie w umowie o</w:t>
      </w:r>
      <w:r w:rsidR="00384D2A" w:rsidRPr="007F28C1">
        <w:rPr>
          <w:rFonts w:ascii="Times New Roman" w:hAnsi="Times New Roman" w:cs="Times New Roman"/>
          <w:sz w:val="24"/>
          <w:szCs w:val="24"/>
        </w:rPr>
        <w:t> </w:t>
      </w:r>
      <w:r w:rsidRPr="007F28C1">
        <w:rPr>
          <w:rFonts w:ascii="Times New Roman" w:hAnsi="Times New Roman" w:cs="Times New Roman"/>
          <w:sz w:val="24"/>
          <w:szCs w:val="24"/>
        </w:rPr>
        <w:t>współpracy okresu wypowiedzenia, jeżeli będą postrzegać możliwość szybszej zmiany strony umowy jako sytuację dla nich niekorzystną.</w:t>
      </w:r>
    </w:p>
    <w:p w14:paraId="1F3DD483" w14:textId="5AFE3B20" w:rsidR="00547905" w:rsidRPr="007F28C1" w:rsidRDefault="00613F22"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Mając na uwadze fakt, że obecne przepisy o współpracy ingerują w zasadę swobody umów w stopniu nieproporcjonalnym do celów tej regulacji</w:t>
      </w:r>
      <w:r w:rsidR="00BA0673">
        <w:rPr>
          <w:rFonts w:ascii="Times New Roman" w:hAnsi="Times New Roman" w:cs="Times New Roman"/>
          <w:sz w:val="24"/>
          <w:szCs w:val="24"/>
        </w:rPr>
        <w:t>,</w:t>
      </w:r>
      <w:r w:rsidR="00480CFE" w:rsidRPr="007F28C1">
        <w:rPr>
          <w:rFonts w:ascii="Times New Roman" w:hAnsi="Times New Roman" w:cs="Times New Roman"/>
          <w:sz w:val="24"/>
          <w:szCs w:val="24"/>
        </w:rPr>
        <w:t xml:space="preserve"> zmieniono</w:t>
      </w:r>
      <w:r w:rsidR="00804170" w:rsidRPr="007F28C1">
        <w:rPr>
          <w:rFonts w:ascii="Times New Roman" w:hAnsi="Times New Roman" w:cs="Times New Roman"/>
          <w:sz w:val="24"/>
          <w:szCs w:val="24"/>
        </w:rPr>
        <w:t xml:space="preserve"> </w:t>
      </w:r>
      <w:r w:rsidR="00F02DD2" w:rsidRPr="007F28C1">
        <w:rPr>
          <w:rFonts w:ascii="Times New Roman" w:hAnsi="Times New Roman" w:cs="Times New Roman"/>
          <w:sz w:val="24"/>
          <w:szCs w:val="24"/>
        </w:rPr>
        <w:t>art. 49zh ust. 2</w:t>
      </w:r>
      <w:r w:rsidR="00480CFE" w:rsidRPr="007F28C1">
        <w:rPr>
          <w:rFonts w:ascii="Times New Roman" w:hAnsi="Times New Roman" w:cs="Times New Roman"/>
          <w:sz w:val="24"/>
          <w:szCs w:val="24"/>
        </w:rPr>
        <w:t xml:space="preserve">,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 xml:space="preserve">49zm,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49zq</w:t>
      </w:r>
      <w:r w:rsidR="008B1756" w:rsidRPr="007F28C1">
        <w:rPr>
          <w:rFonts w:ascii="Times New Roman" w:hAnsi="Times New Roman" w:cs="Times New Roman"/>
          <w:sz w:val="24"/>
          <w:szCs w:val="24"/>
        </w:rPr>
        <w:t xml:space="preserve"> ust. 2</w:t>
      </w:r>
      <w:r w:rsidR="00480CFE" w:rsidRPr="007F28C1">
        <w:rPr>
          <w:rFonts w:ascii="Times New Roman" w:hAnsi="Times New Roman" w:cs="Times New Roman"/>
          <w:sz w:val="24"/>
          <w:szCs w:val="24"/>
        </w:rPr>
        <w:t xml:space="preserve">,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 xml:space="preserve">49zr i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49zt</w:t>
      </w:r>
      <w:r w:rsidR="005B7604" w:rsidRPr="007F28C1">
        <w:rPr>
          <w:rFonts w:ascii="Times New Roman" w:hAnsi="Times New Roman" w:cs="Times New Roman"/>
          <w:sz w:val="24"/>
          <w:szCs w:val="24"/>
        </w:rPr>
        <w:t xml:space="preserve"> </w:t>
      </w:r>
      <w:r w:rsidR="00F02DD2" w:rsidRPr="007F28C1">
        <w:rPr>
          <w:rFonts w:ascii="Times New Roman" w:hAnsi="Times New Roman" w:cs="Times New Roman"/>
          <w:sz w:val="24"/>
          <w:szCs w:val="24"/>
        </w:rPr>
        <w:t>P</w:t>
      </w:r>
      <w:r w:rsidR="003136E0" w:rsidRPr="007F28C1">
        <w:rPr>
          <w:rFonts w:ascii="Times New Roman" w:hAnsi="Times New Roman" w:cs="Times New Roman"/>
          <w:sz w:val="24"/>
          <w:szCs w:val="24"/>
        </w:rPr>
        <w:t>.</w:t>
      </w:r>
      <w:r w:rsidR="00F02DD2" w:rsidRPr="007F28C1">
        <w:rPr>
          <w:rFonts w:ascii="Times New Roman" w:hAnsi="Times New Roman" w:cs="Times New Roman"/>
          <w:sz w:val="24"/>
          <w:szCs w:val="24"/>
        </w:rPr>
        <w:t>g</w:t>
      </w:r>
      <w:r w:rsidR="003136E0" w:rsidRPr="007F28C1">
        <w:rPr>
          <w:rFonts w:ascii="Times New Roman" w:hAnsi="Times New Roman" w:cs="Times New Roman"/>
          <w:sz w:val="24"/>
          <w:szCs w:val="24"/>
        </w:rPr>
        <w:t>.</w:t>
      </w:r>
      <w:r w:rsidR="00F02DD2" w:rsidRPr="007F28C1">
        <w:rPr>
          <w:rFonts w:ascii="Times New Roman" w:hAnsi="Times New Roman" w:cs="Times New Roman"/>
          <w:sz w:val="24"/>
          <w:szCs w:val="24"/>
        </w:rPr>
        <w:t>g</w:t>
      </w:r>
      <w:r w:rsidR="003136E0" w:rsidRPr="007F28C1">
        <w:rPr>
          <w:rFonts w:ascii="Times New Roman" w:hAnsi="Times New Roman" w:cs="Times New Roman"/>
          <w:sz w:val="24"/>
          <w:szCs w:val="24"/>
        </w:rPr>
        <w:t>.</w:t>
      </w:r>
      <w:r w:rsidR="00F02DD2" w:rsidRPr="007F28C1">
        <w:rPr>
          <w:rFonts w:ascii="Times New Roman" w:hAnsi="Times New Roman" w:cs="Times New Roman"/>
          <w:bCs/>
          <w:sz w:val="24"/>
          <w:szCs w:val="24"/>
        </w:rPr>
        <w:t xml:space="preserve"> </w:t>
      </w:r>
      <w:r w:rsidR="00F02DD2" w:rsidRPr="007F28C1">
        <w:rPr>
          <w:rFonts w:ascii="Times New Roman" w:hAnsi="Times New Roman" w:cs="Times New Roman"/>
          <w:sz w:val="24"/>
          <w:szCs w:val="24"/>
        </w:rPr>
        <w:t xml:space="preserve">oraz </w:t>
      </w:r>
      <w:r w:rsidR="00480CFE" w:rsidRPr="007F28C1">
        <w:rPr>
          <w:rFonts w:ascii="Times New Roman" w:hAnsi="Times New Roman" w:cs="Times New Roman"/>
          <w:sz w:val="24"/>
          <w:szCs w:val="24"/>
        </w:rPr>
        <w:t xml:space="preserve">uchylono </w:t>
      </w:r>
      <w:r w:rsidR="00804170" w:rsidRPr="007F28C1">
        <w:rPr>
          <w:rFonts w:ascii="Times New Roman" w:hAnsi="Times New Roman" w:cs="Times New Roman"/>
          <w:sz w:val="24"/>
          <w:szCs w:val="24"/>
        </w:rPr>
        <w:t>art. 49zj</w:t>
      </w:r>
      <w:r w:rsidR="00480CFE" w:rsidRPr="007F28C1">
        <w:rPr>
          <w:rFonts w:ascii="Times New Roman" w:hAnsi="Times New Roman" w:cs="Times New Roman"/>
          <w:sz w:val="24"/>
          <w:szCs w:val="24"/>
        </w:rPr>
        <w:t xml:space="preserve">,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 xml:space="preserve">49zl,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 xml:space="preserve">49zn,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 xml:space="preserve">49zo, </w:t>
      </w:r>
      <w:r w:rsidR="00937890" w:rsidRPr="007F28C1">
        <w:rPr>
          <w:rFonts w:ascii="Times New Roman" w:hAnsi="Times New Roman" w:cs="Times New Roman"/>
          <w:sz w:val="24"/>
          <w:szCs w:val="24"/>
        </w:rPr>
        <w:t xml:space="preserve">art. </w:t>
      </w:r>
      <w:r w:rsidR="00480CFE" w:rsidRPr="007F28C1">
        <w:rPr>
          <w:rFonts w:ascii="Times New Roman" w:hAnsi="Times New Roman" w:cs="Times New Roman"/>
          <w:sz w:val="24"/>
          <w:szCs w:val="24"/>
        </w:rPr>
        <w:t>49zs P.g.g. i tym samym</w:t>
      </w:r>
      <w:r w:rsidR="00804170" w:rsidRPr="007F28C1">
        <w:rPr>
          <w:rFonts w:ascii="Times New Roman" w:hAnsi="Times New Roman" w:cs="Times New Roman"/>
          <w:bCs/>
          <w:sz w:val="24"/>
          <w:szCs w:val="24"/>
        </w:rPr>
        <w:t xml:space="preserve"> </w:t>
      </w:r>
      <w:r w:rsidR="00325028" w:rsidRPr="007F28C1">
        <w:rPr>
          <w:rFonts w:ascii="Times New Roman" w:hAnsi="Times New Roman" w:cs="Times New Roman"/>
          <w:sz w:val="24"/>
          <w:szCs w:val="24"/>
        </w:rPr>
        <w:t xml:space="preserve">zrezygnowano z przepisów, które nie są niezbędne z punktu widzenia organu koncesyjnego oraz Skarbu Państwa, pozostawiając stronom umowy o współpracy swobodę w </w:t>
      </w:r>
      <w:r w:rsidRPr="007F28C1">
        <w:rPr>
          <w:rFonts w:ascii="Times New Roman" w:hAnsi="Times New Roman" w:cs="Times New Roman"/>
          <w:sz w:val="24"/>
          <w:szCs w:val="24"/>
        </w:rPr>
        <w:t>kształtowaniu zasad ich współpracy</w:t>
      </w:r>
      <w:r w:rsidR="00325028" w:rsidRPr="007F28C1">
        <w:rPr>
          <w:rFonts w:ascii="Times New Roman" w:hAnsi="Times New Roman" w:cs="Times New Roman"/>
          <w:sz w:val="24"/>
          <w:szCs w:val="24"/>
        </w:rPr>
        <w:t>.</w:t>
      </w:r>
      <w:r w:rsidR="00804170" w:rsidRPr="007F28C1">
        <w:rPr>
          <w:rFonts w:ascii="Times New Roman" w:hAnsi="Times New Roman" w:cs="Times New Roman"/>
          <w:sz w:val="24"/>
          <w:szCs w:val="24"/>
        </w:rPr>
        <w:t xml:space="preserve"> </w:t>
      </w:r>
    </w:p>
    <w:p w14:paraId="76F97907" w14:textId="070C89DB" w:rsidR="00547905" w:rsidRPr="007F28C1" w:rsidRDefault="00547905" w:rsidP="007F28C1">
      <w:pPr>
        <w:numPr>
          <w:ilvl w:val="0"/>
          <w:numId w:val="5"/>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Jednostki naukowe</w:t>
      </w:r>
    </w:p>
    <w:p w14:paraId="6845E649" w14:textId="2447E490" w:rsidR="00686670" w:rsidRPr="007F28C1" w:rsidRDefault="0068667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związku z nowelizacją </w:t>
      </w:r>
      <w:r w:rsidR="00E36415" w:rsidRPr="007F28C1">
        <w:rPr>
          <w:rFonts w:ascii="Times New Roman" w:hAnsi="Times New Roman" w:cs="Times New Roman"/>
          <w:sz w:val="24"/>
          <w:szCs w:val="24"/>
        </w:rPr>
        <w:t>P</w:t>
      </w:r>
      <w:r w:rsidR="00480CF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00F25912" w:rsidRPr="007F28C1">
        <w:rPr>
          <w:rFonts w:ascii="Times New Roman" w:hAnsi="Times New Roman" w:cs="Times New Roman"/>
          <w:sz w:val="24"/>
          <w:szCs w:val="24"/>
        </w:rPr>
        <w:t>,</w:t>
      </w:r>
      <w:r w:rsidRPr="007F28C1">
        <w:rPr>
          <w:rFonts w:ascii="Times New Roman" w:hAnsi="Times New Roman" w:cs="Times New Roman"/>
          <w:sz w:val="24"/>
          <w:szCs w:val="24"/>
        </w:rPr>
        <w:t xml:space="preserve"> która weszła w życie 29 sierpnia 2018 r., w art. 49ka </w:t>
      </w:r>
      <w:r w:rsidR="00E36415" w:rsidRPr="007F28C1">
        <w:rPr>
          <w:rFonts w:ascii="Times New Roman" w:hAnsi="Times New Roman" w:cs="Times New Roman"/>
          <w:sz w:val="24"/>
          <w:szCs w:val="24"/>
        </w:rPr>
        <w:t>P</w:t>
      </w:r>
      <w:r w:rsidR="00480CF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Pr="007F28C1">
        <w:rPr>
          <w:rFonts w:ascii="Times New Roman" w:hAnsi="Times New Roman" w:cs="Times New Roman"/>
          <w:sz w:val="24"/>
          <w:szCs w:val="24"/>
        </w:rPr>
        <w:t xml:space="preserve"> został wprowadzony przepis mówiący, że minister właściwy do spraw środowiska prowadzi listę jednostek naukowych, w tym m.in. dokonuje wpisu, odmawia wpisu, skreśla jednostkę z listy. Do tej pory nie</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zostało wydane rozporządzenie w sprawie jednostek naukowych ani nie jest prowadzona lista jednostek naukowych. </w:t>
      </w:r>
    </w:p>
    <w:p w14:paraId="0169AE6A" w14:textId="41E364B0" w:rsidR="000133B8" w:rsidRPr="007F28C1" w:rsidRDefault="00B75AB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Przepis art. 49k ust. 1a </w:t>
      </w:r>
      <w:r w:rsidR="00480CFE" w:rsidRPr="007F28C1">
        <w:rPr>
          <w:rFonts w:ascii="Times New Roman" w:hAnsi="Times New Roman" w:cs="Times New Roman"/>
          <w:sz w:val="24"/>
          <w:szCs w:val="24"/>
        </w:rPr>
        <w:t xml:space="preserve">P.g.g. </w:t>
      </w:r>
      <w:r w:rsidRPr="007F28C1">
        <w:rPr>
          <w:rFonts w:ascii="Times New Roman" w:hAnsi="Times New Roman" w:cs="Times New Roman"/>
          <w:sz w:val="24"/>
          <w:szCs w:val="24"/>
        </w:rPr>
        <w:t>wprowadził definicję oraz skrót wyrażenia „</w:t>
      </w:r>
      <w:r w:rsidRPr="007F28C1">
        <w:rPr>
          <w:rFonts w:ascii="Times New Roman" w:hAnsi="Times New Roman" w:cs="Times New Roman"/>
          <w:iCs/>
          <w:sz w:val="24"/>
          <w:szCs w:val="24"/>
        </w:rPr>
        <w:t xml:space="preserve">jednostka naukowa”. </w:t>
      </w:r>
      <w:r w:rsidR="006D2548" w:rsidRPr="007F28C1">
        <w:rPr>
          <w:rFonts w:ascii="Times New Roman" w:hAnsi="Times New Roman" w:cs="Times New Roman"/>
          <w:iCs/>
          <w:sz w:val="24"/>
          <w:szCs w:val="24"/>
        </w:rPr>
        <w:t>D</w:t>
      </w:r>
      <w:r w:rsidRPr="007F28C1">
        <w:rPr>
          <w:rFonts w:ascii="Times New Roman" w:hAnsi="Times New Roman" w:cs="Times New Roman"/>
          <w:iCs/>
          <w:sz w:val="24"/>
          <w:szCs w:val="24"/>
        </w:rPr>
        <w:t xml:space="preserve">efinicja ta </w:t>
      </w:r>
      <w:r w:rsidR="006D2548" w:rsidRPr="007F28C1">
        <w:rPr>
          <w:rFonts w:ascii="Times New Roman" w:hAnsi="Times New Roman" w:cs="Times New Roman"/>
          <w:iCs/>
          <w:sz w:val="24"/>
          <w:szCs w:val="24"/>
        </w:rPr>
        <w:t>odsyła</w:t>
      </w:r>
      <w:r w:rsidRPr="007F28C1">
        <w:rPr>
          <w:rFonts w:ascii="Times New Roman" w:hAnsi="Times New Roman" w:cs="Times New Roman"/>
          <w:iCs/>
          <w:sz w:val="24"/>
          <w:szCs w:val="24"/>
        </w:rPr>
        <w:t xml:space="preserve"> do definicji zawartej w art. 2 pkt 9 ustawy z</w:t>
      </w:r>
      <w:r w:rsidR="00CD3194" w:rsidRPr="007F28C1">
        <w:rPr>
          <w:rFonts w:ascii="Times New Roman" w:hAnsi="Times New Roman" w:cs="Times New Roman"/>
          <w:iCs/>
          <w:sz w:val="24"/>
          <w:szCs w:val="24"/>
        </w:rPr>
        <w:t> </w:t>
      </w:r>
      <w:r w:rsidRPr="007F28C1">
        <w:rPr>
          <w:rFonts w:ascii="Times New Roman" w:hAnsi="Times New Roman" w:cs="Times New Roman"/>
          <w:iCs/>
          <w:sz w:val="24"/>
          <w:szCs w:val="24"/>
        </w:rPr>
        <w:t>dnia 30 kwietnia 2010 r. o zasadach finansowania nauki</w:t>
      </w:r>
      <w:r w:rsidRPr="007F28C1">
        <w:rPr>
          <w:rFonts w:ascii="Times New Roman" w:hAnsi="Times New Roman" w:cs="Times New Roman"/>
          <w:sz w:val="24"/>
          <w:szCs w:val="24"/>
        </w:rPr>
        <w:t xml:space="preserve"> (Dz.</w:t>
      </w:r>
      <w:r w:rsidR="003D2960"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U. z 2018 r. poz. 87). </w:t>
      </w:r>
      <w:r w:rsidR="006D2548" w:rsidRPr="007F28C1">
        <w:rPr>
          <w:rFonts w:ascii="Times New Roman" w:hAnsi="Times New Roman" w:cs="Times New Roman"/>
          <w:iCs/>
          <w:sz w:val="24"/>
          <w:szCs w:val="24"/>
        </w:rPr>
        <w:t xml:space="preserve">Należy zauważyć, że </w:t>
      </w:r>
      <w:r w:rsidR="00DB2D0C">
        <w:rPr>
          <w:rFonts w:ascii="Times New Roman" w:hAnsi="Times New Roman" w:cs="Times New Roman"/>
          <w:iCs/>
          <w:sz w:val="24"/>
          <w:szCs w:val="24"/>
        </w:rPr>
        <w:t xml:space="preserve">ww. </w:t>
      </w:r>
      <w:r w:rsidR="006D2548" w:rsidRPr="007F28C1">
        <w:rPr>
          <w:rFonts w:ascii="Times New Roman" w:hAnsi="Times New Roman" w:cs="Times New Roman"/>
          <w:iCs/>
          <w:sz w:val="24"/>
          <w:szCs w:val="24"/>
        </w:rPr>
        <w:t>u</w:t>
      </w:r>
      <w:r w:rsidRPr="007F28C1">
        <w:rPr>
          <w:rFonts w:ascii="Times New Roman" w:hAnsi="Times New Roman" w:cs="Times New Roman"/>
          <w:sz w:val="24"/>
          <w:szCs w:val="24"/>
        </w:rPr>
        <w:t>stawa została uchylona z dniem 1</w:t>
      </w:r>
      <w:r w:rsidR="00CD3194" w:rsidRPr="007F28C1">
        <w:rPr>
          <w:rFonts w:ascii="Times New Roman" w:hAnsi="Times New Roman" w:cs="Times New Roman"/>
          <w:sz w:val="24"/>
          <w:szCs w:val="24"/>
        </w:rPr>
        <w:t> </w:t>
      </w:r>
      <w:r w:rsidRPr="007F28C1">
        <w:rPr>
          <w:rFonts w:ascii="Times New Roman" w:hAnsi="Times New Roman" w:cs="Times New Roman"/>
          <w:sz w:val="24"/>
          <w:szCs w:val="24"/>
        </w:rPr>
        <w:t>października 2018 r. na mocy art. 169 pkt 4 ustawy z</w:t>
      </w:r>
      <w:r w:rsidR="00CD3194" w:rsidRPr="007F28C1">
        <w:rPr>
          <w:rFonts w:ascii="Times New Roman" w:hAnsi="Times New Roman" w:cs="Times New Roman"/>
          <w:sz w:val="24"/>
          <w:szCs w:val="24"/>
        </w:rPr>
        <w:t> </w:t>
      </w:r>
      <w:r w:rsidRPr="007F28C1">
        <w:rPr>
          <w:rFonts w:ascii="Times New Roman" w:hAnsi="Times New Roman" w:cs="Times New Roman"/>
          <w:sz w:val="24"/>
          <w:szCs w:val="24"/>
        </w:rPr>
        <w:t>dnia 3 lipca 2018 r. – Przepisy wprowadzające ustawę – Prawo o szkolnictwie wyższym i nauce</w:t>
      </w:r>
      <w:r w:rsidR="00A61B62" w:rsidRPr="007F28C1">
        <w:rPr>
          <w:rFonts w:ascii="Times New Roman" w:hAnsi="Times New Roman" w:cs="Times New Roman"/>
          <w:sz w:val="24"/>
          <w:szCs w:val="24"/>
        </w:rPr>
        <w:t xml:space="preserve"> </w:t>
      </w:r>
      <w:r w:rsidRPr="007F28C1">
        <w:rPr>
          <w:rFonts w:ascii="Times New Roman" w:hAnsi="Times New Roman" w:cs="Times New Roman"/>
          <w:sz w:val="24"/>
          <w:szCs w:val="24"/>
        </w:rPr>
        <w:t>(Dz.</w:t>
      </w:r>
      <w:r w:rsidR="00CD3194" w:rsidRPr="007F28C1">
        <w:rPr>
          <w:rFonts w:ascii="Times New Roman" w:hAnsi="Times New Roman" w:cs="Times New Roman"/>
          <w:sz w:val="24"/>
          <w:szCs w:val="24"/>
        </w:rPr>
        <w:t> </w:t>
      </w:r>
      <w:r w:rsidRPr="007F28C1">
        <w:rPr>
          <w:rFonts w:ascii="Times New Roman" w:hAnsi="Times New Roman" w:cs="Times New Roman"/>
          <w:sz w:val="24"/>
          <w:szCs w:val="24"/>
        </w:rPr>
        <w:t xml:space="preserve">U. </w:t>
      </w:r>
      <w:r w:rsidRPr="007F28C1">
        <w:rPr>
          <w:rFonts w:ascii="Times New Roman" w:hAnsi="Times New Roman" w:cs="Times New Roman"/>
          <w:sz w:val="24"/>
          <w:szCs w:val="24"/>
        </w:rPr>
        <w:lastRenderedPageBreak/>
        <w:t>poz. 1669</w:t>
      </w:r>
      <w:r w:rsidR="001C4A87" w:rsidRPr="007F28C1">
        <w:rPr>
          <w:rFonts w:ascii="Times New Roman" w:hAnsi="Times New Roman" w:cs="Times New Roman"/>
          <w:sz w:val="24"/>
          <w:szCs w:val="24"/>
        </w:rPr>
        <w:t>,</w:t>
      </w:r>
      <w:r w:rsidR="000900B9" w:rsidRPr="007F28C1">
        <w:rPr>
          <w:rFonts w:ascii="Times New Roman" w:hAnsi="Times New Roman" w:cs="Times New Roman"/>
          <w:sz w:val="24"/>
          <w:szCs w:val="24"/>
        </w:rPr>
        <w:t xml:space="preserve"> z późn. zm.</w:t>
      </w:r>
      <w:r w:rsidRPr="007F28C1">
        <w:rPr>
          <w:rFonts w:ascii="Times New Roman" w:hAnsi="Times New Roman" w:cs="Times New Roman"/>
          <w:sz w:val="24"/>
          <w:szCs w:val="24"/>
        </w:rPr>
        <w:t xml:space="preserve">). W konsekwencji </w:t>
      </w:r>
      <w:r w:rsidR="00120319" w:rsidRPr="007F28C1">
        <w:rPr>
          <w:rFonts w:ascii="Times New Roman" w:hAnsi="Times New Roman" w:cs="Times New Roman"/>
          <w:sz w:val="24"/>
          <w:szCs w:val="24"/>
        </w:rPr>
        <w:t xml:space="preserve">należy </w:t>
      </w:r>
      <w:r w:rsidRPr="007F28C1">
        <w:rPr>
          <w:rFonts w:ascii="Times New Roman" w:hAnsi="Times New Roman" w:cs="Times New Roman"/>
          <w:sz w:val="24"/>
          <w:szCs w:val="24"/>
        </w:rPr>
        <w:t>uznać, ż</w:t>
      </w:r>
      <w:r w:rsidR="00937890" w:rsidRPr="007F28C1">
        <w:rPr>
          <w:rFonts w:ascii="Times New Roman" w:hAnsi="Times New Roman" w:cs="Times New Roman"/>
          <w:sz w:val="24"/>
          <w:szCs w:val="24"/>
        </w:rPr>
        <w:t>e</w:t>
      </w:r>
      <w:r w:rsidRPr="007F28C1">
        <w:rPr>
          <w:rFonts w:ascii="Times New Roman" w:hAnsi="Times New Roman" w:cs="Times New Roman"/>
          <w:sz w:val="24"/>
          <w:szCs w:val="24"/>
        </w:rPr>
        <w:t xml:space="preserve"> definicja „</w:t>
      </w:r>
      <w:r w:rsidR="006D2548" w:rsidRPr="007F28C1">
        <w:rPr>
          <w:rFonts w:ascii="Times New Roman" w:hAnsi="Times New Roman" w:cs="Times New Roman"/>
          <w:sz w:val="24"/>
          <w:szCs w:val="24"/>
        </w:rPr>
        <w:t>jednostki naukowej</w:t>
      </w:r>
      <w:r w:rsidRPr="007F28C1">
        <w:rPr>
          <w:rFonts w:ascii="Times New Roman" w:hAnsi="Times New Roman" w:cs="Times New Roman"/>
          <w:sz w:val="24"/>
          <w:szCs w:val="24"/>
        </w:rPr>
        <w:t>” zawarta w</w:t>
      </w:r>
      <w:r w:rsidR="006D2548" w:rsidRPr="007F28C1">
        <w:rPr>
          <w:rFonts w:ascii="Times New Roman" w:hAnsi="Times New Roman" w:cs="Times New Roman"/>
          <w:sz w:val="24"/>
          <w:szCs w:val="24"/>
        </w:rPr>
        <w:t xml:space="preserve"> </w:t>
      </w:r>
      <w:r w:rsidR="00E36415" w:rsidRPr="007F28C1">
        <w:rPr>
          <w:rFonts w:ascii="Times New Roman" w:hAnsi="Times New Roman" w:cs="Times New Roman"/>
          <w:sz w:val="24"/>
          <w:szCs w:val="24"/>
        </w:rPr>
        <w:t>P</w:t>
      </w:r>
      <w:r w:rsidR="00480CF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00AA3CF7" w:rsidRPr="007F28C1">
        <w:rPr>
          <w:rFonts w:ascii="Times New Roman" w:hAnsi="Times New Roman" w:cs="Times New Roman"/>
          <w:sz w:val="24"/>
          <w:szCs w:val="24"/>
        </w:rPr>
        <w:t>,</w:t>
      </w:r>
      <w:r w:rsidRPr="007F28C1">
        <w:rPr>
          <w:rFonts w:ascii="Times New Roman" w:hAnsi="Times New Roman" w:cs="Times New Roman"/>
          <w:sz w:val="24"/>
          <w:szCs w:val="24"/>
        </w:rPr>
        <w:t xml:space="preserve"> z</w:t>
      </w:r>
      <w:r w:rsidR="006D2548" w:rsidRPr="007F28C1">
        <w:rPr>
          <w:rFonts w:ascii="Times New Roman" w:hAnsi="Times New Roman" w:cs="Times New Roman"/>
          <w:sz w:val="24"/>
          <w:szCs w:val="24"/>
        </w:rPr>
        <w:t> </w:t>
      </w:r>
      <w:r w:rsidRPr="007F28C1">
        <w:rPr>
          <w:rFonts w:ascii="Times New Roman" w:hAnsi="Times New Roman" w:cs="Times New Roman"/>
          <w:sz w:val="24"/>
          <w:szCs w:val="24"/>
        </w:rPr>
        <w:t xml:space="preserve">uwagi na </w:t>
      </w:r>
      <w:r w:rsidR="006D2548" w:rsidRPr="007F28C1">
        <w:rPr>
          <w:rFonts w:ascii="Times New Roman" w:hAnsi="Times New Roman" w:cs="Times New Roman"/>
          <w:sz w:val="24"/>
          <w:szCs w:val="24"/>
        </w:rPr>
        <w:t>odesłanie do uchylonych przepisów, nie może być stosowana</w:t>
      </w:r>
      <w:r w:rsidRPr="007F28C1">
        <w:rPr>
          <w:rFonts w:ascii="Times New Roman" w:hAnsi="Times New Roman" w:cs="Times New Roman"/>
          <w:sz w:val="24"/>
          <w:szCs w:val="24"/>
        </w:rPr>
        <w:t>. Ustawa z dnia 20</w:t>
      </w:r>
      <w:r w:rsidR="00CD3194" w:rsidRPr="007F28C1">
        <w:rPr>
          <w:rFonts w:ascii="Times New Roman" w:hAnsi="Times New Roman" w:cs="Times New Roman"/>
          <w:sz w:val="24"/>
          <w:szCs w:val="24"/>
        </w:rPr>
        <w:t> </w:t>
      </w:r>
      <w:r w:rsidRPr="007F28C1">
        <w:rPr>
          <w:rFonts w:ascii="Times New Roman" w:hAnsi="Times New Roman" w:cs="Times New Roman"/>
          <w:sz w:val="24"/>
          <w:szCs w:val="24"/>
        </w:rPr>
        <w:t xml:space="preserve">lipca 2018 r. – </w:t>
      </w:r>
      <w:bookmarkStart w:id="5" w:name="_Hlk82706787"/>
      <w:r w:rsidRPr="007F28C1">
        <w:rPr>
          <w:rFonts w:ascii="Times New Roman" w:hAnsi="Times New Roman" w:cs="Times New Roman"/>
          <w:sz w:val="24"/>
          <w:szCs w:val="24"/>
        </w:rPr>
        <w:t>Prawo o szkolnictwie wyższym i nauce</w:t>
      </w:r>
      <w:bookmarkEnd w:id="5"/>
      <w:r w:rsidR="00EB500E"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Dz. U. z </w:t>
      </w:r>
      <w:r w:rsidR="001C4A87" w:rsidRPr="007F28C1">
        <w:rPr>
          <w:rFonts w:ascii="Times New Roman" w:hAnsi="Times New Roman" w:cs="Times New Roman"/>
          <w:sz w:val="24"/>
          <w:szCs w:val="24"/>
        </w:rPr>
        <w:t>202</w:t>
      </w:r>
      <w:r w:rsidR="00A80A30" w:rsidRPr="007F28C1">
        <w:rPr>
          <w:rFonts w:ascii="Times New Roman" w:hAnsi="Times New Roman" w:cs="Times New Roman"/>
          <w:sz w:val="24"/>
          <w:szCs w:val="24"/>
        </w:rPr>
        <w:t>3</w:t>
      </w:r>
      <w:r w:rsidR="001C4A87"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r. poz. </w:t>
      </w:r>
      <w:r w:rsidR="001C4A87" w:rsidRPr="007F28C1">
        <w:rPr>
          <w:rFonts w:ascii="Times New Roman" w:hAnsi="Times New Roman" w:cs="Times New Roman"/>
          <w:sz w:val="24"/>
          <w:szCs w:val="24"/>
        </w:rPr>
        <w:t>74</w:t>
      </w:r>
      <w:r w:rsidR="00A80A30" w:rsidRPr="007F28C1">
        <w:rPr>
          <w:rFonts w:ascii="Times New Roman" w:hAnsi="Times New Roman" w:cs="Times New Roman"/>
          <w:sz w:val="24"/>
          <w:szCs w:val="24"/>
        </w:rPr>
        <w:t>2</w:t>
      </w:r>
      <w:r w:rsidRPr="007F28C1">
        <w:rPr>
          <w:rFonts w:ascii="Times New Roman" w:hAnsi="Times New Roman" w:cs="Times New Roman"/>
          <w:sz w:val="24"/>
          <w:szCs w:val="24"/>
        </w:rPr>
        <w:t>), która zastąpiła m.in. ustawę o</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zasadach finansowania nauki, nie zawiera definicji tego wyrażenia, gdyż posługuje się inną siatką pojęciową. W</w:t>
      </w:r>
      <w:r w:rsidR="006D2548" w:rsidRPr="007F28C1">
        <w:rPr>
          <w:rFonts w:ascii="Times New Roman" w:hAnsi="Times New Roman" w:cs="Times New Roman"/>
          <w:sz w:val="24"/>
          <w:szCs w:val="24"/>
        </w:rPr>
        <w:t> </w:t>
      </w:r>
      <w:r w:rsidRPr="007F28C1">
        <w:rPr>
          <w:rFonts w:ascii="Times New Roman" w:hAnsi="Times New Roman" w:cs="Times New Roman"/>
          <w:sz w:val="24"/>
          <w:szCs w:val="24"/>
        </w:rPr>
        <w:t>związku z tym, że</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cała konstrukcja art. 49k ust.</w:t>
      </w:r>
      <w:r w:rsidR="00CD3194" w:rsidRPr="007F28C1">
        <w:rPr>
          <w:rFonts w:ascii="Times New Roman" w:hAnsi="Times New Roman" w:cs="Times New Roman"/>
          <w:sz w:val="24"/>
          <w:szCs w:val="24"/>
        </w:rPr>
        <w:t> </w:t>
      </w:r>
      <w:r w:rsidRPr="007F28C1">
        <w:rPr>
          <w:rFonts w:ascii="Times New Roman" w:hAnsi="Times New Roman" w:cs="Times New Roman"/>
          <w:sz w:val="24"/>
          <w:szCs w:val="24"/>
        </w:rPr>
        <w:t xml:space="preserve">1a </w:t>
      </w:r>
      <w:r w:rsidR="00E36415" w:rsidRPr="007F28C1">
        <w:rPr>
          <w:rFonts w:ascii="Times New Roman" w:hAnsi="Times New Roman" w:cs="Times New Roman"/>
          <w:sz w:val="24"/>
          <w:szCs w:val="24"/>
        </w:rPr>
        <w:t>P</w:t>
      </w:r>
      <w:r w:rsidR="003A7D2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art. 49ka </w:t>
      </w:r>
      <w:r w:rsidR="00E36415" w:rsidRPr="007F28C1">
        <w:rPr>
          <w:rFonts w:ascii="Times New Roman" w:hAnsi="Times New Roman" w:cs="Times New Roman"/>
          <w:sz w:val="24"/>
          <w:szCs w:val="24"/>
        </w:rPr>
        <w:t>P</w:t>
      </w:r>
      <w:r w:rsidR="003A7D2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 xml:space="preserve"> odwołuje się nieistniejących przepisów, </w:t>
      </w:r>
      <w:r w:rsidR="00480CFE" w:rsidRPr="007F28C1">
        <w:rPr>
          <w:rFonts w:ascii="Times New Roman" w:hAnsi="Times New Roman" w:cs="Times New Roman"/>
          <w:sz w:val="24"/>
          <w:szCs w:val="24"/>
        </w:rPr>
        <w:t>zmienio</w:t>
      </w:r>
      <w:r w:rsidR="00C41923" w:rsidRPr="007F28C1">
        <w:rPr>
          <w:rFonts w:ascii="Times New Roman" w:hAnsi="Times New Roman" w:cs="Times New Roman"/>
          <w:sz w:val="24"/>
          <w:szCs w:val="24"/>
        </w:rPr>
        <w:t xml:space="preserve">no </w:t>
      </w:r>
      <w:r w:rsidR="000133B8" w:rsidRPr="007F28C1">
        <w:rPr>
          <w:rFonts w:ascii="Times New Roman" w:hAnsi="Times New Roman" w:cs="Times New Roman"/>
          <w:sz w:val="24"/>
          <w:szCs w:val="24"/>
        </w:rPr>
        <w:t xml:space="preserve">art. 49h ust. 3 pkt 4 </w:t>
      </w:r>
      <w:r w:rsidR="00480CFE" w:rsidRPr="007F28C1">
        <w:rPr>
          <w:rFonts w:ascii="Times New Roman" w:hAnsi="Times New Roman" w:cs="Times New Roman"/>
          <w:sz w:val="24"/>
          <w:szCs w:val="24"/>
        </w:rPr>
        <w:t xml:space="preserve">oraz uchylono </w:t>
      </w:r>
      <w:r w:rsidR="000133B8" w:rsidRPr="007F28C1">
        <w:rPr>
          <w:rFonts w:ascii="Times New Roman" w:hAnsi="Times New Roman" w:cs="Times New Roman"/>
          <w:sz w:val="24"/>
          <w:szCs w:val="24"/>
        </w:rPr>
        <w:t>art. 49k ust. 1a, art. 49ka P</w:t>
      </w:r>
      <w:r w:rsidR="00480CFE" w:rsidRPr="007F28C1">
        <w:rPr>
          <w:rFonts w:ascii="Times New Roman" w:hAnsi="Times New Roman" w:cs="Times New Roman"/>
          <w:sz w:val="24"/>
          <w:szCs w:val="24"/>
        </w:rPr>
        <w:t>.</w:t>
      </w:r>
      <w:r w:rsidR="000133B8"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000133B8" w:rsidRPr="007F28C1">
        <w:rPr>
          <w:rFonts w:ascii="Times New Roman" w:hAnsi="Times New Roman" w:cs="Times New Roman"/>
          <w:sz w:val="24"/>
          <w:szCs w:val="24"/>
        </w:rPr>
        <w:t>g</w:t>
      </w:r>
      <w:r w:rsidR="00480CFE" w:rsidRPr="007F28C1">
        <w:rPr>
          <w:rFonts w:ascii="Times New Roman" w:hAnsi="Times New Roman" w:cs="Times New Roman"/>
          <w:sz w:val="24"/>
          <w:szCs w:val="24"/>
        </w:rPr>
        <w:t>. i</w:t>
      </w:r>
      <w:r w:rsidR="000133B8" w:rsidRPr="007F28C1">
        <w:rPr>
          <w:rFonts w:ascii="Times New Roman" w:hAnsi="Times New Roman" w:cs="Times New Roman"/>
          <w:bCs/>
          <w:sz w:val="24"/>
          <w:szCs w:val="24"/>
        </w:rPr>
        <w:t xml:space="preserve"> </w:t>
      </w:r>
      <w:r w:rsidR="000133B8" w:rsidRPr="007F28C1">
        <w:rPr>
          <w:rFonts w:ascii="Times New Roman" w:hAnsi="Times New Roman" w:cs="Times New Roman"/>
          <w:sz w:val="24"/>
          <w:szCs w:val="24"/>
        </w:rPr>
        <w:t>usunięto regulacje odnoszące się do jednostek naukowych</w:t>
      </w:r>
      <w:r w:rsidR="00CD3194" w:rsidRPr="007F28C1">
        <w:rPr>
          <w:rFonts w:ascii="Times New Roman" w:hAnsi="Times New Roman" w:cs="Times New Roman"/>
          <w:sz w:val="24"/>
          <w:szCs w:val="24"/>
        </w:rPr>
        <w:t>, tym samym usunięto z</w:t>
      </w:r>
      <w:r w:rsidR="005B7604" w:rsidRPr="007F28C1">
        <w:rPr>
          <w:rFonts w:ascii="Times New Roman" w:hAnsi="Times New Roman" w:cs="Times New Roman"/>
          <w:sz w:val="24"/>
          <w:szCs w:val="24"/>
        </w:rPr>
        <w:t xml:space="preserve"> </w:t>
      </w:r>
      <w:r w:rsidR="00CD3194" w:rsidRPr="007F28C1">
        <w:rPr>
          <w:rFonts w:ascii="Times New Roman" w:hAnsi="Times New Roman" w:cs="Times New Roman"/>
          <w:sz w:val="24"/>
          <w:szCs w:val="24"/>
        </w:rPr>
        <w:t>P</w:t>
      </w:r>
      <w:r w:rsidR="00480CFE" w:rsidRPr="007F28C1">
        <w:rPr>
          <w:rFonts w:ascii="Times New Roman" w:hAnsi="Times New Roman" w:cs="Times New Roman"/>
          <w:sz w:val="24"/>
          <w:szCs w:val="24"/>
        </w:rPr>
        <w:t>.</w:t>
      </w:r>
      <w:r w:rsidR="00CD3194" w:rsidRPr="007F28C1">
        <w:rPr>
          <w:rFonts w:ascii="Times New Roman" w:hAnsi="Times New Roman" w:cs="Times New Roman"/>
          <w:sz w:val="24"/>
          <w:szCs w:val="24"/>
        </w:rPr>
        <w:t>g</w:t>
      </w:r>
      <w:r w:rsidR="00D95F26">
        <w:rPr>
          <w:rFonts w:ascii="Times New Roman" w:hAnsi="Times New Roman" w:cs="Times New Roman"/>
          <w:sz w:val="24"/>
          <w:szCs w:val="24"/>
        </w:rPr>
        <w:t>.</w:t>
      </w:r>
      <w:r w:rsidR="00CD3194" w:rsidRPr="007F28C1">
        <w:rPr>
          <w:rFonts w:ascii="Times New Roman" w:hAnsi="Times New Roman" w:cs="Times New Roman"/>
          <w:sz w:val="24"/>
          <w:szCs w:val="24"/>
        </w:rPr>
        <w:t>g</w:t>
      </w:r>
      <w:r w:rsidR="00480CFE" w:rsidRPr="007F28C1">
        <w:rPr>
          <w:rFonts w:ascii="Times New Roman" w:hAnsi="Times New Roman" w:cs="Times New Roman"/>
          <w:sz w:val="24"/>
          <w:szCs w:val="24"/>
        </w:rPr>
        <w:t>.</w:t>
      </w:r>
      <w:r w:rsidR="00CD3194" w:rsidRPr="007F28C1">
        <w:rPr>
          <w:rFonts w:ascii="Times New Roman" w:hAnsi="Times New Roman" w:cs="Times New Roman"/>
          <w:sz w:val="24"/>
          <w:szCs w:val="24"/>
        </w:rPr>
        <w:t xml:space="preserve"> jedno z kryteriów przetargu, tj. współpracę z jednostkami naukowymi.</w:t>
      </w:r>
    </w:p>
    <w:p w14:paraId="65380315" w14:textId="01BCA42D" w:rsidR="00FB3305" w:rsidRPr="007F28C1" w:rsidRDefault="00B75AB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Za usunięciem tych przepisów przemawiają również względy merytoryczne. Zakres współpracy przedsiębiorcy z jednostkami naukowymi w opracowywaniu i wdrażaniu innowacji w poszukiwaniu, rozpoznawaniu i wydobywaniu węglowodorów ze złóż, </w:t>
      </w:r>
      <w:r w:rsidR="000B1206" w:rsidRPr="007F28C1">
        <w:rPr>
          <w:rFonts w:ascii="Times New Roman" w:hAnsi="Times New Roman" w:cs="Times New Roman"/>
          <w:sz w:val="24"/>
          <w:szCs w:val="24"/>
        </w:rPr>
        <w:t>który miałby stanowić kryterium oceny ofert w</w:t>
      </w:r>
      <w:r w:rsidR="00D2588E" w:rsidRPr="007F28C1">
        <w:rPr>
          <w:rFonts w:ascii="Times New Roman" w:hAnsi="Times New Roman" w:cs="Times New Roman"/>
          <w:sz w:val="24"/>
          <w:szCs w:val="24"/>
        </w:rPr>
        <w:t> </w:t>
      </w:r>
      <w:r w:rsidR="000B1206" w:rsidRPr="007F28C1">
        <w:rPr>
          <w:rFonts w:ascii="Times New Roman" w:hAnsi="Times New Roman" w:cs="Times New Roman"/>
          <w:sz w:val="24"/>
          <w:szCs w:val="24"/>
        </w:rPr>
        <w:t>przetargu na udzielenie koncesji na poszukiwanie i rozpoznawanie złóż węglowodorów oraz</w:t>
      </w:r>
      <w:r w:rsidR="00D2588E" w:rsidRPr="007F28C1">
        <w:rPr>
          <w:rFonts w:ascii="Times New Roman" w:hAnsi="Times New Roman" w:cs="Times New Roman"/>
          <w:sz w:val="24"/>
          <w:szCs w:val="24"/>
        </w:rPr>
        <w:t> </w:t>
      </w:r>
      <w:r w:rsidR="000B1206" w:rsidRPr="007F28C1">
        <w:rPr>
          <w:rFonts w:ascii="Times New Roman" w:hAnsi="Times New Roman" w:cs="Times New Roman"/>
          <w:sz w:val="24"/>
          <w:szCs w:val="24"/>
        </w:rPr>
        <w:t>wydobywanie węglowodorów ze złóż</w:t>
      </w:r>
      <w:r w:rsidRPr="007F28C1">
        <w:rPr>
          <w:rFonts w:ascii="Times New Roman" w:hAnsi="Times New Roman" w:cs="Times New Roman"/>
          <w:sz w:val="24"/>
          <w:szCs w:val="24"/>
        </w:rPr>
        <w:t xml:space="preserve">, stanowi </w:t>
      </w:r>
      <w:r w:rsidR="000B1206" w:rsidRPr="007F28C1">
        <w:rPr>
          <w:rFonts w:ascii="Times New Roman" w:hAnsi="Times New Roman" w:cs="Times New Roman"/>
          <w:sz w:val="24"/>
          <w:szCs w:val="24"/>
        </w:rPr>
        <w:t xml:space="preserve">pojęcie </w:t>
      </w:r>
      <w:r w:rsidRPr="007F28C1">
        <w:rPr>
          <w:rFonts w:ascii="Times New Roman" w:hAnsi="Times New Roman" w:cs="Times New Roman"/>
          <w:sz w:val="24"/>
          <w:szCs w:val="24"/>
        </w:rPr>
        <w:t>szerokie i niedoprecyzowane, co</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uniemożliwiałoby wyważenie jego wartości i wydanie </w:t>
      </w:r>
      <w:r w:rsidR="000B1206" w:rsidRPr="007F28C1">
        <w:rPr>
          <w:rFonts w:ascii="Times New Roman" w:hAnsi="Times New Roman" w:cs="Times New Roman"/>
          <w:sz w:val="24"/>
          <w:szCs w:val="24"/>
        </w:rPr>
        <w:t xml:space="preserve">niebudzącego wątpliwości </w:t>
      </w:r>
      <w:r w:rsidRPr="007F28C1">
        <w:rPr>
          <w:rFonts w:ascii="Times New Roman" w:hAnsi="Times New Roman" w:cs="Times New Roman"/>
          <w:sz w:val="24"/>
          <w:szCs w:val="24"/>
        </w:rPr>
        <w:t xml:space="preserve">rozstrzygnięcia w przypadku </w:t>
      </w:r>
      <w:r w:rsidR="000B1206" w:rsidRPr="007F28C1">
        <w:rPr>
          <w:rFonts w:ascii="Times New Roman" w:hAnsi="Times New Roman" w:cs="Times New Roman"/>
          <w:sz w:val="24"/>
          <w:szCs w:val="24"/>
        </w:rPr>
        <w:t xml:space="preserve">ofert </w:t>
      </w:r>
      <w:r w:rsidRPr="007F28C1">
        <w:rPr>
          <w:rFonts w:ascii="Times New Roman" w:hAnsi="Times New Roman" w:cs="Times New Roman"/>
          <w:sz w:val="24"/>
          <w:szCs w:val="24"/>
        </w:rPr>
        <w:t xml:space="preserve">konkurencyjnych. Problematyczne byłoby także wyselekcjonowanie </w:t>
      </w:r>
      <w:r w:rsidR="000B1206" w:rsidRPr="007F28C1">
        <w:rPr>
          <w:rFonts w:ascii="Times New Roman" w:hAnsi="Times New Roman" w:cs="Times New Roman"/>
          <w:sz w:val="24"/>
          <w:szCs w:val="24"/>
        </w:rPr>
        <w:t xml:space="preserve">tych </w:t>
      </w:r>
      <w:r w:rsidRPr="007F28C1">
        <w:rPr>
          <w:rFonts w:ascii="Times New Roman" w:hAnsi="Times New Roman" w:cs="Times New Roman"/>
          <w:sz w:val="24"/>
          <w:szCs w:val="24"/>
        </w:rPr>
        <w:t xml:space="preserve">jednostek naukowych, </w:t>
      </w:r>
      <w:r w:rsidR="000B1206" w:rsidRPr="007F28C1">
        <w:rPr>
          <w:rFonts w:ascii="Times New Roman" w:hAnsi="Times New Roman" w:cs="Times New Roman"/>
          <w:sz w:val="24"/>
          <w:szCs w:val="24"/>
        </w:rPr>
        <w:t xml:space="preserve">z którymi współpraca byłaby premiowana przy ubieganiu się o uzyskanie koncesji węglowodorowych, gdyż ustawowe kryteria odwołujące się do </w:t>
      </w:r>
      <w:r w:rsidRPr="007F28C1">
        <w:rPr>
          <w:rFonts w:ascii="Times New Roman" w:hAnsi="Times New Roman" w:cs="Times New Roman"/>
          <w:sz w:val="24"/>
          <w:szCs w:val="24"/>
        </w:rPr>
        <w:t xml:space="preserve">osiągnięć naukowych, potencjału naukowego oraz efektów działalności naukowej </w:t>
      </w:r>
      <w:r w:rsidR="00AA3CF7" w:rsidRPr="007F28C1">
        <w:rPr>
          <w:rFonts w:ascii="Times New Roman" w:hAnsi="Times New Roman" w:cs="Times New Roman"/>
          <w:sz w:val="24"/>
          <w:szCs w:val="24"/>
        </w:rPr>
        <w:t xml:space="preserve">– </w:t>
      </w:r>
      <w:r w:rsidRPr="007F28C1">
        <w:rPr>
          <w:rFonts w:ascii="Times New Roman" w:hAnsi="Times New Roman" w:cs="Times New Roman"/>
          <w:sz w:val="24"/>
          <w:szCs w:val="24"/>
        </w:rPr>
        <w:t>w zakresie rozpoznawania budowy geologicznej Polski oraz analityki, technologii i metodyki poszukiwań złóż uwzględniających specyfikę polskich warunków geologicznych i mających zastosowanie do tych warunków</w:t>
      </w:r>
      <w:r w:rsidR="000B1206" w:rsidRPr="007F28C1">
        <w:rPr>
          <w:rFonts w:ascii="Times New Roman" w:hAnsi="Times New Roman" w:cs="Times New Roman"/>
          <w:sz w:val="24"/>
          <w:szCs w:val="24"/>
        </w:rPr>
        <w:t xml:space="preserve"> –</w:t>
      </w:r>
      <w:r w:rsidR="00FB3305" w:rsidRPr="007F28C1">
        <w:rPr>
          <w:rFonts w:ascii="Times New Roman" w:hAnsi="Times New Roman" w:cs="Times New Roman"/>
          <w:sz w:val="24"/>
          <w:szCs w:val="24"/>
        </w:rPr>
        <w:t xml:space="preserve"> są wyjątkowo nieprecyzyjne. </w:t>
      </w:r>
    </w:p>
    <w:p w14:paraId="70912284" w14:textId="2CF792EB" w:rsidR="00547905" w:rsidRPr="007F28C1" w:rsidRDefault="00547905" w:rsidP="007F28C1">
      <w:pPr>
        <w:numPr>
          <w:ilvl w:val="0"/>
          <w:numId w:val="5"/>
        </w:numPr>
        <w:spacing w:before="12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Pozostałe zmiany porządkujące</w:t>
      </w:r>
      <w:r w:rsidR="006104CB" w:rsidRPr="007F28C1">
        <w:rPr>
          <w:rFonts w:ascii="Times New Roman" w:hAnsi="Times New Roman" w:cs="Times New Roman"/>
          <w:b/>
          <w:bCs/>
          <w:sz w:val="24"/>
          <w:szCs w:val="24"/>
        </w:rPr>
        <w:t xml:space="preserve"> i upraszczające</w:t>
      </w:r>
      <w:r w:rsidR="00894E6E" w:rsidRPr="007F28C1">
        <w:rPr>
          <w:rFonts w:ascii="Times New Roman" w:hAnsi="Times New Roman" w:cs="Times New Roman"/>
          <w:b/>
          <w:bCs/>
          <w:sz w:val="24"/>
          <w:szCs w:val="24"/>
        </w:rPr>
        <w:t>:</w:t>
      </w:r>
    </w:p>
    <w:p w14:paraId="0AE6035D" w14:textId="2E815877" w:rsidR="00547905" w:rsidRPr="007F28C1" w:rsidRDefault="00476FDA" w:rsidP="007F28C1">
      <w:pPr>
        <w:tabs>
          <w:tab w:val="left" w:pos="426"/>
        </w:tabs>
        <w:spacing w:before="120" w:after="0" w:line="360" w:lineRule="auto"/>
        <w:jc w:val="both"/>
        <w:rPr>
          <w:rFonts w:ascii="Times New Roman" w:hAnsi="Times New Roman" w:cs="Times New Roman"/>
          <w:b/>
          <w:bCs/>
          <w:sz w:val="24"/>
          <w:szCs w:val="24"/>
        </w:rPr>
      </w:pPr>
      <w:r w:rsidRPr="007F28C1">
        <w:rPr>
          <w:rFonts w:ascii="Times New Roman" w:hAnsi="Times New Roman" w:cs="Times New Roman"/>
          <w:b/>
          <w:bCs/>
          <w:sz w:val="24"/>
          <w:szCs w:val="24"/>
        </w:rPr>
        <w:t>a)</w:t>
      </w:r>
      <w:r w:rsidR="0004564E">
        <w:rPr>
          <w:rFonts w:ascii="Times New Roman" w:hAnsi="Times New Roman" w:cs="Times New Roman"/>
          <w:b/>
          <w:bCs/>
          <w:sz w:val="24"/>
          <w:szCs w:val="24"/>
        </w:rPr>
        <w:tab/>
      </w:r>
      <w:r w:rsidR="00472D72" w:rsidRPr="007F28C1">
        <w:rPr>
          <w:rFonts w:ascii="Times New Roman" w:hAnsi="Times New Roman" w:cs="Times New Roman"/>
          <w:b/>
          <w:bCs/>
          <w:sz w:val="24"/>
          <w:szCs w:val="24"/>
        </w:rPr>
        <w:t>Egzemplarze dokumentacji geologicznych</w:t>
      </w:r>
    </w:p>
    <w:p w14:paraId="3FA9FC77" w14:textId="4B9A9D96"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art. 93 ust. 1 </w:t>
      </w:r>
      <w:r w:rsidR="00E36415" w:rsidRPr="007F28C1">
        <w:rPr>
          <w:rFonts w:ascii="Times New Roman" w:hAnsi="Times New Roman" w:cs="Times New Roman"/>
          <w:sz w:val="24"/>
          <w:szCs w:val="24"/>
        </w:rPr>
        <w:t>P</w:t>
      </w:r>
      <w:r w:rsidR="002D51D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Pr="007F28C1">
        <w:rPr>
          <w:rFonts w:ascii="Times New Roman" w:hAnsi="Times New Roman" w:cs="Times New Roman"/>
          <w:sz w:val="24"/>
          <w:szCs w:val="24"/>
        </w:rPr>
        <w:t xml:space="preserve"> dokumentację geologiczną, o której mowa w art. 88 ust. 2 pkt 1</w:t>
      </w:r>
      <w:r w:rsidR="004D465A" w:rsidRPr="007F28C1">
        <w:rPr>
          <w:rFonts w:ascii="Times New Roman" w:hAnsi="Times New Roman" w:cs="Times New Roman"/>
          <w:sz w:val="24"/>
          <w:szCs w:val="24"/>
        </w:rPr>
        <w:t>–</w:t>
      </w:r>
      <w:r w:rsidRPr="007F28C1">
        <w:rPr>
          <w:rFonts w:ascii="Times New Roman" w:hAnsi="Times New Roman" w:cs="Times New Roman"/>
          <w:sz w:val="24"/>
          <w:szCs w:val="24"/>
        </w:rPr>
        <w:t xml:space="preserve">3 </w:t>
      </w:r>
      <w:r w:rsidR="004D1453" w:rsidRPr="007F28C1">
        <w:rPr>
          <w:rFonts w:ascii="Times New Roman" w:hAnsi="Times New Roman" w:cs="Times New Roman"/>
          <w:sz w:val="24"/>
          <w:szCs w:val="24"/>
        </w:rPr>
        <w:t xml:space="preserve">P.g.g. </w:t>
      </w:r>
      <w:r w:rsidRPr="007F28C1">
        <w:rPr>
          <w:rFonts w:ascii="Times New Roman" w:hAnsi="Times New Roman" w:cs="Times New Roman"/>
          <w:sz w:val="24"/>
          <w:szCs w:val="24"/>
        </w:rPr>
        <w:t>(to jest dokumentację geologiczną złoża kopaliny, dokumentację geologiczno-inwestycyjną złoża węglowodorów, dokumentację hydrogeologiczną oraz dokumentację geologiczno-inżynierską)</w:t>
      </w:r>
      <w:r w:rsidR="00477BC8">
        <w:rPr>
          <w:rFonts w:ascii="Times New Roman" w:hAnsi="Times New Roman" w:cs="Times New Roman"/>
          <w:sz w:val="24"/>
          <w:szCs w:val="24"/>
        </w:rPr>
        <w:t>,</w:t>
      </w:r>
      <w:r w:rsidRPr="007F28C1">
        <w:rPr>
          <w:rFonts w:ascii="Times New Roman" w:hAnsi="Times New Roman" w:cs="Times New Roman"/>
          <w:sz w:val="24"/>
          <w:szCs w:val="24"/>
        </w:rPr>
        <w:t xml:space="preserve"> przedkłada się właściwemu organowi administracji geologicznej w 4 egzemplarzach w</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postaci papierowej oraz w 4 egzemplarzach w postaci elektronicznej na informatycznych nośnikach danych. Natomiast zgodnie z</w:t>
      </w:r>
      <w:r w:rsidR="00CB622E" w:rsidRPr="007F28C1">
        <w:rPr>
          <w:rFonts w:ascii="Times New Roman" w:hAnsi="Times New Roman" w:cs="Times New Roman"/>
          <w:sz w:val="24"/>
          <w:szCs w:val="24"/>
        </w:rPr>
        <w:t xml:space="preserve"> art. </w:t>
      </w:r>
      <w:r w:rsidRPr="007F28C1">
        <w:rPr>
          <w:rFonts w:ascii="Times New Roman" w:hAnsi="Times New Roman" w:cs="Times New Roman"/>
          <w:sz w:val="24"/>
          <w:szCs w:val="24"/>
        </w:rPr>
        <w:t xml:space="preserve">93 ust. 8 </w:t>
      </w:r>
      <w:r w:rsidR="002D51DE" w:rsidRPr="007F28C1">
        <w:rPr>
          <w:rFonts w:ascii="Times New Roman" w:hAnsi="Times New Roman" w:cs="Times New Roman"/>
          <w:sz w:val="24"/>
          <w:szCs w:val="24"/>
        </w:rPr>
        <w:t>P.g.g.</w:t>
      </w:r>
      <w:r w:rsidR="005B7604" w:rsidRPr="007F28C1">
        <w:rPr>
          <w:rFonts w:ascii="Times New Roman" w:hAnsi="Times New Roman" w:cs="Times New Roman"/>
          <w:bCs/>
          <w:sz w:val="24"/>
          <w:szCs w:val="24"/>
        </w:rPr>
        <w:t xml:space="preserve"> </w:t>
      </w:r>
      <w:r w:rsidRPr="007F28C1">
        <w:rPr>
          <w:rFonts w:ascii="Times New Roman" w:hAnsi="Times New Roman" w:cs="Times New Roman"/>
          <w:sz w:val="24"/>
          <w:szCs w:val="24"/>
        </w:rPr>
        <w:t>dokumentację geologiczną, o której mowa w art. 88 ust. 2 pkt</w:t>
      </w:r>
      <w:r w:rsidR="005569C3" w:rsidRPr="007F28C1">
        <w:rPr>
          <w:rFonts w:ascii="Times New Roman" w:hAnsi="Times New Roman" w:cs="Times New Roman"/>
          <w:sz w:val="24"/>
          <w:szCs w:val="24"/>
        </w:rPr>
        <w:t> </w:t>
      </w:r>
      <w:r w:rsidRPr="007F28C1">
        <w:rPr>
          <w:rFonts w:ascii="Times New Roman" w:hAnsi="Times New Roman" w:cs="Times New Roman"/>
          <w:sz w:val="24"/>
          <w:szCs w:val="24"/>
        </w:rPr>
        <w:t xml:space="preserve">4 </w:t>
      </w:r>
      <w:r w:rsidR="004D1453" w:rsidRPr="007F28C1">
        <w:rPr>
          <w:rFonts w:ascii="Times New Roman" w:hAnsi="Times New Roman" w:cs="Times New Roman"/>
          <w:sz w:val="24"/>
          <w:szCs w:val="24"/>
        </w:rPr>
        <w:t xml:space="preserve">P.g.g. </w:t>
      </w:r>
      <w:r w:rsidRPr="007F28C1">
        <w:rPr>
          <w:rFonts w:ascii="Times New Roman" w:hAnsi="Times New Roman" w:cs="Times New Roman"/>
          <w:sz w:val="24"/>
          <w:szCs w:val="24"/>
        </w:rPr>
        <w:t>(to</w:t>
      </w:r>
      <w:r w:rsidR="006563DD" w:rsidRPr="007F28C1">
        <w:rPr>
          <w:rFonts w:ascii="Times New Roman" w:hAnsi="Times New Roman" w:cs="Times New Roman"/>
          <w:sz w:val="24"/>
          <w:szCs w:val="24"/>
        </w:rPr>
        <w:t> </w:t>
      </w:r>
      <w:r w:rsidRPr="007F28C1">
        <w:rPr>
          <w:rFonts w:ascii="Times New Roman" w:hAnsi="Times New Roman" w:cs="Times New Roman"/>
          <w:sz w:val="24"/>
          <w:szCs w:val="24"/>
        </w:rPr>
        <w:t xml:space="preserve">jest inną dokumentację </w:t>
      </w:r>
      <w:r w:rsidRPr="007F28C1">
        <w:rPr>
          <w:rFonts w:ascii="Times New Roman" w:hAnsi="Times New Roman" w:cs="Times New Roman"/>
          <w:sz w:val="24"/>
          <w:szCs w:val="24"/>
        </w:rPr>
        <w:lastRenderedPageBreak/>
        <w:t>geologiczną), sporządza się w 3 egzemplarzach w postaci papierowej oraz w</w:t>
      </w:r>
      <w:r w:rsidR="006563DD" w:rsidRPr="007F28C1">
        <w:rPr>
          <w:rFonts w:ascii="Times New Roman" w:hAnsi="Times New Roman" w:cs="Times New Roman"/>
          <w:sz w:val="24"/>
          <w:szCs w:val="24"/>
        </w:rPr>
        <w:t> </w:t>
      </w:r>
      <w:r w:rsidRPr="007F28C1">
        <w:rPr>
          <w:rFonts w:ascii="Times New Roman" w:hAnsi="Times New Roman" w:cs="Times New Roman"/>
          <w:sz w:val="24"/>
          <w:szCs w:val="24"/>
        </w:rPr>
        <w:t xml:space="preserve">3 egzemplarzach w postaci elektronicznej na informatycznych nośnikach danych i przekazuje się odpowiednio organowi, który udzielił koncesji, zatwierdził projekt robót geologicznych lub któremu zgłoszono projekt robót geologicznych. </w:t>
      </w:r>
    </w:p>
    <w:p w14:paraId="774740E9" w14:textId="059C61AE"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Konieczne jest zachowanie formy papierowej dokumentacji, z uwagi na ich wielkość (często kilkaset stron opracowania, wymagających dokładnego sprawdzenia), a także z uwagi na liczne wielkoformatowe załączniki graficzne (mapy), które wymagają szczegółowej weryfikacji. Dokładne przeprowadzenie tej weryfikacji nie jest możliwe w przypadku dokumentacji dostępnej wyłącznie w</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wersji elektronicznej, a organy administracji geologicznej nie dysponują sprzętem biurowym umożliwiającym wydruk tak wielkich formatów. Dodatkowym argumentem za sporządzaniem dokumentacji w wersji papierowej jest fakt, że dokumentacje geologiczne muszą zostać podpisane przez osobę posiadającą stwierdzone kwalifikacje geologiczne albo świadczącą usługi transgraniczne w dziedzinie geologii, zazwyczaj nieposiada</w:t>
      </w:r>
      <w:r w:rsidR="00E754CB" w:rsidRPr="007F28C1">
        <w:rPr>
          <w:rFonts w:ascii="Times New Roman" w:hAnsi="Times New Roman" w:cs="Times New Roman"/>
          <w:sz w:val="24"/>
          <w:szCs w:val="24"/>
        </w:rPr>
        <w:t>jącą</w:t>
      </w:r>
      <w:r w:rsidRPr="007F28C1">
        <w:rPr>
          <w:rFonts w:ascii="Times New Roman" w:hAnsi="Times New Roman" w:cs="Times New Roman"/>
          <w:sz w:val="24"/>
          <w:szCs w:val="24"/>
        </w:rPr>
        <w:t xml:space="preserve"> podpisu elektronicznego. Osoby sporządzające dokumentację, które ją również podpisują, ponoszą odpowiedzialność zawodową za wykonywanie czynności polegających na wykonywaniu, dozorowaniu i kierowaniu pracami geologicznymi (w tym m.in. sporządzaniu dokumentacji) z rażącym niedbalstwem, z naruszeniem ustawy lub rażącym naruszeniem wydanych na jej podstawie przepisów</w:t>
      </w:r>
      <w:r w:rsidR="004D465A" w:rsidRPr="007F28C1">
        <w:rPr>
          <w:rFonts w:ascii="Times New Roman" w:hAnsi="Times New Roman" w:cs="Times New Roman"/>
          <w:sz w:val="24"/>
          <w:szCs w:val="24"/>
        </w:rPr>
        <w:t>.</w:t>
      </w:r>
    </w:p>
    <w:p w14:paraId="03922921" w14:textId="3CB39C14"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Mając jednak na względzie </w:t>
      </w:r>
      <w:r w:rsidR="006563DD" w:rsidRPr="007F28C1">
        <w:rPr>
          <w:rFonts w:ascii="Times New Roman" w:hAnsi="Times New Roman" w:cs="Times New Roman"/>
          <w:sz w:val="24"/>
          <w:szCs w:val="24"/>
        </w:rPr>
        <w:t xml:space="preserve">możliwość </w:t>
      </w:r>
      <w:r w:rsidRPr="007F28C1">
        <w:rPr>
          <w:rFonts w:ascii="Times New Roman" w:hAnsi="Times New Roman" w:cs="Times New Roman"/>
          <w:sz w:val="24"/>
          <w:szCs w:val="24"/>
        </w:rPr>
        <w:t>wprowadzeni</w:t>
      </w:r>
      <w:r w:rsidR="006563DD" w:rsidRPr="007F28C1">
        <w:rPr>
          <w:rFonts w:ascii="Times New Roman" w:hAnsi="Times New Roman" w:cs="Times New Roman"/>
          <w:sz w:val="24"/>
          <w:szCs w:val="24"/>
        </w:rPr>
        <w:t>a</w:t>
      </w:r>
      <w:r w:rsidRPr="007F28C1">
        <w:rPr>
          <w:rFonts w:ascii="Times New Roman" w:hAnsi="Times New Roman" w:cs="Times New Roman"/>
          <w:sz w:val="24"/>
          <w:szCs w:val="24"/>
        </w:rPr>
        <w:t xml:space="preserve"> ułatwień dla podmiotów sporządzających dokumentacje geologiczne, </w:t>
      </w:r>
      <w:r w:rsidR="004D465A" w:rsidRPr="007F28C1">
        <w:rPr>
          <w:rFonts w:ascii="Times New Roman" w:hAnsi="Times New Roman" w:cs="Times New Roman"/>
          <w:sz w:val="24"/>
          <w:szCs w:val="24"/>
        </w:rPr>
        <w:t xml:space="preserve">wydaje się </w:t>
      </w:r>
      <w:r w:rsidRPr="007F28C1">
        <w:rPr>
          <w:rFonts w:ascii="Times New Roman" w:hAnsi="Times New Roman" w:cs="Times New Roman"/>
          <w:sz w:val="24"/>
          <w:szCs w:val="24"/>
        </w:rPr>
        <w:t>uzasadnione</w:t>
      </w:r>
      <w:r w:rsidR="006563DD" w:rsidRPr="007F28C1">
        <w:rPr>
          <w:rFonts w:ascii="Times New Roman" w:hAnsi="Times New Roman" w:cs="Times New Roman"/>
          <w:sz w:val="24"/>
          <w:szCs w:val="24"/>
        </w:rPr>
        <w:t xml:space="preserve"> </w:t>
      </w:r>
      <w:r w:rsidR="00E754CB" w:rsidRPr="007F28C1">
        <w:rPr>
          <w:rFonts w:ascii="Times New Roman" w:hAnsi="Times New Roman" w:cs="Times New Roman"/>
          <w:sz w:val="24"/>
          <w:szCs w:val="24"/>
        </w:rPr>
        <w:t xml:space="preserve">ograniczenie </w:t>
      </w:r>
      <w:r w:rsidRPr="007F28C1">
        <w:rPr>
          <w:rFonts w:ascii="Times New Roman" w:hAnsi="Times New Roman" w:cs="Times New Roman"/>
          <w:sz w:val="24"/>
          <w:szCs w:val="24"/>
        </w:rPr>
        <w:t xml:space="preserve">obowiązku przekazywania </w:t>
      </w:r>
      <w:r w:rsidR="00E754CB" w:rsidRPr="007F28C1">
        <w:rPr>
          <w:rFonts w:ascii="Times New Roman" w:hAnsi="Times New Roman" w:cs="Times New Roman"/>
          <w:sz w:val="24"/>
          <w:szCs w:val="24"/>
        </w:rPr>
        <w:t>dokumentacji</w:t>
      </w:r>
      <w:r w:rsidRPr="007F28C1">
        <w:rPr>
          <w:rFonts w:ascii="Times New Roman" w:hAnsi="Times New Roman" w:cs="Times New Roman"/>
          <w:sz w:val="24"/>
          <w:szCs w:val="24"/>
        </w:rPr>
        <w:t xml:space="preserve"> w postaci papierowej</w:t>
      </w:r>
      <w:r w:rsidR="00E754CB" w:rsidRPr="007F28C1">
        <w:rPr>
          <w:rFonts w:ascii="Times New Roman" w:hAnsi="Times New Roman" w:cs="Times New Roman"/>
          <w:sz w:val="24"/>
          <w:szCs w:val="24"/>
        </w:rPr>
        <w:t>. Wydaje się, że rozwiązanie takie jest wystarczające</w:t>
      </w:r>
      <w:r w:rsidR="006563DD" w:rsidRPr="007F28C1">
        <w:rPr>
          <w:rFonts w:ascii="Times New Roman" w:hAnsi="Times New Roman" w:cs="Times New Roman"/>
          <w:sz w:val="24"/>
          <w:szCs w:val="24"/>
        </w:rPr>
        <w:t xml:space="preserve"> </w:t>
      </w:r>
      <w:r w:rsidRPr="007F28C1">
        <w:rPr>
          <w:rFonts w:ascii="Times New Roman" w:hAnsi="Times New Roman" w:cs="Times New Roman"/>
          <w:sz w:val="24"/>
          <w:szCs w:val="24"/>
        </w:rPr>
        <w:t>d</w:t>
      </w:r>
      <w:r w:rsidR="004D465A" w:rsidRPr="007F28C1">
        <w:rPr>
          <w:rFonts w:ascii="Times New Roman" w:hAnsi="Times New Roman" w:cs="Times New Roman"/>
          <w:sz w:val="24"/>
          <w:szCs w:val="24"/>
        </w:rPr>
        <w:t>o</w:t>
      </w:r>
      <w:r w:rsidRPr="007F28C1">
        <w:rPr>
          <w:rFonts w:ascii="Times New Roman" w:hAnsi="Times New Roman" w:cs="Times New Roman"/>
          <w:sz w:val="24"/>
          <w:szCs w:val="24"/>
        </w:rPr>
        <w:t xml:space="preserve"> realizacji ustawowych obowiązków organów administracji geologicznej oraz obowiązków związanych ze sporządzeniem studiów uwarunkowań i kierunków zagospodarowania przestrzennego gmin, miejscowych planów zagospodarowania przestrzennego oraz planów zagospodarowania przestrzennego województwa.</w:t>
      </w:r>
    </w:p>
    <w:p w14:paraId="662E1F79" w14:textId="0CB46828" w:rsidR="008D08BD" w:rsidRPr="007F28C1" w:rsidRDefault="000202AD"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W art. 93</w:t>
      </w:r>
      <w:r w:rsidR="00C120A9" w:rsidRPr="007F28C1">
        <w:rPr>
          <w:rFonts w:ascii="Times New Roman" w:eastAsia="Times New Roman" w:hAnsi="Times New Roman" w:cs="Times New Roman"/>
          <w:sz w:val="24"/>
          <w:szCs w:val="24"/>
          <w:lang w:eastAsia="pl-PL"/>
        </w:rPr>
        <w:t xml:space="preserve"> ust. 1</w:t>
      </w:r>
      <w:r w:rsidRPr="007F28C1">
        <w:rPr>
          <w:rFonts w:ascii="Times New Roman" w:eastAsia="Times New Roman" w:hAnsi="Times New Roman" w:cs="Times New Roman"/>
          <w:sz w:val="24"/>
          <w:szCs w:val="24"/>
          <w:lang w:eastAsia="pl-PL"/>
        </w:rPr>
        <w:t xml:space="preserve"> P</w:t>
      </w:r>
      <w:r w:rsidR="002D51D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2D51D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2D51DE" w:rsidRPr="007F28C1">
        <w:rPr>
          <w:rFonts w:ascii="Times New Roman" w:eastAsia="Times New Roman" w:hAnsi="Times New Roman" w:cs="Times New Roman"/>
          <w:sz w:val="24"/>
          <w:szCs w:val="24"/>
          <w:lang w:eastAsia="pl-PL"/>
        </w:rPr>
        <w:t>.</w:t>
      </w:r>
      <w:r w:rsidR="00E91311" w:rsidRPr="007F28C1">
        <w:rPr>
          <w:rFonts w:ascii="Times New Roman" w:hAnsi="Times New Roman" w:cs="Times New Roman"/>
          <w:sz w:val="24"/>
          <w:szCs w:val="24"/>
        </w:rPr>
        <w:t xml:space="preserve"> ograniczono liczbę egzemplarzy dokumentacji geologicznej, o</w:t>
      </w:r>
      <w:r w:rsidR="006563DD" w:rsidRPr="007F28C1">
        <w:rPr>
          <w:rFonts w:ascii="Times New Roman" w:hAnsi="Times New Roman" w:cs="Times New Roman"/>
          <w:sz w:val="24"/>
          <w:szCs w:val="24"/>
        </w:rPr>
        <w:t> </w:t>
      </w:r>
      <w:r w:rsidR="00E91311" w:rsidRPr="007F28C1">
        <w:rPr>
          <w:rFonts w:ascii="Times New Roman" w:hAnsi="Times New Roman" w:cs="Times New Roman"/>
          <w:sz w:val="24"/>
          <w:szCs w:val="24"/>
        </w:rPr>
        <w:t xml:space="preserve">której mowa w art. 88 ust. 2 pkt 1–3 </w:t>
      </w:r>
      <w:r w:rsidR="002D51DE" w:rsidRPr="007F28C1">
        <w:rPr>
          <w:rFonts w:ascii="Times New Roman" w:hAnsi="Times New Roman" w:cs="Times New Roman"/>
          <w:sz w:val="24"/>
          <w:szCs w:val="24"/>
        </w:rPr>
        <w:t>P.g.g.</w:t>
      </w:r>
      <w:r w:rsidR="006563DD" w:rsidRPr="007F28C1">
        <w:rPr>
          <w:rFonts w:ascii="Times New Roman" w:hAnsi="Times New Roman" w:cs="Times New Roman"/>
          <w:sz w:val="24"/>
          <w:szCs w:val="24"/>
        </w:rPr>
        <w:t>,</w:t>
      </w:r>
      <w:r w:rsidR="00E91311" w:rsidRPr="007F28C1">
        <w:rPr>
          <w:rFonts w:ascii="Times New Roman" w:hAnsi="Times New Roman" w:cs="Times New Roman"/>
          <w:sz w:val="24"/>
          <w:szCs w:val="24"/>
        </w:rPr>
        <w:t xml:space="preserve"> przedkładanej do zatwierdzenia właściwemu organowi administracji geologicznej – z 4 do 2 egzemplarzy w postaci papierowej, pozostawiając jednocześnie obowiązek przekazania dokumentacji geologicznej w</w:t>
      </w:r>
      <w:r w:rsidRPr="007F28C1">
        <w:rPr>
          <w:rFonts w:ascii="Times New Roman" w:hAnsi="Times New Roman" w:cs="Times New Roman"/>
          <w:sz w:val="24"/>
          <w:szCs w:val="24"/>
        </w:rPr>
        <w:t xml:space="preserve"> </w:t>
      </w:r>
      <w:r w:rsidR="00E91311" w:rsidRPr="007F28C1">
        <w:rPr>
          <w:rFonts w:ascii="Times New Roman" w:hAnsi="Times New Roman" w:cs="Times New Roman"/>
          <w:sz w:val="24"/>
          <w:szCs w:val="24"/>
        </w:rPr>
        <w:t>4</w:t>
      </w:r>
      <w:r w:rsidRPr="007F28C1">
        <w:rPr>
          <w:rFonts w:ascii="Times New Roman" w:hAnsi="Times New Roman" w:cs="Times New Roman"/>
          <w:sz w:val="24"/>
          <w:szCs w:val="24"/>
        </w:rPr>
        <w:t xml:space="preserve"> </w:t>
      </w:r>
      <w:r w:rsidR="00E91311" w:rsidRPr="007F28C1">
        <w:rPr>
          <w:rFonts w:ascii="Times New Roman" w:hAnsi="Times New Roman" w:cs="Times New Roman"/>
          <w:sz w:val="24"/>
          <w:szCs w:val="24"/>
        </w:rPr>
        <w:t>egzemplarzach w postaci elektronicznej</w:t>
      </w:r>
      <w:r w:rsidR="00BA6A97" w:rsidRPr="007F28C1">
        <w:rPr>
          <w:rFonts w:ascii="Times New Roman" w:hAnsi="Times New Roman" w:cs="Times New Roman"/>
          <w:sz w:val="24"/>
          <w:szCs w:val="24"/>
        </w:rPr>
        <w:t xml:space="preserve"> </w:t>
      </w:r>
      <w:r w:rsidR="00E91311" w:rsidRPr="007F28C1">
        <w:rPr>
          <w:rFonts w:ascii="Times New Roman" w:hAnsi="Times New Roman" w:cs="Times New Roman"/>
          <w:sz w:val="24"/>
          <w:szCs w:val="24"/>
        </w:rPr>
        <w:t>na</w:t>
      </w:r>
      <w:r w:rsidR="000F690B" w:rsidRPr="007F28C1">
        <w:rPr>
          <w:rFonts w:ascii="Times New Roman" w:hAnsi="Times New Roman" w:cs="Times New Roman"/>
          <w:sz w:val="24"/>
          <w:szCs w:val="24"/>
        </w:rPr>
        <w:t> </w:t>
      </w:r>
      <w:r w:rsidR="00E91311" w:rsidRPr="007F28C1">
        <w:rPr>
          <w:rFonts w:ascii="Times New Roman" w:hAnsi="Times New Roman" w:cs="Times New Roman"/>
          <w:sz w:val="24"/>
          <w:szCs w:val="24"/>
        </w:rPr>
        <w:t xml:space="preserve">informatycznych nośnikach danych. </w:t>
      </w:r>
      <w:r w:rsidR="0087516D" w:rsidRPr="007F28C1">
        <w:rPr>
          <w:rFonts w:ascii="Times New Roman" w:eastAsia="Times New Roman" w:hAnsi="Times New Roman" w:cs="Times New Roman"/>
          <w:sz w:val="24"/>
          <w:szCs w:val="24"/>
          <w:lang w:eastAsia="pl-PL"/>
        </w:rPr>
        <w:t>W art. 94</w:t>
      </w:r>
      <w:r w:rsidR="00C120A9" w:rsidRPr="007F28C1">
        <w:rPr>
          <w:rFonts w:ascii="Times New Roman" w:eastAsia="Times New Roman" w:hAnsi="Times New Roman" w:cs="Times New Roman"/>
          <w:sz w:val="24"/>
          <w:szCs w:val="24"/>
          <w:lang w:eastAsia="pl-PL"/>
        </w:rPr>
        <w:t xml:space="preserve"> ust. 1 pkt 4, ust. 1a</w:t>
      </w:r>
      <w:r w:rsidR="004D465A" w:rsidRPr="007F28C1">
        <w:rPr>
          <w:rFonts w:ascii="Times New Roman" w:eastAsia="Times New Roman" w:hAnsi="Times New Roman" w:cs="Times New Roman"/>
          <w:sz w:val="24"/>
          <w:szCs w:val="24"/>
          <w:lang w:eastAsia="pl-PL"/>
        </w:rPr>
        <w:t xml:space="preserve"> i </w:t>
      </w:r>
      <w:r w:rsidR="00C120A9" w:rsidRPr="007F28C1">
        <w:rPr>
          <w:rFonts w:ascii="Times New Roman" w:eastAsia="Times New Roman" w:hAnsi="Times New Roman" w:cs="Times New Roman"/>
          <w:sz w:val="24"/>
          <w:szCs w:val="24"/>
          <w:lang w:eastAsia="pl-PL"/>
        </w:rPr>
        <w:t>3</w:t>
      </w:r>
      <w:r w:rsidR="0087516D" w:rsidRPr="007F28C1">
        <w:rPr>
          <w:rFonts w:ascii="Times New Roman" w:eastAsia="Times New Roman" w:hAnsi="Times New Roman" w:cs="Times New Roman"/>
          <w:sz w:val="24"/>
          <w:szCs w:val="24"/>
          <w:lang w:eastAsia="pl-PL"/>
        </w:rPr>
        <w:t xml:space="preserve"> </w:t>
      </w:r>
      <w:r w:rsidR="002D51DE" w:rsidRPr="007F28C1">
        <w:rPr>
          <w:rFonts w:ascii="Times New Roman" w:hAnsi="Times New Roman" w:cs="Times New Roman"/>
          <w:sz w:val="24"/>
          <w:szCs w:val="24"/>
        </w:rPr>
        <w:t>P.g.g.</w:t>
      </w:r>
      <w:r w:rsidR="0087516D" w:rsidRPr="007F28C1">
        <w:rPr>
          <w:rFonts w:ascii="Times New Roman" w:hAnsi="Times New Roman" w:cs="Times New Roman"/>
          <w:sz w:val="24"/>
          <w:szCs w:val="24"/>
        </w:rPr>
        <w:t xml:space="preserve"> </w:t>
      </w:r>
      <w:r w:rsidR="00E91311" w:rsidRPr="007F28C1">
        <w:rPr>
          <w:rFonts w:ascii="Times New Roman" w:hAnsi="Times New Roman" w:cs="Times New Roman"/>
          <w:sz w:val="24"/>
          <w:szCs w:val="24"/>
        </w:rPr>
        <w:t>doprecyzowano również, że</w:t>
      </w:r>
      <w:r w:rsidR="0087516D" w:rsidRPr="007F28C1">
        <w:rPr>
          <w:rFonts w:ascii="Times New Roman" w:hAnsi="Times New Roman" w:cs="Times New Roman"/>
          <w:sz w:val="24"/>
          <w:szCs w:val="24"/>
        </w:rPr>
        <w:t> </w:t>
      </w:r>
      <w:r w:rsidR="00E91311" w:rsidRPr="007F28C1">
        <w:rPr>
          <w:rFonts w:ascii="Times New Roman" w:hAnsi="Times New Roman" w:cs="Times New Roman"/>
          <w:sz w:val="24"/>
          <w:szCs w:val="24"/>
        </w:rPr>
        <w:t>1</w:t>
      </w:r>
      <w:r w:rsidR="0087516D" w:rsidRPr="007F28C1">
        <w:rPr>
          <w:rFonts w:ascii="Times New Roman" w:hAnsi="Times New Roman" w:cs="Times New Roman"/>
          <w:sz w:val="24"/>
          <w:szCs w:val="24"/>
        </w:rPr>
        <w:t> </w:t>
      </w:r>
      <w:r w:rsidR="00E91311" w:rsidRPr="007F28C1">
        <w:rPr>
          <w:rFonts w:ascii="Times New Roman" w:hAnsi="Times New Roman" w:cs="Times New Roman"/>
          <w:sz w:val="24"/>
          <w:szCs w:val="24"/>
        </w:rPr>
        <w:t>egzemplarz dokumentacji w postaci papierowej będzie przekazywany do</w:t>
      </w:r>
      <w:r w:rsidR="0087516D" w:rsidRPr="007F28C1">
        <w:rPr>
          <w:rFonts w:ascii="Times New Roman" w:hAnsi="Times New Roman" w:cs="Times New Roman"/>
          <w:sz w:val="24"/>
          <w:szCs w:val="24"/>
        </w:rPr>
        <w:t> </w:t>
      </w:r>
      <w:r w:rsidR="00E91311" w:rsidRPr="007F28C1">
        <w:rPr>
          <w:rFonts w:ascii="Times New Roman" w:hAnsi="Times New Roman" w:cs="Times New Roman"/>
          <w:sz w:val="24"/>
          <w:szCs w:val="24"/>
        </w:rPr>
        <w:t xml:space="preserve">podmiotu sporządzającego dokumentację, a drugi egzemplarz – do </w:t>
      </w:r>
      <w:r w:rsidR="002D51DE" w:rsidRPr="007F28C1">
        <w:rPr>
          <w:rFonts w:ascii="Times New Roman" w:hAnsi="Times New Roman" w:cs="Times New Roman"/>
          <w:sz w:val="24"/>
          <w:szCs w:val="24"/>
        </w:rPr>
        <w:t>PSG</w:t>
      </w:r>
      <w:r w:rsidR="008C67A5" w:rsidRPr="007F28C1">
        <w:rPr>
          <w:rFonts w:ascii="Times New Roman" w:hAnsi="Times New Roman" w:cs="Times New Roman"/>
          <w:sz w:val="24"/>
          <w:szCs w:val="24"/>
        </w:rPr>
        <w:t xml:space="preserve"> prowadzącej archiwum, o którym mowa w art. 162 ust. 1 pkt 2 P</w:t>
      </w:r>
      <w:r w:rsidR="002D51DE" w:rsidRPr="007F28C1">
        <w:rPr>
          <w:rFonts w:ascii="Times New Roman" w:hAnsi="Times New Roman" w:cs="Times New Roman"/>
          <w:sz w:val="24"/>
          <w:szCs w:val="24"/>
        </w:rPr>
        <w:t>.</w:t>
      </w:r>
      <w:r w:rsidR="008C67A5"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008C67A5" w:rsidRPr="007F28C1">
        <w:rPr>
          <w:rFonts w:ascii="Times New Roman" w:hAnsi="Times New Roman" w:cs="Times New Roman"/>
          <w:sz w:val="24"/>
          <w:szCs w:val="24"/>
        </w:rPr>
        <w:t>g</w:t>
      </w:r>
      <w:r w:rsidR="00E91311" w:rsidRPr="007F28C1">
        <w:rPr>
          <w:rFonts w:ascii="Times New Roman" w:hAnsi="Times New Roman" w:cs="Times New Roman"/>
          <w:sz w:val="24"/>
          <w:szCs w:val="24"/>
        </w:rPr>
        <w:t xml:space="preserve">. Pozostałe organy </w:t>
      </w:r>
      <w:r w:rsidR="00E91311" w:rsidRPr="007F28C1">
        <w:rPr>
          <w:rFonts w:ascii="Times New Roman" w:hAnsi="Times New Roman" w:cs="Times New Roman"/>
          <w:sz w:val="24"/>
          <w:szCs w:val="24"/>
        </w:rPr>
        <w:lastRenderedPageBreak/>
        <w:t>administracji geologicznej – marszałek województwa oraz starosta – otrzymają dokumentację geologiczną wyłącznie w postaci elektronicznej na</w:t>
      </w:r>
      <w:r w:rsidR="00D2588E" w:rsidRPr="007F28C1">
        <w:rPr>
          <w:rFonts w:ascii="Times New Roman" w:hAnsi="Times New Roman" w:cs="Times New Roman"/>
          <w:sz w:val="24"/>
          <w:szCs w:val="24"/>
        </w:rPr>
        <w:t> </w:t>
      </w:r>
      <w:r w:rsidR="00E91311" w:rsidRPr="007F28C1">
        <w:rPr>
          <w:rFonts w:ascii="Times New Roman" w:hAnsi="Times New Roman" w:cs="Times New Roman"/>
          <w:sz w:val="24"/>
          <w:szCs w:val="24"/>
        </w:rPr>
        <w:t>informatycznych nośnikach danych.</w:t>
      </w:r>
      <w:r w:rsidR="008D08BD" w:rsidRPr="007F28C1">
        <w:rPr>
          <w:rFonts w:ascii="Times New Roman" w:hAnsi="Times New Roman" w:cs="Times New Roman"/>
          <w:sz w:val="24"/>
          <w:szCs w:val="24"/>
        </w:rPr>
        <w:t xml:space="preserve"> Zgodnie z </w:t>
      </w:r>
      <w:r w:rsidR="002D51DE" w:rsidRPr="007F28C1">
        <w:rPr>
          <w:rFonts w:ascii="Times New Roman" w:hAnsi="Times New Roman" w:cs="Times New Roman"/>
          <w:sz w:val="24"/>
          <w:szCs w:val="24"/>
        </w:rPr>
        <w:t>przepisami przejściowymi</w:t>
      </w:r>
      <w:r w:rsidR="00E03FE9" w:rsidRPr="007F28C1">
        <w:rPr>
          <w:rFonts w:ascii="Times New Roman" w:hAnsi="Times New Roman" w:cs="Times New Roman"/>
          <w:sz w:val="24"/>
          <w:szCs w:val="24"/>
        </w:rPr>
        <w:t xml:space="preserve"> </w:t>
      </w:r>
      <w:r w:rsidR="008D08BD" w:rsidRPr="007F28C1">
        <w:rPr>
          <w:rFonts w:ascii="Times New Roman" w:eastAsia="Times New Roman" w:hAnsi="Times New Roman" w:cs="Times New Roman"/>
          <w:sz w:val="24"/>
          <w:szCs w:val="24"/>
        </w:rPr>
        <w:t>nowe zasady postępowania znajdą zastosowanie w trwających postępowaniach w sprawie zatwierdzenia dokumentacji geologicznych.</w:t>
      </w:r>
    </w:p>
    <w:p w14:paraId="60CDF037" w14:textId="11AAFCBF" w:rsidR="00E91311" w:rsidRPr="007F28C1" w:rsidRDefault="0087516D"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W art. 93 </w:t>
      </w:r>
      <w:r w:rsidR="00C120A9" w:rsidRPr="007F28C1">
        <w:rPr>
          <w:rFonts w:ascii="Times New Roman" w:eastAsia="Times New Roman" w:hAnsi="Times New Roman" w:cs="Times New Roman"/>
          <w:sz w:val="24"/>
          <w:szCs w:val="24"/>
          <w:lang w:eastAsia="pl-PL"/>
        </w:rPr>
        <w:t xml:space="preserve">ust. 8 </w:t>
      </w:r>
      <w:r w:rsidRPr="007F28C1">
        <w:rPr>
          <w:rFonts w:ascii="Times New Roman" w:eastAsia="Times New Roman" w:hAnsi="Times New Roman" w:cs="Times New Roman"/>
          <w:sz w:val="24"/>
          <w:szCs w:val="24"/>
          <w:lang w:eastAsia="pl-PL"/>
        </w:rPr>
        <w:t>P</w:t>
      </w:r>
      <w:r w:rsidR="002D51D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2D51D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2D51DE" w:rsidRPr="007F28C1">
        <w:rPr>
          <w:rFonts w:ascii="Times New Roman" w:eastAsia="Times New Roman" w:hAnsi="Times New Roman" w:cs="Times New Roman"/>
          <w:sz w:val="24"/>
          <w:szCs w:val="24"/>
          <w:lang w:eastAsia="pl-PL"/>
        </w:rPr>
        <w:t>.</w:t>
      </w:r>
      <w:r w:rsidRPr="007F28C1">
        <w:rPr>
          <w:rFonts w:ascii="Times New Roman" w:hAnsi="Times New Roman" w:cs="Times New Roman"/>
          <w:sz w:val="24"/>
          <w:szCs w:val="24"/>
        </w:rPr>
        <w:t xml:space="preserve"> </w:t>
      </w:r>
      <w:r w:rsidR="00E91311" w:rsidRPr="007F28C1">
        <w:rPr>
          <w:rFonts w:ascii="Times New Roman" w:hAnsi="Times New Roman" w:cs="Times New Roman"/>
          <w:sz w:val="24"/>
          <w:szCs w:val="24"/>
        </w:rPr>
        <w:t xml:space="preserve">ograniczono </w:t>
      </w:r>
      <w:r w:rsidRPr="007F28C1">
        <w:rPr>
          <w:rFonts w:ascii="Times New Roman" w:hAnsi="Times New Roman" w:cs="Times New Roman"/>
          <w:sz w:val="24"/>
          <w:szCs w:val="24"/>
        </w:rPr>
        <w:t xml:space="preserve">również </w:t>
      </w:r>
      <w:r w:rsidR="00E91311" w:rsidRPr="007F28C1">
        <w:rPr>
          <w:rFonts w:ascii="Times New Roman" w:hAnsi="Times New Roman" w:cs="Times New Roman"/>
          <w:sz w:val="24"/>
          <w:szCs w:val="24"/>
        </w:rPr>
        <w:t>liczbę egzemplarzy dokumentacji geologicznej, o</w:t>
      </w:r>
      <w:r w:rsidRPr="007F28C1">
        <w:rPr>
          <w:rFonts w:ascii="Times New Roman" w:hAnsi="Times New Roman" w:cs="Times New Roman"/>
          <w:sz w:val="24"/>
          <w:szCs w:val="24"/>
        </w:rPr>
        <w:t> </w:t>
      </w:r>
      <w:r w:rsidR="00E91311" w:rsidRPr="007F28C1">
        <w:rPr>
          <w:rFonts w:ascii="Times New Roman" w:hAnsi="Times New Roman" w:cs="Times New Roman"/>
          <w:sz w:val="24"/>
          <w:szCs w:val="24"/>
        </w:rPr>
        <w:t xml:space="preserve">której mowa w art. 88 ust. 2 pkt 4 </w:t>
      </w:r>
      <w:r w:rsidR="002D51DE" w:rsidRPr="007F28C1">
        <w:rPr>
          <w:rFonts w:ascii="Times New Roman" w:hAnsi="Times New Roman" w:cs="Times New Roman"/>
          <w:sz w:val="24"/>
          <w:szCs w:val="24"/>
        </w:rPr>
        <w:t>P.g.g.</w:t>
      </w:r>
      <w:r w:rsidR="009E75B9">
        <w:rPr>
          <w:rFonts w:ascii="Times New Roman" w:hAnsi="Times New Roman" w:cs="Times New Roman"/>
          <w:sz w:val="24"/>
          <w:szCs w:val="24"/>
        </w:rPr>
        <w:t>,</w:t>
      </w:r>
      <w:r w:rsidR="005B7604" w:rsidRPr="007F28C1">
        <w:rPr>
          <w:rFonts w:ascii="Times New Roman" w:hAnsi="Times New Roman" w:cs="Times New Roman"/>
          <w:bCs/>
          <w:sz w:val="24"/>
          <w:szCs w:val="24"/>
        </w:rPr>
        <w:t xml:space="preserve"> </w:t>
      </w:r>
      <w:r w:rsidR="00E91311" w:rsidRPr="007F28C1">
        <w:rPr>
          <w:rFonts w:ascii="Times New Roman" w:hAnsi="Times New Roman" w:cs="Times New Roman"/>
          <w:sz w:val="24"/>
          <w:szCs w:val="24"/>
        </w:rPr>
        <w:t>przekazywanej do właściwego organu administracji geologicznej – z</w:t>
      </w:r>
      <w:r w:rsidR="000202AD" w:rsidRPr="007F28C1">
        <w:rPr>
          <w:rFonts w:ascii="Times New Roman" w:hAnsi="Times New Roman" w:cs="Times New Roman"/>
          <w:sz w:val="24"/>
          <w:szCs w:val="24"/>
        </w:rPr>
        <w:t> </w:t>
      </w:r>
      <w:r w:rsidR="00E91311" w:rsidRPr="007F28C1">
        <w:rPr>
          <w:rFonts w:ascii="Times New Roman" w:hAnsi="Times New Roman" w:cs="Times New Roman"/>
          <w:sz w:val="24"/>
          <w:szCs w:val="24"/>
        </w:rPr>
        <w:t>3</w:t>
      </w:r>
      <w:r w:rsidR="000202AD" w:rsidRPr="007F28C1">
        <w:rPr>
          <w:rFonts w:ascii="Times New Roman" w:hAnsi="Times New Roman" w:cs="Times New Roman"/>
          <w:sz w:val="24"/>
          <w:szCs w:val="24"/>
        </w:rPr>
        <w:t> </w:t>
      </w:r>
      <w:r w:rsidR="00E91311" w:rsidRPr="007F28C1">
        <w:rPr>
          <w:rFonts w:ascii="Times New Roman" w:hAnsi="Times New Roman" w:cs="Times New Roman"/>
          <w:sz w:val="24"/>
          <w:szCs w:val="24"/>
        </w:rPr>
        <w:t>do 1 egzemplarza w postaci papierowej, pozostawiając jednocześnie obowiązek przekazania dokumentacji geologicznej w 3 egzemplarzach w</w:t>
      </w:r>
      <w:r w:rsidR="00E754CB" w:rsidRPr="007F28C1">
        <w:rPr>
          <w:rFonts w:ascii="Times New Roman" w:hAnsi="Times New Roman" w:cs="Times New Roman"/>
          <w:sz w:val="24"/>
          <w:szCs w:val="24"/>
        </w:rPr>
        <w:t> </w:t>
      </w:r>
      <w:r w:rsidR="00E91311" w:rsidRPr="007F28C1">
        <w:rPr>
          <w:rFonts w:ascii="Times New Roman" w:hAnsi="Times New Roman" w:cs="Times New Roman"/>
          <w:sz w:val="24"/>
          <w:szCs w:val="24"/>
        </w:rPr>
        <w:t>postaci elektronicznej na</w:t>
      </w:r>
      <w:r w:rsidR="000F690B" w:rsidRPr="007F28C1">
        <w:rPr>
          <w:rFonts w:ascii="Times New Roman" w:hAnsi="Times New Roman" w:cs="Times New Roman"/>
          <w:sz w:val="24"/>
          <w:szCs w:val="24"/>
        </w:rPr>
        <w:t> </w:t>
      </w:r>
      <w:r w:rsidR="00E91311" w:rsidRPr="007F28C1">
        <w:rPr>
          <w:rFonts w:ascii="Times New Roman" w:hAnsi="Times New Roman" w:cs="Times New Roman"/>
          <w:sz w:val="24"/>
          <w:szCs w:val="24"/>
        </w:rPr>
        <w:t xml:space="preserve">informatycznych nośnikach danych. </w:t>
      </w:r>
      <w:r w:rsidRPr="007F28C1">
        <w:rPr>
          <w:rFonts w:ascii="Times New Roman" w:eastAsia="Times New Roman" w:hAnsi="Times New Roman" w:cs="Times New Roman"/>
          <w:sz w:val="24"/>
          <w:szCs w:val="24"/>
          <w:lang w:eastAsia="pl-PL"/>
        </w:rPr>
        <w:t xml:space="preserve">W art. 94 </w:t>
      </w:r>
      <w:r w:rsidR="00C120A9" w:rsidRPr="007F28C1">
        <w:rPr>
          <w:rFonts w:ascii="Times New Roman" w:eastAsia="Times New Roman" w:hAnsi="Times New Roman" w:cs="Times New Roman"/>
          <w:sz w:val="24"/>
          <w:szCs w:val="24"/>
          <w:lang w:eastAsia="pl-PL"/>
        </w:rPr>
        <w:t>ust.</w:t>
      </w:r>
      <w:r w:rsidR="007A7CF8" w:rsidRPr="007F28C1">
        <w:rPr>
          <w:rFonts w:ascii="Times New Roman" w:eastAsia="Times New Roman" w:hAnsi="Times New Roman" w:cs="Times New Roman"/>
          <w:sz w:val="24"/>
          <w:szCs w:val="24"/>
          <w:lang w:eastAsia="pl-PL"/>
        </w:rPr>
        <w:t> </w:t>
      </w:r>
      <w:r w:rsidR="00C120A9" w:rsidRPr="007F28C1">
        <w:rPr>
          <w:rFonts w:ascii="Times New Roman" w:eastAsia="Times New Roman" w:hAnsi="Times New Roman" w:cs="Times New Roman"/>
          <w:sz w:val="24"/>
          <w:szCs w:val="24"/>
          <w:lang w:eastAsia="pl-PL"/>
        </w:rPr>
        <w:t xml:space="preserve">2 i 3 </w:t>
      </w:r>
      <w:r w:rsidR="002D51DE" w:rsidRPr="007F28C1">
        <w:rPr>
          <w:rFonts w:ascii="Times New Roman" w:hAnsi="Times New Roman" w:cs="Times New Roman"/>
          <w:sz w:val="24"/>
          <w:szCs w:val="24"/>
        </w:rPr>
        <w:t>P.g.g.</w:t>
      </w:r>
      <w:r w:rsidRPr="007F28C1">
        <w:rPr>
          <w:rFonts w:ascii="Times New Roman" w:hAnsi="Times New Roman" w:cs="Times New Roman"/>
          <w:sz w:val="24"/>
          <w:szCs w:val="24"/>
        </w:rPr>
        <w:t xml:space="preserve"> </w:t>
      </w:r>
      <w:r w:rsidR="00E91311" w:rsidRPr="007F28C1">
        <w:rPr>
          <w:rFonts w:ascii="Times New Roman" w:hAnsi="Times New Roman" w:cs="Times New Roman"/>
          <w:sz w:val="24"/>
          <w:szCs w:val="24"/>
        </w:rPr>
        <w:t>doprecyzowano również, że 1</w:t>
      </w:r>
      <w:r w:rsidR="000F690B" w:rsidRPr="007F28C1">
        <w:rPr>
          <w:rFonts w:ascii="Times New Roman" w:hAnsi="Times New Roman" w:cs="Times New Roman"/>
          <w:sz w:val="24"/>
          <w:szCs w:val="24"/>
        </w:rPr>
        <w:t> </w:t>
      </w:r>
      <w:r w:rsidR="00E91311" w:rsidRPr="007F28C1">
        <w:rPr>
          <w:rFonts w:ascii="Times New Roman" w:hAnsi="Times New Roman" w:cs="Times New Roman"/>
          <w:sz w:val="24"/>
          <w:szCs w:val="24"/>
        </w:rPr>
        <w:t>egzemplarz dokumentacji w postaci papierowej będzie przekazywany do</w:t>
      </w:r>
      <w:r w:rsidR="00C120A9" w:rsidRPr="007F28C1">
        <w:rPr>
          <w:rFonts w:ascii="Times New Roman" w:hAnsi="Times New Roman" w:cs="Times New Roman"/>
          <w:sz w:val="24"/>
          <w:szCs w:val="24"/>
        </w:rPr>
        <w:t> </w:t>
      </w:r>
      <w:r w:rsidR="002D51DE" w:rsidRPr="007F28C1">
        <w:rPr>
          <w:rFonts w:ascii="Times New Roman" w:hAnsi="Times New Roman" w:cs="Times New Roman"/>
          <w:sz w:val="24"/>
          <w:szCs w:val="24"/>
        </w:rPr>
        <w:t>PSG</w:t>
      </w:r>
      <w:r w:rsidR="008C67A5" w:rsidRPr="007F28C1">
        <w:rPr>
          <w:rFonts w:ascii="Times New Roman" w:hAnsi="Times New Roman" w:cs="Times New Roman"/>
          <w:sz w:val="24"/>
          <w:szCs w:val="24"/>
        </w:rPr>
        <w:t xml:space="preserve"> prowadzącej archiwum, o którym mowa w</w:t>
      </w:r>
      <w:r w:rsidR="007A7CF8" w:rsidRPr="007F28C1">
        <w:rPr>
          <w:rFonts w:ascii="Times New Roman" w:hAnsi="Times New Roman" w:cs="Times New Roman"/>
          <w:sz w:val="24"/>
          <w:szCs w:val="24"/>
        </w:rPr>
        <w:t> </w:t>
      </w:r>
      <w:r w:rsidR="008C67A5" w:rsidRPr="007F28C1">
        <w:rPr>
          <w:rFonts w:ascii="Times New Roman" w:hAnsi="Times New Roman" w:cs="Times New Roman"/>
          <w:sz w:val="24"/>
          <w:szCs w:val="24"/>
        </w:rPr>
        <w:t>art. 162 ust. 1 pkt 2 P</w:t>
      </w:r>
      <w:r w:rsidR="003A7D28" w:rsidRPr="007F28C1">
        <w:rPr>
          <w:rFonts w:ascii="Times New Roman" w:hAnsi="Times New Roman" w:cs="Times New Roman"/>
          <w:sz w:val="24"/>
          <w:szCs w:val="24"/>
        </w:rPr>
        <w:t>.</w:t>
      </w:r>
      <w:r w:rsidR="008C67A5"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008C67A5" w:rsidRPr="007F28C1">
        <w:rPr>
          <w:rFonts w:ascii="Times New Roman" w:hAnsi="Times New Roman" w:cs="Times New Roman"/>
          <w:sz w:val="24"/>
          <w:szCs w:val="24"/>
        </w:rPr>
        <w:t>g</w:t>
      </w:r>
      <w:r w:rsidR="00E91311" w:rsidRPr="007F28C1">
        <w:rPr>
          <w:rFonts w:ascii="Times New Roman" w:hAnsi="Times New Roman" w:cs="Times New Roman"/>
          <w:sz w:val="24"/>
          <w:szCs w:val="24"/>
        </w:rPr>
        <w:t>. Pozostałe organy administracji geologicznej – marszałek województwa oraz starosta – otrzymają dokumentację geologiczną wyłącznie w postaci elektronicznej na informatycznych nośnikach danych.</w:t>
      </w:r>
    </w:p>
    <w:p w14:paraId="26043B0D" w14:textId="5B5C100C" w:rsidR="007A7CF8" w:rsidRPr="007F28C1" w:rsidRDefault="007A7CF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w:t>
      </w:r>
      <w:r w:rsidR="002D51DE" w:rsidRPr="007F28C1">
        <w:rPr>
          <w:rFonts w:ascii="Times New Roman" w:hAnsi="Times New Roman" w:cs="Times New Roman"/>
          <w:sz w:val="24"/>
          <w:szCs w:val="24"/>
        </w:rPr>
        <w:t>.</w:t>
      </w:r>
      <w:r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Pr="007F28C1">
        <w:rPr>
          <w:rFonts w:ascii="Times New Roman" w:hAnsi="Times New Roman" w:cs="Times New Roman"/>
          <w:sz w:val="24"/>
          <w:szCs w:val="24"/>
        </w:rPr>
        <w:t xml:space="preserve"> w dotychczasowym brzmieniu, w przypadku gdy dokumentacja geologiczna, o której mowa w</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art. 88 ust. 2 pkt 4 </w:t>
      </w:r>
      <w:r w:rsidR="002D51DE" w:rsidRPr="007F28C1">
        <w:rPr>
          <w:rFonts w:ascii="Times New Roman" w:hAnsi="Times New Roman" w:cs="Times New Roman"/>
          <w:sz w:val="24"/>
          <w:szCs w:val="24"/>
        </w:rPr>
        <w:t>P.g.g.</w:t>
      </w:r>
      <w:r w:rsidR="00B46954" w:rsidRPr="007F28C1">
        <w:rPr>
          <w:rFonts w:ascii="Times New Roman" w:hAnsi="Times New Roman" w:cs="Times New Roman"/>
          <w:sz w:val="24"/>
          <w:szCs w:val="24"/>
        </w:rPr>
        <w:t>,</w:t>
      </w:r>
      <w:r w:rsidRPr="007F28C1">
        <w:rPr>
          <w:rFonts w:ascii="Times New Roman" w:hAnsi="Times New Roman" w:cs="Times New Roman"/>
          <w:sz w:val="24"/>
          <w:szCs w:val="24"/>
        </w:rPr>
        <w:t xml:space="preserve"> nie odpowiadała wymaganiom prawa</w:t>
      </w:r>
      <w:r w:rsidR="004D465A" w:rsidRPr="007F28C1">
        <w:rPr>
          <w:rFonts w:ascii="Times New Roman" w:hAnsi="Times New Roman" w:cs="Times New Roman"/>
          <w:sz w:val="24"/>
          <w:szCs w:val="24"/>
        </w:rPr>
        <w:t>,</w:t>
      </w:r>
      <w:r w:rsidRPr="007F28C1">
        <w:rPr>
          <w:rFonts w:ascii="Times New Roman" w:hAnsi="Times New Roman" w:cs="Times New Roman"/>
          <w:sz w:val="24"/>
          <w:szCs w:val="24"/>
        </w:rPr>
        <w:t xml:space="preserve"> nie przewidywał</w:t>
      </w:r>
      <w:r w:rsidR="004D465A" w:rsidRPr="007F28C1">
        <w:rPr>
          <w:rFonts w:ascii="Times New Roman" w:hAnsi="Times New Roman" w:cs="Times New Roman"/>
          <w:sz w:val="24"/>
          <w:szCs w:val="24"/>
        </w:rPr>
        <w:t>o</w:t>
      </w:r>
      <w:r w:rsidRPr="007F28C1">
        <w:rPr>
          <w:rFonts w:ascii="Times New Roman" w:hAnsi="Times New Roman" w:cs="Times New Roman"/>
          <w:sz w:val="24"/>
          <w:szCs w:val="24"/>
        </w:rPr>
        <w:t xml:space="preserve"> konieczności wzywania przez właściwy organ administracji geologicznej do jej uzupełnienia. </w:t>
      </w:r>
      <w:r w:rsidR="00B46954" w:rsidRPr="007F28C1">
        <w:rPr>
          <w:rFonts w:ascii="Times New Roman" w:hAnsi="Times New Roman" w:cs="Times New Roman"/>
          <w:sz w:val="24"/>
          <w:szCs w:val="24"/>
        </w:rPr>
        <w:t xml:space="preserve">Mając na względzie potrzebę zapewnienia wysokiej jakości dokumentacji geologicznych, przedstawiających wyniki prac geologicznych i zawierających informację geologiczną, </w:t>
      </w:r>
      <w:r w:rsidR="008D08BD" w:rsidRPr="007F28C1">
        <w:rPr>
          <w:rFonts w:ascii="Times New Roman" w:hAnsi="Times New Roman" w:cs="Times New Roman"/>
          <w:sz w:val="24"/>
          <w:szCs w:val="24"/>
        </w:rPr>
        <w:t>w</w:t>
      </w:r>
      <w:r w:rsidR="002D51DE" w:rsidRPr="007F28C1">
        <w:rPr>
          <w:rFonts w:ascii="Times New Roman" w:hAnsi="Times New Roman" w:cs="Times New Roman"/>
          <w:sz w:val="24"/>
          <w:szCs w:val="24"/>
        </w:rPr>
        <w:t>e wprowadzonym</w:t>
      </w:r>
      <w:r w:rsidR="008D08BD" w:rsidRPr="007F28C1">
        <w:rPr>
          <w:rFonts w:ascii="Times New Roman" w:hAnsi="Times New Roman" w:cs="Times New Roman"/>
          <w:sz w:val="24"/>
          <w:szCs w:val="24"/>
        </w:rPr>
        <w:t xml:space="preserve"> art. 93 ust. 10 P</w:t>
      </w:r>
      <w:r w:rsidR="002D51DE" w:rsidRPr="007F28C1">
        <w:rPr>
          <w:rFonts w:ascii="Times New Roman" w:hAnsi="Times New Roman" w:cs="Times New Roman"/>
          <w:sz w:val="24"/>
          <w:szCs w:val="24"/>
        </w:rPr>
        <w:t>.</w:t>
      </w:r>
      <w:r w:rsidR="008D08BD"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008D08BD"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008D08BD" w:rsidRPr="007F28C1">
        <w:rPr>
          <w:rFonts w:ascii="Times New Roman" w:hAnsi="Times New Roman" w:cs="Times New Roman"/>
          <w:bCs/>
          <w:sz w:val="24"/>
          <w:szCs w:val="24"/>
        </w:rPr>
        <w:t xml:space="preserve"> </w:t>
      </w:r>
      <w:r w:rsidR="008D08BD" w:rsidRPr="007F28C1">
        <w:rPr>
          <w:rFonts w:ascii="Times New Roman" w:hAnsi="Times New Roman" w:cs="Times New Roman"/>
          <w:sz w:val="24"/>
          <w:szCs w:val="24"/>
        </w:rPr>
        <w:t>przewidziano</w:t>
      </w:r>
      <w:r w:rsidR="00B46954" w:rsidRPr="007F28C1">
        <w:rPr>
          <w:rFonts w:ascii="Times New Roman" w:hAnsi="Times New Roman" w:cs="Times New Roman"/>
          <w:sz w:val="24"/>
          <w:szCs w:val="24"/>
        </w:rPr>
        <w:t>, aby właściwy organ administracji geologicznej, do którego została przedłożona inna dokumentacja geologiczna, miał obowiązek weryfikacji tej dokumentacji oraz, w</w:t>
      </w:r>
      <w:r w:rsidR="008D08BD" w:rsidRPr="007F28C1">
        <w:rPr>
          <w:rFonts w:ascii="Times New Roman" w:hAnsi="Times New Roman" w:cs="Times New Roman"/>
          <w:sz w:val="24"/>
          <w:szCs w:val="24"/>
        </w:rPr>
        <w:t> </w:t>
      </w:r>
      <w:r w:rsidR="00B46954" w:rsidRPr="007F28C1">
        <w:rPr>
          <w:rFonts w:ascii="Times New Roman" w:hAnsi="Times New Roman" w:cs="Times New Roman"/>
          <w:sz w:val="24"/>
          <w:szCs w:val="24"/>
        </w:rPr>
        <w:t xml:space="preserve">przypadku stwierdzenia </w:t>
      </w:r>
      <w:r w:rsidR="0089331C" w:rsidRPr="007F28C1">
        <w:rPr>
          <w:rFonts w:ascii="Times New Roman" w:hAnsi="Times New Roman" w:cs="Times New Roman"/>
          <w:sz w:val="24"/>
          <w:szCs w:val="24"/>
        </w:rPr>
        <w:t xml:space="preserve">błędów lub </w:t>
      </w:r>
      <w:r w:rsidR="00B46954" w:rsidRPr="007F28C1">
        <w:rPr>
          <w:rFonts w:ascii="Times New Roman" w:hAnsi="Times New Roman" w:cs="Times New Roman"/>
          <w:sz w:val="24"/>
          <w:szCs w:val="24"/>
        </w:rPr>
        <w:t xml:space="preserve">braków, wezwania </w:t>
      </w:r>
      <w:r w:rsidR="0089331C" w:rsidRPr="007F28C1">
        <w:rPr>
          <w:rFonts w:ascii="Times New Roman" w:hAnsi="Times New Roman" w:cs="Times New Roman"/>
          <w:sz w:val="24"/>
          <w:szCs w:val="24"/>
        </w:rPr>
        <w:t xml:space="preserve">odpowiednio </w:t>
      </w:r>
      <w:r w:rsidR="00B46954" w:rsidRPr="007F28C1">
        <w:rPr>
          <w:rFonts w:ascii="Times New Roman" w:hAnsi="Times New Roman" w:cs="Times New Roman"/>
          <w:sz w:val="24"/>
          <w:szCs w:val="24"/>
        </w:rPr>
        <w:t xml:space="preserve">do jej </w:t>
      </w:r>
      <w:r w:rsidR="0089331C" w:rsidRPr="007F28C1">
        <w:rPr>
          <w:rFonts w:ascii="Times New Roman" w:hAnsi="Times New Roman" w:cs="Times New Roman"/>
          <w:sz w:val="24"/>
          <w:szCs w:val="24"/>
        </w:rPr>
        <w:t xml:space="preserve">poprawy lub </w:t>
      </w:r>
      <w:r w:rsidR="00B46954" w:rsidRPr="007F28C1">
        <w:rPr>
          <w:rFonts w:ascii="Times New Roman" w:hAnsi="Times New Roman" w:cs="Times New Roman"/>
          <w:sz w:val="24"/>
          <w:szCs w:val="24"/>
        </w:rPr>
        <w:t>uzupełnienia</w:t>
      </w:r>
      <w:r w:rsidR="008D08BD" w:rsidRPr="007F28C1">
        <w:rPr>
          <w:rFonts w:ascii="Times New Roman" w:hAnsi="Times New Roman" w:cs="Times New Roman"/>
          <w:sz w:val="24"/>
          <w:szCs w:val="24"/>
        </w:rPr>
        <w:t xml:space="preserve">. Dodatkowo w </w:t>
      </w:r>
      <w:r w:rsidR="002D51DE" w:rsidRPr="007F28C1">
        <w:rPr>
          <w:rFonts w:ascii="Times New Roman" w:hAnsi="Times New Roman" w:cs="Times New Roman"/>
          <w:sz w:val="24"/>
          <w:szCs w:val="24"/>
        </w:rPr>
        <w:t>projektowanym</w:t>
      </w:r>
      <w:r w:rsidR="00E03FE9" w:rsidRPr="007F28C1">
        <w:rPr>
          <w:rFonts w:ascii="Times New Roman" w:hAnsi="Times New Roman" w:cs="Times New Roman"/>
          <w:sz w:val="24"/>
          <w:szCs w:val="24"/>
        </w:rPr>
        <w:t xml:space="preserve"> </w:t>
      </w:r>
      <w:r w:rsidR="008D08BD" w:rsidRPr="007F28C1">
        <w:rPr>
          <w:rFonts w:ascii="Times New Roman" w:hAnsi="Times New Roman" w:cs="Times New Roman"/>
          <w:sz w:val="24"/>
          <w:szCs w:val="24"/>
        </w:rPr>
        <w:t>art. 93 ust. 11 P</w:t>
      </w:r>
      <w:r w:rsidR="002D51DE" w:rsidRPr="007F28C1">
        <w:rPr>
          <w:rFonts w:ascii="Times New Roman" w:hAnsi="Times New Roman" w:cs="Times New Roman"/>
          <w:sz w:val="24"/>
          <w:szCs w:val="24"/>
        </w:rPr>
        <w:t>.</w:t>
      </w:r>
      <w:r w:rsidR="008D08BD"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008D08BD" w:rsidRPr="007F28C1">
        <w:rPr>
          <w:rFonts w:ascii="Times New Roman" w:hAnsi="Times New Roman" w:cs="Times New Roman"/>
          <w:sz w:val="24"/>
          <w:szCs w:val="24"/>
        </w:rPr>
        <w:t>g</w:t>
      </w:r>
      <w:r w:rsidR="002D51DE" w:rsidRPr="007F28C1">
        <w:rPr>
          <w:rFonts w:ascii="Times New Roman" w:hAnsi="Times New Roman" w:cs="Times New Roman"/>
          <w:sz w:val="24"/>
          <w:szCs w:val="24"/>
        </w:rPr>
        <w:t>.</w:t>
      </w:r>
      <w:r w:rsidR="00E03FE9" w:rsidRPr="007F28C1">
        <w:rPr>
          <w:rFonts w:ascii="Times New Roman" w:hAnsi="Times New Roman" w:cs="Times New Roman"/>
          <w:sz w:val="24"/>
          <w:szCs w:val="24"/>
        </w:rPr>
        <w:t xml:space="preserve"> </w:t>
      </w:r>
      <w:r w:rsidR="008D08BD" w:rsidRPr="007F28C1">
        <w:rPr>
          <w:rFonts w:ascii="Times New Roman" w:hAnsi="Times New Roman" w:cs="Times New Roman"/>
          <w:sz w:val="24"/>
          <w:szCs w:val="24"/>
        </w:rPr>
        <w:t xml:space="preserve">przewidziano, w przypadku gdy podmiot w ogóle nie przekaże innej dokumentacji geologicznej, </w:t>
      </w:r>
      <w:r w:rsidR="004840E3">
        <w:rPr>
          <w:rFonts w:ascii="Times New Roman" w:hAnsi="Times New Roman" w:cs="Times New Roman"/>
          <w:sz w:val="24"/>
          <w:szCs w:val="24"/>
        </w:rPr>
        <w:t xml:space="preserve">że </w:t>
      </w:r>
      <w:r w:rsidR="008D08BD" w:rsidRPr="007F28C1">
        <w:rPr>
          <w:rFonts w:ascii="Times New Roman" w:hAnsi="Times New Roman" w:cs="Times New Roman"/>
          <w:sz w:val="24"/>
          <w:szCs w:val="24"/>
        </w:rPr>
        <w:t xml:space="preserve">organ administracji geologicznej </w:t>
      </w:r>
      <w:r w:rsidR="003C55D9" w:rsidRPr="007F28C1">
        <w:rPr>
          <w:rFonts w:ascii="Times New Roman" w:hAnsi="Times New Roman" w:cs="Times New Roman"/>
          <w:sz w:val="24"/>
          <w:szCs w:val="24"/>
        </w:rPr>
        <w:t xml:space="preserve">będzie </w:t>
      </w:r>
      <w:r w:rsidR="008D08BD" w:rsidRPr="007F28C1">
        <w:rPr>
          <w:rFonts w:ascii="Times New Roman" w:hAnsi="Times New Roman" w:cs="Times New Roman"/>
          <w:sz w:val="24"/>
          <w:szCs w:val="24"/>
        </w:rPr>
        <w:t xml:space="preserve">wzywał ten podmiot </w:t>
      </w:r>
      <w:r w:rsidR="004840E3">
        <w:rPr>
          <w:rFonts w:ascii="Times New Roman" w:hAnsi="Times New Roman" w:cs="Times New Roman"/>
          <w:sz w:val="24"/>
          <w:szCs w:val="24"/>
        </w:rPr>
        <w:t>d</w:t>
      </w:r>
      <w:r w:rsidR="008D08BD" w:rsidRPr="007F28C1">
        <w:rPr>
          <w:rFonts w:ascii="Times New Roman" w:hAnsi="Times New Roman" w:cs="Times New Roman"/>
          <w:sz w:val="24"/>
          <w:szCs w:val="24"/>
        </w:rPr>
        <w:t>o</w:t>
      </w:r>
      <w:r w:rsidR="00621E21" w:rsidRPr="007F28C1">
        <w:rPr>
          <w:rFonts w:ascii="Times New Roman" w:hAnsi="Times New Roman" w:cs="Times New Roman"/>
          <w:sz w:val="24"/>
          <w:szCs w:val="24"/>
        </w:rPr>
        <w:t> </w:t>
      </w:r>
      <w:r w:rsidR="008D08BD" w:rsidRPr="007F28C1">
        <w:rPr>
          <w:rFonts w:ascii="Times New Roman" w:hAnsi="Times New Roman" w:cs="Times New Roman"/>
          <w:sz w:val="24"/>
          <w:szCs w:val="24"/>
        </w:rPr>
        <w:t>wypełnienia ustawowego obowiązku.</w:t>
      </w:r>
    </w:p>
    <w:p w14:paraId="590E218B" w14:textId="06FEDD26" w:rsidR="006A2F01" w:rsidRPr="007F28C1" w:rsidRDefault="006A2F0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w:t>
      </w:r>
      <w:r w:rsidR="002D51DE" w:rsidRPr="007F28C1">
        <w:rPr>
          <w:rFonts w:ascii="Times New Roman" w:hAnsi="Times New Roman" w:cs="Times New Roman"/>
          <w:sz w:val="24"/>
          <w:szCs w:val="24"/>
        </w:rPr>
        <w:t>przepisami przejściowymi</w:t>
      </w:r>
      <w:r w:rsidR="00CE6539" w:rsidRPr="007F28C1">
        <w:rPr>
          <w:rFonts w:ascii="Times New Roman" w:hAnsi="Times New Roman" w:cs="Times New Roman"/>
          <w:sz w:val="24"/>
          <w:szCs w:val="24"/>
        </w:rPr>
        <w:t xml:space="preserve"> </w:t>
      </w:r>
      <w:r w:rsidRPr="007F28C1">
        <w:rPr>
          <w:rFonts w:ascii="Times New Roman" w:eastAsia="Times New Roman" w:hAnsi="Times New Roman" w:cs="Times New Roman"/>
          <w:sz w:val="24"/>
          <w:szCs w:val="24"/>
        </w:rPr>
        <w:t xml:space="preserve">nowe zasady znajdą zastosowanie do przedłożonych innych dokumentacji geologicznych, które nie zostały jeszcze przesłane pozostałym właściwym miejscowo organom administracji geologicznej zgodnie z art. 94 ust. </w:t>
      </w:r>
      <w:r w:rsidR="008D5815" w:rsidRPr="007F28C1">
        <w:rPr>
          <w:rFonts w:ascii="Times New Roman" w:eastAsia="Times New Roman" w:hAnsi="Times New Roman" w:cs="Times New Roman"/>
          <w:sz w:val="24"/>
          <w:szCs w:val="24"/>
        </w:rPr>
        <w:t>2</w:t>
      </w:r>
      <w:r w:rsidRPr="007F28C1">
        <w:rPr>
          <w:rFonts w:ascii="Times New Roman" w:eastAsia="Times New Roman" w:hAnsi="Times New Roman" w:cs="Times New Roman"/>
          <w:sz w:val="24"/>
          <w:szCs w:val="24"/>
        </w:rPr>
        <w:t xml:space="preserve"> </w:t>
      </w:r>
      <w:r w:rsidR="002D51DE" w:rsidRPr="007F28C1">
        <w:rPr>
          <w:rFonts w:ascii="Times New Roman" w:hAnsi="Times New Roman" w:cs="Times New Roman"/>
          <w:sz w:val="24"/>
          <w:szCs w:val="24"/>
        </w:rPr>
        <w:t>P.g.g</w:t>
      </w:r>
      <w:r w:rsidRPr="007F28C1">
        <w:rPr>
          <w:rFonts w:ascii="Times New Roman" w:eastAsia="Times New Roman" w:hAnsi="Times New Roman" w:cs="Times New Roman"/>
          <w:sz w:val="24"/>
          <w:szCs w:val="24"/>
        </w:rPr>
        <w:t>.</w:t>
      </w:r>
    </w:p>
    <w:p w14:paraId="1D2360A3" w14:textId="1C3BE4D2" w:rsidR="003F730E" w:rsidRPr="007F28C1" w:rsidRDefault="006A2F0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w:t>
      </w:r>
      <w:r w:rsidR="003F730E" w:rsidRPr="007F28C1">
        <w:rPr>
          <w:rFonts w:ascii="Times New Roman" w:hAnsi="Times New Roman" w:cs="Times New Roman"/>
          <w:sz w:val="24"/>
          <w:szCs w:val="24"/>
        </w:rPr>
        <w:t xml:space="preserve">art. 89 ust. 5 </w:t>
      </w:r>
      <w:r w:rsidRPr="007F28C1">
        <w:rPr>
          <w:rFonts w:ascii="Times New Roman" w:hAnsi="Times New Roman" w:cs="Times New Roman"/>
          <w:sz w:val="24"/>
          <w:szCs w:val="24"/>
        </w:rPr>
        <w:t>P</w:t>
      </w:r>
      <w:r w:rsidR="00E34DC2" w:rsidRPr="007F28C1">
        <w:rPr>
          <w:rFonts w:ascii="Times New Roman" w:hAnsi="Times New Roman" w:cs="Times New Roman"/>
          <w:sz w:val="24"/>
          <w:szCs w:val="24"/>
        </w:rPr>
        <w:t>.</w:t>
      </w:r>
      <w:r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0E1A87" w:rsidRPr="007F28C1">
        <w:rPr>
          <w:rFonts w:ascii="Times New Roman" w:hAnsi="Times New Roman" w:cs="Times New Roman"/>
          <w:sz w:val="24"/>
          <w:szCs w:val="24"/>
        </w:rPr>
        <w:t xml:space="preserve"> </w:t>
      </w:r>
      <w:r w:rsidR="004D465A" w:rsidRPr="007F28C1">
        <w:rPr>
          <w:rFonts w:ascii="Times New Roman" w:hAnsi="Times New Roman" w:cs="Times New Roman"/>
          <w:sz w:val="24"/>
          <w:szCs w:val="24"/>
        </w:rPr>
        <w:t xml:space="preserve">zostało </w:t>
      </w:r>
      <w:r w:rsidR="003F730E" w:rsidRPr="007F28C1">
        <w:rPr>
          <w:rFonts w:ascii="Times New Roman" w:hAnsi="Times New Roman" w:cs="Times New Roman"/>
          <w:sz w:val="24"/>
          <w:szCs w:val="24"/>
        </w:rPr>
        <w:t xml:space="preserve">przewidziane rozwiązanie w sytuacji, kiedy </w:t>
      </w:r>
      <w:r w:rsidR="004D465A" w:rsidRPr="007F28C1">
        <w:rPr>
          <w:rFonts w:ascii="Times New Roman" w:hAnsi="Times New Roman" w:cs="Times New Roman"/>
          <w:sz w:val="24"/>
          <w:szCs w:val="24"/>
        </w:rPr>
        <w:t xml:space="preserve">był </w:t>
      </w:r>
      <w:r w:rsidR="003F730E" w:rsidRPr="007F28C1">
        <w:rPr>
          <w:rFonts w:ascii="Times New Roman" w:hAnsi="Times New Roman" w:cs="Times New Roman"/>
          <w:sz w:val="24"/>
          <w:szCs w:val="24"/>
        </w:rPr>
        <w:t xml:space="preserve">dokonywany podział udokumentowanego złoża. Doświadczenie organu administracji geologicznej wskazuje, że niejednokrotnie zdarzają się sytuacje, w których </w:t>
      </w:r>
      <w:r w:rsidR="004D465A" w:rsidRPr="007F28C1">
        <w:rPr>
          <w:rFonts w:ascii="Times New Roman" w:hAnsi="Times New Roman" w:cs="Times New Roman"/>
          <w:sz w:val="24"/>
          <w:szCs w:val="24"/>
        </w:rPr>
        <w:t xml:space="preserve">jest </w:t>
      </w:r>
      <w:r w:rsidR="003F730E" w:rsidRPr="007F28C1">
        <w:rPr>
          <w:rFonts w:ascii="Times New Roman" w:hAnsi="Times New Roman" w:cs="Times New Roman"/>
          <w:sz w:val="24"/>
          <w:szCs w:val="24"/>
        </w:rPr>
        <w:t xml:space="preserve">dokonywane łączenie złóż. Sytuacje takie zostały co prawda przewidziane w rozporządzeniu Ministra Środowiska </w:t>
      </w:r>
      <w:r w:rsidR="0089053B" w:rsidRPr="007F28C1">
        <w:rPr>
          <w:rFonts w:ascii="Times New Roman" w:hAnsi="Times New Roman" w:cs="Times New Roman"/>
          <w:sz w:val="24"/>
          <w:szCs w:val="24"/>
        </w:rPr>
        <w:t xml:space="preserve">z dnia </w:t>
      </w:r>
      <w:r w:rsidR="0089053B" w:rsidRPr="007F28C1">
        <w:rPr>
          <w:rFonts w:ascii="Times New Roman" w:hAnsi="Times New Roman" w:cs="Times New Roman"/>
          <w:sz w:val="24"/>
          <w:szCs w:val="24"/>
        </w:rPr>
        <w:lastRenderedPageBreak/>
        <w:t xml:space="preserve">1 lipca 2015 r. </w:t>
      </w:r>
      <w:r w:rsidR="003F730E" w:rsidRPr="007F28C1">
        <w:rPr>
          <w:rFonts w:ascii="Times New Roman" w:hAnsi="Times New Roman" w:cs="Times New Roman"/>
          <w:sz w:val="24"/>
          <w:szCs w:val="24"/>
        </w:rPr>
        <w:t>w sprawie dokumentacji geologicznej złoża kopaliny, z wyłączeniem złoża węglowodorów (Dz.</w:t>
      </w:r>
      <w:r w:rsidR="008D5815" w:rsidRPr="007F28C1">
        <w:rPr>
          <w:rFonts w:ascii="Times New Roman" w:hAnsi="Times New Roman" w:cs="Times New Roman"/>
          <w:sz w:val="24"/>
          <w:szCs w:val="24"/>
        </w:rPr>
        <w:t xml:space="preserve"> </w:t>
      </w:r>
      <w:r w:rsidR="003F730E" w:rsidRPr="007F28C1">
        <w:rPr>
          <w:rFonts w:ascii="Times New Roman" w:hAnsi="Times New Roman" w:cs="Times New Roman"/>
          <w:sz w:val="24"/>
          <w:szCs w:val="24"/>
        </w:rPr>
        <w:t>U. poz. 987) oraz</w:t>
      </w:r>
      <w:r w:rsidR="00D2588E" w:rsidRPr="007F28C1">
        <w:rPr>
          <w:rFonts w:ascii="Times New Roman" w:hAnsi="Times New Roman" w:cs="Times New Roman"/>
          <w:sz w:val="24"/>
          <w:szCs w:val="24"/>
        </w:rPr>
        <w:t> </w:t>
      </w:r>
      <w:r w:rsidR="003F730E" w:rsidRPr="007F28C1">
        <w:rPr>
          <w:rFonts w:ascii="Times New Roman" w:hAnsi="Times New Roman" w:cs="Times New Roman"/>
          <w:sz w:val="24"/>
          <w:szCs w:val="24"/>
        </w:rPr>
        <w:t>w</w:t>
      </w:r>
      <w:r w:rsidR="003F730E" w:rsidRPr="007F28C1">
        <w:rPr>
          <w:rFonts w:ascii="Times New Roman" w:eastAsia="Times New Roman" w:hAnsi="Times New Roman" w:cs="Times New Roman"/>
          <w:sz w:val="24"/>
          <w:szCs w:val="24"/>
          <w:lang w:eastAsia="pl-PL"/>
        </w:rPr>
        <w:t> </w:t>
      </w:r>
      <w:r w:rsidR="003F730E" w:rsidRPr="007F28C1">
        <w:rPr>
          <w:rFonts w:ascii="Times New Roman" w:hAnsi="Times New Roman" w:cs="Times New Roman"/>
          <w:sz w:val="24"/>
          <w:szCs w:val="24"/>
        </w:rPr>
        <w:t xml:space="preserve">rozporządzeniu Ministra Środowiska </w:t>
      </w:r>
      <w:r w:rsidR="0089053B" w:rsidRPr="007F28C1">
        <w:rPr>
          <w:rFonts w:ascii="Times New Roman" w:hAnsi="Times New Roman" w:cs="Times New Roman"/>
          <w:sz w:val="24"/>
          <w:szCs w:val="24"/>
        </w:rPr>
        <w:t xml:space="preserve">z dnia 1 lipca 2015 r. </w:t>
      </w:r>
      <w:r w:rsidR="003F730E" w:rsidRPr="007F28C1">
        <w:rPr>
          <w:rFonts w:ascii="Times New Roman" w:hAnsi="Times New Roman" w:cs="Times New Roman"/>
          <w:sz w:val="24"/>
          <w:szCs w:val="24"/>
        </w:rPr>
        <w:t>w sprawie dokumentacji geologiczno-inwestycyjnej złoża węglowodorów</w:t>
      </w:r>
      <w:r w:rsidR="003F730E" w:rsidRPr="007F28C1">
        <w:rPr>
          <w:rFonts w:ascii="Times New Roman" w:eastAsia="Times New Roman" w:hAnsi="Times New Roman" w:cs="Times New Roman"/>
          <w:sz w:val="24"/>
          <w:szCs w:val="24"/>
          <w:lang w:eastAsia="pl-PL"/>
        </w:rPr>
        <w:t xml:space="preserve"> (</w:t>
      </w:r>
      <w:r w:rsidR="003F730E" w:rsidRPr="007F28C1">
        <w:rPr>
          <w:rFonts w:ascii="Times New Roman" w:hAnsi="Times New Roman" w:cs="Times New Roman"/>
          <w:sz w:val="24"/>
          <w:szCs w:val="24"/>
        </w:rPr>
        <w:t>Dz.</w:t>
      </w:r>
      <w:r w:rsidR="008D5815" w:rsidRPr="007F28C1">
        <w:rPr>
          <w:rFonts w:ascii="Times New Roman" w:hAnsi="Times New Roman" w:cs="Times New Roman"/>
          <w:sz w:val="24"/>
          <w:szCs w:val="24"/>
        </w:rPr>
        <w:t xml:space="preserve"> </w:t>
      </w:r>
      <w:r w:rsidR="003F730E" w:rsidRPr="007F28C1">
        <w:rPr>
          <w:rFonts w:ascii="Times New Roman" w:hAnsi="Times New Roman" w:cs="Times New Roman"/>
          <w:sz w:val="24"/>
          <w:szCs w:val="24"/>
        </w:rPr>
        <w:t xml:space="preserve">U. poz. 968), niemniej jednak zagadnienie to powinno być </w:t>
      </w:r>
      <w:r w:rsidR="0068093A" w:rsidRPr="007F28C1">
        <w:rPr>
          <w:rFonts w:ascii="Times New Roman" w:hAnsi="Times New Roman" w:cs="Times New Roman"/>
          <w:sz w:val="24"/>
          <w:szCs w:val="24"/>
        </w:rPr>
        <w:t>uregulowane w P</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 a nie w aktach wykonawczych do tej ustawy. Mając powyższe na względzie</w:t>
      </w:r>
      <w:r w:rsidR="001E0ECF">
        <w:rPr>
          <w:rFonts w:ascii="Times New Roman" w:hAnsi="Times New Roman" w:cs="Times New Roman"/>
          <w:sz w:val="24"/>
          <w:szCs w:val="24"/>
        </w:rPr>
        <w:t>,</w:t>
      </w:r>
      <w:r w:rsidR="0068093A" w:rsidRPr="007F28C1">
        <w:rPr>
          <w:rFonts w:ascii="Times New Roman" w:hAnsi="Times New Roman" w:cs="Times New Roman"/>
          <w:sz w:val="24"/>
          <w:szCs w:val="24"/>
        </w:rPr>
        <w:t xml:space="preserve"> w</w:t>
      </w:r>
      <w:r w:rsidR="00D2588E" w:rsidRPr="007F28C1">
        <w:rPr>
          <w:rFonts w:ascii="Times New Roman" w:hAnsi="Times New Roman" w:cs="Times New Roman"/>
          <w:sz w:val="24"/>
          <w:szCs w:val="24"/>
        </w:rPr>
        <w:t> </w:t>
      </w:r>
      <w:r w:rsidR="0068093A" w:rsidRPr="007F28C1">
        <w:rPr>
          <w:rFonts w:ascii="Times New Roman" w:hAnsi="Times New Roman" w:cs="Times New Roman"/>
          <w:sz w:val="24"/>
          <w:szCs w:val="24"/>
        </w:rPr>
        <w:t>art. 89 ust. 6 P</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 xml:space="preserve"> oraz art. 89a ust. 1 P</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68093A" w:rsidRPr="007F28C1">
        <w:rPr>
          <w:rFonts w:ascii="Times New Roman" w:hAnsi="Times New Roman" w:cs="Times New Roman"/>
          <w:sz w:val="24"/>
          <w:szCs w:val="24"/>
        </w:rPr>
        <w:t xml:space="preserve"> dodano przepisy regulujące kwestię łączenia złóż kopalin.</w:t>
      </w:r>
    </w:p>
    <w:p w14:paraId="489B077C" w14:textId="10052368" w:rsidR="0068093A" w:rsidRPr="007F28C1" w:rsidRDefault="0068093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związku z powyższym </w:t>
      </w:r>
      <w:r w:rsidR="00761107" w:rsidRPr="007F28C1">
        <w:rPr>
          <w:rFonts w:ascii="Times New Roman" w:hAnsi="Times New Roman" w:cs="Times New Roman"/>
          <w:sz w:val="24"/>
          <w:szCs w:val="24"/>
        </w:rPr>
        <w:t xml:space="preserve">stało się </w:t>
      </w:r>
      <w:r w:rsidRPr="007F28C1">
        <w:rPr>
          <w:rFonts w:ascii="Times New Roman" w:hAnsi="Times New Roman" w:cs="Times New Roman"/>
          <w:sz w:val="24"/>
          <w:szCs w:val="24"/>
        </w:rPr>
        <w:t>konieczne również uregulowanie kwestii łączenia złóż kopalin nieobjętych własnością górniczą, poszukiwanych lub rozpoznawanych na obszarze do 2 ha w celu wydobycia metodą odkrywkową w ilości do 20 000 m</w:t>
      </w:r>
      <w:r w:rsidRPr="007F28C1">
        <w:rPr>
          <w:rFonts w:ascii="Times New Roman" w:hAnsi="Times New Roman" w:cs="Times New Roman"/>
          <w:sz w:val="24"/>
          <w:szCs w:val="24"/>
          <w:vertAlign w:val="superscript"/>
        </w:rPr>
        <w:t>3</w:t>
      </w:r>
      <w:r w:rsidRPr="007F28C1">
        <w:rPr>
          <w:rFonts w:ascii="Times New Roman" w:hAnsi="Times New Roman" w:cs="Times New Roman"/>
          <w:sz w:val="24"/>
          <w:szCs w:val="24"/>
        </w:rPr>
        <w:t xml:space="preserve"> w roku kalendarzowym i bez użycia środków strzałowych, które zgodnie z art. 161 ust. 2 pkt 1 P</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 xml:space="preserve"> znajdują się w kompetencji starosty. W</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art. 160 </w:t>
      </w:r>
      <w:r w:rsidR="001A1790" w:rsidRPr="007F28C1">
        <w:rPr>
          <w:rFonts w:ascii="Times New Roman" w:hAnsi="Times New Roman" w:cs="Times New Roman"/>
          <w:sz w:val="24"/>
          <w:szCs w:val="24"/>
        </w:rPr>
        <w:t>ust. 2 P</w:t>
      </w:r>
      <w:r w:rsidR="00E34DC2" w:rsidRPr="007F28C1">
        <w:rPr>
          <w:rFonts w:ascii="Times New Roman" w:hAnsi="Times New Roman" w:cs="Times New Roman"/>
          <w:sz w:val="24"/>
          <w:szCs w:val="24"/>
        </w:rPr>
        <w:t>.</w:t>
      </w:r>
      <w:r w:rsidR="001A1790"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1A1790"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1A1790" w:rsidRPr="007F28C1">
        <w:rPr>
          <w:rFonts w:ascii="Times New Roman" w:hAnsi="Times New Roman" w:cs="Times New Roman"/>
          <w:sz w:val="24"/>
          <w:szCs w:val="24"/>
        </w:rPr>
        <w:t xml:space="preserve"> </w:t>
      </w:r>
      <w:r w:rsidR="00E32874" w:rsidRPr="007F28C1">
        <w:rPr>
          <w:rFonts w:ascii="Times New Roman" w:hAnsi="Times New Roman" w:cs="Times New Roman"/>
          <w:sz w:val="24"/>
          <w:szCs w:val="24"/>
        </w:rPr>
        <w:t xml:space="preserve">przewidziano, że jeżeli w wyniku połączenia tych złóż kopalin </w:t>
      </w:r>
      <w:r w:rsidR="00761107" w:rsidRPr="007F28C1">
        <w:rPr>
          <w:rFonts w:ascii="Times New Roman" w:hAnsi="Times New Roman" w:cs="Times New Roman"/>
          <w:sz w:val="24"/>
          <w:szCs w:val="24"/>
        </w:rPr>
        <w:t xml:space="preserve">zostaną </w:t>
      </w:r>
      <w:r w:rsidR="00E32874" w:rsidRPr="007F28C1">
        <w:rPr>
          <w:rFonts w:ascii="Times New Roman" w:hAnsi="Times New Roman" w:cs="Times New Roman"/>
          <w:sz w:val="24"/>
          <w:szCs w:val="24"/>
        </w:rPr>
        <w:t>przekroczone maksymalne wielkości obszaru lub wydobycia, zadania związane z dokumentacjami geologicznymi tych złóż wykonuje marszałek województwa.</w:t>
      </w:r>
    </w:p>
    <w:p w14:paraId="21AC887B" w14:textId="302C0727" w:rsidR="00E91311" w:rsidRPr="007F28C1" w:rsidRDefault="0068093A"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 xml:space="preserve">Dodatkowo w </w:t>
      </w:r>
      <w:r w:rsidR="00E34DC2" w:rsidRPr="007F28C1">
        <w:rPr>
          <w:rFonts w:ascii="Times New Roman" w:hAnsi="Times New Roman" w:cs="Times New Roman"/>
          <w:sz w:val="24"/>
          <w:szCs w:val="24"/>
        </w:rPr>
        <w:t>dodanym</w:t>
      </w:r>
      <w:r w:rsidR="00E03FE9" w:rsidRPr="007F28C1">
        <w:rPr>
          <w:rFonts w:ascii="Times New Roman" w:hAnsi="Times New Roman" w:cs="Times New Roman"/>
          <w:sz w:val="24"/>
          <w:szCs w:val="24"/>
        </w:rPr>
        <w:t xml:space="preserve"> </w:t>
      </w:r>
      <w:r w:rsidRPr="007F28C1">
        <w:rPr>
          <w:rFonts w:ascii="Times New Roman" w:eastAsia="Times New Roman" w:hAnsi="Times New Roman" w:cs="Times New Roman"/>
          <w:sz w:val="24"/>
          <w:szCs w:val="24"/>
          <w:lang w:eastAsia="pl-PL"/>
        </w:rPr>
        <w:t>art. 89 ust. 7 P</w:t>
      </w:r>
      <w:r w:rsidR="00E34DC2"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E34DC2"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E34DC2"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bCs/>
          <w:sz w:val="24"/>
          <w:szCs w:val="24"/>
          <w:lang w:eastAsia="pl-PL"/>
        </w:rPr>
        <w:t xml:space="preserve"> </w:t>
      </w:r>
      <w:r w:rsidRPr="007F28C1">
        <w:rPr>
          <w:rFonts w:ascii="Times New Roman" w:hAnsi="Times New Roman" w:cs="Times New Roman"/>
          <w:sz w:val="24"/>
          <w:szCs w:val="24"/>
        </w:rPr>
        <w:t xml:space="preserve">oraz art. 89a ust. 1 i 2 </w:t>
      </w:r>
      <w:r w:rsidR="00E34DC2" w:rsidRPr="007F28C1">
        <w:rPr>
          <w:rFonts w:ascii="Times New Roman" w:hAnsi="Times New Roman" w:cs="Times New Roman"/>
          <w:sz w:val="24"/>
          <w:szCs w:val="24"/>
        </w:rPr>
        <w:t>P.g.g.</w:t>
      </w:r>
      <w:r w:rsidRPr="007F28C1">
        <w:rPr>
          <w:rFonts w:ascii="Times New Roman" w:hAnsi="Times New Roman" w:cs="Times New Roman"/>
          <w:bCs/>
          <w:sz w:val="24"/>
          <w:szCs w:val="24"/>
        </w:rPr>
        <w:t xml:space="preserve"> </w:t>
      </w:r>
      <w:r w:rsidRPr="007F28C1">
        <w:rPr>
          <w:rFonts w:ascii="Times New Roman" w:hAnsi="Times New Roman" w:cs="Times New Roman"/>
          <w:sz w:val="24"/>
          <w:szCs w:val="24"/>
        </w:rPr>
        <w:t xml:space="preserve">doprecyzowano, że w przypadku zaniechania lub zakończenia eksploatacji złoża kopaliny, w tym złoża węglowodorów, </w:t>
      </w:r>
      <w:r w:rsidR="00761107"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konieczne rozliczenie zasobów złoża i sporządzenie dodatku do dokumentacji geologicznej złoża kopaliny albo dokumentacji geologiczno-inwestycyjnej złoża węglowodorów.</w:t>
      </w:r>
    </w:p>
    <w:p w14:paraId="109B7AD1" w14:textId="25A72887" w:rsidR="00547905" w:rsidRPr="007F28C1" w:rsidRDefault="00476FDA" w:rsidP="007F28C1">
      <w:pPr>
        <w:tabs>
          <w:tab w:val="left" w:pos="426"/>
        </w:tabs>
        <w:spacing w:before="120" w:after="0" w:line="360" w:lineRule="auto"/>
        <w:jc w:val="both"/>
        <w:rPr>
          <w:rFonts w:ascii="Times New Roman" w:hAnsi="Times New Roman" w:cs="Times New Roman"/>
          <w:b/>
          <w:bCs/>
          <w:sz w:val="24"/>
          <w:szCs w:val="24"/>
        </w:rPr>
      </w:pPr>
      <w:r w:rsidRPr="007F28C1">
        <w:rPr>
          <w:rFonts w:ascii="Times New Roman" w:hAnsi="Times New Roman" w:cs="Times New Roman"/>
          <w:b/>
          <w:bCs/>
          <w:sz w:val="24"/>
          <w:szCs w:val="24"/>
        </w:rPr>
        <w:t>b)</w:t>
      </w:r>
      <w:r w:rsidR="0004564E">
        <w:rPr>
          <w:rFonts w:ascii="Times New Roman" w:hAnsi="Times New Roman" w:cs="Times New Roman"/>
          <w:b/>
          <w:bCs/>
          <w:sz w:val="24"/>
          <w:szCs w:val="24"/>
        </w:rPr>
        <w:tab/>
      </w:r>
      <w:r w:rsidR="00547905" w:rsidRPr="007F28C1">
        <w:rPr>
          <w:rFonts w:ascii="Times New Roman" w:hAnsi="Times New Roman" w:cs="Times New Roman"/>
          <w:b/>
          <w:bCs/>
          <w:sz w:val="24"/>
          <w:szCs w:val="24"/>
        </w:rPr>
        <w:t>Definicja roboty geologicznej</w:t>
      </w:r>
    </w:p>
    <w:p w14:paraId="67C943E2" w14:textId="75E09345"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w:t>
      </w:r>
      <w:r w:rsidR="00E754CB" w:rsidRPr="007F28C1">
        <w:rPr>
          <w:rFonts w:ascii="Times New Roman" w:hAnsi="Times New Roman" w:cs="Times New Roman"/>
          <w:sz w:val="24"/>
          <w:szCs w:val="24"/>
        </w:rPr>
        <w:t xml:space="preserve">obecnym brzmieniem </w:t>
      </w:r>
      <w:r w:rsidRPr="007F28C1">
        <w:rPr>
          <w:rFonts w:ascii="Times New Roman" w:hAnsi="Times New Roman" w:cs="Times New Roman"/>
          <w:sz w:val="24"/>
          <w:szCs w:val="24"/>
        </w:rPr>
        <w:t xml:space="preserve">art. 6 ust. 1 pkt 11 </w:t>
      </w:r>
      <w:r w:rsidR="00E34DC2" w:rsidRPr="007F28C1">
        <w:rPr>
          <w:rFonts w:ascii="Times New Roman" w:hAnsi="Times New Roman" w:cs="Times New Roman"/>
          <w:sz w:val="24"/>
          <w:szCs w:val="24"/>
        </w:rPr>
        <w:t>P.g.</w:t>
      </w:r>
      <w:r w:rsidR="00411509" w:rsidRPr="007F28C1">
        <w:rPr>
          <w:rFonts w:ascii="Times New Roman" w:hAnsi="Times New Roman" w:cs="Times New Roman"/>
          <w:sz w:val="24"/>
          <w:szCs w:val="24"/>
        </w:rPr>
        <w:t xml:space="preserve">g. </w:t>
      </w:r>
      <w:r w:rsidRPr="007F28C1">
        <w:rPr>
          <w:rFonts w:ascii="Times New Roman" w:hAnsi="Times New Roman" w:cs="Times New Roman"/>
          <w:sz w:val="24"/>
          <w:szCs w:val="24"/>
        </w:rPr>
        <w:t>robotą geologiczną jest wykonywanie w</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ramach prac geologicznych wszelkich czynności poniżej powierzchni terenu, w tym przy użyciu środków strzałowych, a także likwidacja wyrobisk po tych czynnościach. W związku z wątpliwościami dotyczącymi uznania badań geofizycznych – sejsmiki 2D lub 3D (również wykonywanych bez użycia środków strzałowych) za roboty geologiczne i wykonywania ich na podstawie projektu robót geologicznych oraz określania stron postępowania w sprawach zatwierdzania tych projektów robót </w:t>
      </w:r>
      <w:r w:rsidR="00761107"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konieczne doprecyzowanie tego zagadnienia w </w:t>
      </w:r>
      <w:r w:rsidR="00E36415" w:rsidRPr="007F28C1">
        <w:rPr>
          <w:rFonts w:ascii="Times New Roman" w:hAnsi="Times New Roman" w:cs="Times New Roman"/>
          <w:sz w:val="24"/>
          <w:szCs w:val="24"/>
        </w:rPr>
        <w:t>P</w:t>
      </w:r>
      <w:r w:rsidR="00CE6539"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CE6539"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9355D1" w:rsidRPr="007F28C1">
        <w:rPr>
          <w:rFonts w:ascii="Times New Roman" w:hAnsi="Times New Roman" w:cs="Times New Roman"/>
          <w:sz w:val="24"/>
          <w:szCs w:val="24"/>
        </w:rPr>
        <w:t>.</w:t>
      </w:r>
    </w:p>
    <w:p w14:paraId="505B57F5" w14:textId="411D88A3" w:rsidR="007307D1" w:rsidRPr="007F28C1" w:rsidRDefault="00E913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zaproponowaną w </w:t>
      </w:r>
      <w:r w:rsidR="007307D1" w:rsidRPr="007F28C1">
        <w:rPr>
          <w:rFonts w:ascii="Times New Roman" w:eastAsia="Times New Roman" w:hAnsi="Times New Roman" w:cs="Times New Roman"/>
          <w:sz w:val="24"/>
          <w:szCs w:val="24"/>
          <w:lang w:eastAsia="pl-PL"/>
        </w:rPr>
        <w:t>art. 6 ust. 1 pkt 11</w:t>
      </w:r>
      <w:r w:rsidR="00877C78" w:rsidRPr="007F28C1">
        <w:rPr>
          <w:rFonts w:ascii="Times New Roman" w:eastAsia="Times New Roman" w:hAnsi="Times New Roman" w:cs="Times New Roman"/>
          <w:sz w:val="24"/>
          <w:szCs w:val="24"/>
          <w:lang w:eastAsia="pl-PL"/>
        </w:rPr>
        <w:t xml:space="preserve"> </w:t>
      </w:r>
      <w:r w:rsidR="00E36415" w:rsidRPr="007F28C1">
        <w:rPr>
          <w:rFonts w:ascii="Times New Roman" w:eastAsia="Times New Roman" w:hAnsi="Times New Roman" w:cs="Times New Roman"/>
          <w:sz w:val="24"/>
          <w:szCs w:val="24"/>
          <w:lang w:eastAsia="pl-PL"/>
        </w:rPr>
        <w:t>P</w:t>
      </w:r>
      <w:r w:rsidR="00E34DC2"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E34DC2"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E34DC2" w:rsidRPr="007F28C1">
        <w:rPr>
          <w:rFonts w:ascii="Times New Roman" w:eastAsia="Times New Roman" w:hAnsi="Times New Roman" w:cs="Times New Roman"/>
          <w:sz w:val="24"/>
          <w:szCs w:val="24"/>
          <w:lang w:eastAsia="pl-PL"/>
        </w:rPr>
        <w:t>.</w:t>
      </w:r>
      <w:r w:rsidR="007307D1" w:rsidRPr="007F28C1">
        <w:rPr>
          <w:rFonts w:ascii="Times New Roman" w:hAnsi="Times New Roman" w:cs="Times New Roman"/>
          <w:bCs/>
          <w:sz w:val="24"/>
          <w:szCs w:val="24"/>
        </w:rPr>
        <w:t xml:space="preserve"> </w:t>
      </w:r>
      <w:r w:rsidR="008C67A5" w:rsidRPr="007F28C1">
        <w:rPr>
          <w:rFonts w:ascii="Times New Roman" w:hAnsi="Times New Roman" w:cs="Times New Roman"/>
          <w:sz w:val="24"/>
          <w:szCs w:val="24"/>
        </w:rPr>
        <w:t xml:space="preserve">zmianą definicji roboty geologicznej, </w:t>
      </w:r>
      <w:r w:rsidR="007307D1" w:rsidRPr="007F28C1">
        <w:rPr>
          <w:rFonts w:ascii="Times New Roman" w:hAnsi="Times New Roman" w:cs="Times New Roman"/>
          <w:sz w:val="24"/>
          <w:szCs w:val="24"/>
        </w:rPr>
        <w:t>mającą na</w:t>
      </w:r>
      <w:r w:rsidR="00621E21" w:rsidRPr="007F28C1">
        <w:rPr>
          <w:rFonts w:ascii="Times New Roman" w:hAnsi="Times New Roman" w:cs="Times New Roman"/>
          <w:sz w:val="24"/>
          <w:szCs w:val="24"/>
        </w:rPr>
        <w:t> </w:t>
      </w:r>
      <w:r w:rsidR="007307D1" w:rsidRPr="007F28C1">
        <w:rPr>
          <w:rFonts w:ascii="Times New Roman" w:hAnsi="Times New Roman" w:cs="Times New Roman"/>
          <w:sz w:val="24"/>
          <w:szCs w:val="24"/>
        </w:rPr>
        <w:t xml:space="preserve">celu </w:t>
      </w:r>
      <w:r w:rsidR="007307D1" w:rsidRPr="007F28C1">
        <w:rPr>
          <w:rFonts w:ascii="Times New Roman" w:eastAsia="Times New Roman" w:hAnsi="Times New Roman" w:cs="Times New Roman"/>
          <w:sz w:val="24"/>
          <w:szCs w:val="24"/>
        </w:rPr>
        <w:t>wyeliminowanie wątpliwości interpretacyjnych</w:t>
      </w:r>
      <w:r w:rsidRPr="007F28C1">
        <w:rPr>
          <w:rFonts w:ascii="Times New Roman" w:hAnsi="Times New Roman" w:cs="Times New Roman"/>
          <w:sz w:val="24"/>
          <w:szCs w:val="24"/>
        </w:rPr>
        <w:t>, badania sejsmiczne w celu zbadania struktur geologicznych związanych z występowaniem złóż kopalin, o których mowa w</w:t>
      </w:r>
      <w:r w:rsidR="008C67A5" w:rsidRPr="007F28C1">
        <w:rPr>
          <w:rFonts w:ascii="Times New Roman" w:hAnsi="Times New Roman" w:cs="Times New Roman"/>
          <w:sz w:val="24"/>
          <w:szCs w:val="24"/>
        </w:rPr>
        <w:t> </w:t>
      </w:r>
      <w:r w:rsidRPr="007F28C1">
        <w:rPr>
          <w:rFonts w:ascii="Times New Roman" w:hAnsi="Times New Roman" w:cs="Times New Roman"/>
          <w:sz w:val="24"/>
          <w:szCs w:val="24"/>
        </w:rPr>
        <w:t>art. 10 ust. 1</w:t>
      </w:r>
      <w:r w:rsidR="0006750E" w:rsidRPr="007F28C1">
        <w:rPr>
          <w:rFonts w:ascii="Times New Roman" w:hAnsi="Times New Roman" w:cs="Times New Roman"/>
          <w:sz w:val="24"/>
          <w:szCs w:val="24"/>
        </w:rPr>
        <w:t xml:space="preserve"> i 2</w:t>
      </w:r>
      <w:r w:rsidR="00E754CB" w:rsidRPr="007F28C1">
        <w:rPr>
          <w:rFonts w:ascii="Times New Roman" w:hAnsi="Times New Roman" w:cs="Times New Roman"/>
          <w:sz w:val="24"/>
          <w:szCs w:val="24"/>
        </w:rPr>
        <w:t xml:space="preserve"> P</w:t>
      </w:r>
      <w:r w:rsidR="00E34DC2" w:rsidRPr="007F28C1">
        <w:rPr>
          <w:rFonts w:ascii="Times New Roman" w:hAnsi="Times New Roman" w:cs="Times New Roman"/>
          <w:sz w:val="24"/>
          <w:szCs w:val="24"/>
        </w:rPr>
        <w:t>.</w:t>
      </w:r>
      <w:r w:rsidR="00E754CB"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E754CB"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Pr="007F28C1">
        <w:rPr>
          <w:rFonts w:ascii="Times New Roman" w:hAnsi="Times New Roman" w:cs="Times New Roman"/>
          <w:sz w:val="24"/>
          <w:szCs w:val="24"/>
        </w:rPr>
        <w:t>, a także</w:t>
      </w:r>
      <w:r w:rsidR="00411509" w:rsidRPr="007F28C1">
        <w:rPr>
          <w:rFonts w:ascii="Times New Roman" w:hAnsi="Times New Roman" w:cs="Times New Roman"/>
          <w:sz w:val="24"/>
          <w:szCs w:val="24"/>
        </w:rPr>
        <w:t xml:space="preserve"> w celu wykonania </w:t>
      </w:r>
      <w:r w:rsidRPr="007F28C1">
        <w:rPr>
          <w:rFonts w:ascii="Times New Roman" w:hAnsi="Times New Roman" w:cs="Times New Roman"/>
          <w:sz w:val="24"/>
          <w:szCs w:val="24"/>
        </w:rPr>
        <w:t xml:space="preserve">regionalnych badań budowy geologicznej kraju </w:t>
      </w:r>
      <w:r w:rsidR="00761107" w:rsidRPr="007F28C1">
        <w:rPr>
          <w:rFonts w:ascii="Times New Roman" w:hAnsi="Times New Roman" w:cs="Times New Roman"/>
          <w:sz w:val="24"/>
          <w:szCs w:val="24"/>
        </w:rPr>
        <w:t xml:space="preserve">będą </w:t>
      </w:r>
      <w:r w:rsidRPr="007F28C1">
        <w:rPr>
          <w:rFonts w:ascii="Times New Roman" w:hAnsi="Times New Roman" w:cs="Times New Roman"/>
          <w:sz w:val="24"/>
          <w:szCs w:val="24"/>
        </w:rPr>
        <w:t>zawsze uznawane za</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roboty geologiczne</w:t>
      </w:r>
      <w:r w:rsidR="003C55D9"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i w konsekwencji będą mogły być wykonywane tylko na podstawie projektu robót geologicznych. </w:t>
      </w:r>
    </w:p>
    <w:p w14:paraId="68B16F97" w14:textId="2438B23A" w:rsidR="00E91311" w:rsidRPr="007F28C1" w:rsidRDefault="00E913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lastRenderedPageBreak/>
        <w:t xml:space="preserve">Z uwagi na powyższe zmiany </w:t>
      </w:r>
      <w:r w:rsidR="008C67A5" w:rsidRPr="007F28C1">
        <w:rPr>
          <w:rFonts w:ascii="Times New Roman" w:hAnsi="Times New Roman" w:cs="Times New Roman"/>
          <w:sz w:val="24"/>
          <w:szCs w:val="24"/>
        </w:rPr>
        <w:t>w</w:t>
      </w:r>
      <w:r w:rsidR="0083166A" w:rsidRPr="007F28C1">
        <w:rPr>
          <w:rFonts w:ascii="Times New Roman" w:hAnsi="Times New Roman" w:cs="Times New Roman"/>
          <w:sz w:val="24"/>
          <w:szCs w:val="24"/>
        </w:rPr>
        <w:t xml:space="preserve"> dodanym</w:t>
      </w:r>
      <w:r w:rsidR="008C67A5" w:rsidRPr="007F28C1">
        <w:rPr>
          <w:rFonts w:ascii="Times New Roman" w:hAnsi="Times New Roman" w:cs="Times New Roman"/>
          <w:bCs/>
          <w:sz w:val="24"/>
          <w:szCs w:val="24"/>
        </w:rPr>
        <w:t xml:space="preserve"> </w:t>
      </w:r>
      <w:r w:rsidR="007307D1" w:rsidRPr="007F28C1">
        <w:rPr>
          <w:rFonts w:ascii="Times New Roman" w:hAnsi="Times New Roman" w:cs="Times New Roman"/>
          <w:sz w:val="24"/>
          <w:szCs w:val="24"/>
        </w:rPr>
        <w:t>art. 41 ust. 1</w:t>
      </w:r>
      <w:r w:rsidR="0083166A" w:rsidRPr="007F28C1">
        <w:rPr>
          <w:rFonts w:ascii="Times New Roman" w:hAnsi="Times New Roman" w:cs="Times New Roman"/>
          <w:sz w:val="24"/>
          <w:szCs w:val="24"/>
        </w:rPr>
        <w:t>a</w:t>
      </w:r>
      <w:r w:rsidR="007307D1" w:rsidRPr="007F28C1">
        <w:rPr>
          <w:rFonts w:ascii="Times New Roman" w:hAnsi="Times New Roman" w:cs="Times New Roman"/>
          <w:sz w:val="24"/>
          <w:szCs w:val="24"/>
        </w:rPr>
        <w:t xml:space="preserve"> </w:t>
      </w:r>
      <w:r w:rsidR="00E36415" w:rsidRPr="007F28C1">
        <w:rPr>
          <w:rFonts w:ascii="Times New Roman" w:hAnsi="Times New Roman" w:cs="Times New Roman"/>
          <w:sz w:val="24"/>
          <w:szCs w:val="24"/>
        </w:rPr>
        <w:t>P</w:t>
      </w:r>
      <w:r w:rsidR="00E34D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AB01D6" w:rsidRPr="007F28C1">
        <w:rPr>
          <w:rFonts w:ascii="Times New Roman" w:hAnsi="Times New Roman" w:cs="Times New Roman"/>
          <w:sz w:val="24"/>
          <w:szCs w:val="24"/>
        </w:rPr>
        <w:t xml:space="preserve"> oraz w art. 80 ust. 3 P.g.g.</w:t>
      </w:r>
      <w:r w:rsidRPr="007F28C1">
        <w:rPr>
          <w:rFonts w:ascii="Times New Roman" w:hAnsi="Times New Roman" w:cs="Times New Roman"/>
          <w:sz w:val="24"/>
          <w:szCs w:val="24"/>
        </w:rPr>
        <w:t xml:space="preserve"> wskazan</w:t>
      </w:r>
      <w:r w:rsidR="008C67A5" w:rsidRPr="007F28C1">
        <w:rPr>
          <w:rFonts w:ascii="Times New Roman" w:hAnsi="Times New Roman" w:cs="Times New Roman"/>
          <w:sz w:val="24"/>
          <w:szCs w:val="24"/>
        </w:rPr>
        <w:t>o</w:t>
      </w:r>
      <w:r w:rsidRPr="007F28C1">
        <w:rPr>
          <w:rFonts w:ascii="Times New Roman" w:hAnsi="Times New Roman" w:cs="Times New Roman"/>
          <w:sz w:val="24"/>
          <w:szCs w:val="24"/>
        </w:rPr>
        <w:t xml:space="preserve">, </w:t>
      </w:r>
      <w:r w:rsidR="007307D1" w:rsidRPr="007F28C1">
        <w:rPr>
          <w:rFonts w:ascii="Times New Roman" w:hAnsi="Times New Roman" w:cs="Times New Roman"/>
          <w:sz w:val="24"/>
          <w:szCs w:val="24"/>
        </w:rPr>
        <w:t>że</w:t>
      </w:r>
      <w:r w:rsidR="00E754CB" w:rsidRPr="007F28C1">
        <w:rPr>
          <w:rFonts w:ascii="Times New Roman" w:hAnsi="Times New Roman" w:cs="Times New Roman"/>
          <w:sz w:val="24"/>
          <w:szCs w:val="24"/>
        </w:rPr>
        <w:t> </w:t>
      </w:r>
      <w:r w:rsidR="007307D1" w:rsidRPr="007F28C1">
        <w:rPr>
          <w:rFonts w:ascii="Times New Roman" w:hAnsi="Times New Roman" w:cs="Times New Roman"/>
          <w:sz w:val="24"/>
          <w:szCs w:val="24"/>
        </w:rPr>
        <w:t xml:space="preserve">w </w:t>
      </w:r>
      <w:r w:rsidR="007307D1" w:rsidRPr="00001A28">
        <w:rPr>
          <w:rFonts w:ascii="Times New Roman" w:hAnsi="Times New Roman" w:cs="Times New Roman"/>
          <w:sz w:val="24"/>
          <w:szCs w:val="24"/>
        </w:rPr>
        <w:t>przypadku b</w:t>
      </w:r>
      <w:r w:rsidR="007307D1" w:rsidRPr="007F28C1">
        <w:rPr>
          <w:rFonts w:ascii="Times New Roman" w:hAnsi="Times New Roman" w:cs="Times New Roman"/>
          <w:sz w:val="24"/>
          <w:szCs w:val="24"/>
        </w:rPr>
        <w:t>adań sejsmicznych w celu zbadania struktur geologicznych związanych z</w:t>
      </w:r>
      <w:r w:rsidR="00E754CB" w:rsidRPr="007F28C1">
        <w:rPr>
          <w:rFonts w:ascii="Times New Roman" w:hAnsi="Times New Roman" w:cs="Times New Roman"/>
          <w:sz w:val="24"/>
          <w:szCs w:val="24"/>
        </w:rPr>
        <w:t> </w:t>
      </w:r>
      <w:r w:rsidR="007307D1" w:rsidRPr="007F28C1">
        <w:rPr>
          <w:rFonts w:ascii="Times New Roman" w:hAnsi="Times New Roman" w:cs="Times New Roman"/>
          <w:sz w:val="24"/>
          <w:szCs w:val="24"/>
        </w:rPr>
        <w:t>występowaniem złóż kopalin, o</w:t>
      </w:r>
      <w:r w:rsidR="008C67A5" w:rsidRPr="007F28C1">
        <w:rPr>
          <w:rFonts w:ascii="Times New Roman" w:hAnsi="Times New Roman" w:cs="Times New Roman"/>
          <w:sz w:val="24"/>
          <w:szCs w:val="24"/>
        </w:rPr>
        <w:t> </w:t>
      </w:r>
      <w:r w:rsidR="007307D1" w:rsidRPr="007F28C1">
        <w:rPr>
          <w:rFonts w:ascii="Times New Roman" w:hAnsi="Times New Roman" w:cs="Times New Roman"/>
          <w:sz w:val="24"/>
          <w:szCs w:val="24"/>
        </w:rPr>
        <w:t>których mowa w art. 10 ust. 1</w:t>
      </w:r>
      <w:r w:rsidR="008C67A5" w:rsidRPr="007F28C1">
        <w:rPr>
          <w:rFonts w:ascii="Times New Roman" w:hAnsi="Times New Roman" w:cs="Times New Roman"/>
          <w:sz w:val="24"/>
          <w:szCs w:val="24"/>
        </w:rPr>
        <w:t xml:space="preserve"> </w:t>
      </w:r>
      <w:r w:rsidR="00AB01D6" w:rsidRPr="007F28C1">
        <w:rPr>
          <w:rFonts w:ascii="Times New Roman" w:hAnsi="Times New Roman" w:cs="Times New Roman"/>
          <w:sz w:val="24"/>
          <w:szCs w:val="24"/>
        </w:rPr>
        <w:t xml:space="preserve">i 2 </w:t>
      </w:r>
      <w:r w:rsidR="008C67A5" w:rsidRPr="007F28C1">
        <w:rPr>
          <w:rFonts w:ascii="Times New Roman" w:hAnsi="Times New Roman" w:cs="Times New Roman"/>
          <w:sz w:val="24"/>
          <w:szCs w:val="24"/>
        </w:rPr>
        <w:t>P</w:t>
      </w:r>
      <w:r w:rsidR="00E34DC2" w:rsidRPr="007F28C1">
        <w:rPr>
          <w:rFonts w:ascii="Times New Roman" w:hAnsi="Times New Roman" w:cs="Times New Roman"/>
          <w:sz w:val="24"/>
          <w:szCs w:val="24"/>
        </w:rPr>
        <w:t>.</w:t>
      </w:r>
      <w:r w:rsidR="008C67A5"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8C67A5"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F60032" w:rsidRPr="007F28C1">
        <w:rPr>
          <w:rFonts w:ascii="Times New Roman" w:hAnsi="Times New Roman" w:cs="Times New Roman"/>
          <w:sz w:val="24"/>
          <w:szCs w:val="24"/>
        </w:rPr>
        <w:t>,</w:t>
      </w:r>
      <w:r w:rsidR="00AB01D6" w:rsidRPr="007F28C1">
        <w:rPr>
          <w:rFonts w:ascii="Times New Roman" w:hAnsi="Times New Roman" w:cs="Times New Roman"/>
          <w:sz w:val="24"/>
          <w:szCs w:val="24"/>
        </w:rPr>
        <w:t xml:space="preserve"> lub w celu wykonania regionalnych badań budowy geologicznej kraju, z uwagi na ich krótkotrwałość, nieinwazyjność i</w:t>
      </w:r>
      <w:r w:rsidR="00705A7E" w:rsidRPr="007F28C1">
        <w:rPr>
          <w:rFonts w:ascii="Times New Roman" w:hAnsi="Times New Roman" w:cs="Times New Roman"/>
          <w:sz w:val="24"/>
          <w:szCs w:val="24"/>
        </w:rPr>
        <w:t> </w:t>
      </w:r>
      <w:r w:rsidR="00AB01D6" w:rsidRPr="007F28C1">
        <w:rPr>
          <w:rFonts w:ascii="Times New Roman" w:hAnsi="Times New Roman" w:cs="Times New Roman"/>
          <w:sz w:val="24"/>
          <w:szCs w:val="24"/>
        </w:rPr>
        <w:t xml:space="preserve">nieingerowanie w istotę prawa własności, </w:t>
      </w:r>
      <w:r w:rsidR="007307D1" w:rsidRPr="007F28C1">
        <w:rPr>
          <w:rFonts w:ascii="Times New Roman" w:hAnsi="Times New Roman" w:cs="Times New Roman"/>
          <w:sz w:val="24"/>
          <w:szCs w:val="24"/>
        </w:rPr>
        <w:t>stron</w:t>
      </w:r>
      <w:r w:rsidR="00D01407" w:rsidRPr="007F28C1">
        <w:rPr>
          <w:rFonts w:ascii="Times New Roman" w:hAnsi="Times New Roman" w:cs="Times New Roman"/>
          <w:sz w:val="24"/>
          <w:szCs w:val="24"/>
        </w:rPr>
        <w:t>ą</w:t>
      </w:r>
      <w:r w:rsidR="007307D1" w:rsidRPr="007F28C1">
        <w:rPr>
          <w:rFonts w:ascii="Times New Roman" w:hAnsi="Times New Roman" w:cs="Times New Roman"/>
          <w:sz w:val="24"/>
          <w:szCs w:val="24"/>
        </w:rPr>
        <w:t xml:space="preserve"> postępowania będ</w:t>
      </w:r>
      <w:r w:rsidR="00D01407" w:rsidRPr="007F28C1">
        <w:rPr>
          <w:rFonts w:ascii="Times New Roman" w:hAnsi="Times New Roman" w:cs="Times New Roman"/>
          <w:sz w:val="24"/>
          <w:szCs w:val="24"/>
        </w:rPr>
        <w:t>zie</w:t>
      </w:r>
      <w:r w:rsidR="007307D1" w:rsidRPr="007F28C1">
        <w:rPr>
          <w:rFonts w:ascii="Times New Roman" w:hAnsi="Times New Roman" w:cs="Times New Roman"/>
          <w:sz w:val="24"/>
          <w:szCs w:val="24"/>
        </w:rPr>
        <w:t xml:space="preserve"> </w:t>
      </w:r>
      <w:r w:rsidR="00D01407" w:rsidRPr="007F28C1">
        <w:rPr>
          <w:rFonts w:ascii="Times New Roman" w:hAnsi="Times New Roman" w:cs="Times New Roman"/>
          <w:sz w:val="24"/>
          <w:szCs w:val="24"/>
        </w:rPr>
        <w:t>podmiot, który przedłożył do zatwierdzenia projekt robót geologicznych albo wniosek o udzielenie koncesji obejmujące</w:t>
      </w:r>
      <w:r w:rsidRPr="007F28C1">
        <w:rPr>
          <w:rFonts w:ascii="Times New Roman" w:hAnsi="Times New Roman" w:cs="Times New Roman"/>
          <w:sz w:val="24"/>
          <w:szCs w:val="24"/>
        </w:rPr>
        <w:t xml:space="preserve"> wykonywan</w:t>
      </w:r>
      <w:r w:rsidR="00D01407" w:rsidRPr="007F28C1">
        <w:rPr>
          <w:rFonts w:ascii="Times New Roman" w:hAnsi="Times New Roman" w:cs="Times New Roman"/>
          <w:sz w:val="24"/>
          <w:szCs w:val="24"/>
        </w:rPr>
        <w:t>i</w:t>
      </w:r>
      <w:r w:rsidRPr="007F28C1">
        <w:rPr>
          <w:rFonts w:ascii="Times New Roman" w:hAnsi="Times New Roman" w:cs="Times New Roman"/>
          <w:sz w:val="24"/>
          <w:szCs w:val="24"/>
        </w:rPr>
        <w:t>e bada</w:t>
      </w:r>
      <w:r w:rsidR="00D01407" w:rsidRPr="007F28C1">
        <w:rPr>
          <w:rFonts w:ascii="Times New Roman" w:hAnsi="Times New Roman" w:cs="Times New Roman"/>
          <w:sz w:val="24"/>
          <w:szCs w:val="24"/>
        </w:rPr>
        <w:t>ń</w:t>
      </w:r>
      <w:r w:rsidRPr="007F28C1">
        <w:rPr>
          <w:rFonts w:ascii="Times New Roman" w:hAnsi="Times New Roman" w:cs="Times New Roman"/>
          <w:sz w:val="24"/>
          <w:szCs w:val="24"/>
        </w:rPr>
        <w:t xml:space="preserve"> sejsmiczn</w:t>
      </w:r>
      <w:r w:rsidR="00D01407" w:rsidRPr="007F28C1">
        <w:rPr>
          <w:rFonts w:ascii="Times New Roman" w:hAnsi="Times New Roman" w:cs="Times New Roman"/>
          <w:sz w:val="24"/>
          <w:szCs w:val="24"/>
        </w:rPr>
        <w:t>ych</w:t>
      </w:r>
      <w:r w:rsidRPr="007F28C1">
        <w:rPr>
          <w:rFonts w:ascii="Times New Roman" w:hAnsi="Times New Roman" w:cs="Times New Roman"/>
          <w:sz w:val="24"/>
          <w:szCs w:val="24"/>
        </w:rPr>
        <w:t>.</w:t>
      </w:r>
      <w:r w:rsidR="008C67A5" w:rsidRPr="007F28C1">
        <w:rPr>
          <w:rFonts w:ascii="Times New Roman" w:hAnsi="Times New Roman" w:cs="Times New Roman"/>
          <w:sz w:val="24"/>
          <w:szCs w:val="24"/>
        </w:rPr>
        <w:t xml:space="preserve"> </w:t>
      </w:r>
      <w:r w:rsidR="00F60032" w:rsidRPr="007F28C1">
        <w:rPr>
          <w:rFonts w:ascii="Times New Roman" w:hAnsi="Times New Roman" w:cs="Times New Roman"/>
          <w:sz w:val="24"/>
          <w:szCs w:val="24"/>
        </w:rPr>
        <w:t>Z</w:t>
      </w:r>
      <w:r w:rsidR="00D2588E" w:rsidRPr="007F28C1">
        <w:rPr>
          <w:rFonts w:ascii="Times New Roman" w:hAnsi="Times New Roman" w:cs="Times New Roman"/>
          <w:sz w:val="24"/>
          <w:szCs w:val="24"/>
        </w:rPr>
        <w:t> </w:t>
      </w:r>
      <w:r w:rsidR="00F60032" w:rsidRPr="007F28C1">
        <w:rPr>
          <w:rFonts w:ascii="Times New Roman" w:hAnsi="Times New Roman" w:cs="Times New Roman"/>
          <w:sz w:val="24"/>
          <w:szCs w:val="24"/>
        </w:rPr>
        <w:t>kolei w przypadku badań geofizycznych określonych w art. 85</w:t>
      </w:r>
      <w:r w:rsidR="00AB01D6" w:rsidRPr="007F28C1">
        <w:rPr>
          <w:rFonts w:ascii="Times New Roman" w:hAnsi="Times New Roman" w:cs="Times New Roman"/>
          <w:sz w:val="24"/>
          <w:szCs w:val="24"/>
        </w:rPr>
        <w:t>a w</w:t>
      </w:r>
      <w:r w:rsidR="00F60032" w:rsidRPr="007F28C1">
        <w:rPr>
          <w:rFonts w:ascii="Times New Roman" w:hAnsi="Times New Roman" w:cs="Times New Roman"/>
          <w:sz w:val="24"/>
          <w:szCs w:val="24"/>
        </w:rPr>
        <w:t xml:space="preserve"> ust. 1a</w:t>
      </w:r>
      <w:r w:rsidR="000D14D4" w:rsidRPr="007F28C1">
        <w:rPr>
          <w:rFonts w:ascii="Times New Roman" w:hAnsi="Times New Roman" w:cs="Times New Roman"/>
          <w:sz w:val="24"/>
          <w:szCs w:val="24"/>
        </w:rPr>
        <w:t xml:space="preserve"> P.g.g.</w:t>
      </w:r>
      <w:r w:rsidR="00F60032" w:rsidRPr="007F28C1">
        <w:rPr>
          <w:rFonts w:ascii="Times New Roman" w:hAnsi="Times New Roman" w:cs="Times New Roman"/>
          <w:sz w:val="24"/>
          <w:szCs w:val="24"/>
        </w:rPr>
        <w:t xml:space="preserve"> jako strony wskazano podmiot zamierzający wykonywać badania oraz przedsiębiorc</w:t>
      </w:r>
      <w:r w:rsidR="000D14D4" w:rsidRPr="007F28C1">
        <w:rPr>
          <w:rFonts w:ascii="Times New Roman" w:hAnsi="Times New Roman" w:cs="Times New Roman"/>
          <w:sz w:val="24"/>
          <w:szCs w:val="24"/>
        </w:rPr>
        <w:t>ę</w:t>
      </w:r>
      <w:r w:rsidR="00F60032" w:rsidRPr="007F28C1">
        <w:rPr>
          <w:rFonts w:ascii="Times New Roman" w:hAnsi="Times New Roman" w:cs="Times New Roman"/>
          <w:sz w:val="24"/>
          <w:szCs w:val="24"/>
        </w:rPr>
        <w:t xml:space="preserve"> posiadając</w:t>
      </w:r>
      <w:r w:rsidR="000D14D4" w:rsidRPr="007F28C1">
        <w:rPr>
          <w:rFonts w:ascii="Times New Roman" w:hAnsi="Times New Roman" w:cs="Times New Roman"/>
          <w:sz w:val="24"/>
          <w:szCs w:val="24"/>
        </w:rPr>
        <w:t>ego</w:t>
      </w:r>
      <w:r w:rsidR="00F60032" w:rsidRPr="007F28C1">
        <w:rPr>
          <w:rFonts w:ascii="Times New Roman" w:hAnsi="Times New Roman" w:cs="Times New Roman"/>
          <w:sz w:val="24"/>
          <w:szCs w:val="24"/>
        </w:rPr>
        <w:t xml:space="preserve"> koncesję, w przypadku </w:t>
      </w:r>
      <w:r w:rsidR="00761107" w:rsidRPr="007F28C1">
        <w:rPr>
          <w:rFonts w:ascii="Times New Roman" w:hAnsi="Times New Roman" w:cs="Times New Roman"/>
          <w:sz w:val="24"/>
          <w:szCs w:val="24"/>
        </w:rPr>
        <w:t xml:space="preserve">gdy </w:t>
      </w:r>
      <w:r w:rsidR="00F60032" w:rsidRPr="007F28C1">
        <w:rPr>
          <w:rFonts w:ascii="Times New Roman" w:hAnsi="Times New Roman" w:cs="Times New Roman"/>
          <w:sz w:val="24"/>
          <w:szCs w:val="24"/>
        </w:rPr>
        <w:t xml:space="preserve">badania </w:t>
      </w:r>
      <w:r w:rsidR="000D14D4" w:rsidRPr="007F28C1">
        <w:rPr>
          <w:rFonts w:ascii="Times New Roman" w:hAnsi="Times New Roman" w:cs="Times New Roman"/>
          <w:sz w:val="24"/>
          <w:szCs w:val="24"/>
        </w:rPr>
        <w:t>mają być</w:t>
      </w:r>
      <w:r w:rsidR="003D752B" w:rsidRPr="007F28C1">
        <w:rPr>
          <w:rFonts w:ascii="Times New Roman" w:hAnsi="Times New Roman" w:cs="Times New Roman"/>
          <w:sz w:val="24"/>
          <w:szCs w:val="24"/>
        </w:rPr>
        <w:t xml:space="preserve"> wykonywane w przestrzeni </w:t>
      </w:r>
      <w:r w:rsidR="008D5815" w:rsidRPr="007F28C1">
        <w:rPr>
          <w:rFonts w:ascii="Times New Roman" w:hAnsi="Times New Roman" w:cs="Times New Roman"/>
          <w:sz w:val="24"/>
          <w:szCs w:val="24"/>
        </w:rPr>
        <w:t>wyznaczonej</w:t>
      </w:r>
      <w:r w:rsidR="003D752B" w:rsidRPr="007F28C1">
        <w:rPr>
          <w:rFonts w:ascii="Times New Roman" w:hAnsi="Times New Roman" w:cs="Times New Roman"/>
          <w:sz w:val="24"/>
          <w:szCs w:val="24"/>
        </w:rPr>
        <w:t xml:space="preserve"> koncesją.</w:t>
      </w:r>
    </w:p>
    <w:p w14:paraId="1C55E0EB" w14:textId="54932B1B" w:rsidR="00C25000" w:rsidRPr="007F28C1" w:rsidRDefault="001F1848"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Przedmiotowa zmiana nie zwalnia wykonawcy badań sejsmicznych</w:t>
      </w:r>
      <w:r w:rsidR="00C53EC1" w:rsidRPr="007F28C1">
        <w:rPr>
          <w:rFonts w:ascii="Times New Roman" w:hAnsi="Times New Roman" w:cs="Times New Roman"/>
          <w:sz w:val="24"/>
          <w:szCs w:val="24"/>
        </w:rPr>
        <w:t xml:space="preserve"> </w:t>
      </w:r>
      <w:r w:rsidRPr="007F28C1">
        <w:rPr>
          <w:rFonts w:ascii="Times New Roman" w:hAnsi="Times New Roman" w:cs="Times New Roman"/>
          <w:sz w:val="24"/>
          <w:szCs w:val="24"/>
        </w:rPr>
        <w:t>z obowiązku uzgodnienia 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właścicielami nieruchomości terminów wejścia na poszczególne działki oraz uzyskania zgody właścicieli na korzystanie z ich nieruchomości</w:t>
      </w:r>
      <w:r w:rsidR="00C53EC1" w:rsidRPr="007F28C1">
        <w:rPr>
          <w:rFonts w:ascii="Times New Roman" w:hAnsi="Times New Roman" w:cs="Times New Roman"/>
          <w:sz w:val="24"/>
          <w:szCs w:val="24"/>
        </w:rPr>
        <w:t xml:space="preserve"> przed rozpoczęciem badań</w:t>
      </w:r>
      <w:r w:rsidRPr="007F28C1">
        <w:rPr>
          <w:rFonts w:ascii="Times New Roman" w:hAnsi="Times New Roman" w:cs="Times New Roman"/>
          <w:sz w:val="24"/>
          <w:szCs w:val="24"/>
        </w:rPr>
        <w:t>. Zgodnie z art. 85b P</w:t>
      </w:r>
      <w:r w:rsidR="00E34DC2" w:rsidRPr="007F28C1">
        <w:rPr>
          <w:rFonts w:ascii="Times New Roman" w:hAnsi="Times New Roman" w:cs="Times New Roman"/>
          <w:sz w:val="24"/>
          <w:szCs w:val="24"/>
        </w:rPr>
        <w:t>.</w:t>
      </w:r>
      <w:r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Pr="007F28C1">
        <w:rPr>
          <w:rFonts w:ascii="Times New Roman" w:hAnsi="Times New Roman" w:cs="Times New Roman"/>
          <w:sz w:val="24"/>
          <w:szCs w:val="24"/>
        </w:rPr>
        <w:t xml:space="preserve"> wykonywanie robót geologicznych na podstawie projektu robót geologicznych nie może naruszać praw właścicieli (użytkowników wieczystych) nieruchomości. </w:t>
      </w:r>
      <w:r w:rsidR="00237E62" w:rsidRPr="007F28C1">
        <w:rPr>
          <w:rFonts w:ascii="Times New Roman" w:hAnsi="Times New Roman" w:cs="Times New Roman"/>
          <w:sz w:val="24"/>
          <w:szCs w:val="24"/>
        </w:rPr>
        <w:t>Poza tym z</w:t>
      </w:r>
      <w:r w:rsidR="00C25000" w:rsidRPr="007F28C1">
        <w:rPr>
          <w:rFonts w:ascii="Times New Roman" w:hAnsi="Times New Roman" w:cs="Times New Roman"/>
          <w:sz w:val="24"/>
          <w:szCs w:val="24"/>
        </w:rPr>
        <w:t xml:space="preserve">a ewentualne szkody wyrządzone w toku badań sejsmicznych przysługuje odszkodowanie zgodnie z </w:t>
      </w:r>
      <w:r w:rsidR="00237E62" w:rsidRPr="007F28C1">
        <w:rPr>
          <w:rFonts w:ascii="Times New Roman" w:hAnsi="Times New Roman" w:cs="Times New Roman"/>
          <w:sz w:val="24"/>
          <w:szCs w:val="24"/>
        </w:rPr>
        <w:t>P</w:t>
      </w:r>
      <w:r w:rsidR="00E34DC2" w:rsidRPr="007F28C1">
        <w:rPr>
          <w:rFonts w:ascii="Times New Roman" w:hAnsi="Times New Roman" w:cs="Times New Roman"/>
          <w:sz w:val="24"/>
          <w:szCs w:val="24"/>
        </w:rPr>
        <w:t>.</w:t>
      </w:r>
      <w:r w:rsidR="00237E62"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237E62" w:rsidRPr="007F28C1">
        <w:rPr>
          <w:rFonts w:ascii="Times New Roman" w:hAnsi="Times New Roman" w:cs="Times New Roman"/>
          <w:sz w:val="24"/>
          <w:szCs w:val="24"/>
        </w:rPr>
        <w:t>g.</w:t>
      </w:r>
    </w:p>
    <w:p w14:paraId="64BC85F9" w14:textId="2415A3C5" w:rsidR="00547905" w:rsidRPr="007F28C1" w:rsidRDefault="00476FDA" w:rsidP="007F28C1">
      <w:pPr>
        <w:tabs>
          <w:tab w:val="left" w:pos="426"/>
        </w:tabs>
        <w:spacing w:before="120" w:after="0" w:line="360" w:lineRule="auto"/>
        <w:jc w:val="both"/>
        <w:rPr>
          <w:rFonts w:ascii="Times New Roman" w:hAnsi="Times New Roman" w:cs="Times New Roman"/>
          <w:b/>
          <w:bCs/>
          <w:sz w:val="24"/>
          <w:szCs w:val="24"/>
        </w:rPr>
      </w:pPr>
      <w:r w:rsidRPr="007F28C1">
        <w:rPr>
          <w:rFonts w:ascii="Times New Roman" w:hAnsi="Times New Roman" w:cs="Times New Roman"/>
          <w:b/>
          <w:bCs/>
          <w:sz w:val="24"/>
          <w:szCs w:val="24"/>
        </w:rPr>
        <w:t>c)</w:t>
      </w:r>
      <w:r w:rsidR="0004564E">
        <w:rPr>
          <w:rFonts w:ascii="Times New Roman" w:hAnsi="Times New Roman" w:cs="Times New Roman"/>
          <w:b/>
          <w:bCs/>
          <w:sz w:val="24"/>
          <w:szCs w:val="24"/>
        </w:rPr>
        <w:tab/>
      </w:r>
      <w:r w:rsidR="00547905" w:rsidRPr="007F28C1">
        <w:rPr>
          <w:rFonts w:ascii="Times New Roman" w:hAnsi="Times New Roman" w:cs="Times New Roman"/>
          <w:b/>
          <w:bCs/>
          <w:sz w:val="24"/>
          <w:szCs w:val="24"/>
        </w:rPr>
        <w:t>Drążenie tuneli</w:t>
      </w:r>
    </w:p>
    <w:p w14:paraId="0502E508" w14:textId="4292E368" w:rsidR="00622C8E" w:rsidRPr="007F28C1" w:rsidRDefault="00622C8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art. 2 ust. 1 pkt 4 </w:t>
      </w:r>
      <w:r w:rsidR="00E36415" w:rsidRPr="007F28C1">
        <w:rPr>
          <w:rFonts w:ascii="Times New Roman" w:hAnsi="Times New Roman" w:cs="Times New Roman"/>
          <w:sz w:val="24"/>
          <w:szCs w:val="24"/>
        </w:rPr>
        <w:t>P</w:t>
      </w:r>
      <w:r w:rsidR="00E34D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E34DC2" w:rsidRPr="007F28C1">
        <w:rPr>
          <w:rFonts w:ascii="Times New Roman" w:hAnsi="Times New Roman" w:cs="Times New Roman"/>
          <w:sz w:val="24"/>
          <w:szCs w:val="24"/>
        </w:rPr>
        <w:t>.</w:t>
      </w:r>
      <w:r w:rsidRPr="007F28C1">
        <w:rPr>
          <w:rFonts w:ascii="Times New Roman" w:hAnsi="Times New Roman" w:cs="Times New Roman"/>
          <w:sz w:val="24"/>
          <w:szCs w:val="24"/>
        </w:rPr>
        <w:t>, przepisy tej ustawy, z wyjątkiem przepisów dotyczących koncesji, stosuje się odpowiednio do drążenia tuneli z zastosowaniem techniki górniczej. Budowa tunelu, jako obiektu budowlanego, może być wykonywana między innymi metodą: odkrywkową, z</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 xml:space="preserve">użyciem kesonów, zatapianiem gotowych segmentów albo drążenia. Drążenie </w:t>
      </w:r>
      <w:r w:rsidR="00A41525" w:rsidRPr="007F28C1">
        <w:rPr>
          <w:rFonts w:ascii="Times New Roman" w:hAnsi="Times New Roman" w:cs="Times New Roman"/>
          <w:sz w:val="24"/>
          <w:szCs w:val="24"/>
        </w:rPr>
        <w:t xml:space="preserve">tunelu </w:t>
      </w:r>
      <w:r w:rsidRPr="007F28C1">
        <w:rPr>
          <w:rFonts w:ascii="Times New Roman" w:hAnsi="Times New Roman" w:cs="Times New Roman"/>
          <w:sz w:val="24"/>
          <w:szCs w:val="24"/>
        </w:rPr>
        <w:t>zawsze odbywa się z</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zastosowaniem techniki górniczej, niezależnie od tego</w:t>
      </w:r>
      <w:r w:rsidR="0026013C" w:rsidRPr="007F28C1">
        <w:rPr>
          <w:rFonts w:ascii="Times New Roman" w:hAnsi="Times New Roman" w:cs="Times New Roman"/>
          <w:sz w:val="24"/>
          <w:szCs w:val="24"/>
        </w:rPr>
        <w:t>,</w:t>
      </w:r>
      <w:r w:rsidRPr="007F28C1">
        <w:rPr>
          <w:rFonts w:ascii="Times New Roman" w:hAnsi="Times New Roman" w:cs="Times New Roman"/>
          <w:sz w:val="24"/>
          <w:szCs w:val="24"/>
        </w:rPr>
        <w:t xml:space="preserve"> jaką zastosowano przy tym </w:t>
      </w:r>
      <w:r w:rsidR="00EC4AED" w:rsidRPr="007F28C1">
        <w:rPr>
          <w:rFonts w:ascii="Times New Roman" w:hAnsi="Times New Roman" w:cs="Times New Roman"/>
          <w:sz w:val="24"/>
          <w:szCs w:val="24"/>
        </w:rPr>
        <w:t>technologię</w:t>
      </w:r>
      <w:r w:rsidRPr="007F28C1">
        <w:rPr>
          <w:rFonts w:ascii="Times New Roman" w:hAnsi="Times New Roman" w:cs="Times New Roman"/>
          <w:sz w:val="24"/>
          <w:szCs w:val="24"/>
        </w:rPr>
        <w:t xml:space="preserve"> i jakie urządzenia </w:t>
      </w:r>
      <w:r w:rsidR="00C53EC1" w:rsidRPr="007F28C1">
        <w:rPr>
          <w:rFonts w:ascii="Times New Roman" w:hAnsi="Times New Roman" w:cs="Times New Roman"/>
          <w:sz w:val="24"/>
          <w:szCs w:val="24"/>
        </w:rPr>
        <w:t xml:space="preserve">do tego </w:t>
      </w:r>
      <w:r w:rsidRPr="007F28C1">
        <w:rPr>
          <w:rFonts w:ascii="Times New Roman" w:hAnsi="Times New Roman" w:cs="Times New Roman"/>
          <w:sz w:val="24"/>
          <w:szCs w:val="24"/>
        </w:rPr>
        <w:t>wykorzystano. Drążenie wyrobisk (tuneli) jest wykonywane z użyciem materiałów wybuchowych lub metodą polegającą na mechanicznym urabianiu skał, przez odspajanie kawałków skały od calizny i rozdrobnieniu ich. Są to podstawowe metody górnicze.</w:t>
      </w:r>
    </w:p>
    <w:p w14:paraId="441138E4" w14:textId="437EA205" w:rsidR="004307ED" w:rsidRPr="007F28C1" w:rsidRDefault="004307ED" w:rsidP="007F28C1">
      <w:pPr>
        <w:spacing w:before="120" w:after="0" w:line="360" w:lineRule="auto"/>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Jednocześnie należy podkreślić, że pojęcie tunelu jest zdefiniowane w przepisach prawa budowlanego, a ponadto w tych przepisach jest odrębnie zdefiniowane pojęcie przepustu, co wskazuje, że nie są to</w:t>
      </w:r>
      <w:r w:rsidR="00C71BC6"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 xml:space="preserve">tożsame pojęcia. W związku z powyższym nie ma potrzeby tworzenia w przepisach </w:t>
      </w:r>
      <w:r w:rsidR="00E36415" w:rsidRPr="007F28C1">
        <w:rPr>
          <w:rFonts w:ascii="Times New Roman" w:eastAsia="Times New Roman" w:hAnsi="Times New Roman" w:cs="Times New Roman"/>
          <w:sz w:val="24"/>
          <w:szCs w:val="24"/>
        </w:rPr>
        <w:t>P</w:t>
      </w:r>
      <w:r w:rsidR="008F2CFD" w:rsidRPr="007F28C1">
        <w:rPr>
          <w:rFonts w:ascii="Times New Roman" w:eastAsia="Times New Roman" w:hAnsi="Times New Roman" w:cs="Times New Roman"/>
          <w:sz w:val="24"/>
          <w:szCs w:val="24"/>
        </w:rPr>
        <w:t>.</w:t>
      </w:r>
      <w:r w:rsidR="00E36415"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00E36415"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 xml:space="preserve"> odrębnej definicji zwrotu „drążenie tunelu”, o którym mowa w </w:t>
      </w:r>
      <w:r w:rsidRPr="007F28C1">
        <w:rPr>
          <w:rFonts w:ascii="Times New Roman" w:eastAsia="Times New Roman" w:hAnsi="Times New Roman" w:cs="Times New Roman"/>
          <w:sz w:val="24"/>
          <w:szCs w:val="24"/>
        </w:rPr>
        <w:lastRenderedPageBreak/>
        <w:t xml:space="preserve">projektowanym art. 2 ust. 1 pkt 4 </w:t>
      </w:r>
      <w:r w:rsidR="00E36415" w:rsidRPr="007F28C1">
        <w:rPr>
          <w:rFonts w:ascii="Times New Roman" w:eastAsia="Times New Roman" w:hAnsi="Times New Roman" w:cs="Times New Roman"/>
          <w:sz w:val="24"/>
          <w:szCs w:val="24"/>
        </w:rPr>
        <w:t>P</w:t>
      </w:r>
      <w:r w:rsidR="008F2CFD" w:rsidRPr="007F28C1">
        <w:rPr>
          <w:rFonts w:ascii="Times New Roman" w:eastAsia="Times New Roman" w:hAnsi="Times New Roman" w:cs="Times New Roman"/>
          <w:sz w:val="24"/>
          <w:szCs w:val="24"/>
        </w:rPr>
        <w:t>.</w:t>
      </w:r>
      <w:r w:rsidR="00E36415"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00E36415"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 ponieważ zakresy pojęć „drążenie” i „tunel” są określone w systemie prawnym.</w:t>
      </w:r>
    </w:p>
    <w:p w14:paraId="2332825A" w14:textId="6C1A7FA4" w:rsidR="007337A5" w:rsidRPr="007F28C1" w:rsidRDefault="00622C8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Pojęcie „techniki górniczej” nie </w:t>
      </w:r>
      <w:r w:rsidR="001F5921" w:rsidRPr="007F28C1">
        <w:rPr>
          <w:rFonts w:ascii="Times New Roman" w:hAnsi="Times New Roman" w:cs="Times New Roman"/>
          <w:sz w:val="24"/>
          <w:szCs w:val="24"/>
        </w:rPr>
        <w:t>zostało jednak zdefiniowane ustawowo</w:t>
      </w:r>
      <w:r w:rsidRPr="007F28C1">
        <w:rPr>
          <w:rFonts w:ascii="Times New Roman" w:hAnsi="Times New Roman" w:cs="Times New Roman"/>
          <w:sz w:val="24"/>
          <w:szCs w:val="24"/>
        </w:rPr>
        <w:t xml:space="preserve">, co skutkuje wieloma wątpliwościami interpretacyjnymi. </w:t>
      </w:r>
      <w:r w:rsidR="007337A5" w:rsidRPr="007F28C1">
        <w:rPr>
          <w:rFonts w:ascii="Times New Roman" w:hAnsi="Times New Roman" w:cs="Times New Roman"/>
          <w:sz w:val="24"/>
          <w:szCs w:val="24"/>
        </w:rPr>
        <w:t>Co więcej b</w:t>
      </w:r>
      <w:r w:rsidRPr="007F28C1">
        <w:rPr>
          <w:rFonts w:ascii="Times New Roman" w:hAnsi="Times New Roman" w:cs="Times New Roman"/>
          <w:sz w:val="24"/>
          <w:szCs w:val="24"/>
        </w:rPr>
        <w:t>rak możliwości zdefiniowania</w:t>
      </w:r>
      <w:r w:rsidR="007337A5" w:rsidRPr="007F28C1">
        <w:rPr>
          <w:rFonts w:ascii="Times New Roman" w:hAnsi="Times New Roman" w:cs="Times New Roman"/>
          <w:sz w:val="24"/>
          <w:szCs w:val="24"/>
        </w:rPr>
        <w:t xml:space="preserve"> tego</w:t>
      </w:r>
      <w:r w:rsidRPr="007F28C1">
        <w:rPr>
          <w:rFonts w:ascii="Times New Roman" w:hAnsi="Times New Roman" w:cs="Times New Roman"/>
          <w:sz w:val="24"/>
          <w:szCs w:val="24"/>
        </w:rPr>
        <w:t xml:space="preserve"> pojęcia, ponieważ jest to całokształt wiedzy technicznej stosowanej w górnictwie, która ulega ciągłej ewolucji. </w:t>
      </w:r>
    </w:p>
    <w:p w14:paraId="0CDBAE8B" w14:textId="3C569270" w:rsidR="007337A5" w:rsidRPr="007F28C1" w:rsidRDefault="007337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 praktyce klauzula generalna zawarta w art. 2 ust. 1 pkt 4 P</w:t>
      </w:r>
      <w:r w:rsidR="008F2CFD" w:rsidRPr="007F28C1">
        <w:rPr>
          <w:rFonts w:ascii="Times New Roman" w:hAnsi="Times New Roman" w:cs="Times New Roman"/>
          <w:sz w:val="24"/>
          <w:szCs w:val="24"/>
        </w:rPr>
        <w:t>.</w:t>
      </w:r>
      <w:r w:rsidRPr="007F28C1">
        <w:rPr>
          <w:rFonts w:ascii="Times New Roman" w:hAnsi="Times New Roman" w:cs="Times New Roman"/>
          <w:sz w:val="24"/>
          <w:szCs w:val="24"/>
        </w:rPr>
        <w:t>g</w:t>
      </w:r>
      <w:r w:rsidR="008F2CFD" w:rsidRPr="007F28C1">
        <w:rPr>
          <w:rFonts w:ascii="Times New Roman" w:hAnsi="Times New Roman" w:cs="Times New Roman"/>
          <w:sz w:val="24"/>
          <w:szCs w:val="24"/>
        </w:rPr>
        <w:t>.</w:t>
      </w:r>
      <w:r w:rsidRPr="007F28C1">
        <w:rPr>
          <w:rFonts w:ascii="Times New Roman" w:hAnsi="Times New Roman" w:cs="Times New Roman"/>
          <w:sz w:val="24"/>
          <w:szCs w:val="24"/>
        </w:rPr>
        <w:t>g</w:t>
      </w:r>
      <w:r w:rsidR="008F2CFD" w:rsidRPr="007F28C1">
        <w:rPr>
          <w:rFonts w:ascii="Times New Roman" w:hAnsi="Times New Roman" w:cs="Times New Roman"/>
          <w:sz w:val="24"/>
          <w:szCs w:val="24"/>
        </w:rPr>
        <w:t>.</w:t>
      </w:r>
      <w:r w:rsidRPr="007F28C1">
        <w:rPr>
          <w:rFonts w:ascii="Times New Roman" w:hAnsi="Times New Roman" w:cs="Times New Roman"/>
          <w:sz w:val="24"/>
          <w:szCs w:val="24"/>
        </w:rPr>
        <w:t xml:space="preserve"> jest interpretowana w bardzo różny sposób, nawet taki, który zmierza do wyłączenia spod odpowiedniego stosowania przepisów P</w:t>
      </w:r>
      <w:r w:rsidR="008F2CFD" w:rsidRPr="007F28C1">
        <w:rPr>
          <w:rFonts w:ascii="Times New Roman" w:hAnsi="Times New Roman" w:cs="Times New Roman"/>
          <w:sz w:val="24"/>
          <w:szCs w:val="24"/>
        </w:rPr>
        <w:t>.</w:t>
      </w:r>
      <w:r w:rsidRPr="007F28C1">
        <w:rPr>
          <w:rFonts w:ascii="Times New Roman" w:hAnsi="Times New Roman" w:cs="Times New Roman"/>
          <w:sz w:val="24"/>
          <w:szCs w:val="24"/>
        </w:rPr>
        <w:t>g</w:t>
      </w:r>
      <w:r w:rsidR="008F2CFD" w:rsidRPr="007F28C1">
        <w:rPr>
          <w:rFonts w:ascii="Times New Roman" w:hAnsi="Times New Roman" w:cs="Times New Roman"/>
          <w:sz w:val="24"/>
          <w:szCs w:val="24"/>
        </w:rPr>
        <w:t>.</w:t>
      </w:r>
      <w:r w:rsidRPr="007F28C1">
        <w:rPr>
          <w:rFonts w:ascii="Times New Roman" w:hAnsi="Times New Roman" w:cs="Times New Roman"/>
          <w:sz w:val="24"/>
          <w:szCs w:val="24"/>
        </w:rPr>
        <w:t>g</w:t>
      </w:r>
      <w:r w:rsidR="008F2CFD" w:rsidRPr="007F28C1">
        <w:rPr>
          <w:rFonts w:ascii="Times New Roman" w:hAnsi="Times New Roman" w:cs="Times New Roman"/>
          <w:sz w:val="24"/>
          <w:szCs w:val="24"/>
        </w:rPr>
        <w:t>.</w:t>
      </w:r>
      <w:r w:rsidRPr="007F28C1">
        <w:rPr>
          <w:rFonts w:ascii="Times New Roman" w:hAnsi="Times New Roman" w:cs="Times New Roman"/>
          <w:sz w:val="24"/>
          <w:szCs w:val="24"/>
        </w:rPr>
        <w:t xml:space="preserve"> robót polegających na drążeniu tuneli, mimo że – jak wskazano wyżej – drążenie tuneli zawsze odbywa się z zastosowaniem techniki górniczej. </w:t>
      </w:r>
    </w:p>
    <w:p w14:paraId="72581313" w14:textId="2FF3711C" w:rsidR="00622C8E" w:rsidRPr="007F28C1" w:rsidRDefault="00622C8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 uwagi na zagrożenia występujące podczas drążenia tuneli </w:t>
      </w:r>
      <w:r w:rsidR="00C53EC1"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niezbędne zapewnienie szeroko pojmowanego bezpieczeństwa</w:t>
      </w:r>
      <w:r w:rsidR="007337A5" w:rsidRPr="007F28C1">
        <w:rPr>
          <w:rFonts w:ascii="Times New Roman" w:hAnsi="Times New Roman" w:cs="Times New Roman"/>
          <w:sz w:val="24"/>
          <w:szCs w:val="24"/>
        </w:rPr>
        <w:t xml:space="preserve">, zarówno </w:t>
      </w:r>
      <w:r w:rsidRPr="007F28C1">
        <w:rPr>
          <w:rFonts w:ascii="Times New Roman" w:hAnsi="Times New Roman" w:cs="Times New Roman"/>
          <w:sz w:val="24"/>
          <w:szCs w:val="24"/>
        </w:rPr>
        <w:t>środowiska</w:t>
      </w:r>
      <w:r w:rsidR="007337A5" w:rsidRPr="007F28C1">
        <w:rPr>
          <w:rFonts w:ascii="Times New Roman" w:hAnsi="Times New Roman" w:cs="Times New Roman"/>
          <w:sz w:val="24"/>
          <w:szCs w:val="24"/>
        </w:rPr>
        <w:t>, jak</w:t>
      </w:r>
      <w:r w:rsidRPr="007F28C1">
        <w:rPr>
          <w:rFonts w:ascii="Times New Roman" w:hAnsi="Times New Roman" w:cs="Times New Roman"/>
          <w:sz w:val="24"/>
          <w:szCs w:val="24"/>
        </w:rPr>
        <w:t xml:space="preserve"> i osób zaangażowanych w taką działalność</w:t>
      </w:r>
      <w:r w:rsidR="007337A5" w:rsidRPr="007F28C1">
        <w:rPr>
          <w:rFonts w:ascii="Times New Roman" w:hAnsi="Times New Roman" w:cs="Times New Roman"/>
          <w:sz w:val="24"/>
          <w:szCs w:val="24"/>
        </w:rPr>
        <w:t xml:space="preserve">. </w:t>
      </w:r>
      <w:r w:rsidRPr="007F28C1">
        <w:rPr>
          <w:rFonts w:ascii="Times New Roman" w:hAnsi="Times New Roman" w:cs="Times New Roman"/>
          <w:sz w:val="24"/>
          <w:szCs w:val="24"/>
        </w:rPr>
        <w:t>Ze względu na fakt, że zagrożenia występujące przy drążeniu tuneli, w szczególności: zagrożenia wodne, gazowe, pyłowe, pożarowe lub związane z funkcjonowaniem maszyn i urządzeń, są zbliżone do</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zagrożeń występujących w ruchu podziemnego zakładu górniczego, zapobieganie im powinno następować za pomocą takich samych bądź co najmniej zbliżonych metod, co stosowane w związku z</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podziemnym wydobywaniem kopalin. Wymagania w zakresie szeroko pojętego bezpieczeństwa nie </w:t>
      </w:r>
      <w:r w:rsidR="007337A5" w:rsidRPr="007F28C1">
        <w:rPr>
          <w:rFonts w:ascii="Times New Roman" w:hAnsi="Times New Roman" w:cs="Times New Roman"/>
          <w:sz w:val="24"/>
          <w:szCs w:val="24"/>
        </w:rPr>
        <w:t xml:space="preserve">mogą być </w:t>
      </w:r>
      <w:r w:rsidR="00C53EC1" w:rsidRPr="007F28C1">
        <w:rPr>
          <w:rFonts w:ascii="Times New Roman" w:hAnsi="Times New Roman" w:cs="Times New Roman"/>
          <w:sz w:val="24"/>
          <w:szCs w:val="24"/>
        </w:rPr>
        <w:t xml:space="preserve">bowiem </w:t>
      </w:r>
      <w:r w:rsidR="007337A5" w:rsidRPr="007F28C1">
        <w:rPr>
          <w:rFonts w:ascii="Times New Roman" w:hAnsi="Times New Roman" w:cs="Times New Roman"/>
          <w:sz w:val="24"/>
          <w:szCs w:val="24"/>
        </w:rPr>
        <w:t xml:space="preserve">różnicowane </w:t>
      </w:r>
      <w:r w:rsidRPr="007F28C1">
        <w:rPr>
          <w:rFonts w:ascii="Times New Roman" w:hAnsi="Times New Roman" w:cs="Times New Roman"/>
          <w:sz w:val="24"/>
          <w:szCs w:val="24"/>
        </w:rPr>
        <w:t>ze względu na cel prowadzonej działalności, lecz ze względu na</w:t>
      </w:r>
      <w:r w:rsidR="00621E21" w:rsidRPr="007F28C1">
        <w:rPr>
          <w:rFonts w:ascii="Times New Roman" w:hAnsi="Times New Roman" w:cs="Times New Roman"/>
          <w:sz w:val="24"/>
          <w:szCs w:val="24"/>
        </w:rPr>
        <w:t> </w:t>
      </w:r>
      <w:r w:rsidRPr="007F28C1">
        <w:rPr>
          <w:rFonts w:ascii="Times New Roman" w:hAnsi="Times New Roman" w:cs="Times New Roman"/>
          <w:sz w:val="24"/>
          <w:szCs w:val="24"/>
        </w:rPr>
        <w:t>rodzaj występujących zagrożeń.</w:t>
      </w:r>
    </w:p>
    <w:p w14:paraId="093BEDB5" w14:textId="64D36F2B" w:rsidR="00476FDA" w:rsidRPr="007F28C1" w:rsidRDefault="007337A5" w:rsidP="007F28C1">
      <w:pPr>
        <w:spacing w:before="120" w:after="0" w:line="360" w:lineRule="auto"/>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 xml:space="preserve">Mając na uwadze wątpliwości interpretacyjne związane z </w:t>
      </w:r>
      <w:r w:rsidR="000014B5" w:rsidRPr="007F28C1">
        <w:rPr>
          <w:rFonts w:ascii="Times New Roman" w:eastAsia="Times New Roman" w:hAnsi="Times New Roman" w:cs="Times New Roman"/>
          <w:sz w:val="24"/>
          <w:szCs w:val="24"/>
        </w:rPr>
        <w:t xml:space="preserve">wykładnią </w:t>
      </w:r>
      <w:r w:rsidRPr="007F28C1">
        <w:rPr>
          <w:rFonts w:ascii="Times New Roman" w:eastAsia="Times New Roman" w:hAnsi="Times New Roman" w:cs="Times New Roman"/>
          <w:sz w:val="24"/>
          <w:szCs w:val="24"/>
        </w:rPr>
        <w:t>pojęcia „technika górnicza”</w:t>
      </w:r>
      <w:r w:rsidR="006D20D1">
        <w:rPr>
          <w:rFonts w:ascii="Times New Roman" w:eastAsia="Times New Roman" w:hAnsi="Times New Roman" w:cs="Times New Roman"/>
          <w:sz w:val="24"/>
          <w:szCs w:val="24"/>
        </w:rPr>
        <w:t>,</w:t>
      </w:r>
      <w:r w:rsidR="00967A32">
        <w:rPr>
          <w:rFonts w:ascii="Times New Roman" w:eastAsia="Times New Roman" w:hAnsi="Times New Roman" w:cs="Times New Roman"/>
          <w:sz w:val="24"/>
          <w:szCs w:val="24"/>
        </w:rPr>
        <w:t xml:space="preserve"> </w:t>
      </w:r>
      <w:r w:rsidRPr="007F28C1">
        <w:rPr>
          <w:rFonts w:ascii="Times New Roman" w:eastAsia="Times New Roman" w:hAnsi="Times New Roman" w:cs="Times New Roman"/>
          <w:sz w:val="24"/>
          <w:szCs w:val="24"/>
        </w:rPr>
        <w:t>w</w:t>
      </w:r>
      <w:r w:rsidR="005B7604" w:rsidRPr="007F28C1">
        <w:rPr>
          <w:rFonts w:ascii="Times New Roman" w:eastAsia="Times New Roman" w:hAnsi="Times New Roman" w:cs="Times New Roman"/>
          <w:sz w:val="24"/>
          <w:szCs w:val="24"/>
        </w:rPr>
        <w:t xml:space="preserve"> </w:t>
      </w:r>
      <w:r w:rsidRPr="007F28C1">
        <w:rPr>
          <w:rFonts w:ascii="Times New Roman" w:eastAsia="Times New Roman" w:hAnsi="Times New Roman" w:cs="Times New Roman"/>
          <w:sz w:val="24"/>
          <w:szCs w:val="24"/>
        </w:rPr>
        <w:t>art. 2 ust. 1 pkt 4 P</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bCs/>
          <w:sz w:val="24"/>
          <w:szCs w:val="24"/>
        </w:rPr>
        <w:t xml:space="preserve"> </w:t>
      </w:r>
      <w:r w:rsidRPr="007F28C1">
        <w:rPr>
          <w:rFonts w:ascii="Times New Roman" w:eastAsia="Times New Roman" w:hAnsi="Times New Roman" w:cs="Times New Roman"/>
          <w:sz w:val="24"/>
          <w:szCs w:val="24"/>
        </w:rPr>
        <w:t>zrezygnowano z tego wyrażenia, co pozwoli jednoznacznie przesądzić, że</w:t>
      </w:r>
      <w:r w:rsidR="00621E21"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 xml:space="preserve">przepisy tej ustawy, z wyjątkiem przepisów dotyczących koncesji, stosuje się odpowiednio do drążenia wszystkich tuneli. </w:t>
      </w:r>
    </w:p>
    <w:p w14:paraId="4D8A5DB0" w14:textId="1EE4D2D8" w:rsidR="00476FDA" w:rsidRPr="007F28C1" w:rsidRDefault="00476FDA" w:rsidP="007F28C1">
      <w:pPr>
        <w:tabs>
          <w:tab w:val="left" w:pos="426"/>
        </w:tabs>
        <w:spacing w:before="120" w:after="0" w:line="360" w:lineRule="auto"/>
        <w:jc w:val="both"/>
        <w:rPr>
          <w:rFonts w:ascii="Times New Roman" w:eastAsia="Times New Roman" w:hAnsi="Times New Roman" w:cs="Times New Roman"/>
          <w:b/>
          <w:bCs/>
          <w:sz w:val="24"/>
          <w:szCs w:val="24"/>
        </w:rPr>
      </w:pPr>
      <w:r w:rsidRPr="007F28C1">
        <w:rPr>
          <w:rFonts w:ascii="Times New Roman" w:eastAsia="Times New Roman" w:hAnsi="Times New Roman" w:cs="Times New Roman"/>
          <w:b/>
          <w:bCs/>
          <w:sz w:val="24"/>
          <w:szCs w:val="24"/>
        </w:rPr>
        <w:t>d)</w:t>
      </w:r>
      <w:r w:rsidR="0004564E">
        <w:rPr>
          <w:rFonts w:ascii="Times New Roman" w:eastAsia="Times New Roman" w:hAnsi="Times New Roman" w:cs="Times New Roman"/>
          <w:b/>
          <w:bCs/>
          <w:sz w:val="24"/>
          <w:szCs w:val="24"/>
        </w:rPr>
        <w:tab/>
      </w:r>
      <w:r w:rsidRPr="007F28C1">
        <w:rPr>
          <w:rFonts w:ascii="Times New Roman" w:eastAsia="Times New Roman" w:hAnsi="Times New Roman" w:cs="Times New Roman"/>
          <w:b/>
          <w:bCs/>
          <w:sz w:val="24"/>
          <w:szCs w:val="24"/>
        </w:rPr>
        <w:t xml:space="preserve">Kompetencje organu administracji geologicznej w sprawach związanych z zatwierdzaniem projektów robót geologicznych oraz dokumentacjami geologicznymi dotyczącymi posadowienia obiektów jądrowych </w:t>
      </w:r>
    </w:p>
    <w:p w14:paraId="3282529C" w14:textId="29471C29" w:rsidR="00476FDA" w:rsidRPr="007F28C1" w:rsidRDefault="00476FDA" w:rsidP="007F28C1">
      <w:pPr>
        <w:spacing w:before="120" w:after="0" w:line="360" w:lineRule="auto"/>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Plany budowy na terytorium Rzeczypospolitej Polskiej pierwszej elektrowni jądrowej, realizujące przyjęty przez Radę Ministrów Program polskiej energetyki jądrowej, wymagają rewizji przepisów P</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 xml:space="preserve"> regulujących kompetencje organów właściwych w sprawach związanych z zatwierdzaniem projektów robót geologicznych oraz dokumentacjami </w:t>
      </w:r>
      <w:r w:rsidRPr="007F28C1">
        <w:rPr>
          <w:rFonts w:ascii="Times New Roman" w:eastAsia="Times New Roman" w:hAnsi="Times New Roman" w:cs="Times New Roman"/>
          <w:sz w:val="24"/>
          <w:szCs w:val="24"/>
        </w:rPr>
        <w:lastRenderedPageBreak/>
        <w:t xml:space="preserve">geologicznymi dotyczącymi posadowienia obiektów jądrowych w rozumieniu ustawy z dnia 29 listopada 2000 r. </w:t>
      </w:r>
      <w:r w:rsidR="00C53EC1" w:rsidRPr="007F28C1">
        <w:rPr>
          <w:rFonts w:ascii="Times New Roman" w:eastAsia="Times New Roman" w:hAnsi="Times New Roman" w:cs="Times New Roman"/>
          <w:sz w:val="24"/>
          <w:szCs w:val="24"/>
        </w:rPr>
        <w:t xml:space="preserve">– </w:t>
      </w:r>
      <w:r w:rsidRPr="007F28C1">
        <w:rPr>
          <w:rFonts w:ascii="Times New Roman" w:eastAsia="Times New Roman" w:hAnsi="Times New Roman" w:cs="Times New Roman"/>
          <w:sz w:val="24"/>
          <w:szCs w:val="24"/>
        </w:rPr>
        <w:t>Prawo atomowe</w:t>
      </w:r>
      <w:r w:rsidR="00E3407C" w:rsidRPr="007F28C1">
        <w:rPr>
          <w:rFonts w:ascii="Times New Roman" w:eastAsia="Times New Roman" w:hAnsi="Times New Roman" w:cs="Times New Roman"/>
          <w:iCs/>
          <w:sz w:val="24"/>
          <w:szCs w:val="24"/>
        </w:rPr>
        <w:t xml:space="preserve"> </w:t>
      </w:r>
      <w:r w:rsidRPr="007F28C1">
        <w:rPr>
          <w:rFonts w:ascii="Times New Roman" w:eastAsia="Times New Roman" w:hAnsi="Times New Roman" w:cs="Times New Roman"/>
          <w:sz w:val="24"/>
          <w:szCs w:val="24"/>
        </w:rPr>
        <w:t>(Dz. U. z 2021 r. poz.</w:t>
      </w:r>
      <w:r w:rsidR="00C53EC1" w:rsidRPr="007F28C1">
        <w:rPr>
          <w:rFonts w:ascii="Times New Roman" w:eastAsia="Times New Roman" w:hAnsi="Times New Roman" w:cs="Times New Roman"/>
          <w:sz w:val="24"/>
          <w:szCs w:val="24"/>
        </w:rPr>
        <w:t xml:space="preserve"> </w:t>
      </w:r>
      <w:r w:rsidR="001C4A87" w:rsidRPr="007F28C1">
        <w:rPr>
          <w:rFonts w:ascii="Times New Roman" w:eastAsia="Times New Roman" w:hAnsi="Times New Roman" w:cs="Times New Roman"/>
          <w:sz w:val="24"/>
          <w:szCs w:val="24"/>
        </w:rPr>
        <w:t>1941, z późn. zm.</w:t>
      </w:r>
      <w:r w:rsidRPr="007F28C1">
        <w:rPr>
          <w:rFonts w:ascii="Times New Roman" w:eastAsia="Times New Roman" w:hAnsi="Times New Roman" w:cs="Times New Roman"/>
          <w:sz w:val="24"/>
          <w:szCs w:val="24"/>
        </w:rPr>
        <w:t xml:space="preserve">). </w:t>
      </w:r>
    </w:p>
    <w:p w14:paraId="1F581A98" w14:textId="0533ACF5" w:rsidR="00476FDA" w:rsidRPr="007F28C1" w:rsidRDefault="00476FDA" w:rsidP="007F28C1">
      <w:pPr>
        <w:spacing w:before="120" w:after="0" w:line="360" w:lineRule="auto"/>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 xml:space="preserve">Obecnie sprawy związane z zatwierdzaniem projektów robót geologicznych oraz dokumentacjami geologicznymi dla posadowienia obiektów jądrowych znajdują się we właściwości różnych organów administracji geologicznej. Zgodnie z art. 161 ust. 2 pkt 3 </w:t>
      </w:r>
      <w:r w:rsidR="00B42AD4" w:rsidRPr="007F28C1">
        <w:rPr>
          <w:rFonts w:ascii="Times New Roman" w:eastAsia="Times New Roman" w:hAnsi="Times New Roman" w:cs="Times New Roman"/>
          <w:sz w:val="24"/>
          <w:szCs w:val="24"/>
        </w:rPr>
        <w:t>P</w:t>
      </w:r>
      <w:r w:rsidR="008F2CFD" w:rsidRPr="007F28C1">
        <w:rPr>
          <w:rFonts w:ascii="Times New Roman" w:eastAsia="Times New Roman" w:hAnsi="Times New Roman" w:cs="Times New Roman"/>
          <w:sz w:val="24"/>
          <w:szCs w:val="24"/>
        </w:rPr>
        <w:t>.</w:t>
      </w:r>
      <w:r w:rsidR="00B42AD4"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00B42AD4"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 xml:space="preserve"> do starosty, jako organu administracji geologicznej pierwszej instancji, należą sprawy związane z zatwierdzaniem projektów robót geologicznych oraz dokumentacjami geologicznymi, dotyczące badań geologiczno-inżynierskich wykonywanych na potrzeby zagospodarowania przestrzennego gminy oraz warunków posadawiania obiektów budowlanych, z wyłączeniem ponadwojewódzkich inwestycji liniowych. Zgodnie z art. 161 ust. 3 pkt 2 P</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 xml:space="preserve"> do ministra właściwego do spraw środowiska, jako organu administracji geologicznej pierwszej instancji, należą sprawy związane z zatwierdzaniem projektów robót geologicznych oraz dokumentacjami geologicznymi, dotyczące obszarów morskich Rzeczypospolitej Polskiej. </w:t>
      </w:r>
      <w:bookmarkStart w:id="6" w:name="_Hlk68255807"/>
      <w:r w:rsidRPr="007F28C1">
        <w:rPr>
          <w:rFonts w:ascii="Times New Roman" w:eastAsia="Times New Roman" w:hAnsi="Times New Roman" w:cs="Times New Roman"/>
          <w:sz w:val="24"/>
          <w:szCs w:val="24"/>
        </w:rPr>
        <w:t xml:space="preserve">Ponadto zgodnie z art. 161 ust. 1 </w:t>
      </w:r>
      <w:r w:rsidR="008F2CFD" w:rsidRPr="007F28C1">
        <w:rPr>
          <w:rFonts w:ascii="Times New Roman" w:hAnsi="Times New Roman" w:cs="Times New Roman"/>
          <w:sz w:val="24"/>
          <w:szCs w:val="24"/>
        </w:rPr>
        <w:t>P.g.g.</w:t>
      </w:r>
      <w:r w:rsidR="005B7604" w:rsidRPr="007F28C1">
        <w:rPr>
          <w:rFonts w:ascii="Times New Roman" w:hAnsi="Times New Roman" w:cs="Times New Roman"/>
          <w:bCs/>
          <w:sz w:val="24"/>
          <w:szCs w:val="24"/>
        </w:rPr>
        <w:t xml:space="preserve"> </w:t>
      </w:r>
      <w:r w:rsidRPr="007F28C1">
        <w:rPr>
          <w:rFonts w:ascii="Times New Roman" w:eastAsia="Times New Roman" w:hAnsi="Times New Roman" w:cs="Times New Roman"/>
          <w:sz w:val="24"/>
          <w:szCs w:val="24"/>
        </w:rPr>
        <w:t>organem administracji geologicznej pierwszej instancji jest marszałek województwa, z wyjątkiem spraw określonych w</w:t>
      </w:r>
      <w:r w:rsidR="00B42AD4"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ust.</w:t>
      </w:r>
      <w:r w:rsidR="00B42AD4"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2</w:t>
      </w:r>
      <w:r w:rsidR="00C53EC1"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4.</w:t>
      </w:r>
      <w:bookmarkEnd w:id="6"/>
      <w:r w:rsidRPr="007F28C1">
        <w:rPr>
          <w:rFonts w:ascii="Times New Roman" w:eastAsia="Times New Roman" w:hAnsi="Times New Roman" w:cs="Times New Roman"/>
          <w:sz w:val="24"/>
          <w:szCs w:val="24"/>
        </w:rPr>
        <w:t xml:space="preserve"> </w:t>
      </w:r>
      <w:r w:rsidR="00E3407C" w:rsidRPr="007F28C1">
        <w:rPr>
          <w:rFonts w:ascii="Times New Roman" w:eastAsia="Times New Roman" w:hAnsi="Times New Roman" w:cs="Times New Roman"/>
          <w:sz w:val="24"/>
          <w:szCs w:val="24"/>
        </w:rPr>
        <w:t>Z powyższego wynika, że</w:t>
      </w:r>
      <w:r w:rsidR="00D2588E" w:rsidRPr="007F28C1">
        <w:rPr>
          <w:rFonts w:ascii="Times New Roman" w:eastAsia="Times New Roman" w:hAnsi="Times New Roman" w:cs="Times New Roman"/>
          <w:sz w:val="24"/>
          <w:szCs w:val="24"/>
        </w:rPr>
        <w:t> </w:t>
      </w:r>
      <w:r w:rsidR="00E3407C" w:rsidRPr="007F28C1">
        <w:rPr>
          <w:rFonts w:ascii="Times New Roman" w:eastAsia="Times New Roman" w:hAnsi="Times New Roman" w:cs="Times New Roman"/>
          <w:sz w:val="24"/>
          <w:szCs w:val="24"/>
        </w:rPr>
        <w:t>a</w:t>
      </w:r>
      <w:r w:rsidRPr="007F28C1">
        <w:rPr>
          <w:rFonts w:ascii="Times New Roman" w:eastAsia="Times New Roman" w:hAnsi="Times New Roman" w:cs="Times New Roman"/>
          <w:sz w:val="24"/>
          <w:szCs w:val="24"/>
        </w:rPr>
        <w:t>ktualnie zatwierdzanie projektów robót geologicznych i dokumentacji geologicznych dla realizacji omawianych przedsięwzięć należy przede wszystkim do właściwości starostów. Do</w:t>
      </w:r>
      <w:r w:rsidR="00B42AD4"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kompetencji ministra właściwego do spraw środowiska należy jedynie ta część przedsięwzięcia, która jest zlokalizowana na obszarach morskich RP (widoczne jest to na przykład w związku z</w:t>
      </w:r>
      <w:r w:rsidR="00B42AD4"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 xml:space="preserve">procedowaniem projektów robót geologicznych i dokumentacji geologicznych dla pierwszej w Polsce elektrowni jądrowej, której zasadnicza część jest przewidziana do realizacji na lądzie, zaś na obszarach morskich np. rejon planowanych kanałów wody chłodzącej dla elektrowni jądrowej). Ponadto potencjalne, alternatywne lokalizacje obiektów jądrowych dotyczą różnych starostw, zatem dokumenty geologiczne </w:t>
      </w:r>
      <w:r w:rsidR="00C53EC1" w:rsidRPr="007F28C1">
        <w:rPr>
          <w:rFonts w:ascii="Times New Roman" w:eastAsia="Times New Roman" w:hAnsi="Times New Roman" w:cs="Times New Roman"/>
          <w:sz w:val="24"/>
          <w:szCs w:val="24"/>
        </w:rPr>
        <w:t xml:space="preserve">mogą być </w:t>
      </w:r>
      <w:r w:rsidRPr="007F28C1">
        <w:rPr>
          <w:rFonts w:ascii="Times New Roman" w:eastAsia="Times New Roman" w:hAnsi="Times New Roman" w:cs="Times New Roman"/>
          <w:sz w:val="24"/>
          <w:szCs w:val="24"/>
        </w:rPr>
        <w:t xml:space="preserve">zatwierdzane przez różnych starostów. </w:t>
      </w:r>
    </w:p>
    <w:p w14:paraId="4CDAC86A" w14:textId="20D8E15E" w:rsidR="00476FDA" w:rsidRPr="007F28C1" w:rsidRDefault="00476FDA" w:rsidP="007F28C1">
      <w:pPr>
        <w:spacing w:before="120" w:after="0" w:line="360" w:lineRule="auto"/>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Taki podział kompetencji skutkuje rozdrobnieniem i rozproszeniem informacji geologicznej w różnych zatwierdzanych opracowaniach, które nie będą stanowiły całościowego i spójnego kompendium wiedzy z wykonanych prac geologicznych potrzebnych do posadowienia tak ważnego obiektu jak obiekt jądrowy. Zachodzi zatem konieczność uregulowania zakresu kompetencji tak</w:t>
      </w:r>
      <w:r w:rsidR="0026013C" w:rsidRPr="007F28C1">
        <w:rPr>
          <w:rFonts w:ascii="Times New Roman" w:eastAsia="Times New Roman" w:hAnsi="Times New Roman" w:cs="Times New Roman"/>
          <w:sz w:val="24"/>
          <w:szCs w:val="24"/>
        </w:rPr>
        <w:t>,</w:t>
      </w:r>
      <w:r w:rsidRPr="007F28C1">
        <w:rPr>
          <w:rFonts w:ascii="Times New Roman" w:eastAsia="Times New Roman" w:hAnsi="Times New Roman" w:cs="Times New Roman"/>
          <w:sz w:val="24"/>
          <w:szCs w:val="24"/>
        </w:rPr>
        <w:t xml:space="preserve"> aby sprawy dotyczące obiektów jądrowych znajdowały się we właściwości jednego organu administracji geologicznej –</w:t>
      </w:r>
      <w:r w:rsidR="00247B31">
        <w:rPr>
          <w:rFonts w:ascii="Times New Roman" w:eastAsia="Times New Roman" w:hAnsi="Times New Roman" w:cs="Times New Roman"/>
          <w:sz w:val="24"/>
          <w:szCs w:val="24"/>
        </w:rPr>
        <w:t xml:space="preserve"> </w:t>
      </w:r>
      <w:r w:rsidR="00C31F6F" w:rsidRPr="007F28C1">
        <w:rPr>
          <w:rFonts w:ascii="Times New Roman" w:eastAsia="Times New Roman" w:hAnsi="Times New Roman" w:cs="Times New Roman"/>
          <w:sz w:val="24"/>
          <w:szCs w:val="24"/>
        </w:rPr>
        <w:t>ministra właściwego do spraw środowiska</w:t>
      </w:r>
      <w:r w:rsidR="00A020C9" w:rsidRPr="007F28C1">
        <w:rPr>
          <w:rFonts w:ascii="Times New Roman" w:eastAsia="Times New Roman" w:hAnsi="Times New Roman" w:cs="Times New Roman"/>
          <w:sz w:val="24"/>
          <w:szCs w:val="24"/>
        </w:rPr>
        <w:t xml:space="preserve">. </w:t>
      </w:r>
      <w:r w:rsidR="00A020C9" w:rsidRPr="007F28C1">
        <w:rPr>
          <w:rFonts w:ascii="Times New Roman" w:hAnsi="Times New Roman" w:cs="Times New Roman"/>
          <w:sz w:val="24"/>
          <w:szCs w:val="24"/>
        </w:rPr>
        <w:t>Zwiększy to przejrzystość i spójność dokumentacji, co</w:t>
      </w:r>
      <w:r w:rsidR="005B7604" w:rsidRPr="007F28C1">
        <w:rPr>
          <w:rFonts w:ascii="Times New Roman" w:hAnsi="Times New Roman" w:cs="Times New Roman"/>
          <w:sz w:val="24"/>
          <w:szCs w:val="24"/>
        </w:rPr>
        <w:t xml:space="preserve"> </w:t>
      </w:r>
      <w:r w:rsidR="00A020C9" w:rsidRPr="007F28C1">
        <w:rPr>
          <w:rFonts w:ascii="Times New Roman" w:hAnsi="Times New Roman" w:cs="Times New Roman"/>
          <w:sz w:val="24"/>
          <w:szCs w:val="24"/>
        </w:rPr>
        <w:t xml:space="preserve">wpłynie pozytywnie na proces oceny </w:t>
      </w:r>
      <w:r w:rsidR="00A020C9" w:rsidRPr="007F28C1">
        <w:rPr>
          <w:rFonts w:ascii="Times New Roman" w:hAnsi="Times New Roman" w:cs="Times New Roman"/>
          <w:sz w:val="24"/>
          <w:szCs w:val="24"/>
        </w:rPr>
        <w:lastRenderedPageBreak/>
        <w:t xml:space="preserve">lokalizacji obiektu jądrowego, a w konsekwencji </w:t>
      </w:r>
      <w:r w:rsidR="00494910" w:rsidRPr="007F28C1">
        <w:rPr>
          <w:rFonts w:ascii="Times New Roman" w:hAnsi="Times New Roman" w:cs="Times New Roman"/>
          <w:sz w:val="24"/>
          <w:szCs w:val="24"/>
        </w:rPr>
        <w:t xml:space="preserve">na wybór najlepszej lokalizacji oraz </w:t>
      </w:r>
      <w:r w:rsidR="00A020C9" w:rsidRPr="007F28C1">
        <w:rPr>
          <w:rFonts w:ascii="Times New Roman" w:hAnsi="Times New Roman" w:cs="Times New Roman"/>
          <w:sz w:val="24"/>
          <w:szCs w:val="24"/>
        </w:rPr>
        <w:t>na bezpieczeństwo funkcjonowania elektrowni jądrowej.</w:t>
      </w:r>
    </w:p>
    <w:p w14:paraId="3D6DE31A" w14:textId="3AC91FE1" w:rsidR="00476FDA" w:rsidRPr="007F28C1" w:rsidRDefault="00476FDA" w:rsidP="007F28C1">
      <w:pPr>
        <w:spacing w:before="120" w:after="0" w:line="360" w:lineRule="auto"/>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 xml:space="preserve">W </w:t>
      </w:r>
      <w:r w:rsidR="00181A90" w:rsidRPr="007F28C1">
        <w:rPr>
          <w:rFonts w:ascii="Times New Roman" w:eastAsia="Times New Roman" w:hAnsi="Times New Roman" w:cs="Times New Roman"/>
          <w:sz w:val="24"/>
          <w:szCs w:val="24"/>
        </w:rPr>
        <w:t>dodanym</w:t>
      </w:r>
      <w:r w:rsidR="00CB622E" w:rsidRPr="007F28C1">
        <w:rPr>
          <w:rFonts w:ascii="Times New Roman" w:eastAsia="Times New Roman" w:hAnsi="Times New Roman" w:cs="Times New Roman"/>
          <w:sz w:val="24"/>
          <w:szCs w:val="24"/>
        </w:rPr>
        <w:t xml:space="preserve"> w</w:t>
      </w:r>
      <w:r w:rsidR="00181A90" w:rsidRPr="007F28C1">
        <w:rPr>
          <w:rFonts w:ascii="Times New Roman" w:eastAsia="Times New Roman" w:hAnsi="Times New Roman" w:cs="Times New Roman"/>
          <w:bCs/>
          <w:sz w:val="24"/>
          <w:szCs w:val="24"/>
        </w:rPr>
        <w:t xml:space="preserve"> </w:t>
      </w:r>
      <w:r w:rsidR="00B42AD4" w:rsidRPr="007F28C1">
        <w:rPr>
          <w:rFonts w:ascii="Times New Roman" w:eastAsia="Times New Roman" w:hAnsi="Times New Roman" w:cs="Times New Roman"/>
          <w:sz w:val="24"/>
          <w:szCs w:val="24"/>
        </w:rPr>
        <w:t xml:space="preserve">art. 161 </w:t>
      </w:r>
      <w:r w:rsidR="00CB622E" w:rsidRPr="007F28C1">
        <w:rPr>
          <w:rFonts w:ascii="Times New Roman" w:eastAsia="Times New Roman" w:hAnsi="Times New Roman" w:cs="Times New Roman"/>
          <w:sz w:val="24"/>
          <w:szCs w:val="24"/>
        </w:rPr>
        <w:t xml:space="preserve">w </w:t>
      </w:r>
      <w:r w:rsidR="00B42AD4" w:rsidRPr="007F28C1">
        <w:rPr>
          <w:rFonts w:ascii="Times New Roman" w:eastAsia="Times New Roman" w:hAnsi="Times New Roman" w:cs="Times New Roman"/>
          <w:sz w:val="24"/>
          <w:szCs w:val="24"/>
        </w:rPr>
        <w:t>ust. 3 pkt 11 P</w:t>
      </w:r>
      <w:r w:rsidR="008F2CFD" w:rsidRPr="007F28C1">
        <w:rPr>
          <w:rFonts w:ascii="Times New Roman" w:eastAsia="Times New Roman" w:hAnsi="Times New Roman" w:cs="Times New Roman"/>
          <w:sz w:val="24"/>
          <w:szCs w:val="24"/>
        </w:rPr>
        <w:t>.</w:t>
      </w:r>
      <w:r w:rsidR="00B42AD4"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00B42AD4" w:rsidRPr="007F28C1">
        <w:rPr>
          <w:rFonts w:ascii="Times New Roman" w:eastAsia="Times New Roman" w:hAnsi="Times New Roman" w:cs="Times New Roman"/>
          <w:sz w:val="24"/>
          <w:szCs w:val="24"/>
        </w:rPr>
        <w:t>g</w:t>
      </w:r>
      <w:r w:rsidR="008F2CFD" w:rsidRPr="007F28C1">
        <w:rPr>
          <w:rFonts w:ascii="Times New Roman" w:eastAsia="Times New Roman" w:hAnsi="Times New Roman" w:cs="Times New Roman"/>
          <w:sz w:val="24"/>
          <w:szCs w:val="24"/>
        </w:rPr>
        <w:t>.</w:t>
      </w:r>
      <w:r w:rsidR="00B42AD4" w:rsidRPr="007F28C1">
        <w:rPr>
          <w:rFonts w:ascii="Times New Roman" w:eastAsia="Times New Roman" w:hAnsi="Times New Roman" w:cs="Times New Roman"/>
          <w:sz w:val="24"/>
          <w:szCs w:val="24"/>
        </w:rPr>
        <w:t xml:space="preserve"> </w:t>
      </w:r>
      <w:r w:rsidRPr="007F28C1">
        <w:rPr>
          <w:rFonts w:ascii="Times New Roman" w:eastAsia="Times New Roman" w:hAnsi="Times New Roman" w:cs="Times New Roman"/>
          <w:sz w:val="24"/>
          <w:szCs w:val="24"/>
        </w:rPr>
        <w:t>zaproponowano wprowadzenie przepisu ujednolicającego zakres kompetencji organów administracji geologicznej w sprawach związanych z</w:t>
      </w:r>
      <w:r w:rsidR="00B42AD4"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zatwierdzaniem projektów robót geologicznych i</w:t>
      </w:r>
      <w:r w:rsidR="00B42AD4" w:rsidRPr="007F28C1">
        <w:rPr>
          <w:rFonts w:ascii="Times New Roman" w:eastAsia="Times New Roman" w:hAnsi="Times New Roman" w:cs="Times New Roman"/>
          <w:sz w:val="24"/>
          <w:szCs w:val="24"/>
        </w:rPr>
        <w:t> </w:t>
      </w:r>
      <w:r w:rsidRPr="007F28C1">
        <w:rPr>
          <w:rFonts w:ascii="Times New Roman" w:eastAsia="Times New Roman" w:hAnsi="Times New Roman" w:cs="Times New Roman"/>
          <w:sz w:val="24"/>
          <w:szCs w:val="24"/>
        </w:rPr>
        <w:t>dokumentacji geologicznych dla obiektów jądrowych i powierzenie kompetencji w tym zakresie jednemu organowi administracji geologicznej –</w:t>
      </w:r>
      <w:r w:rsidR="00C31F6F" w:rsidRPr="007F28C1">
        <w:rPr>
          <w:rFonts w:ascii="Times New Roman" w:eastAsia="Times New Roman" w:hAnsi="Times New Roman" w:cs="Times New Roman"/>
          <w:sz w:val="24"/>
          <w:szCs w:val="24"/>
        </w:rPr>
        <w:t xml:space="preserve"> ministrowi właściwemu do spraw środowiska</w:t>
      </w:r>
      <w:r w:rsidRPr="007F28C1">
        <w:rPr>
          <w:rFonts w:ascii="Times New Roman" w:eastAsia="Times New Roman" w:hAnsi="Times New Roman" w:cs="Times New Roman"/>
          <w:sz w:val="24"/>
          <w:szCs w:val="24"/>
        </w:rPr>
        <w:t xml:space="preserve">. Rozwiązanie takie będzie eliminowało ewentualne rozbieżności w rozstrzygnięciach różnych organów administracji, będzie miało skutek porządkujący przepisy i ułatwiający ich stosowanie oraz, co najważniejsze, wpłynie pozytywnie na bezpieczeństwo realizacji przyszłych obiektów jądrowych. Na potrzeby rozpoznania budowy geologicznej pod inwestycje jądrowe </w:t>
      </w:r>
      <w:r w:rsidR="00C53EC1" w:rsidRPr="007F28C1">
        <w:rPr>
          <w:rFonts w:ascii="Times New Roman" w:eastAsia="Times New Roman" w:hAnsi="Times New Roman" w:cs="Times New Roman"/>
          <w:sz w:val="24"/>
          <w:szCs w:val="24"/>
        </w:rPr>
        <w:t xml:space="preserve">będą </w:t>
      </w:r>
      <w:r w:rsidRPr="007F28C1">
        <w:rPr>
          <w:rFonts w:ascii="Times New Roman" w:eastAsia="Times New Roman" w:hAnsi="Times New Roman" w:cs="Times New Roman"/>
          <w:sz w:val="24"/>
          <w:szCs w:val="24"/>
        </w:rPr>
        <w:t>sporządzane projekty robót geologicznych i dokumentacje geologiczne m.in. dla:</w:t>
      </w:r>
    </w:p>
    <w:p w14:paraId="2687B322" w14:textId="603C9E10" w:rsidR="00476FDA" w:rsidRPr="007F28C1" w:rsidRDefault="00476FDA" w:rsidP="007F28C1">
      <w:pPr>
        <w:numPr>
          <w:ilvl w:val="0"/>
          <w:numId w:val="10"/>
        </w:numPr>
        <w:spacing w:before="120" w:after="0" w:line="360" w:lineRule="auto"/>
        <w:ind w:left="397" w:hanging="397"/>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 xml:space="preserve">określenia warunków geologiczno-inżynierskich </w:t>
      </w:r>
      <w:r w:rsidR="00472484">
        <w:rPr>
          <w:rFonts w:ascii="Times New Roman" w:eastAsia="Times New Roman" w:hAnsi="Times New Roman" w:cs="Times New Roman"/>
          <w:sz w:val="24"/>
          <w:szCs w:val="24"/>
        </w:rPr>
        <w:t>na</w:t>
      </w:r>
      <w:r w:rsidR="00472484" w:rsidRPr="007F28C1">
        <w:rPr>
          <w:rFonts w:ascii="Times New Roman" w:eastAsia="Times New Roman" w:hAnsi="Times New Roman" w:cs="Times New Roman"/>
          <w:sz w:val="24"/>
          <w:szCs w:val="24"/>
        </w:rPr>
        <w:t xml:space="preserve"> </w:t>
      </w:r>
      <w:r w:rsidRPr="007F28C1">
        <w:rPr>
          <w:rFonts w:ascii="Times New Roman" w:eastAsia="Times New Roman" w:hAnsi="Times New Roman" w:cs="Times New Roman"/>
          <w:sz w:val="24"/>
          <w:szCs w:val="24"/>
        </w:rPr>
        <w:t>potrzeb</w:t>
      </w:r>
      <w:r w:rsidR="00472484">
        <w:rPr>
          <w:rFonts w:ascii="Times New Roman" w:eastAsia="Times New Roman" w:hAnsi="Times New Roman" w:cs="Times New Roman"/>
          <w:sz w:val="24"/>
          <w:szCs w:val="24"/>
        </w:rPr>
        <w:t>y</w:t>
      </w:r>
      <w:r w:rsidRPr="007F28C1">
        <w:rPr>
          <w:rFonts w:ascii="Times New Roman" w:eastAsia="Times New Roman" w:hAnsi="Times New Roman" w:cs="Times New Roman"/>
          <w:sz w:val="24"/>
          <w:szCs w:val="24"/>
        </w:rPr>
        <w:t xml:space="preserve"> posadowienia obiektu budowlanego; </w:t>
      </w:r>
    </w:p>
    <w:p w14:paraId="15332CED" w14:textId="77777777" w:rsidR="00B42AD4" w:rsidRPr="007F28C1" w:rsidRDefault="00476FDA" w:rsidP="007F28C1">
      <w:pPr>
        <w:numPr>
          <w:ilvl w:val="0"/>
          <w:numId w:val="10"/>
        </w:numPr>
        <w:spacing w:before="120" w:after="0" w:line="360" w:lineRule="auto"/>
        <w:ind w:left="397" w:hanging="397"/>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 xml:space="preserve">określenia warunków hydrogeologicznych w związku z zamierzonym wykonywaniem przedsięwzięcia mogącego negatywnie oddziaływać na wody podziemne, w tym powodować ich zanieczyszczenie; </w:t>
      </w:r>
    </w:p>
    <w:p w14:paraId="1243F782" w14:textId="2D90C36F" w:rsidR="00476FDA" w:rsidRPr="007F28C1" w:rsidRDefault="00476FDA" w:rsidP="007F28C1">
      <w:pPr>
        <w:numPr>
          <w:ilvl w:val="0"/>
          <w:numId w:val="10"/>
        </w:numPr>
        <w:spacing w:before="120" w:after="0" w:line="360" w:lineRule="auto"/>
        <w:ind w:left="397" w:hanging="397"/>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rozpoznania budowy geologicznej obszaru z uwzględnieniem specyfiki oceny lokalizacji obiektu jądrowego, obejmującej charakterystykę podłoża czwartorzędowego, trzeciorzędowego i starszego podłoża (inna dokumentacja geologiczna).</w:t>
      </w:r>
    </w:p>
    <w:p w14:paraId="7DFF0B91" w14:textId="291826AC" w:rsidR="00794717" w:rsidRPr="007F28C1" w:rsidRDefault="00476FDA"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rPr>
        <w:t xml:space="preserve">W wyniku projektowanej zmiany wszystkie te opracowania będą zatwierdzane przez jeden organ administracji geologicznej </w:t>
      </w:r>
      <w:r w:rsidR="00C53EC1" w:rsidRPr="007F28C1">
        <w:rPr>
          <w:rFonts w:ascii="Times New Roman" w:eastAsia="Times New Roman" w:hAnsi="Times New Roman" w:cs="Times New Roman"/>
          <w:sz w:val="24"/>
          <w:szCs w:val="24"/>
        </w:rPr>
        <w:t xml:space="preserve">– </w:t>
      </w:r>
      <w:r w:rsidR="00C31F6F" w:rsidRPr="007F28C1">
        <w:rPr>
          <w:rFonts w:ascii="Times New Roman" w:eastAsia="Times New Roman" w:hAnsi="Times New Roman" w:cs="Times New Roman"/>
          <w:sz w:val="24"/>
          <w:szCs w:val="24"/>
        </w:rPr>
        <w:t>ministra właściwego do spraw środowiska</w:t>
      </w:r>
      <w:r w:rsidRPr="007F28C1">
        <w:rPr>
          <w:rFonts w:ascii="Times New Roman" w:eastAsia="Times New Roman" w:hAnsi="Times New Roman" w:cs="Times New Roman"/>
          <w:sz w:val="24"/>
          <w:szCs w:val="24"/>
        </w:rPr>
        <w:t>,</w:t>
      </w:r>
      <w:r w:rsidR="00A020C9" w:rsidRPr="007F28C1">
        <w:rPr>
          <w:rFonts w:ascii="Times New Roman" w:hAnsi="Times New Roman" w:cs="Times New Roman"/>
          <w:sz w:val="24"/>
          <w:szCs w:val="24"/>
        </w:rPr>
        <w:t xml:space="preserve"> odpowiedzialnego za nadzór nad rozpoznaniem obiektów strategicznych zaliczanych do III kategorii geotechnicznej obiektów budowlanych i realizowanych w skomplikowanych warunkach geologicznych</w:t>
      </w:r>
      <w:r w:rsidR="007E5B79" w:rsidRPr="007F28C1">
        <w:rPr>
          <w:rFonts w:ascii="Times New Roman" w:hAnsi="Times New Roman" w:cs="Times New Roman"/>
          <w:sz w:val="24"/>
          <w:szCs w:val="24"/>
        </w:rPr>
        <w:t>.</w:t>
      </w:r>
      <w:r w:rsidR="00794717" w:rsidRPr="007F28C1">
        <w:rPr>
          <w:rFonts w:ascii="Times New Roman" w:hAnsi="Times New Roman" w:cs="Times New Roman"/>
          <w:sz w:val="24"/>
          <w:szCs w:val="24"/>
        </w:rPr>
        <w:t xml:space="preserve"> </w:t>
      </w:r>
    </w:p>
    <w:p w14:paraId="23D114DD" w14:textId="1088C1AE" w:rsidR="00EC4AED" w:rsidRPr="007F28C1" w:rsidRDefault="006E3431" w:rsidP="007F28C1">
      <w:pPr>
        <w:spacing w:before="120" w:after="0" w:line="360" w:lineRule="auto"/>
        <w:jc w:val="both"/>
        <w:rPr>
          <w:rFonts w:ascii="Times New Roman" w:eastAsia="Times New Roman" w:hAnsi="Times New Roman" w:cs="Times New Roman"/>
          <w:sz w:val="24"/>
          <w:szCs w:val="24"/>
        </w:rPr>
      </w:pPr>
      <w:r w:rsidRPr="007F28C1">
        <w:rPr>
          <w:rFonts w:ascii="Times New Roman" w:eastAsia="Times New Roman" w:hAnsi="Times New Roman" w:cs="Times New Roman"/>
          <w:sz w:val="24"/>
          <w:szCs w:val="24"/>
        </w:rPr>
        <w:t>Jednocześnie, zważywszy na postępowania w toku, w których przywołana wyżej zmiana nie będzie mogła mieć zastosowania, zaprojektowano przepis przejściowy, który stanowi, że d</w:t>
      </w:r>
      <w:r w:rsidRPr="007F28C1">
        <w:rPr>
          <w:rFonts w:ascii="Times New Roman" w:hAnsi="Times New Roman" w:cs="Times New Roman"/>
          <w:sz w:val="24"/>
          <w:szCs w:val="24"/>
        </w:rPr>
        <w:t>o wszczętych i</w:t>
      </w:r>
      <w:r w:rsidR="0007586B" w:rsidRPr="007F28C1">
        <w:rPr>
          <w:rFonts w:ascii="Times New Roman" w:hAnsi="Times New Roman" w:cs="Times New Roman"/>
          <w:sz w:val="24"/>
          <w:szCs w:val="24"/>
        </w:rPr>
        <w:t> </w:t>
      </w:r>
      <w:r w:rsidRPr="007F28C1">
        <w:rPr>
          <w:rFonts w:ascii="Times New Roman" w:hAnsi="Times New Roman" w:cs="Times New Roman"/>
          <w:sz w:val="24"/>
          <w:szCs w:val="24"/>
        </w:rPr>
        <w:t>niezakończonych przed dniem wejścia w życie niniejszej ustawy postępowań w sprawie wydania dla obiektów jądrowych decyzji, o których mowa w art. 80 ust. 1 i art. 93 ust. 2</w:t>
      </w:r>
      <w:r w:rsidR="00A96060" w:rsidRPr="007F28C1">
        <w:rPr>
          <w:rFonts w:ascii="Times New Roman" w:hAnsi="Times New Roman" w:cs="Times New Roman"/>
          <w:sz w:val="24"/>
          <w:szCs w:val="24"/>
        </w:rPr>
        <w:t xml:space="preserve"> </w:t>
      </w:r>
      <w:r w:rsidR="00726F74" w:rsidRPr="007F28C1">
        <w:rPr>
          <w:rFonts w:ascii="Times New Roman" w:hAnsi="Times New Roman" w:cs="Times New Roman"/>
          <w:sz w:val="24"/>
          <w:szCs w:val="24"/>
        </w:rPr>
        <w:t>P.g.g.</w:t>
      </w:r>
      <w:r w:rsidRPr="007F28C1">
        <w:rPr>
          <w:rFonts w:ascii="Times New Roman" w:hAnsi="Times New Roman" w:cs="Times New Roman"/>
          <w:sz w:val="24"/>
          <w:szCs w:val="24"/>
        </w:rPr>
        <w:t>, stosuje się przepisy dotychczasowe.</w:t>
      </w:r>
      <w:r w:rsidRPr="007F28C1">
        <w:rPr>
          <w:rFonts w:ascii="Times New Roman" w:eastAsia="Times New Roman" w:hAnsi="Times New Roman" w:cs="Times New Roman"/>
          <w:sz w:val="24"/>
          <w:szCs w:val="24"/>
        </w:rPr>
        <w:t xml:space="preserve"> </w:t>
      </w:r>
    </w:p>
    <w:p w14:paraId="2FFF799C" w14:textId="6250182E" w:rsidR="002D62B0" w:rsidRPr="007F28C1" w:rsidRDefault="002D62B0" w:rsidP="007F28C1">
      <w:pPr>
        <w:keepNext/>
        <w:tabs>
          <w:tab w:val="left" w:pos="426"/>
        </w:tabs>
        <w:spacing w:before="120" w:after="0" w:line="360" w:lineRule="auto"/>
        <w:jc w:val="both"/>
        <w:rPr>
          <w:rFonts w:ascii="Times New Roman" w:eastAsia="Times New Roman" w:hAnsi="Times New Roman" w:cs="Times New Roman"/>
          <w:b/>
          <w:bCs/>
          <w:sz w:val="24"/>
          <w:szCs w:val="24"/>
          <w:lang w:eastAsia="pl-PL"/>
        </w:rPr>
      </w:pPr>
      <w:r w:rsidRPr="007F28C1">
        <w:rPr>
          <w:rFonts w:ascii="Times New Roman" w:eastAsia="Times New Roman" w:hAnsi="Times New Roman" w:cs="Times New Roman"/>
          <w:b/>
          <w:bCs/>
          <w:sz w:val="24"/>
          <w:szCs w:val="24"/>
        </w:rPr>
        <w:lastRenderedPageBreak/>
        <w:t>e)</w:t>
      </w:r>
      <w:r w:rsidR="0004564E">
        <w:rPr>
          <w:rFonts w:ascii="Times New Roman" w:eastAsia="Times New Roman" w:hAnsi="Times New Roman" w:cs="Times New Roman"/>
          <w:b/>
          <w:bCs/>
          <w:sz w:val="24"/>
          <w:szCs w:val="24"/>
        </w:rPr>
        <w:tab/>
      </w:r>
      <w:r w:rsidRPr="007F28C1">
        <w:rPr>
          <w:rFonts w:ascii="Times New Roman" w:eastAsia="Times New Roman" w:hAnsi="Times New Roman" w:cs="Times New Roman"/>
          <w:b/>
          <w:bCs/>
          <w:sz w:val="24"/>
          <w:szCs w:val="24"/>
          <w:lang w:eastAsia="pl-PL"/>
        </w:rPr>
        <w:t>Prawo pierwszeństwa oraz prawo wyłącznego korzystania z informacji geologicznej</w:t>
      </w:r>
    </w:p>
    <w:p w14:paraId="25566DB1" w14:textId="32525A12" w:rsidR="008F26B8" w:rsidRPr="007F28C1" w:rsidRDefault="002D62B0" w:rsidP="007F28C1">
      <w:pPr>
        <w:keepNext/>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Kolejnym z rozwiązań mających za cel ułatwienie w prowadzeniu działalności przez przedsiębiorców na gruncie P.g.g. jest wydłużenie okresu obowiązywania szczególnych uprawnień dla podmiotu, który sfinansował prace geologiczne i doprowadził do </w:t>
      </w:r>
      <w:r w:rsidR="00BD02B1" w:rsidRPr="007F28C1">
        <w:rPr>
          <w:rFonts w:ascii="Times New Roman" w:eastAsia="Times New Roman" w:hAnsi="Times New Roman" w:cs="Times New Roman"/>
          <w:sz w:val="24"/>
          <w:szCs w:val="24"/>
          <w:lang w:eastAsia="pl-PL"/>
        </w:rPr>
        <w:t xml:space="preserve">uzyskania </w:t>
      </w:r>
      <w:r w:rsidRPr="007F28C1">
        <w:rPr>
          <w:rFonts w:ascii="Times New Roman" w:eastAsia="Times New Roman" w:hAnsi="Times New Roman" w:cs="Times New Roman"/>
          <w:sz w:val="24"/>
          <w:szCs w:val="24"/>
          <w:lang w:eastAsia="pl-PL"/>
        </w:rPr>
        <w:t xml:space="preserve">informacji geologicznej. Podmiotowi takiemu przysługuje prawo pierwszeństwa do ustanowienia użytkowania górniczego </w:t>
      </w:r>
      <w:r w:rsidR="00BD02B1" w:rsidRPr="007F28C1">
        <w:rPr>
          <w:rFonts w:ascii="Times New Roman" w:eastAsia="Times New Roman" w:hAnsi="Times New Roman" w:cs="Times New Roman"/>
          <w:sz w:val="24"/>
          <w:szCs w:val="24"/>
          <w:lang w:eastAsia="pl-PL"/>
        </w:rPr>
        <w:t xml:space="preserve">określone </w:t>
      </w:r>
      <w:r w:rsidRPr="007F28C1">
        <w:rPr>
          <w:rFonts w:ascii="Times New Roman" w:eastAsia="Times New Roman" w:hAnsi="Times New Roman" w:cs="Times New Roman"/>
          <w:sz w:val="24"/>
          <w:szCs w:val="24"/>
          <w:lang w:eastAsia="pl-PL"/>
        </w:rPr>
        <w:t>w art. 15 P.g.g. oraz prawo do wyłącznego korzystania z informacji geologicznej, o którym mowa w art. 99 P.g.g. Oba te uprawnienia</w:t>
      </w:r>
      <w:r w:rsidR="00BD02B1" w:rsidRPr="007F28C1">
        <w:rPr>
          <w:rFonts w:ascii="Times New Roman" w:eastAsia="Times New Roman" w:hAnsi="Times New Roman" w:cs="Times New Roman"/>
          <w:sz w:val="24"/>
          <w:szCs w:val="24"/>
          <w:lang w:eastAsia="pl-PL"/>
        </w:rPr>
        <w:t xml:space="preserve">, </w:t>
      </w:r>
      <w:r w:rsidR="00BD02B1" w:rsidRPr="007F28C1">
        <w:rPr>
          <w:rFonts w:ascii="Times New Roman" w:hAnsi="Times New Roman" w:cs="Times New Roman"/>
          <w:sz w:val="24"/>
          <w:szCs w:val="24"/>
        </w:rPr>
        <w:t>przyznające wyjątkową pozycję inwestorowi,</w:t>
      </w:r>
      <w:r w:rsidRPr="007F28C1">
        <w:rPr>
          <w:rFonts w:ascii="Times New Roman" w:eastAsia="Times New Roman" w:hAnsi="Times New Roman" w:cs="Times New Roman"/>
          <w:sz w:val="24"/>
          <w:szCs w:val="24"/>
          <w:lang w:eastAsia="pl-PL"/>
        </w:rPr>
        <w:t xml:space="preserve"> przysługują obecnie w okresie 3 lat od dnia doręczenia decyzji zatwierdzającej dokumentację geologiczną albo od dnia przekazania dokumentacji geologicznej do OAG. </w:t>
      </w:r>
      <w:r w:rsidR="000D1FE2" w:rsidRPr="007F28C1">
        <w:rPr>
          <w:rFonts w:ascii="Times New Roman" w:eastAsia="Times New Roman" w:hAnsi="Times New Roman" w:cs="Times New Roman"/>
          <w:sz w:val="24"/>
          <w:szCs w:val="24"/>
          <w:lang w:eastAsia="pl-PL"/>
        </w:rPr>
        <w:t>W projekcie</w:t>
      </w:r>
      <w:r w:rsidRPr="007F28C1">
        <w:rPr>
          <w:rFonts w:ascii="Times New Roman" w:eastAsia="Times New Roman" w:hAnsi="Times New Roman" w:cs="Times New Roman"/>
          <w:sz w:val="24"/>
          <w:szCs w:val="24"/>
          <w:lang w:eastAsia="pl-PL"/>
        </w:rPr>
        <w:t xml:space="preserve"> proponuje się wydłużenie do 5 lat okresu, w którym będzie przysługiwało prawo pierwszeństwa (zmiana art. 15 ust. 2 P.g.g.) oraz prawo do wyłącznego korzystania z informacji geologicznej (zmiana art. 99 ust. 3 P.g.g.). Wydłużenie tego okresu będzie dotyczyło również uprawnień, w stosunku do których </w:t>
      </w:r>
      <w:r w:rsidR="00360365" w:rsidRPr="007F28C1">
        <w:rPr>
          <w:rFonts w:ascii="Times New Roman" w:eastAsia="Times New Roman" w:hAnsi="Times New Roman" w:cs="Times New Roman"/>
          <w:sz w:val="24"/>
          <w:szCs w:val="24"/>
          <w:lang w:eastAsia="pl-PL"/>
        </w:rPr>
        <w:t xml:space="preserve">bieg </w:t>
      </w:r>
      <w:r w:rsidRPr="007F28C1">
        <w:rPr>
          <w:rFonts w:ascii="Times New Roman" w:eastAsia="Times New Roman" w:hAnsi="Times New Roman" w:cs="Times New Roman"/>
          <w:sz w:val="24"/>
          <w:szCs w:val="24"/>
          <w:lang w:eastAsia="pl-PL"/>
        </w:rPr>
        <w:t>termin</w:t>
      </w:r>
      <w:r w:rsidR="00360365" w:rsidRPr="007F28C1">
        <w:rPr>
          <w:rFonts w:ascii="Times New Roman" w:eastAsia="Times New Roman" w:hAnsi="Times New Roman" w:cs="Times New Roman"/>
          <w:sz w:val="24"/>
          <w:szCs w:val="24"/>
          <w:lang w:eastAsia="pl-PL"/>
        </w:rPr>
        <w:t>u</w:t>
      </w:r>
      <w:r w:rsidRPr="007F28C1">
        <w:rPr>
          <w:rFonts w:ascii="Times New Roman" w:eastAsia="Times New Roman" w:hAnsi="Times New Roman" w:cs="Times New Roman"/>
          <w:sz w:val="24"/>
          <w:szCs w:val="24"/>
          <w:lang w:eastAsia="pl-PL"/>
        </w:rPr>
        <w:t xml:space="preserve"> się rozpoczął, lecz nie zakończył się</w:t>
      </w:r>
      <w:r w:rsidR="009D3C36" w:rsidRPr="007F28C1">
        <w:rPr>
          <w:rFonts w:ascii="Times New Roman" w:eastAsia="Times New Roman" w:hAnsi="Times New Roman" w:cs="Times New Roman"/>
          <w:sz w:val="24"/>
          <w:szCs w:val="24"/>
          <w:lang w:eastAsia="pl-PL"/>
        </w:rPr>
        <w:t xml:space="preserve"> przed dniem wejścia w życie niniejszej nowelizacji</w:t>
      </w:r>
      <w:r w:rsidRPr="007F28C1">
        <w:rPr>
          <w:rFonts w:ascii="Times New Roman" w:eastAsia="Times New Roman" w:hAnsi="Times New Roman" w:cs="Times New Roman"/>
          <w:sz w:val="24"/>
          <w:szCs w:val="24"/>
          <w:lang w:eastAsia="pl-PL"/>
        </w:rPr>
        <w:t>. Za takim rozwiązaniem przemawia szczególna sytuacja związana z trwającym stanem pandemii, która utrudniła i wydłużyła prowadzenie postępowań poprzedzających złożenie wniosku o udzielenie koncesji. Prawo do wyłącznego korzystania</w:t>
      </w:r>
      <w:r w:rsidR="00BD02B1" w:rsidRPr="007F28C1">
        <w:rPr>
          <w:rFonts w:ascii="Times New Roman" w:eastAsia="Times New Roman" w:hAnsi="Times New Roman" w:cs="Times New Roman"/>
          <w:sz w:val="24"/>
          <w:szCs w:val="24"/>
          <w:lang w:eastAsia="pl-PL"/>
        </w:rPr>
        <w:t xml:space="preserve"> z</w:t>
      </w:r>
      <w:r w:rsidR="00D2588E" w:rsidRPr="007F28C1">
        <w:rPr>
          <w:rFonts w:ascii="Times New Roman" w:eastAsia="Times New Roman" w:hAnsi="Times New Roman" w:cs="Times New Roman"/>
          <w:sz w:val="24"/>
          <w:szCs w:val="24"/>
          <w:lang w:eastAsia="pl-PL"/>
        </w:rPr>
        <w:t> </w:t>
      </w:r>
      <w:r w:rsidR="00BD02B1" w:rsidRPr="007F28C1">
        <w:rPr>
          <w:rFonts w:ascii="Times New Roman" w:eastAsia="Times New Roman" w:hAnsi="Times New Roman" w:cs="Times New Roman"/>
          <w:sz w:val="24"/>
          <w:szCs w:val="24"/>
          <w:lang w:eastAsia="pl-PL"/>
        </w:rPr>
        <w:t>informacji geologicznej nie będzie dotyczyło</w:t>
      </w:r>
      <w:r w:rsidRPr="007F28C1">
        <w:rPr>
          <w:rFonts w:ascii="Times New Roman" w:eastAsia="Times New Roman" w:hAnsi="Times New Roman" w:cs="Times New Roman"/>
          <w:sz w:val="24"/>
          <w:szCs w:val="24"/>
          <w:lang w:eastAsia="pl-PL"/>
        </w:rPr>
        <w:t xml:space="preserve"> przypadku, gdy dokumentację geologiczną sporządziła PSG, co przewiduje także</w:t>
      </w:r>
      <w:r w:rsidR="008F26B8" w:rsidRPr="007F28C1">
        <w:rPr>
          <w:rFonts w:ascii="Times New Roman" w:eastAsia="Times New Roman" w:hAnsi="Times New Roman" w:cs="Times New Roman"/>
          <w:sz w:val="24"/>
          <w:szCs w:val="24"/>
          <w:lang w:eastAsia="pl-PL"/>
        </w:rPr>
        <w:t xml:space="preserve"> zmieniony art. 99 ust. 3 P.g.g</w:t>
      </w:r>
      <w:r w:rsidRPr="007F28C1">
        <w:rPr>
          <w:rFonts w:ascii="Times New Roman" w:eastAsia="Times New Roman" w:hAnsi="Times New Roman" w:cs="Times New Roman"/>
          <w:sz w:val="24"/>
          <w:szCs w:val="24"/>
          <w:lang w:eastAsia="pl-PL"/>
        </w:rPr>
        <w:t xml:space="preserve">. Prawo do wyłącznego korzystania z informacji geologicznej nie ma bowiem uzasadnienia w przypadku, gdy dokumentację taką sporządza </w:t>
      </w:r>
      <w:r w:rsidR="008F26B8" w:rsidRPr="007F28C1">
        <w:rPr>
          <w:rFonts w:ascii="Times New Roman" w:eastAsia="Times New Roman" w:hAnsi="Times New Roman" w:cs="Times New Roman"/>
          <w:sz w:val="24"/>
          <w:szCs w:val="24"/>
          <w:lang w:eastAsia="pl-PL"/>
        </w:rPr>
        <w:t>PSG</w:t>
      </w:r>
      <w:r w:rsidRPr="007F28C1">
        <w:rPr>
          <w:rFonts w:ascii="Times New Roman" w:eastAsia="Times New Roman" w:hAnsi="Times New Roman" w:cs="Times New Roman"/>
          <w:sz w:val="24"/>
          <w:szCs w:val="24"/>
          <w:lang w:eastAsia="pl-PL"/>
        </w:rPr>
        <w:t xml:space="preserve"> w</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ramach pełnienia zadań państwa w zakresie geologii.</w:t>
      </w:r>
    </w:p>
    <w:p w14:paraId="06663199" w14:textId="0ED38CB5" w:rsidR="008F26B8" w:rsidRPr="007F28C1" w:rsidRDefault="002D62B0" w:rsidP="007F28C1">
      <w:pPr>
        <w:keepNext/>
        <w:tabs>
          <w:tab w:val="left" w:pos="426"/>
        </w:tabs>
        <w:spacing w:before="120" w:after="0" w:line="360" w:lineRule="auto"/>
        <w:jc w:val="both"/>
        <w:rPr>
          <w:rFonts w:ascii="Times New Roman" w:eastAsia="Times New Roman" w:hAnsi="Times New Roman" w:cs="Times New Roman"/>
          <w:b/>
          <w:bCs/>
          <w:sz w:val="24"/>
          <w:szCs w:val="24"/>
          <w:lang w:eastAsia="pl-PL"/>
        </w:rPr>
      </w:pPr>
      <w:r w:rsidRPr="007F28C1">
        <w:rPr>
          <w:rFonts w:ascii="Times New Roman" w:eastAsia="Times New Roman" w:hAnsi="Times New Roman" w:cs="Times New Roman"/>
          <w:b/>
          <w:bCs/>
          <w:sz w:val="24"/>
          <w:szCs w:val="24"/>
          <w:lang w:eastAsia="pl-PL"/>
        </w:rPr>
        <w:t>f)</w:t>
      </w:r>
      <w:r w:rsidR="0004564E">
        <w:rPr>
          <w:rFonts w:ascii="Times New Roman" w:eastAsia="Times New Roman" w:hAnsi="Times New Roman" w:cs="Times New Roman"/>
          <w:b/>
          <w:bCs/>
          <w:sz w:val="24"/>
          <w:szCs w:val="24"/>
          <w:lang w:eastAsia="pl-PL"/>
        </w:rPr>
        <w:tab/>
      </w:r>
      <w:r w:rsidR="00472D72" w:rsidRPr="007F28C1">
        <w:rPr>
          <w:rFonts w:ascii="Times New Roman" w:hAnsi="Times New Roman" w:cs="Times New Roman"/>
          <w:b/>
          <w:sz w:val="24"/>
          <w:szCs w:val="24"/>
        </w:rPr>
        <w:t>Dowód istnienia prawa do korzystania</w:t>
      </w:r>
      <w:r w:rsidR="00472D72" w:rsidRPr="007F28C1">
        <w:rPr>
          <w:rFonts w:ascii="Times New Roman" w:hAnsi="Times New Roman" w:cs="Times New Roman"/>
          <w:bCs/>
          <w:sz w:val="24"/>
          <w:szCs w:val="24"/>
        </w:rPr>
        <w:t xml:space="preserve"> </w:t>
      </w:r>
      <w:r w:rsidR="00472D72" w:rsidRPr="007F28C1">
        <w:rPr>
          <w:rFonts w:ascii="Times New Roman" w:hAnsi="Times New Roman" w:cs="Times New Roman"/>
          <w:b/>
          <w:sz w:val="24"/>
          <w:szCs w:val="24"/>
        </w:rPr>
        <w:t>z</w:t>
      </w:r>
      <w:r w:rsidR="00472D72" w:rsidRPr="007F28C1">
        <w:rPr>
          <w:rFonts w:ascii="Times New Roman" w:hAnsi="Times New Roman" w:cs="Times New Roman"/>
          <w:bCs/>
          <w:sz w:val="24"/>
          <w:szCs w:val="24"/>
        </w:rPr>
        <w:t xml:space="preserve"> </w:t>
      </w:r>
      <w:r w:rsidR="00472D72" w:rsidRPr="007F28C1">
        <w:rPr>
          <w:rFonts w:ascii="Times New Roman" w:hAnsi="Times New Roman" w:cs="Times New Roman"/>
          <w:b/>
          <w:sz w:val="24"/>
          <w:szCs w:val="24"/>
        </w:rPr>
        <w:t>informacji geologicznej</w:t>
      </w:r>
      <w:r w:rsidR="00472D72" w:rsidRPr="007F28C1" w:rsidDel="00472D72">
        <w:rPr>
          <w:rFonts w:ascii="Times New Roman" w:eastAsia="Times New Roman" w:hAnsi="Times New Roman" w:cs="Times New Roman"/>
          <w:b/>
          <w:bCs/>
          <w:sz w:val="24"/>
          <w:szCs w:val="24"/>
          <w:lang w:eastAsia="pl-PL"/>
        </w:rPr>
        <w:t xml:space="preserve"> </w:t>
      </w:r>
    </w:p>
    <w:p w14:paraId="03BB6BA9" w14:textId="697AD8F8" w:rsidR="002D62B0" w:rsidRPr="007F28C1" w:rsidRDefault="002D62B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Według obecnego brzmienia </w:t>
      </w:r>
      <w:r w:rsidR="003C55D9" w:rsidRPr="007F28C1">
        <w:rPr>
          <w:rFonts w:ascii="Times New Roman" w:eastAsia="Times New Roman" w:hAnsi="Times New Roman" w:cs="Times New Roman"/>
          <w:sz w:val="24"/>
          <w:szCs w:val="24"/>
          <w:lang w:eastAsia="pl-PL"/>
        </w:rPr>
        <w:t xml:space="preserve">P.g.g. </w:t>
      </w:r>
      <w:r w:rsidRPr="007F28C1">
        <w:rPr>
          <w:rFonts w:ascii="Times New Roman" w:eastAsia="Times New Roman" w:hAnsi="Times New Roman" w:cs="Times New Roman"/>
          <w:sz w:val="24"/>
          <w:szCs w:val="24"/>
          <w:lang w:eastAsia="pl-PL"/>
        </w:rPr>
        <w:t>od przedsiębiorcy składającego wniosek o udzielenie koncesji na</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wydobywanie kopalin ze złóż </w:t>
      </w:r>
      <w:r w:rsidR="000132E3"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wymagane przedłożenie dowod</w:t>
      </w:r>
      <w:r w:rsidR="008F26B8" w:rsidRPr="007F28C1">
        <w:rPr>
          <w:rFonts w:ascii="Times New Roman" w:eastAsia="Times New Roman" w:hAnsi="Times New Roman" w:cs="Times New Roman"/>
          <w:sz w:val="24"/>
          <w:szCs w:val="24"/>
          <w:lang w:eastAsia="pl-PL"/>
        </w:rPr>
        <w:t>u</w:t>
      </w:r>
      <w:r w:rsidRPr="007F28C1">
        <w:rPr>
          <w:rFonts w:ascii="Times New Roman" w:eastAsia="Times New Roman" w:hAnsi="Times New Roman" w:cs="Times New Roman"/>
          <w:sz w:val="24"/>
          <w:szCs w:val="24"/>
          <w:lang w:eastAsia="pl-PL"/>
        </w:rPr>
        <w:t xml:space="preserve"> istnienia: prawa do korzystania z informacji geologicznej, jakie w zakresie niezbędnym do prowadzenia zamierzonej działalności przysługuje wnioskodawcy, oraz kopi</w:t>
      </w:r>
      <w:r w:rsidR="003328E8" w:rsidRPr="007F28C1">
        <w:rPr>
          <w:rFonts w:ascii="Times New Roman" w:eastAsia="Times New Roman" w:hAnsi="Times New Roman" w:cs="Times New Roman"/>
          <w:sz w:val="24"/>
          <w:szCs w:val="24"/>
          <w:lang w:eastAsia="pl-PL"/>
        </w:rPr>
        <w:t>i</w:t>
      </w:r>
      <w:r w:rsidRPr="007F28C1">
        <w:rPr>
          <w:rFonts w:ascii="Times New Roman" w:eastAsia="Times New Roman" w:hAnsi="Times New Roman" w:cs="Times New Roman"/>
          <w:sz w:val="24"/>
          <w:szCs w:val="24"/>
          <w:lang w:eastAsia="pl-PL"/>
        </w:rPr>
        <w:t xml:space="preserve"> decyzji zatwierdzającej dokumentację geologiczną. Praktyczny problem pojawia się w przypadku tego pierwszego dokumentu, je</w:t>
      </w:r>
      <w:r w:rsidR="003328E8" w:rsidRPr="007F28C1">
        <w:rPr>
          <w:rFonts w:ascii="Times New Roman" w:eastAsia="Times New Roman" w:hAnsi="Times New Roman" w:cs="Times New Roman"/>
          <w:sz w:val="24"/>
          <w:szCs w:val="24"/>
          <w:lang w:eastAsia="pl-PL"/>
        </w:rPr>
        <w:t>ż</w:t>
      </w:r>
      <w:r w:rsidR="000132E3" w:rsidRPr="007F28C1">
        <w:rPr>
          <w:rFonts w:ascii="Times New Roman" w:eastAsia="Times New Roman" w:hAnsi="Times New Roman" w:cs="Times New Roman"/>
          <w:sz w:val="24"/>
          <w:szCs w:val="24"/>
          <w:lang w:eastAsia="pl-PL"/>
        </w:rPr>
        <w:t>e</w:t>
      </w:r>
      <w:r w:rsidRPr="007F28C1">
        <w:rPr>
          <w:rFonts w:ascii="Times New Roman" w:eastAsia="Times New Roman" w:hAnsi="Times New Roman" w:cs="Times New Roman"/>
          <w:sz w:val="24"/>
          <w:szCs w:val="24"/>
          <w:lang w:eastAsia="pl-PL"/>
        </w:rPr>
        <w:t>li wniosek składa podmiot, który nie</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nabył prawa do korzystania z informacji geologicznej na podstawie czynności prawnej, a z mocy prawa. Następuje to w przypadku, gdy do nabycia tego prawa doszło w związku ze sfinansowaniem prac geologicznych przez wnioskodawcę oraz przyjęciem </w:t>
      </w:r>
      <w:r w:rsidR="00C451C0" w:rsidRPr="007F28C1">
        <w:rPr>
          <w:rFonts w:ascii="Times New Roman" w:eastAsia="Times New Roman" w:hAnsi="Times New Roman" w:cs="Times New Roman"/>
          <w:sz w:val="24"/>
          <w:szCs w:val="24"/>
          <w:lang w:eastAsia="pl-PL"/>
        </w:rPr>
        <w:t xml:space="preserve">dokumentacji geologicznej bez zastrzeżeń </w:t>
      </w:r>
      <w:r w:rsidRPr="007F28C1">
        <w:rPr>
          <w:rFonts w:ascii="Times New Roman" w:eastAsia="Times New Roman" w:hAnsi="Times New Roman" w:cs="Times New Roman"/>
          <w:sz w:val="24"/>
          <w:szCs w:val="24"/>
          <w:lang w:eastAsia="pl-PL"/>
        </w:rPr>
        <w:t xml:space="preserve">albo zatwierdzeniem na jego rzecz dokumentacji geologicznej, albo złożeniem jej w organie administracji geologicznej. </w:t>
      </w:r>
      <w:r w:rsidR="00BD02B1" w:rsidRPr="007F28C1">
        <w:rPr>
          <w:rFonts w:ascii="Times New Roman" w:eastAsia="Times New Roman" w:hAnsi="Times New Roman" w:cs="Times New Roman"/>
          <w:sz w:val="24"/>
          <w:szCs w:val="24"/>
          <w:lang w:eastAsia="pl-PL"/>
        </w:rPr>
        <w:t>P</w:t>
      </w:r>
      <w:r w:rsidR="007C761E" w:rsidRPr="007F28C1">
        <w:rPr>
          <w:rFonts w:ascii="Times New Roman" w:eastAsia="Times New Roman" w:hAnsi="Times New Roman" w:cs="Times New Roman"/>
          <w:sz w:val="24"/>
          <w:szCs w:val="24"/>
          <w:lang w:eastAsia="pl-PL"/>
        </w:rPr>
        <w:t xml:space="preserve">rojektowana nowelizacja przewiduje </w:t>
      </w:r>
      <w:r w:rsidR="006C7475" w:rsidRPr="007F28C1">
        <w:rPr>
          <w:rFonts w:ascii="Times New Roman" w:eastAsia="Times New Roman" w:hAnsi="Times New Roman" w:cs="Times New Roman"/>
          <w:sz w:val="24"/>
          <w:szCs w:val="24"/>
          <w:lang w:eastAsia="pl-PL"/>
        </w:rPr>
        <w:t xml:space="preserve">dodanie </w:t>
      </w:r>
      <w:r w:rsidR="000132E3" w:rsidRPr="007F28C1">
        <w:rPr>
          <w:rFonts w:ascii="Times New Roman" w:eastAsia="Times New Roman" w:hAnsi="Times New Roman" w:cs="Times New Roman"/>
          <w:sz w:val="24"/>
          <w:szCs w:val="24"/>
          <w:lang w:eastAsia="pl-PL"/>
        </w:rPr>
        <w:t xml:space="preserve">w </w:t>
      </w:r>
      <w:r w:rsidR="007C761E" w:rsidRPr="007F28C1">
        <w:rPr>
          <w:rFonts w:ascii="Times New Roman" w:eastAsia="Times New Roman" w:hAnsi="Times New Roman" w:cs="Times New Roman"/>
          <w:sz w:val="24"/>
          <w:szCs w:val="24"/>
          <w:lang w:eastAsia="pl-PL"/>
        </w:rPr>
        <w:t>art. 26 ust. 2a P.g.g.</w:t>
      </w:r>
      <w:r w:rsidR="00FA2EC6">
        <w:rPr>
          <w:rFonts w:ascii="Times New Roman" w:eastAsia="Times New Roman" w:hAnsi="Times New Roman" w:cs="Times New Roman"/>
          <w:sz w:val="24"/>
          <w:szCs w:val="24"/>
          <w:lang w:eastAsia="pl-PL"/>
        </w:rPr>
        <w:t>,</w:t>
      </w:r>
      <w:r w:rsidR="007C761E" w:rsidRPr="007F28C1">
        <w:rPr>
          <w:rFonts w:ascii="Times New Roman" w:eastAsia="Times New Roman" w:hAnsi="Times New Roman" w:cs="Times New Roman"/>
          <w:sz w:val="24"/>
          <w:szCs w:val="24"/>
          <w:lang w:eastAsia="pl-PL"/>
        </w:rPr>
        <w:t xml:space="preserve"> któr</w:t>
      </w:r>
      <w:r w:rsidR="006C7475" w:rsidRPr="007F28C1">
        <w:rPr>
          <w:rFonts w:ascii="Times New Roman" w:eastAsia="Times New Roman" w:hAnsi="Times New Roman" w:cs="Times New Roman"/>
          <w:sz w:val="24"/>
          <w:szCs w:val="24"/>
          <w:lang w:eastAsia="pl-PL"/>
        </w:rPr>
        <w:t>y</w:t>
      </w:r>
      <w:r w:rsidR="007C761E" w:rsidRPr="007F28C1">
        <w:rPr>
          <w:rFonts w:ascii="Times New Roman" w:eastAsia="Times New Roman" w:hAnsi="Times New Roman" w:cs="Times New Roman"/>
          <w:sz w:val="24"/>
          <w:szCs w:val="24"/>
          <w:lang w:eastAsia="pl-PL"/>
        </w:rPr>
        <w:t xml:space="preserve"> </w:t>
      </w:r>
      <w:r w:rsidR="00BD02B1" w:rsidRPr="007F28C1">
        <w:rPr>
          <w:rFonts w:ascii="Times New Roman" w:eastAsia="Times New Roman" w:hAnsi="Times New Roman" w:cs="Times New Roman"/>
          <w:sz w:val="24"/>
          <w:szCs w:val="24"/>
          <w:lang w:eastAsia="pl-PL"/>
        </w:rPr>
        <w:lastRenderedPageBreak/>
        <w:t>doprecyzuje</w:t>
      </w:r>
      <w:r w:rsidRPr="007F28C1">
        <w:rPr>
          <w:rFonts w:ascii="Times New Roman" w:eastAsia="Times New Roman" w:hAnsi="Times New Roman" w:cs="Times New Roman"/>
          <w:sz w:val="24"/>
          <w:szCs w:val="24"/>
          <w:lang w:eastAsia="pl-PL"/>
        </w:rPr>
        <w:t xml:space="preserve">, że w takiej sytuacji we wniosku o udzielenie koncesji zostanie wskazana podstawa prawna nabycia prawa do korzystania z informacji geologicznej oraz decyzja </w:t>
      </w:r>
      <w:r w:rsidR="00992880" w:rsidRPr="007F28C1">
        <w:rPr>
          <w:rFonts w:ascii="Times New Roman" w:eastAsia="Times New Roman" w:hAnsi="Times New Roman" w:cs="Times New Roman"/>
          <w:sz w:val="24"/>
          <w:szCs w:val="24"/>
          <w:lang w:eastAsia="pl-PL"/>
        </w:rPr>
        <w:t xml:space="preserve">lub projekt robót geologicznych, o którym mowa w art. 85a ust. 1, </w:t>
      </w:r>
      <w:r w:rsidRPr="007F28C1">
        <w:rPr>
          <w:rFonts w:ascii="Times New Roman" w:eastAsia="Times New Roman" w:hAnsi="Times New Roman" w:cs="Times New Roman"/>
          <w:sz w:val="24"/>
          <w:szCs w:val="24"/>
          <w:lang w:eastAsia="pl-PL"/>
        </w:rPr>
        <w:t>będąc</w:t>
      </w:r>
      <w:r w:rsidR="00992880" w:rsidRPr="007F28C1">
        <w:rPr>
          <w:rFonts w:ascii="Times New Roman" w:eastAsia="Times New Roman" w:hAnsi="Times New Roman" w:cs="Times New Roman"/>
          <w:sz w:val="24"/>
          <w:szCs w:val="24"/>
          <w:lang w:eastAsia="pl-PL"/>
        </w:rPr>
        <w:t>e</w:t>
      </w:r>
      <w:r w:rsidRPr="007F28C1">
        <w:rPr>
          <w:rFonts w:ascii="Times New Roman" w:eastAsia="Times New Roman" w:hAnsi="Times New Roman" w:cs="Times New Roman"/>
          <w:sz w:val="24"/>
          <w:szCs w:val="24"/>
          <w:lang w:eastAsia="pl-PL"/>
        </w:rPr>
        <w:t xml:space="preserve"> podstawą do uzyskania informacji geologicznej. Ponadto dokonano modyfikacji art. 49z </w:t>
      </w:r>
      <w:r w:rsidR="00F2569F" w:rsidRPr="007F28C1">
        <w:rPr>
          <w:rFonts w:ascii="Times New Roman" w:eastAsia="Times New Roman" w:hAnsi="Times New Roman" w:cs="Times New Roman"/>
          <w:sz w:val="24"/>
          <w:szCs w:val="24"/>
          <w:lang w:eastAsia="pl-PL"/>
        </w:rPr>
        <w:t xml:space="preserve">ust. 4 </w:t>
      </w:r>
      <w:r w:rsidR="00BD02B1" w:rsidRPr="007F28C1">
        <w:rPr>
          <w:rFonts w:ascii="Times New Roman" w:eastAsia="Times New Roman" w:hAnsi="Times New Roman" w:cs="Times New Roman"/>
          <w:sz w:val="24"/>
          <w:szCs w:val="24"/>
          <w:lang w:eastAsia="pl-PL"/>
        </w:rPr>
        <w:t xml:space="preserve">P.g.g. </w:t>
      </w:r>
      <w:r w:rsidRPr="007F28C1">
        <w:rPr>
          <w:rFonts w:ascii="Times New Roman" w:eastAsia="Times New Roman" w:hAnsi="Times New Roman" w:cs="Times New Roman"/>
          <w:sz w:val="24"/>
          <w:szCs w:val="24"/>
          <w:lang w:eastAsia="pl-PL"/>
        </w:rPr>
        <w:t xml:space="preserve">dotyczącego zawartości wniosku o wydanie decyzji inwestycyjnej, której uzyskanie </w:t>
      </w:r>
      <w:r w:rsidR="000132E3"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wymagane do rozpoczęcia fazy wydobywania</w:t>
      </w:r>
      <w:r w:rsidR="00BD02B1" w:rsidRPr="007F28C1">
        <w:rPr>
          <w:rFonts w:ascii="Times New Roman" w:eastAsia="Times New Roman" w:hAnsi="Times New Roman" w:cs="Times New Roman"/>
          <w:sz w:val="24"/>
          <w:szCs w:val="24"/>
          <w:lang w:eastAsia="pl-PL"/>
        </w:rPr>
        <w:t xml:space="preserve"> </w:t>
      </w:r>
      <w:r w:rsidR="00BA5BAE" w:rsidRPr="007F28C1">
        <w:rPr>
          <w:rFonts w:ascii="Times New Roman" w:eastAsia="Times New Roman" w:hAnsi="Times New Roman" w:cs="Times New Roman"/>
          <w:sz w:val="24"/>
          <w:szCs w:val="24"/>
          <w:lang w:eastAsia="pl-PL"/>
        </w:rPr>
        <w:t xml:space="preserve">w ramach </w:t>
      </w:r>
      <w:r w:rsidR="00BD02B1" w:rsidRPr="007F28C1">
        <w:rPr>
          <w:rFonts w:ascii="Times New Roman" w:eastAsia="Times New Roman" w:hAnsi="Times New Roman" w:cs="Times New Roman"/>
          <w:sz w:val="24"/>
          <w:szCs w:val="24"/>
          <w:lang w:eastAsia="pl-PL"/>
        </w:rPr>
        <w:t>koncesji na poszukiwanie i rozpoznawanie złóż węglowodorów oraz wydobywanie węglowodorów</w:t>
      </w:r>
      <w:r w:rsidRPr="007F28C1">
        <w:rPr>
          <w:rFonts w:ascii="Times New Roman" w:eastAsia="Times New Roman" w:hAnsi="Times New Roman" w:cs="Times New Roman"/>
          <w:sz w:val="24"/>
          <w:szCs w:val="24"/>
          <w:lang w:eastAsia="pl-PL"/>
        </w:rPr>
        <w:t xml:space="preserve"> ze złóż, gdzie także przewidziano </w:t>
      </w:r>
      <w:r w:rsidR="008F26B8" w:rsidRPr="007F28C1">
        <w:rPr>
          <w:rFonts w:ascii="Times New Roman" w:eastAsia="Times New Roman" w:hAnsi="Times New Roman" w:cs="Times New Roman"/>
          <w:sz w:val="24"/>
          <w:szCs w:val="24"/>
          <w:lang w:eastAsia="pl-PL"/>
        </w:rPr>
        <w:t xml:space="preserve">wymóg </w:t>
      </w:r>
      <w:r w:rsidRPr="007F28C1">
        <w:rPr>
          <w:rFonts w:ascii="Times New Roman" w:eastAsia="Times New Roman" w:hAnsi="Times New Roman" w:cs="Times New Roman"/>
          <w:sz w:val="24"/>
          <w:szCs w:val="24"/>
          <w:lang w:eastAsia="pl-PL"/>
        </w:rPr>
        <w:t>wskazani</w:t>
      </w:r>
      <w:r w:rsidR="008F26B8" w:rsidRPr="007F28C1">
        <w:rPr>
          <w:rFonts w:ascii="Times New Roman" w:eastAsia="Times New Roman" w:hAnsi="Times New Roman" w:cs="Times New Roman"/>
          <w:sz w:val="24"/>
          <w:szCs w:val="24"/>
          <w:lang w:eastAsia="pl-PL"/>
        </w:rPr>
        <w:t>a</w:t>
      </w:r>
      <w:r w:rsidRPr="007F28C1">
        <w:rPr>
          <w:rFonts w:ascii="Times New Roman" w:eastAsia="Times New Roman" w:hAnsi="Times New Roman" w:cs="Times New Roman"/>
          <w:sz w:val="24"/>
          <w:szCs w:val="24"/>
          <w:lang w:eastAsia="pl-PL"/>
        </w:rPr>
        <w:t xml:space="preserve"> podstawy prawnej nabycia prawa do korzystania z informacji geologicznej oraz </w:t>
      </w:r>
      <w:r w:rsidR="00992880" w:rsidRPr="007F28C1">
        <w:rPr>
          <w:rFonts w:ascii="Times New Roman" w:eastAsia="Times New Roman" w:hAnsi="Times New Roman" w:cs="Times New Roman"/>
          <w:sz w:val="24"/>
          <w:szCs w:val="24"/>
          <w:lang w:eastAsia="pl-PL"/>
        </w:rPr>
        <w:t>ww. decyzji lub projektu robót geologicznych</w:t>
      </w:r>
      <w:r w:rsidRPr="007F28C1">
        <w:rPr>
          <w:rFonts w:ascii="Times New Roman" w:eastAsia="Times New Roman" w:hAnsi="Times New Roman" w:cs="Times New Roman"/>
          <w:sz w:val="24"/>
          <w:szCs w:val="24"/>
          <w:lang w:eastAsia="pl-PL"/>
        </w:rPr>
        <w:t>.</w:t>
      </w:r>
      <w:r w:rsidR="003D752B" w:rsidRPr="007F28C1">
        <w:rPr>
          <w:rFonts w:ascii="Times New Roman" w:eastAsia="Times New Roman" w:hAnsi="Times New Roman" w:cs="Times New Roman"/>
          <w:sz w:val="24"/>
          <w:szCs w:val="24"/>
          <w:lang w:eastAsia="pl-PL"/>
        </w:rPr>
        <w:t xml:space="preserve"> </w:t>
      </w:r>
      <w:r w:rsidR="00533DD7" w:rsidRPr="007F28C1">
        <w:rPr>
          <w:rFonts w:ascii="Times New Roman" w:eastAsia="Times New Roman" w:hAnsi="Times New Roman" w:cs="Times New Roman"/>
          <w:sz w:val="24"/>
          <w:szCs w:val="24"/>
          <w:lang w:eastAsia="pl-PL"/>
        </w:rPr>
        <w:t xml:space="preserve">Analogiczne rozwiązanie przewidziano w dodanym w art. 85 ust. 5 P.g.g. dotyczącym </w:t>
      </w:r>
      <w:r w:rsidR="00720D61" w:rsidRPr="007F28C1">
        <w:rPr>
          <w:rFonts w:ascii="Times New Roman" w:eastAsia="Times New Roman" w:hAnsi="Times New Roman" w:cs="Times New Roman"/>
          <w:sz w:val="24"/>
          <w:szCs w:val="24"/>
          <w:lang w:eastAsia="pl-PL"/>
        </w:rPr>
        <w:t xml:space="preserve">wykazania się prawem do informacji geologicznej w przypadku </w:t>
      </w:r>
      <w:r w:rsidR="00533DD7" w:rsidRPr="007F28C1">
        <w:rPr>
          <w:rFonts w:ascii="Times New Roman" w:eastAsia="Times New Roman" w:hAnsi="Times New Roman" w:cs="Times New Roman"/>
          <w:sz w:val="24"/>
          <w:szCs w:val="24"/>
          <w:lang w:eastAsia="pl-PL"/>
        </w:rPr>
        <w:t xml:space="preserve">rekonstrukcji </w:t>
      </w:r>
      <w:r w:rsidR="00720D61" w:rsidRPr="007F28C1">
        <w:rPr>
          <w:rFonts w:ascii="Times New Roman" w:eastAsia="Times New Roman" w:hAnsi="Times New Roman" w:cs="Times New Roman"/>
          <w:sz w:val="24"/>
          <w:szCs w:val="24"/>
          <w:lang w:eastAsia="pl-PL"/>
        </w:rPr>
        <w:t>zlikwidowanych otworów wiertniczych w celu wykorzystania ciepła Ziemi.</w:t>
      </w:r>
      <w:r w:rsidR="005B7604" w:rsidRPr="007F28C1">
        <w:rPr>
          <w:rFonts w:ascii="Times New Roman" w:eastAsia="Times New Roman" w:hAnsi="Times New Roman" w:cs="Times New Roman"/>
          <w:sz w:val="24"/>
          <w:szCs w:val="24"/>
          <w:lang w:eastAsia="pl-PL"/>
        </w:rPr>
        <w:t xml:space="preserve"> </w:t>
      </w:r>
    </w:p>
    <w:p w14:paraId="6BFC1992" w14:textId="0630482E" w:rsidR="007C761E" w:rsidRPr="007F28C1" w:rsidRDefault="007C761E" w:rsidP="007F28C1">
      <w:pPr>
        <w:keepNext/>
        <w:tabs>
          <w:tab w:val="left" w:pos="426"/>
        </w:tabs>
        <w:spacing w:before="120" w:after="0" w:line="360" w:lineRule="auto"/>
        <w:jc w:val="both"/>
        <w:rPr>
          <w:rFonts w:ascii="Times New Roman" w:eastAsia="Times New Roman" w:hAnsi="Times New Roman" w:cs="Times New Roman"/>
          <w:b/>
          <w:bCs/>
          <w:sz w:val="24"/>
          <w:szCs w:val="24"/>
        </w:rPr>
      </w:pPr>
      <w:r w:rsidRPr="007F28C1">
        <w:rPr>
          <w:rFonts w:ascii="Times New Roman" w:eastAsia="Times New Roman" w:hAnsi="Times New Roman" w:cs="Times New Roman"/>
          <w:b/>
          <w:bCs/>
          <w:sz w:val="24"/>
          <w:szCs w:val="24"/>
        </w:rPr>
        <w:t>g)</w:t>
      </w:r>
      <w:r w:rsidR="0004564E">
        <w:rPr>
          <w:rFonts w:ascii="Times New Roman" w:eastAsia="Times New Roman" w:hAnsi="Times New Roman" w:cs="Times New Roman"/>
          <w:b/>
          <w:bCs/>
          <w:sz w:val="24"/>
          <w:szCs w:val="24"/>
        </w:rPr>
        <w:tab/>
      </w:r>
      <w:r w:rsidR="00BD02B1" w:rsidRPr="007F28C1">
        <w:rPr>
          <w:rFonts w:ascii="Times New Roman" w:eastAsia="Times New Roman" w:hAnsi="Times New Roman" w:cs="Times New Roman"/>
          <w:b/>
          <w:bCs/>
          <w:sz w:val="24"/>
          <w:szCs w:val="24"/>
        </w:rPr>
        <w:t>Obowiązki informacyjne</w:t>
      </w:r>
    </w:p>
    <w:p w14:paraId="07D18924" w14:textId="79E4610A" w:rsidR="007624F9" w:rsidRPr="007F28C1" w:rsidRDefault="007C761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Kolejną zmianą w zakresie uproszczeń jest nowelizacja art. 49zc P.g.g., który reguluje kwestię przekazywania </w:t>
      </w:r>
      <w:r w:rsidR="00A65A69" w:rsidRPr="007F28C1">
        <w:rPr>
          <w:rFonts w:ascii="Times New Roman" w:hAnsi="Times New Roman" w:cs="Times New Roman"/>
          <w:sz w:val="24"/>
          <w:szCs w:val="24"/>
        </w:rPr>
        <w:t xml:space="preserve">PSG </w:t>
      </w:r>
      <w:r w:rsidRPr="007F28C1">
        <w:rPr>
          <w:rFonts w:ascii="Times New Roman" w:hAnsi="Times New Roman" w:cs="Times New Roman"/>
          <w:sz w:val="24"/>
          <w:szCs w:val="24"/>
        </w:rPr>
        <w:t>bieżących parametrów wydobywania węglowodorów ze złoża oraz informowania organu koncesyjnego o tym przekazaniu. Obecnie częstotliwość przekazania nie jest uregulowana w</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przepisach P.g.g., a wynika z rozporządzenia Ministra Środowiska z dnia 9 czerwca 2015 r. w sprawie przekazywania informacji z bieżącego dokumentowania przebiegu prac geologicznych</w:t>
      </w:r>
      <w:r w:rsidR="008334C7" w:rsidRPr="007F28C1">
        <w:rPr>
          <w:rFonts w:ascii="Times New Roman" w:hAnsi="Times New Roman" w:cs="Times New Roman"/>
          <w:iCs/>
          <w:sz w:val="24"/>
          <w:szCs w:val="24"/>
        </w:rPr>
        <w:t xml:space="preserve"> </w:t>
      </w:r>
      <w:r w:rsidR="008334C7" w:rsidRPr="007F28C1">
        <w:rPr>
          <w:rFonts w:ascii="Times New Roman" w:hAnsi="Times New Roman" w:cs="Times New Roman"/>
          <w:sz w:val="24"/>
          <w:szCs w:val="24"/>
        </w:rPr>
        <w:t>(Dz.</w:t>
      </w:r>
      <w:r w:rsidR="007C0997" w:rsidRPr="007F28C1">
        <w:rPr>
          <w:rFonts w:ascii="Times New Roman" w:hAnsi="Times New Roman" w:cs="Times New Roman"/>
          <w:sz w:val="24"/>
          <w:szCs w:val="24"/>
        </w:rPr>
        <w:t xml:space="preserve"> </w:t>
      </w:r>
      <w:r w:rsidR="008334C7" w:rsidRPr="007F28C1">
        <w:rPr>
          <w:rFonts w:ascii="Times New Roman" w:hAnsi="Times New Roman" w:cs="Times New Roman"/>
          <w:sz w:val="24"/>
          <w:szCs w:val="24"/>
        </w:rPr>
        <w:t>U. poz. 903)</w:t>
      </w:r>
      <w:r w:rsidRPr="007F28C1">
        <w:rPr>
          <w:rFonts w:ascii="Times New Roman" w:hAnsi="Times New Roman" w:cs="Times New Roman"/>
          <w:sz w:val="24"/>
          <w:szCs w:val="24"/>
        </w:rPr>
        <w:t xml:space="preserve">. </w:t>
      </w:r>
      <w:r w:rsidR="004D7323" w:rsidRPr="007F28C1">
        <w:rPr>
          <w:rFonts w:ascii="Times New Roman" w:hAnsi="Times New Roman" w:cs="Times New Roman"/>
          <w:sz w:val="24"/>
          <w:szCs w:val="24"/>
        </w:rPr>
        <w:t>Zagadnienie to zostało uregulowane</w:t>
      </w:r>
      <w:r w:rsidRPr="007F28C1">
        <w:rPr>
          <w:rFonts w:ascii="Times New Roman" w:hAnsi="Times New Roman" w:cs="Times New Roman"/>
          <w:sz w:val="24"/>
          <w:szCs w:val="24"/>
        </w:rPr>
        <w:t xml:space="preserve"> </w:t>
      </w:r>
      <w:r w:rsidR="004D7323" w:rsidRPr="007F28C1">
        <w:rPr>
          <w:rFonts w:ascii="Times New Roman" w:hAnsi="Times New Roman" w:cs="Times New Roman"/>
          <w:sz w:val="24"/>
          <w:szCs w:val="24"/>
        </w:rPr>
        <w:t>w</w:t>
      </w:r>
      <w:r w:rsidRPr="007F28C1">
        <w:rPr>
          <w:rFonts w:ascii="Times New Roman" w:hAnsi="Times New Roman" w:cs="Times New Roman"/>
          <w:sz w:val="24"/>
          <w:szCs w:val="24"/>
        </w:rPr>
        <w:t xml:space="preserve"> § 15 ww. rozporządzenia Ministra Środowiska, który wskazuje, że dane są przekazywane według stanu na koniec danego miesiąca kalendarzowego. Przeprowadzone analizy przemawiają za ograniczeniem obowiązków informacyjnych w tym zakresie. Proponuje się rezygnację z obowiązku przekazywania organowi koncesyjnemu zawiadomienia o</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wypełnieniu obowiązku koncesyjnego. Natomiast zgodnie z proponowanym brzmieniem art. 49zc ust. 2 P.g.g. przekazywanie parametrów będzie się odbywać za okresy półroczne, które będą liczone odpowiednio od dnia 1 stycznia do dnia 30 czerwca i od dnia 1 lipca do dnia 31 grudnia, w terminie miesiąca liczonego po upływie danego półrocza. Powyższa zmiana będzie wymagała dostosowania postanowień rozporządzenia do nowego brzmienia przepisów ustawowych.</w:t>
      </w:r>
      <w:r w:rsidR="00D91D0A" w:rsidRPr="007F28C1">
        <w:rPr>
          <w:rFonts w:ascii="Times New Roman" w:hAnsi="Times New Roman" w:cs="Times New Roman"/>
          <w:sz w:val="24"/>
          <w:szCs w:val="24"/>
        </w:rPr>
        <w:t xml:space="preserve"> W projektowanym przepisie </w:t>
      </w:r>
      <w:r w:rsidR="00386F25" w:rsidRPr="007F28C1">
        <w:rPr>
          <w:rFonts w:ascii="Times New Roman" w:hAnsi="Times New Roman" w:cs="Times New Roman"/>
          <w:sz w:val="24"/>
          <w:szCs w:val="24"/>
        </w:rPr>
        <w:t>uregulowano także formę</w:t>
      </w:r>
      <w:r w:rsidR="00791AD7" w:rsidRPr="007F28C1">
        <w:rPr>
          <w:rFonts w:ascii="Times New Roman" w:hAnsi="Times New Roman" w:cs="Times New Roman"/>
          <w:sz w:val="24"/>
          <w:szCs w:val="24"/>
        </w:rPr>
        <w:t xml:space="preserve"> przekazywania</w:t>
      </w:r>
      <w:r w:rsidR="00386F25" w:rsidRPr="007F28C1">
        <w:rPr>
          <w:rFonts w:ascii="Times New Roman" w:hAnsi="Times New Roman" w:cs="Times New Roman"/>
          <w:sz w:val="24"/>
          <w:szCs w:val="24"/>
        </w:rPr>
        <w:t xml:space="preserve"> przez wskazanie</w:t>
      </w:r>
      <w:r w:rsidR="00D91D0A" w:rsidRPr="007F28C1">
        <w:rPr>
          <w:rFonts w:ascii="Times New Roman" w:hAnsi="Times New Roman" w:cs="Times New Roman"/>
          <w:sz w:val="24"/>
          <w:szCs w:val="24"/>
        </w:rPr>
        <w:t xml:space="preserve">, że będzie się </w:t>
      </w:r>
      <w:r w:rsidR="000132E3" w:rsidRPr="007F28C1">
        <w:rPr>
          <w:rFonts w:ascii="Times New Roman" w:hAnsi="Times New Roman" w:cs="Times New Roman"/>
          <w:sz w:val="24"/>
          <w:szCs w:val="24"/>
        </w:rPr>
        <w:t xml:space="preserve">ono </w:t>
      </w:r>
      <w:r w:rsidR="00D91D0A" w:rsidRPr="007F28C1">
        <w:rPr>
          <w:rFonts w:ascii="Times New Roman" w:hAnsi="Times New Roman" w:cs="Times New Roman"/>
          <w:sz w:val="24"/>
          <w:szCs w:val="24"/>
        </w:rPr>
        <w:t>odbywać na piśmie utrwalonym w postaci papierowej lub elektronicznej, opatrzonym odpowiednio do sposobu utrwalenia podpisem własnoręcznym, kwalifikowanym podpisem elektronicznym, podpisem zaufanym albo podpisem osobistym</w:t>
      </w:r>
      <w:r w:rsidR="001400E9" w:rsidRPr="007F28C1">
        <w:rPr>
          <w:rFonts w:ascii="Times New Roman" w:hAnsi="Times New Roman" w:cs="Times New Roman"/>
          <w:sz w:val="24"/>
          <w:szCs w:val="24"/>
        </w:rPr>
        <w:t>.</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Z powyższą zmianą </w:t>
      </w:r>
      <w:r w:rsidR="000132E3" w:rsidRPr="007F28C1">
        <w:rPr>
          <w:rFonts w:ascii="Times New Roman" w:hAnsi="Times New Roman" w:cs="Times New Roman"/>
          <w:sz w:val="24"/>
          <w:szCs w:val="24"/>
        </w:rPr>
        <w:t xml:space="preserve">jest także </w:t>
      </w:r>
      <w:r w:rsidRPr="007F28C1">
        <w:rPr>
          <w:rFonts w:ascii="Times New Roman" w:hAnsi="Times New Roman" w:cs="Times New Roman"/>
          <w:sz w:val="24"/>
          <w:szCs w:val="24"/>
        </w:rPr>
        <w:t xml:space="preserve">związane rozszerzenie katalogu zadań </w:t>
      </w:r>
      <w:r w:rsidR="00A65A69" w:rsidRPr="007F28C1">
        <w:rPr>
          <w:rFonts w:ascii="Times New Roman" w:hAnsi="Times New Roman" w:cs="Times New Roman"/>
          <w:sz w:val="24"/>
          <w:szCs w:val="24"/>
        </w:rPr>
        <w:t xml:space="preserve">PSG </w:t>
      </w:r>
      <w:r w:rsidRPr="007F28C1">
        <w:rPr>
          <w:rFonts w:ascii="Times New Roman" w:hAnsi="Times New Roman" w:cs="Times New Roman"/>
          <w:sz w:val="24"/>
          <w:szCs w:val="24"/>
        </w:rPr>
        <w:t xml:space="preserve">w art. 162 P.g.g. </w:t>
      </w:r>
      <w:r w:rsidR="00CD6FBD" w:rsidRPr="007F28C1">
        <w:rPr>
          <w:rFonts w:ascii="Times New Roman" w:hAnsi="Times New Roman" w:cs="Times New Roman"/>
          <w:sz w:val="24"/>
          <w:szCs w:val="24"/>
        </w:rPr>
        <w:t>o gromadzenie</w:t>
      </w:r>
      <w:r w:rsidR="00197AC3" w:rsidRPr="007F28C1">
        <w:rPr>
          <w:rFonts w:ascii="Times New Roman" w:hAnsi="Times New Roman" w:cs="Times New Roman"/>
          <w:sz w:val="24"/>
          <w:szCs w:val="24"/>
        </w:rPr>
        <w:t xml:space="preserve"> i przetwarzanie</w:t>
      </w:r>
      <w:r w:rsidR="00CD6FBD" w:rsidRPr="007F28C1">
        <w:rPr>
          <w:rFonts w:ascii="Times New Roman" w:hAnsi="Times New Roman" w:cs="Times New Roman"/>
          <w:sz w:val="24"/>
          <w:szCs w:val="24"/>
        </w:rPr>
        <w:t xml:space="preserve"> informacj</w:t>
      </w:r>
      <w:r w:rsidR="00197AC3" w:rsidRPr="007F28C1">
        <w:rPr>
          <w:rFonts w:ascii="Times New Roman" w:hAnsi="Times New Roman" w:cs="Times New Roman"/>
          <w:sz w:val="24"/>
          <w:szCs w:val="24"/>
        </w:rPr>
        <w:t>i</w:t>
      </w:r>
      <w:r w:rsidR="00CD6FBD" w:rsidRPr="007F28C1">
        <w:rPr>
          <w:rFonts w:ascii="Times New Roman" w:hAnsi="Times New Roman" w:cs="Times New Roman"/>
          <w:sz w:val="24"/>
          <w:szCs w:val="24"/>
        </w:rPr>
        <w:t xml:space="preserve"> o parametrach wydobywania węglowodorów ze złoża</w:t>
      </w:r>
      <w:r w:rsidR="00BD02B1" w:rsidRPr="007F28C1">
        <w:rPr>
          <w:rFonts w:ascii="Times New Roman" w:hAnsi="Times New Roman" w:cs="Times New Roman"/>
          <w:sz w:val="24"/>
          <w:szCs w:val="24"/>
        </w:rPr>
        <w:t xml:space="preserve"> </w:t>
      </w:r>
      <w:r w:rsidR="00C67CCD" w:rsidRPr="007F28C1">
        <w:rPr>
          <w:rFonts w:ascii="Times New Roman" w:hAnsi="Times New Roman" w:cs="Times New Roman"/>
          <w:sz w:val="24"/>
          <w:szCs w:val="24"/>
        </w:rPr>
        <w:lastRenderedPageBreak/>
        <w:t>oraz o</w:t>
      </w:r>
      <w:r w:rsidR="00240A1A" w:rsidRPr="007F28C1">
        <w:rPr>
          <w:rFonts w:ascii="Times New Roman" w:hAnsi="Times New Roman" w:cs="Times New Roman"/>
          <w:sz w:val="24"/>
          <w:szCs w:val="24"/>
        </w:rPr>
        <w:t xml:space="preserve"> </w:t>
      </w:r>
      <w:r w:rsidR="00CD6FBD" w:rsidRPr="007F28C1">
        <w:rPr>
          <w:rFonts w:ascii="Times New Roman" w:hAnsi="Times New Roman" w:cs="Times New Roman"/>
          <w:sz w:val="24"/>
          <w:szCs w:val="24"/>
        </w:rPr>
        <w:t>sporządzanie analizy dotycząc</w:t>
      </w:r>
      <w:r w:rsidR="00491710">
        <w:rPr>
          <w:rFonts w:ascii="Times New Roman" w:hAnsi="Times New Roman" w:cs="Times New Roman"/>
          <w:sz w:val="24"/>
          <w:szCs w:val="24"/>
        </w:rPr>
        <w:t>ej</w:t>
      </w:r>
      <w:r w:rsidR="00CD6FBD" w:rsidRPr="007F28C1">
        <w:rPr>
          <w:rFonts w:ascii="Times New Roman" w:hAnsi="Times New Roman" w:cs="Times New Roman"/>
          <w:sz w:val="24"/>
          <w:szCs w:val="24"/>
        </w:rPr>
        <w:t xml:space="preserve"> tych parametrów, a także przekazywanie </w:t>
      </w:r>
      <w:r w:rsidR="00D62AA3" w:rsidRPr="007F28C1">
        <w:rPr>
          <w:rFonts w:ascii="Times New Roman" w:hAnsi="Times New Roman" w:cs="Times New Roman"/>
          <w:sz w:val="24"/>
          <w:szCs w:val="24"/>
        </w:rPr>
        <w:t xml:space="preserve">ministrowi właściwemu do spraw środowiska </w:t>
      </w:r>
      <w:r w:rsidR="00CD6FBD" w:rsidRPr="007F28C1">
        <w:rPr>
          <w:rFonts w:ascii="Times New Roman" w:hAnsi="Times New Roman" w:cs="Times New Roman"/>
          <w:sz w:val="24"/>
          <w:szCs w:val="24"/>
        </w:rPr>
        <w:t>oraz właściwemu organowi nadzoru górniczego wyników tej analizy</w:t>
      </w:r>
      <w:r w:rsidR="003D46B5" w:rsidRPr="007F28C1">
        <w:rPr>
          <w:rFonts w:ascii="Times New Roman" w:hAnsi="Times New Roman" w:cs="Times New Roman"/>
          <w:sz w:val="24"/>
          <w:szCs w:val="24"/>
        </w:rPr>
        <w:t>.</w:t>
      </w:r>
      <w:r w:rsidRPr="007F28C1">
        <w:rPr>
          <w:rFonts w:ascii="Times New Roman" w:hAnsi="Times New Roman" w:cs="Times New Roman"/>
          <w:sz w:val="24"/>
          <w:szCs w:val="24"/>
        </w:rPr>
        <w:t xml:space="preserve"> </w:t>
      </w:r>
    </w:p>
    <w:p w14:paraId="5A33B372" w14:textId="6D1D89B7" w:rsidR="00A41D8C" w:rsidRPr="007F28C1" w:rsidRDefault="00A41D8C"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Zmiany dla podmiotów prowadzących roboty geologiczne dotyczą także zgłoszeń w zakresie zamiaru rozpoczęcia robót geologicznych oraz zamiaru poboru próbek, o czym jest mowa w art. 81 P.g.g. W</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przypadku PSG otrzymywanie wszystkich zgłoszeń zamiaru poboru próbek jest bezzasadne, gdyż</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informacja ta w dużej mierze jest jedynie archiwizowana i niewykorzystywana przy realizacji zadań PSG. Dlatego też</w:t>
      </w:r>
      <w:r w:rsidR="00677330">
        <w:rPr>
          <w:rFonts w:ascii="Times New Roman" w:hAnsi="Times New Roman" w:cs="Times New Roman"/>
          <w:sz w:val="24"/>
          <w:szCs w:val="24"/>
        </w:rPr>
        <w:t>,</w:t>
      </w:r>
      <w:r w:rsidRPr="007F28C1">
        <w:rPr>
          <w:rFonts w:ascii="Times New Roman" w:hAnsi="Times New Roman" w:cs="Times New Roman"/>
          <w:sz w:val="24"/>
          <w:szCs w:val="24"/>
        </w:rPr>
        <w:t xml:space="preserve"> mając za cel ułatwienie działalności przedsiębiorcom</w:t>
      </w:r>
      <w:r w:rsidR="00677330">
        <w:rPr>
          <w:rFonts w:ascii="Times New Roman" w:hAnsi="Times New Roman" w:cs="Times New Roman"/>
          <w:sz w:val="24"/>
          <w:szCs w:val="24"/>
        </w:rPr>
        <w:t>,</w:t>
      </w:r>
      <w:r w:rsidRPr="007F28C1">
        <w:rPr>
          <w:rFonts w:ascii="Times New Roman" w:hAnsi="Times New Roman" w:cs="Times New Roman"/>
          <w:sz w:val="24"/>
          <w:szCs w:val="24"/>
        </w:rPr>
        <w:t xml:space="preserve"> ograniczono zakres informacji przekazywanych do PSG jedynie do próbek związanych z poszukiwaniem lub rozpoznawaniem</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złóż kopalin, o których mowa w art. 10 ust. 1 i 2 P.g.g.</w:t>
      </w:r>
      <w:r w:rsidR="00A156D4" w:rsidRPr="007F28C1">
        <w:rPr>
          <w:rFonts w:ascii="Times New Roman" w:hAnsi="Times New Roman" w:cs="Times New Roman"/>
          <w:sz w:val="24"/>
          <w:szCs w:val="24"/>
        </w:rPr>
        <w:t xml:space="preserve"> Ponadto projektowana nowelizacja wskazuje</w:t>
      </w:r>
      <w:r w:rsidR="00791AD7" w:rsidRPr="007F28C1">
        <w:rPr>
          <w:rFonts w:ascii="Times New Roman" w:hAnsi="Times New Roman" w:cs="Times New Roman"/>
          <w:sz w:val="24"/>
          <w:szCs w:val="24"/>
        </w:rPr>
        <w:t xml:space="preserve"> także</w:t>
      </w:r>
      <w:r w:rsidR="00A156D4" w:rsidRPr="007F28C1">
        <w:rPr>
          <w:rFonts w:ascii="Times New Roman" w:hAnsi="Times New Roman" w:cs="Times New Roman"/>
          <w:sz w:val="24"/>
          <w:szCs w:val="24"/>
        </w:rPr>
        <w:t xml:space="preserve"> wyraźnie formę, w jakiej powinno być przekazywane zawiadomienie o</w:t>
      </w:r>
      <w:r w:rsidR="00D2588E" w:rsidRPr="007F28C1">
        <w:rPr>
          <w:rFonts w:ascii="Times New Roman" w:hAnsi="Times New Roman" w:cs="Times New Roman"/>
          <w:sz w:val="24"/>
          <w:szCs w:val="24"/>
        </w:rPr>
        <w:t> </w:t>
      </w:r>
      <w:r w:rsidR="00A156D4" w:rsidRPr="007F28C1">
        <w:rPr>
          <w:rFonts w:ascii="Times New Roman" w:hAnsi="Times New Roman" w:cs="Times New Roman"/>
          <w:sz w:val="24"/>
          <w:szCs w:val="24"/>
        </w:rPr>
        <w:t>zamierzonym poborze próbek.</w:t>
      </w:r>
    </w:p>
    <w:p w14:paraId="0D63274E" w14:textId="3440F234" w:rsidR="004D7323" w:rsidRPr="007F28C1" w:rsidRDefault="004D7323" w:rsidP="007F28C1">
      <w:pPr>
        <w:keepNext/>
        <w:tabs>
          <w:tab w:val="left" w:pos="426"/>
        </w:tabs>
        <w:spacing w:before="120" w:after="0" w:line="360" w:lineRule="auto"/>
        <w:jc w:val="both"/>
        <w:rPr>
          <w:rFonts w:ascii="Times New Roman" w:hAnsi="Times New Roman" w:cs="Times New Roman"/>
          <w:b/>
          <w:bCs/>
          <w:sz w:val="24"/>
          <w:szCs w:val="24"/>
        </w:rPr>
      </w:pPr>
      <w:r w:rsidRPr="007F28C1">
        <w:rPr>
          <w:rFonts w:ascii="Times New Roman" w:hAnsi="Times New Roman" w:cs="Times New Roman"/>
          <w:b/>
          <w:bCs/>
          <w:sz w:val="24"/>
          <w:szCs w:val="24"/>
        </w:rPr>
        <w:t>h)</w:t>
      </w:r>
      <w:r w:rsidR="0004564E">
        <w:rPr>
          <w:rFonts w:ascii="Times New Roman" w:hAnsi="Times New Roman" w:cs="Times New Roman"/>
          <w:b/>
          <w:bCs/>
          <w:sz w:val="24"/>
          <w:szCs w:val="24"/>
        </w:rPr>
        <w:tab/>
      </w:r>
      <w:r w:rsidR="00472D72" w:rsidRPr="007F28C1">
        <w:rPr>
          <w:rFonts w:ascii="Times New Roman" w:hAnsi="Times New Roman" w:cs="Times New Roman"/>
          <w:b/>
          <w:bCs/>
          <w:sz w:val="24"/>
          <w:szCs w:val="24"/>
        </w:rPr>
        <w:t xml:space="preserve">Uproszczenie procedury dotyczącej dodatków do </w:t>
      </w:r>
      <w:r w:rsidR="00C315FB" w:rsidRPr="007F28C1">
        <w:rPr>
          <w:rFonts w:ascii="Times New Roman" w:hAnsi="Times New Roman" w:cs="Times New Roman"/>
          <w:b/>
          <w:bCs/>
          <w:sz w:val="24"/>
          <w:szCs w:val="24"/>
        </w:rPr>
        <w:t>projektu robót geologicznych</w:t>
      </w:r>
      <w:r w:rsidR="00472D72" w:rsidRPr="007F28C1">
        <w:rPr>
          <w:rFonts w:ascii="Times New Roman" w:hAnsi="Times New Roman" w:cs="Times New Roman"/>
          <w:b/>
          <w:bCs/>
          <w:sz w:val="24"/>
          <w:szCs w:val="24"/>
        </w:rPr>
        <w:t xml:space="preserve"> </w:t>
      </w:r>
    </w:p>
    <w:p w14:paraId="4B0BB558" w14:textId="36187D27" w:rsidR="004D7323" w:rsidRPr="007F28C1" w:rsidRDefault="007C761E" w:rsidP="007F28C1">
      <w:pPr>
        <w:spacing w:before="120" w:after="0" w:line="360" w:lineRule="auto"/>
        <w:jc w:val="both"/>
        <w:rPr>
          <w:rFonts w:ascii="Times New Roman" w:hAnsi="Times New Roman" w:cs="Times New Roman"/>
          <w:sz w:val="24"/>
          <w:szCs w:val="24"/>
        </w:rPr>
      </w:pPr>
      <w:r w:rsidRPr="005F5D6F">
        <w:rPr>
          <w:rFonts w:ascii="Times New Roman" w:hAnsi="Times New Roman" w:cs="Times New Roman"/>
          <w:sz w:val="24"/>
          <w:szCs w:val="24"/>
        </w:rPr>
        <w:t>Projektowana nowelizacja obejmuje także ułatwienia w zakresie sporządzania dodatku do projektu robót geologicznych, których wykonywan</w:t>
      </w:r>
      <w:r w:rsidR="00C41EDE" w:rsidRPr="005F5D6F">
        <w:rPr>
          <w:rFonts w:ascii="Times New Roman" w:hAnsi="Times New Roman" w:cs="Times New Roman"/>
          <w:sz w:val="24"/>
          <w:szCs w:val="24"/>
        </w:rPr>
        <w:t>i</w:t>
      </w:r>
      <w:r w:rsidRPr="005F5D6F">
        <w:rPr>
          <w:rFonts w:ascii="Times New Roman" w:hAnsi="Times New Roman" w:cs="Times New Roman"/>
          <w:sz w:val="24"/>
          <w:szCs w:val="24"/>
        </w:rPr>
        <w:t>e nie wymaga uzyskania koncesji. Obecnie k</w:t>
      </w:r>
      <w:r w:rsidR="008F26B8" w:rsidRPr="005F5D6F">
        <w:rPr>
          <w:rFonts w:ascii="Times New Roman" w:hAnsi="Times New Roman" w:cs="Times New Roman"/>
          <w:sz w:val="24"/>
          <w:szCs w:val="24"/>
        </w:rPr>
        <w:t>aż</w:t>
      </w:r>
      <w:r w:rsidRPr="005F5D6F">
        <w:rPr>
          <w:rFonts w:ascii="Times New Roman" w:hAnsi="Times New Roman" w:cs="Times New Roman"/>
          <w:sz w:val="24"/>
          <w:szCs w:val="24"/>
        </w:rPr>
        <w:t>dy dodatek jest sporządzany w drodze procedury analogicznej do postępowania w sprawie zatwierdzenia projektu robót geologicznych. Każda zmiana projektu robót geologicznych wymaga więc ponownie przeprowadzenia całej procedury. Jednakże nie wydaje się zasadne</w:t>
      </w:r>
      <w:r w:rsidRPr="007F28C1">
        <w:rPr>
          <w:rFonts w:ascii="Times New Roman" w:hAnsi="Times New Roman" w:cs="Times New Roman"/>
          <w:sz w:val="24"/>
          <w:szCs w:val="24"/>
        </w:rPr>
        <w:t xml:space="preserve"> angażowanie organów uczestniczących w opiniowaniu we wszelkie możliwe zmiany projektu robót geologicznych. Z punktu widzenia zadań gminy, do której należy planowanie i zagospodarowanie przestrzenne, zmiana projektu robót geologicznych polegająca np. na przesunięciu lokalizacji otworu wiertniczego w ramach tej samej nieruchomości, jeżeli samo prowadzenie robót geologicznych nie naruszy przeznaczenia nieruchomości określonej w planie miejscowym, może nie mieć znaczenia. Obowiązek opiniowania przez wójta (burmistrza, prezydenta miasta) powinien mieć zastosowanie tylko, </w:t>
      </w:r>
      <w:r w:rsidRPr="007F28C1">
        <w:rPr>
          <w:rFonts w:ascii="Times New Roman" w:hAnsi="Times New Roman" w:cs="Times New Roman"/>
          <w:color w:val="333333"/>
          <w:sz w:val="24"/>
          <w:szCs w:val="24"/>
          <w:shd w:val="clear" w:color="auto" w:fill="FFFFFF"/>
        </w:rPr>
        <w:t xml:space="preserve">jeśli dodatek dotyczy objęcia planowanymi robotami obszaru, który nie podlegał uprzedniemu opiniowaniu </w:t>
      </w:r>
      <w:r w:rsidRPr="007F28C1">
        <w:rPr>
          <w:rFonts w:ascii="Times New Roman" w:hAnsi="Times New Roman" w:cs="Times New Roman"/>
          <w:sz w:val="24"/>
          <w:szCs w:val="24"/>
        </w:rPr>
        <w:t>w zakresie zgodności z</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postanowieniami miejscowego planu zagospodarowania przestrzennego lub studium uwarunkowań i</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kierunków zagospodarowania przestrzennego gminy. Dlatego też projektowana nowelizacja przewiduje dodanie </w:t>
      </w:r>
      <w:r w:rsidR="00157D70" w:rsidRPr="007F28C1">
        <w:rPr>
          <w:rFonts w:ascii="Times New Roman" w:hAnsi="Times New Roman" w:cs="Times New Roman"/>
          <w:sz w:val="24"/>
          <w:szCs w:val="24"/>
        </w:rPr>
        <w:t xml:space="preserve">w </w:t>
      </w:r>
      <w:r w:rsidRPr="007F28C1">
        <w:rPr>
          <w:rFonts w:ascii="Times New Roman" w:hAnsi="Times New Roman" w:cs="Times New Roman"/>
          <w:sz w:val="24"/>
          <w:szCs w:val="24"/>
        </w:rPr>
        <w:t xml:space="preserve">art. 80a ust. </w:t>
      </w:r>
      <w:r w:rsidR="000624EF" w:rsidRPr="007F28C1">
        <w:rPr>
          <w:rFonts w:ascii="Times New Roman" w:hAnsi="Times New Roman" w:cs="Times New Roman"/>
          <w:sz w:val="24"/>
          <w:szCs w:val="24"/>
        </w:rPr>
        <w:t xml:space="preserve">3a </w:t>
      </w:r>
      <w:r w:rsidRPr="007F28C1">
        <w:rPr>
          <w:rFonts w:ascii="Times New Roman" w:hAnsi="Times New Roman" w:cs="Times New Roman"/>
          <w:sz w:val="24"/>
          <w:szCs w:val="24"/>
        </w:rPr>
        <w:t>P.g.g., ograniczającego w tym zakresie obowiązek uzyskania takiej opinii.</w:t>
      </w:r>
    </w:p>
    <w:p w14:paraId="2E809B52" w14:textId="77C147D0" w:rsidR="004D7323" w:rsidRPr="007F28C1" w:rsidRDefault="00A41D8C" w:rsidP="007F28C1">
      <w:pPr>
        <w:keepNext/>
        <w:tabs>
          <w:tab w:val="left" w:pos="426"/>
        </w:tabs>
        <w:spacing w:before="120" w:after="0" w:line="360" w:lineRule="auto"/>
        <w:jc w:val="both"/>
        <w:rPr>
          <w:rFonts w:ascii="Times New Roman" w:hAnsi="Times New Roman" w:cs="Times New Roman"/>
          <w:b/>
          <w:bCs/>
          <w:sz w:val="24"/>
          <w:szCs w:val="24"/>
        </w:rPr>
      </w:pPr>
      <w:r w:rsidRPr="007F28C1">
        <w:rPr>
          <w:rFonts w:ascii="Times New Roman" w:hAnsi="Times New Roman" w:cs="Times New Roman"/>
          <w:b/>
          <w:bCs/>
          <w:sz w:val="24"/>
          <w:szCs w:val="24"/>
        </w:rPr>
        <w:lastRenderedPageBreak/>
        <w:t>i</w:t>
      </w:r>
      <w:r w:rsidR="004D7323" w:rsidRPr="007F28C1">
        <w:rPr>
          <w:rFonts w:ascii="Times New Roman" w:hAnsi="Times New Roman" w:cs="Times New Roman"/>
          <w:b/>
          <w:bCs/>
          <w:sz w:val="24"/>
          <w:szCs w:val="24"/>
        </w:rPr>
        <w:t>)</w:t>
      </w:r>
      <w:r w:rsidR="0004564E">
        <w:rPr>
          <w:rFonts w:ascii="Times New Roman" w:hAnsi="Times New Roman" w:cs="Times New Roman"/>
          <w:b/>
          <w:bCs/>
          <w:sz w:val="24"/>
          <w:szCs w:val="24"/>
        </w:rPr>
        <w:tab/>
      </w:r>
      <w:r w:rsidR="004D7323" w:rsidRPr="007F28C1">
        <w:rPr>
          <w:rFonts w:ascii="Times New Roman" w:hAnsi="Times New Roman" w:cs="Times New Roman"/>
          <w:b/>
          <w:bCs/>
          <w:sz w:val="24"/>
          <w:szCs w:val="24"/>
        </w:rPr>
        <w:t>Zgodność lokalizacji inwestycji z planem miejscowym</w:t>
      </w:r>
    </w:p>
    <w:p w14:paraId="216DFDE6" w14:textId="1BAAEE59" w:rsidR="007C761E" w:rsidRPr="007F28C1" w:rsidRDefault="007C761E" w:rsidP="007F28C1">
      <w:pPr>
        <w:keepNext/>
        <w:spacing w:before="120" w:after="0" w:line="360" w:lineRule="auto"/>
        <w:contextualSpacing/>
        <w:jc w:val="both"/>
        <w:rPr>
          <w:rFonts w:ascii="Times New Roman" w:hAnsi="Times New Roman" w:cs="Times New Roman"/>
          <w:bCs/>
          <w:color w:val="000000"/>
          <w:sz w:val="24"/>
          <w:szCs w:val="24"/>
        </w:rPr>
      </w:pPr>
      <w:r w:rsidRPr="007F28C1">
        <w:rPr>
          <w:rFonts w:ascii="Times New Roman" w:hAnsi="Times New Roman" w:cs="Times New Roman"/>
          <w:sz w:val="24"/>
          <w:szCs w:val="24"/>
        </w:rPr>
        <w:t>Istotnym ułatwieniem dla przedsiębiorców podejmujących działalność na gruncie przepisów P.g.g. są także proponowane zmiany w ustawie z dnia 3 października 2008 r. o udostępnianiu informacji o</w:t>
      </w:r>
      <w:r w:rsidR="00D2588E" w:rsidRPr="007F28C1">
        <w:rPr>
          <w:rFonts w:ascii="Times New Roman" w:hAnsi="Times New Roman" w:cs="Times New Roman"/>
          <w:sz w:val="24"/>
          <w:szCs w:val="24"/>
        </w:rPr>
        <w:t> </w:t>
      </w:r>
      <w:r w:rsidRPr="007F28C1">
        <w:rPr>
          <w:rFonts w:ascii="Times New Roman" w:hAnsi="Times New Roman" w:cs="Times New Roman"/>
          <w:sz w:val="24"/>
          <w:szCs w:val="24"/>
        </w:rPr>
        <w:t xml:space="preserve">środowisku i jego ochronie, udziale społeczeństwa w ochronie środowiska oraz o ocenach oddziaływania na środowisko. Zgodnie z art. 80 ust. 2 i 3 ww. ustawy w przypadku działalności określonej P.g.g., w tym wydobywania kopalin ze złóż, właściwy organ wydaje decyzję środowiskową po stwierdzeniu </w:t>
      </w:r>
      <w:r w:rsidR="00360767" w:rsidRPr="007F28C1">
        <w:rPr>
          <w:rFonts w:ascii="Times New Roman" w:hAnsi="Times New Roman" w:cs="Times New Roman"/>
          <w:sz w:val="24"/>
          <w:szCs w:val="24"/>
        </w:rPr>
        <w:t>nienaruszania</w:t>
      </w:r>
      <w:r w:rsidR="00AB01D6" w:rsidRPr="007F28C1">
        <w:rPr>
          <w:rFonts w:ascii="Times New Roman" w:hAnsi="Times New Roman" w:cs="Times New Roman"/>
          <w:sz w:val="24"/>
          <w:szCs w:val="24"/>
        </w:rPr>
        <w:t xml:space="preserve"> </w:t>
      </w:r>
      <w:r w:rsidR="004D3AC7" w:rsidRPr="007F28C1">
        <w:rPr>
          <w:rFonts w:ascii="Times New Roman" w:hAnsi="Times New Roman" w:cs="Times New Roman"/>
          <w:sz w:val="24"/>
          <w:szCs w:val="24"/>
        </w:rPr>
        <w:t xml:space="preserve">zamierzoną działalnością </w:t>
      </w:r>
      <w:r w:rsidR="00B70D6E" w:rsidRPr="007F28C1">
        <w:rPr>
          <w:rFonts w:ascii="Times New Roman" w:hAnsi="Times New Roman" w:cs="Times New Roman"/>
          <w:sz w:val="24"/>
          <w:szCs w:val="24"/>
        </w:rPr>
        <w:t>przeznaczenia nieruchomości określonego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plan</w:t>
      </w:r>
      <w:r w:rsidR="00B70D6E" w:rsidRPr="007F28C1">
        <w:rPr>
          <w:rFonts w:ascii="Times New Roman" w:hAnsi="Times New Roman" w:cs="Times New Roman"/>
          <w:sz w:val="24"/>
          <w:szCs w:val="24"/>
        </w:rPr>
        <w:t>ie</w:t>
      </w:r>
      <w:r w:rsidRPr="007F28C1">
        <w:rPr>
          <w:rFonts w:ascii="Times New Roman" w:hAnsi="Times New Roman" w:cs="Times New Roman"/>
          <w:sz w:val="24"/>
          <w:szCs w:val="24"/>
        </w:rPr>
        <w:t xml:space="preserve"> miejscow</w:t>
      </w:r>
      <w:r w:rsidR="00B70D6E" w:rsidRPr="007F28C1">
        <w:rPr>
          <w:rFonts w:ascii="Times New Roman" w:hAnsi="Times New Roman" w:cs="Times New Roman"/>
          <w:sz w:val="24"/>
          <w:szCs w:val="24"/>
        </w:rPr>
        <w:t>ym</w:t>
      </w:r>
      <w:r w:rsidRPr="007F28C1">
        <w:rPr>
          <w:rFonts w:ascii="Times New Roman" w:hAnsi="Times New Roman" w:cs="Times New Roman"/>
          <w:sz w:val="24"/>
          <w:szCs w:val="24"/>
        </w:rPr>
        <w:t>. W związku z tym obecnie, zanim zostanie złożony wniosek o wydanie decyzji środowiskowej</w:t>
      </w:r>
      <w:r w:rsidR="00D02063">
        <w:rPr>
          <w:rFonts w:ascii="Times New Roman" w:hAnsi="Times New Roman" w:cs="Times New Roman"/>
          <w:sz w:val="24"/>
          <w:szCs w:val="24"/>
        </w:rPr>
        <w:t>,</w:t>
      </w:r>
      <w:r w:rsidRPr="007F28C1">
        <w:rPr>
          <w:rFonts w:ascii="Times New Roman" w:hAnsi="Times New Roman" w:cs="Times New Roman"/>
          <w:sz w:val="24"/>
          <w:szCs w:val="24"/>
        </w:rPr>
        <w:t xml:space="preserve"> powinno nastąpić zatwierdzenie dokumentacji geologicznej złoża, przeprowadzenie przez gminę procedury zmiany studium, a następnie dokonanie zmiany planu miejscowego. Nie jest uzasadnione, aby już na etapie prowadzenia postępowania w sprawie wydania decyzji środowiskowej dokonywać sprawdzenia zgodności planowanego przedsięwzięcia z </w:t>
      </w:r>
      <w:r w:rsidR="00157D70" w:rsidRPr="007F28C1">
        <w:rPr>
          <w:rFonts w:ascii="Times New Roman" w:hAnsi="Times New Roman" w:cs="Times New Roman"/>
          <w:sz w:val="24"/>
          <w:szCs w:val="24"/>
        </w:rPr>
        <w:t xml:space="preserve">ustaleniami </w:t>
      </w:r>
      <w:r w:rsidRPr="007F28C1">
        <w:rPr>
          <w:rFonts w:ascii="Times New Roman" w:hAnsi="Times New Roman" w:cs="Times New Roman"/>
          <w:sz w:val="24"/>
          <w:szCs w:val="24"/>
        </w:rPr>
        <w:t>planu miejscowego, tym bardziej</w:t>
      </w:r>
      <w:r w:rsidR="00D02063">
        <w:rPr>
          <w:rFonts w:ascii="Times New Roman" w:hAnsi="Times New Roman" w:cs="Times New Roman"/>
          <w:sz w:val="24"/>
          <w:szCs w:val="24"/>
        </w:rPr>
        <w:t>,</w:t>
      </w:r>
      <w:r w:rsidRPr="007F28C1">
        <w:rPr>
          <w:rFonts w:ascii="Times New Roman" w:hAnsi="Times New Roman" w:cs="Times New Roman"/>
          <w:sz w:val="24"/>
          <w:szCs w:val="24"/>
        </w:rPr>
        <w:t xml:space="preserve"> że proces ujawniania złóż kopalin w dokumentach planistycznych jest długotrwały. Skoro zgodność z planem miejscowym (studium) stanowi warunek udzielenia koncesji na wydobywanie kopaliny ze złoża, to nie jest uzasadnione przeprowadzanie tej weryfikacji na etapie, kiedy </w:t>
      </w:r>
      <w:r w:rsidR="00BD02B1" w:rsidRPr="007F28C1">
        <w:rPr>
          <w:rFonts w:ascii="Times New Roman" w:hAnsi="Times New Roman" w:cs="Times New Roman"/>
          <w:sz w:val="24"/>
          <w:szCs w:val="24"/>
        </w:rPr>
        <w:t>w</w:t>
      </w:r>
      <w:r w:rsidR="00621E21" w:rsidRPr="007F28C1">
        <w:rPr>
          <w:rFonts w:ascii="Times New Roman" w:hAnsi="Times New Roman" w:cs="Times New Roman"/>
          <w:sz w:val="24"/>
          <w:szCs w:val="24"/>
        </w:rPr>
        <w:t> </w:t>
      </w:r>
      <w:r w:rsidR="00BD02B1" w:rsidRPr="007F28C1">
        <w:rPr>
          <w:rFonts w:ascii="Times New Roman" w:hAnsi="Times New Roman" w:cs="Times New Roman"/>
          <w:sz w:val="24"/>
          <w:szCs w:val="24"/>
        </w:rPr>
        <w:t>dokumentach planistycznych nie</w:t>
      </w:r>
      <w:r w:rsidR="00D2588E" w:rsidRPr="007F28C1">
        <w:rPr>
          <w:rFonts w:ascii="Times New Roman" w:hAnsi="Times New Roman" w:cs="Times New Roman"/>
          <w:sz w:val="24"/>
          <w:szCs w:val="24"/>
        </w:rPr>
        <w:t> </w:t>
      </w:r>
      <w:r w:rsidR="00BD02B1" w:rsidRPr="007F28C1">
        <w:rPr>
          <w:rFonts w:ascii="Times New Roman" w:hAnsi="Times New Roman" w:cs="Times New Roman"/>
          <w:sz w:val="24"/>
          <w:szCs w:val="24"/>
        </w:rPr>
        <w:t>została jeszcze dokonana stosowna zmiana.</w:t>
      </w:r>
      <w:r w:rsidRPr="007F28C1">
        <w:rPr>
          <w:rFonts w:ascii="Times New Roman" w:hAnsi="Times New Roman" w:cs="Times New Roman"/>
          <w:sz w:val="24"/>
          <w:szCs w:val="24"/>
        </w:rPr>
        <w:t xml:space="preserve"> Dlatego </w:t>
      </w:r>
      <w:r w:rsidRPr="007F28C1">
        <w:rPr>
          <w:rFonts w:ascii="Times New Roman" w:hAnsi="Times New Roman" w:cs="Times New Roman"/>
          <w:bCs/>
          <w:color w:val="000000"/>
          <w:sz w:val="24"/>
          <w:szCs w:val="24"/>
        </w:rPr>
        <w:t xml:space="preserve">projektowana nowelizacja przewiduje zniesienie wymogu, aby już na etapie wydawania decyzji środowiskowej istniała zgodność planowanej lokalizacji przedsięwzięcia z ustaleniami </w:t>
      </w:r>
      <w:r w:rsidR="00157D70" w:rsidRPr="007F28C1">
        <w:rPr>
          <w:rFonts w:ascii="Times New Roman" w:hAnsi="Times New Roman" w:cs="Times New Roman"/>
          <w:bCs/>
          <w:color w:val="000000"/>
          <w:sz w:val="24"/>
          <w:szCs w:val="24"/>
        </w:rPr>
        <w:t xml:space="preserve">planu </w:t>
      </w:r>
      <w:r w:rsidRPr="007F28C1">
        <w:rPr>
          <w:rFonts w:ascii="Times New Roman" w:hAnsi="Times New Roman" w:cs="Times New Roman"/>
          <w:bCs/>
          <w:color w:val="000000"/>
          <w:sz w:val="24"/>
          <w:szCs w:val="24"/>
        </w:rPr>
        <w:t xml:space="preserve">miejscowego, jeżeli plan ten został uchwalony, tj. w art. 80 ust. 2 i 3 niniejszej ustawy </w:t>
      </w:r>
      <w:r w:rsidR="00157D70" w:rsidRPr="007F28C1">
        <w:rPr>
          <w:rFonts w:ascii="Times New Roman" w:hAnsi="Times New Roman" w:cs="Times New Roman"/>
          <w:bCs/>
          <w:color w:val="000000"/>
          <w:sz w:val="24"/>
          <w:szCs w:val="24"/>
        </w:rPr>
        <w:t xml:space="preserve">zakres wyjątków zostanie </w:t>
      </w:r>
      <w:r w:rsidRPr="007F28C1">
        <w:rPr>
          <w:rFonts w:ascii="Times New Roman" w:hAnsi="Times New Roman" w:cs="Times New Roman"/>
          <w:bCs/>
          <w:color w:val="000000"/>
          <w:sz w:val="24"/>
          <w:szCs w:val="24"/>
        </w:rPr>
        <w:t>rozszerzony o działalność związaną z wydobywaniem ze złóż kopalin, o których mowa w</w:t>
      </w:r>
      <w:r w:rsidR="00621E21" w:rsidRPr="007F28C1">
        <w:rPr>
          <w:rFonts w:ascii="Times New Roman" w:hAnsi="Times New Roman" w:cs="Times New Roman"/>
          <w:bCs/>
          <w:color w:val="000000"/>
          <w:sz w:val="24"/>
          <w:szCs w:val="24"/>
        </w:rPr>
        <w:t> </w:t>
      </w:r>
      <w:r w:rsidRPr="007F28C1">
        <w:rPr>
          <w:rFonts w:ascii="Times New Roman" w:hAnsi="Times New Roman" w:cs="Times New Roman"/>
          <w:bCs/>
          <w:color w:val="000000"/>
          <w:sz w:val="24"/>
          <w:szCs w:val="24"/>
        </w:rPr>
        <w:t>art.</w:t>
      </w:r>
      <w:r w:rsidR="00621E21" w:rsidRPr="007F28C1">
        <w:rPr>
          <w:rFonts w:ascii="Times New Roman" w:hAnsi="Times New Roman" w:cs="Times New Roman"/>
          <w:bCs/>
          <w:color w:val="000000"/>
          <w:sz w:val="24"/>
          <w:szCs w:val="24"/>
        </w:rPr>
        <w:t> </w:t>
      </w:r>
      <w:r w:rsidRPr="007F28C1">
        <w:rPr>
          <w:rFonts w:ascii="Times New Roman" w:hAnsi="Times New Roman" w:cs="Times New Roman"/>
          <w:bCs/>
          <w:color w:val="000000"/>
          <w:sz w:val="24"/>
          <w:szCs w:val="24"/>
        </w:rPr>
        <w:t>10 ust. 1</w:t>
      </w:r>
      <w:r w:rsidR="00BC0EB2" w:rsidRPr="007F28C1">
        <w:rPr>
          <w:rFonts w:ascii="Times New Roman" w:hAnsi="Times New Roman" w:cs="Times New Roman"/>
          <w:bCs/>
          <w:color w:val="000000"/>
          <w:sz w:val="24"/>
          <w:szCs w:val="24"/>
        </w:rPr>
        <w:t xml:space="preserve"> i 2</w:t>
      </w:r>
      <w:r w:rsidRPr="007F28C1">
        <w:rPr>
          <w:rFonts w:ascii="Times New Roman" w:hAnsi="Times New Roman" w:cs="Times New Roman"/>
          <w:bCs/>
          <w:color w:val="000000"/>
          <w:sz w:val="24"/>
          <w:szCs w:val="24"/>
        </w:rPr>
        <w:t xml:space="preserve"> P.g.g.</w:t>
      </w:r>
    </w:p>
    <w:p w14:paraId="0C881139" w14:textId="7F094BAA" w:rsidR="004D7323" w:rsidRPr="007F28C1" w:rsidRDefault="00724B35" w:rsidP="007F28C1">
      <w:pPr>
        <w:keepNext/>
        <w:tabs>
          <w:tab w:val="left" w:pos="426"/>
        </w:tabs>
        <w:spacing w:before="120" w:after="0" w:line="360" w:lineRule="auto"/>
        <w:jc w:val="both"/>
        <w:rPr>
          <w:rFonts w:ascii="Times New Roman" w:hAnsi="Times New Roman" w:cs="Times New Roman"/>
          <w:b/>
          <w:color w:val="000000"/>
          <w:sz w:val="24"/>
          <w:szCs w:val="24"/>
        </w:rPr>
      </w:pPr>
      <w:r w:rsidRPr="007F28C1">
        <w:rPr>
          <w:rFonts w:ascii="Times New Roman" w:hAnsi="Times New Roman" w:cs="Times New Roman"/>
          <w:b/>
          <w:color w:val="000000"/>
          <w:sz w:val="24"/>
          <w:szCs w:val="24"/>
        </w:rPr>
        <w:t>j</w:t>
      </w:r>
      <w:r w:rsidR="004D7323" w:rsidRPr="007F28C1">
        <w:rPr>
          <w:rFonts w:ascii="Times New Roman" w:hAnsi="Times New Roman" w:cs="Times New Roman"/>
          <w:b/>
          <w:color w:val="000000"/>
          <w:sz w:val="24"/>
          <w:szCs w:val="24"/>
        </w:rPr>
        <w:t>)</w:t>
      </w:r>
      <w:r w:rsidR="0004564E">
        <w:rPr>
          <w:rFonts w:ascii="Times New Roman" w:hAnsi="Times New Roman" w:cs="Times New Roman"/>
          <w:b/>
          <w:color w:val="000000"/>
          <w:sz w:val="24"/>
          <w:szCs w:val="24"/>
        </w:rPr>
        <w:tab/>
      </w:r>
      <w:r w:rsidR="004D7323" w:rsidRPr="007F28C1">
        <w:rPr>
          <w:rFonts w:ascii="Times New Roman" w:hAnsi="Times New Roman" w:cs="Times New Roman"/>
          <w:b/>
          <w:bCs/>
          <w:sz w:val="24"/>
          <w:szCs w:val="24"/>
        </w:rPr>
        <w:t>Projekt</w:t>
      </w:r>
      <w:r w:rsidR="004D7323" w:rsidRPr="007F28C1">
        <w:rPr>
          <w:rFonts w:ascii="Times New Roman" w:hAnsi="Times New Roman" w:cs="Times New Roman"/>
          <w:b/>
          <w:color w:val="000000"/>
          <w:sz w:val="24"/>
          <w:szCs w:val="24"/>
        </w:rPr>
        <w:t xml:space="preserve"> robót geologicznych w zakresie regionalnych prac kartografii geologicznej</w:t>
      </w:r>
    </w:p>
    <w:p w14:paraId="13B22724" w14:textId="078692D8" w:rsidR="007C761E" w:rsidRPr="007F28C1" w:rsidRDefault="007C761E" w:rsidP="007F28C1">
      <w:pPr>
        <w:spacing w:before="120" w:after="0" w:line="360" w:lineRule="auto"/>
        <w:contextualSpacing/>
        <w:jc w:val="both"/>
        <w:rPr>
          <w:rFonts w:ascii="Times New Roman" w:hAnsi="Times New Roman" w:cs="Times New Roman"/>
          <w:bCs/>
          <w:color w:val="000000"/>
          <w:sz w:val="24"/>
          <w:szCs w:val="24"/>
        </w:rPr>
      </w:pPr>
      <w:r w:rsidRPr="007F28C1">
        <w:rPr>
          <w:rFonts w:ascii="Times New Roman" w:hAnsi="Times New Roman" w:cs="Times New Roman"/>
          <w:bCs/>
          <w:color w:val="000000"/>
          <w:sz w:val="24"/>
          <w:szCs w:val="24"/>
        </w:rPr>
        <w:t xml:space="preserve">Projektowana nowelizacja ma </w:t>
      </w:r>
      <w:r w:rsidR="00157D70" w:rsidRPr="007F28C1">
        <w:rPr>
          <w:rFonts w:ascii="Times New Roman" w:hAnsi="Times New Roman" w:cs="Times New Roman"/>
          <w:bCs/>
          <w:color w:val="000000"/>
          <w:sz w:val="24"/>
          <w:szCs w:val="24"/>
        </w:rPr>
        <w:t xml:space="preserve">na </w:t>
      </w:r>
      <w:r w:rsidRPr="007F28C1">
        <w:rPr>
          <w:rFonts w:ascii="Times New Roman" w:hAnsi="Times New Roman" w:cs="Times New Roman"/>
          <w:bCs/>
          <w:color w:val="000000"/>
          <w:sz w:val="24"/>
          <w:szCs w:val="24"/>
        </w:rPr>
        <w:t>cel</w:t>
      </w:r>
      <w:r w:rsidR="00157D70" w:rsidRPr="007F28C1">
        <w:rPr>
          <w:rFonts w:ascii="Times New Roman" w:hAnsi="Times New Roman" w:cs="Times New Roman"/>
          <w:bCs/>
          <w:color w:val="000000"/>
          <w:sz w:val="24"/>
          <w:szCs w:val="24"/>
        </w:rPr>
        <w:t>u</w:t>
      </w:r>
      <w:r w:rsidRPr="007F28C1">
        <w:rPr>
          <w:rFonts w:ascii="Times New Roman" w:hAnsi="Times New Roman" w:cs="Times New Roman"/>
          <w:bCs/>
          <w:color w:val="000000"/>
          <w:sz w:val="24"/>
          <w:szCs w:val="24"/>
        </w:rPr>
        <w:t xml:space="preserve"> także</w:t>
      </w:r>
      <w:r w:rsidR="00BD02B1" w:rsidRPr="007F28C1">
        <w:rPr>
          <w:rFonts w:ascii="Times New Roman" w:hAnsi="Times New Roman" w:cs="Times New Roman"/>
          <w:bCs/>
          <w:color w:val="000000"/>
          <w:sz w:val="24"/>
          <w:szCs w:val="24"/>
        </w:rPr>
        <w:t xml:space="preserve"> ułatwienie</w:t>
      </w:r>
      <w:r w:rsidRPr="007F28C1">
        <w:rPr>
          <w:rFonts w:ascii="Times New Roman" w:hAnsi="Times New Roman" w:cs="Times New Roman"/>
          <w:bCs/>
          <w:color w:val="000000"/>
          <w:sz w:val="24"/>
          <w:szCs w:val="24"/>
        </w:rPr>
        <w:t xml:space="preserve"> wykonywania projektów robót geologicznych obejmujących wykonanie robót geologicznych w zakresie regionalnych prac kartografii geologicznej. Obecnie czas trwania postępowania administracyjnego w sprawie zatwierdzenia projektu robót geologicznych obejmującego wykonanie robót geologicznych w zakresie regionalnych prac kartografii geologicznej wynosi ok. 6 miesięcy. Powodem jest znaczna liczba stron postępowania (powyżej 20 stron), co zgodnie z obowiązującymi przepisami obliguje organ prowadzący postępowanie do zawiadamiania wszystkich stron postępowania o decyzjach i</w:t>
      </w:r>
      <w:r w:rsidR="000E6B9D" w:rsidRPr="007F28C1">
        <w:rPr>
          <w:rFonts w:ascii="Times New Roman" w:hAnsi="Times New Roman" w:cs="Times New Roman"/>
          <w:bCs/>
          <w:color w:val="000000"/>
          <w:sz w:val="24"/>
          <w:szCs w:val="24"/>
        </w:rPr>
        <w:t xml:space="preserve"> o</w:t>
      </w:r>
      <w:r w:rsidRPr="007F28C1">
        <w:rPr>
          <w:rFonts w:ascii="Times New Roman" w:hAnsi="Times New Roman" w:cs="Times New Roman"/>
          <w:bCs/>
          <w:color w:val="000000"/>
          <w:sz w:val="24"/>
          <w:szCs w:val="24"/>
        </w:rPr>
        <w:t xml:space="preserve"> każdej czynności podejmowanej w sprawie w drodze obwieszczeń zamieszczanych w Biuletynie Informacji Publicznej na stronach tych organów oraz w sposób zwyczajowo przyjęty w danej miejscowości (art.</w:t>
      </w:r>
      <w:r w:rsidR="007C0997" w:rsidRPr="007F28C1">
        <w:rPr>
          <w:rFonts w:ascii="Times New Roman" w:hAnsi="Times New Roman" w:cs="Times New Roman"/>
          <w:bCs/>
          <w:color w:val="000000"/>
          <w:sz w:val="24"/>
          <w:szCs w:val="24"/>
        </w:rPr>
        <w:t xml:space="preserve"> </w:t>
      </w:r>
      <w:r w:rsidRPr="007F28C1">
        <w:rPr>
          <w:rFonts w:ascii="Times New Roman" w:hAnsi="Times New Roman" w:cs="Times New Roman"/>
          <w:bCs/>
          <w:color w:val="000000"/>
          <w:sz w:val="24"/>
          <w:szCs w:val="24"/>
        </w:rPr>
        <w:t>41 ust. 3 P.g.g.</w:t>
      </w:r>
      <w:r w:rsidR="00EF5B6E" w:rsidRPr="007F28C1">
        <w:rPr>
          <w:rFonts w:ascii="Times New Roman" w:hAnsi="Times New Roman" w:cs="Times New Roman"/>
          <w:bCs/>
          <w:color w:val="000000"/>
          <w:sz w:val="24"/>
          <w:szCs w:val="24"/>
        </w:rPr>
        <w:t xml:space="preserve"> w związku z </w:t>
      </w:r>
      <w:r w:rsidR="00EF5B6E" w:rsidRPr="007F28C1">
        <w:rPr>
          <w:rFonts w:ascii="Times New Roman" w:hAnsi="Times New Roman" w:cs="Times New Roman"/>
          <w:bCs/>
          <w:color w:val="000000"/>
          <w:sz w:val="24"/>
          <w:szCs w:val="24"/>
        </w:rPr>
        <w:lastRenderedPageBreak/>
        <w:t>art. 80 ust. 3 P.g.g.</w:t>
      </w:r>
      <w:r w:rsidRPr="007F28C1">
        <w:rPr>
          <w:rFonts w:ascii="Times New Roman" w:hAnsi="Times New Roman" w:cs="Times New Roman"/>
          <w:bCs/>
          <w:color w:val="000000"/>
          <w:sz w:val="24"/>
          <w:szCs w:val="24"/>
        </w:rPr>
        <w:t xml:space="preserve">). W tych przypadkach należy </w:t>
      </w:r>
      <w:r w:rsidR="00BD02B1" w:rsidRPr="007F28C1">
        <w:rPr>
          <w:rFonts w:ascii="Times New Roman" w:hAnsi="Times New Roman" w:cs="Times New Roman"/>
          <w:bCs/>
          <w:color w:val="000000"/>
          <w:sz w:val="24"/>
          <w:szCs w:val="24"/>
        </w:rPr>
        <w:t>uwzględnić</w:t>
      </w:r>
      <w:r w:rsidRPr="007F28C1">
        <w:rPr>
          <w:rFonts w:ascii="Times New Roman" w:hAnsi="Times New Roman" w:cs="Times New Roman"/>
          <w:bCs/>
          <w:color w:val="000000"/>
          <w:sz w:val="24"/>
          <w:szCs w:val="24"/>
        </w:rPr>
        <w:t xml:space="preserve"> czas niezbędny na wysłanie takiego obwieszczenia, jego upublicznienie przez współpracujące organy, a następnie ich zwrot z potwierdzeniem dokonania tych czynności. Bez</w:t>
      </w:r>
      <w:r w:rsidR="00D2588E" w:rsidRPr="007F28C1">
        <w:rPr>
          <w:rFonts w:ascii="Times New Roman" w:hAnsi="Times New Roman" w:cs="Times New Roman"/>
          <w:bCs/>
          <w:color w:val="000000"/>
          <w:sz w:val="24"/>
          <w:szCs w:val="24"/>
        </w:rPr>
        <w:t> </w:t>
      </w:r>
      <w:r w:rsidRPr="007F28C1">
        <w:rPr>
          <w:rFonts w:ascii="Times New Roman" w:hAnsi="Times New Roman" w:cs="Times New Roman"/>
          <w:bCs/>
          <w:color w:val="000000"/>
          <w:sz w:val="24"/>
          <w:szCs w:val="24"/>
        </w:rPr>
        <w:t>skompletowania pełnej dokumentacji nie jest możliwe przejście do kolejnych etapów postępowania, co</w:t>
      </w:r>
      <w:r w:rsidR="00D2588E" w:rsidRPr="007F28C1">
        <w:rPr>
          <w:rFonts w:ascii="Times New Roman" w:hAnsi="Times New Roman" w:cs="Times New Roman"/>
          <w:bCs/>
          <w:color w:val="000000"/>
          <w:sz w:val="24"/>
          <w:szCs w:val="24"/>
        </w:rPr>
        <w:t> </w:t>
      </w:r>
      <w:r w:rsidRPr="007F28C1">
        <w:rPr>
          <w:rFonts w:ascii="Times New Roman" w:hAnsi="Times New Roman" w:cs="Times New Roman"/>
          <w:bCs/>
          <w:color w:val="000000"/>
          <w:sz w:val="24"/>
          <w:szCs w:val="24"/>
        </w:rPr>
        <w:t>znacznie wydłuża czas jego trwania. Dlatego też proponowana zmiana przepisów w zakresie dodania przepisu art. 85aa P.g.g. umożliwi zgłoszenie projektu robót geologicznych i rozpoczęcie robót geologicznych po upływie 30 dni od dnia przedłożenia projektu robót geologicznych, pod warunkiem</w:t>
      </w:r>
      <w:r w:rsidR="009479CA">
        <w:rPr>
          <w:rFonts w:ascii="Times New Roman" w:hAnsi="Times New Roman" w:cs="Times New Roman"/>
          <w:bCs/>
          <w:color w:val="000000"/>
          <w:sz w:val="24"/>
          <w:szCs w:val="24"/>
        </w:rPr>
        <w:t>,</w:t>
      </w:r>
      <w:r w:rsidRPr="007F28C1">
        <w:rPr>
          <w:rFonts w:ascii="Times New Roman" w:hAnsi="Times New Roman" w:cs="Times New Roman"/>
          <w:bCs/>
          <w:color w:val="000000"/>
          <w:sz w:val="24"/>
          <w:szCs w:val="24"/>
        </w:rPr>
        <w:t xml:space="preserve"> że</w:t>
      </w:r>
      <w:r w:rsidR="00621E21" w:rsidRPr="007F28C1">
        <w:rPr>
          <w:rFonts w:ascii="Times New Roman" w:hAnsi="Times New Roman" w:cs="Times New Roman"/>
          <w:bCs/>
          <w:color w:val="000000"/>
          <w:sz w:val="24"/>
          <w:szCs w:val="24"/>
        </w:rPr>
        <w:t> </w:t>
      </w:r>
      <w:r w:rsidR="00C31F6F" w:rsidRPr="007F28C1">
        <w:rPr>
          <w:rFonts w:ascii="Times New Roman" w:hAnsi="Times New Roman" w:cs="Times New Roman"/>
          <w:bCs/>
          <w:color w:val="000000"/>
          <w:sz w:val="24"/>
          <w:szCs w:val="24"/>
        </w:rPr>
        <w:t>minister właściwy do spraw środowiska</w:t>
      </w:r>
      <w:r w:rsidRPr="007F28C1">
        <w:rPr>
          <w:rFonts w:ascii="Times New Roman" w:hAnsi="Times New Roman" w:cs="Times New Roman"/>
          <w:bCs/>
          <w:color w:val="000000"/>
          <w:sz w:val="24"/>
          <w:szCs w:val="24"/>
        </w:rPr>
        <w:t>, w drodze decyzji</w:t>
      </w:r>
      <w:r w:rsidR="000E6B9D" w:rsidRPr="007F28C1">
        <w:rPr>
          <w:rFonts w:ascii="Times New Roman" w:hAnsi="Times New Roman" w:cs="Times New Roman"/>
          <w:bCs/>
          <w:color w:val="000000"/>
          <w:sz w:val="24"/>
          <w:szCs w:val="24"/>
        </w:rPr>
        <w:t>,</w:t>
      </w:r>
      <w:r w:rsidRPr="007F28C1">
        <w:rPr>
          <w:rFonts w:ascii="Times New Roman" w:hAnsi="Times New Roman" w:cs="Times New Roman"/>
          <w:bCs/>
          <w:color w:val="000000"/>
          <w:sz w:val="24"/>
          <w:szCs w:val="24"/>
        </w:rPr>
        <w:t xml:space="preserve"> nie zgłosi do niego sprzeciwu. </w:t>
      </w:r>
      <w:r w:rsidR="00F845B0" w:rsidRPr="007F28C1">
        <w:rPr>
          <w:rFonts w:ascii="Times New Roman" w:hAnsi="Times New Roman" w:cs="Times New Roman"/>
          <w:bCs/>
          <w:color w:val="000000"/>
          <w:sz w:val="24"/>
          <w:szCs w:val="24"/>
        </w:rPr>
        <w:t>S</w:t>
      </w:r>
      <w:r w:rsidRPr="007F28C1">
        <w:rPr>
          <w:rFonts w:ascii="Times New Roman" w:hAnsi="Times New Roman" w:cs="Times New Roman"/>
          <w:bCs/>
          <w:color w:val="000000"/>
          <w:sz w:val="24"/>
          <w:szCs w:val="24"/>
        </w:rPr>
        <w:t>przeciw</w:t>
      </w:r>
      <w:r w:rsidR="00F845B0" w:rsidRPr="007F28C1">
        <w:rPr>
          <w:rFonts w:ascii="Times New Roman" w:hAnsi="Times New Roman" w:cs="Times New Roman"/>
          <w:bCs/>
          <w:color w:val="000000"/>
          <w:sz w:val="24"/>
          <w:szCs w:val="24"/>
        </w:rPr>
        <w:t xml:space="preserve"> zostanie zgłoszony</w:t>
      </w:r>
      <w:r w:rsidRPr="007F28C1">
        <w:rPr>
          <w:rFonts w:ascii="Times New Roman" w:hAnsi="Times New Roman" w:cs="Times New Roman"/>
          <w:bCs/>
          <w:color w:val="000000"/>
          <w:sz w:val="24"/>
          <w:szCs w:val="24"/>
        </w:rPr>
        <w:t>, je</w:t>
      </w:r>
      <w:r w:rsidR="000E6B9D" w:rsidRPr="007F28C1">
        <w:rPr>
          <w:rFonts w:ascii="Times New Roman" w:hAnsi="Times New Roman" w:cs="Times New Roman"/>
          <w:bCs/>
          <w:color w:val="000000"/>
          <w:sz w:val="24"/>
          <w:szCs w:val="24"/>
        </w:rPr>
        <w:t>że</w:t>
      </w:r>
      <w:r w:rsidRPr="007F28C1">
        <w:rPr>
          <w:rFonts w:ascii="Times New Roman" w:hAnsi="Times New Roman" w:cs="Times New Roman"/>
          <w:bCs/>
          <w:color w:val="000000"/>
          <w:sz w:val="24"/>
          <w:szCs w:val="24"/>
        </w:rPr>
        <w:t>li sposób wykonywania zamierzonych robót geologicznych będzie zagrażać środowisku</w:t>
      </w:r>
      <w:r w:rsidR="000E6B9D" w:rsidRPr="007F28C1">
        <w:rPr>
          <w:rFonts w:ascii="Times New Roman" w:hAnsi="Times New Roman" w:cs="Times New Roman"/>
          <w:bCs/>
          <w:color w:val="000000"/>
          <w:sz w:val="24"/>
          <w:szCs w:val="24"/>
        </w:rPr>
        <w:t>,</w:t>
      </w:r>
      <w:r w:rsidRPr="007F28C1">
        <w:rPr>
          <w:rFonts w:ascii="Times New Roman" w:hAnsi="Times New Roman" w:cs="Times New Roman"/>
          <w:bCs/>
          <w:color w:val="000000"/>
          <w:sz w:val="24"/>
          <w:szCs w:val="24"/>
        </w:rPr>
        <w:t xml:space="preserve"> projekt nie</w:t>
      </w:r>
      <w:r w:rsidR="00621E21" w:rsidRPr="007F28C1">
        <w:rPr>
          <w:rFonts w:ascii="Times New Roman" w:hAnsi="Times New Roman" w:cs="Times New Roman"/>
          <w:bCs/>
          <w:color w:val="000000"/>
          <w:sz w:val="24"/>
          <w:szCs w:val="24"/>
        </w:rPr>
        <w:t> </w:t>
      </w:r>
      <w:r w:rsidR="00FF5A42" w:rsidRPr="007F28C1">
        <w:rPr>
          <w:rFonts w:ascii="Times New Roman" w:hAnsi="Times New Roman" w:cs="Times New Roman"/>
          <w:bCs/>
          <w:color w:val="000000"/>
          <w:sz w:val="24"/>
          <w:szCs w:val="24"/>
        </w:rPr>
        <w:t xml:space="preserve">będzie </w:t>
      </w:r>
      <w:r w:rsidRPr="007F28C1">
        <w:rPr>
          <w:rFonts w:ascii="Times New Roman" w:hAnsi="Times New Roman" w:cs="Times New Roman"/>
          <w:bCs/>
          <w:color w:val="000000"/>
          <w:sz w:val="24"/>
          <w:szCs w:val="24"/>
        </w:rPr>
        <w:t xml:space="preserve">odpowiadać wymaganiom prawa lub rodzaj i zakres projektowanych robót geologicznych oraz sposób ich wykonania nie będą odpowiadać celowi tych robót. Ponadto stroną podstępowania odwoławczego od decyzji </w:t>
      </w:r>
      <w:r w:rsidR="000E6B9D" w:rsidRPr="007F28C1">
        <w:rPr>
          <w:rFonts w:ascii="Times New Roman" w:hAnsi="Times New Roman" w:cs="Times New Roman"/>
          <w:bCs/>
          <w:color w:val="000000"/>
          <w:sz w:val="24"/>
          <w:szCs w:val="24"/>
        </w:rPr>
        <w:t>m</w:t>
      </w:r>
      <w:r w:rsidR="002A4661" w:rsidRPr="007F28C1">
        <w:rPr>
          <w:rFonts w:ascii="Times New Roman" w:hAnsi="Times New Roman" w:cs="Times New Roman"/>
          <w:bCs/>
          <w:color w:val="000000"/>
          <w:sz w:val="24"/>
          <w:szCs w:val="24"/>
        </w:rPr>
        <w:t>inistra</w:t>
      </w:r>
      <w:r w:rsidR="000E6B9D" w:rsidRPr="007F28C1">
        <w:rPr>
          <w:rFonts w:ascii="Times New Roman" w:hAnsi="Times New Roman" w:cs="Times New Roman"/>
          <w:bCs/>
          <w:color w:val="000000"/>
          <w:sz w:val="24"/>
          <w:szCs w:val="24"/>
        </w:rPr>
        <w:t xml:space="preserve"> właściwego do spraw środowiska</w:t>
      </w:r>
      <w:r w:rsidR="00F845B0" w:rsidRPr="007F28C1">
        <w:rPr>
          <w:rFonts w:ascii="Times New Roman" w:hAnsi="Times New Roman" w:cs="Times New Roman"/>
          <w:bCs/>
          <w:color w:val="000000"/>
          <w:sz w:val="24"/>
          <w:szCs w:val="24"/>
        </w:rPr>
        <w:t xml:space="preserve"> </w:t>
      </w:r>
      <w:r w:rsidRPr="007F28C1">
        <w:rPr>
          <w:rFonts w:ascii="Times New Roman" w:hAnsi="Times New Roman" w:cs="Times New Roman"/>
          <w:bCs/>
          <w:color w:val="000000"/>
          <w:sz w:val="24"/>
          <w:szCs w:val="24"/>
        </w:rPr>
        <w:t>dotyczącej sprzeciwu będzie jedynie podmiot, który</w:t>
      </w:r>
      <w:r w:rsidR="00521622" w:rsidRPr="007F28C1">
        <w:rPr>
          <w:rFonts w:ascii="Times New Roman" w:hAnsi="Times New Roman" w:cs="Times New Roman"/>
          <w:bCs/>
          <w:color w:val="000000"/>
          <w:sz w:val="24"/>
          <w:szCs w:val="24"/>
        </w:rPr>
        <w:t xml:space="preserve"> </w:t>
      </w:r>
      <w:r w:rsidR="00200647" w:rsidRPr="007F28C1">
        <w:rPr>
          <w:rFonts w:ascii="Times New Roman" w:hAnsi="Times New Roman" w:cs="Times New Roman"/>
          <w:bCs/>
          <w:color w:val="000000"/>
          <w:sz w:val="24"/>
          <w:szCs w:val="24"/>
        </w:rPr>
        <w:t>zamierza wykonywać roboty geologiczne w</w:t>
      </w:r>
      <w:r w:rsidR="00D2588E" w:rsidRPr="007F28C1">
        <w:rPr>
          <w:rFonts w:ascii="Times New Roman" w:hAnsi="Times New Roman" w:cs="Times New Roman"/>
          <w:bCs/>
          <w:color w:val="000000"/>
          <w:sz w:val="24"/>
          <w:szCs w:val="24"/>
        </w:rPr>
        <w:t> </w:t>
      </w:r>
      <w:r w:rsidR="00200647" w:rsidRPr="007F28C1">
        <w:rPr>
          <w:rFonts w:ascii="Times New Roman" w:hAnsi="Times New Roman" w:cs="Times New Roman"/>
          <w:bCs/>
          <w:color w:val="000000"/>
          <w:sz w:val="24"/>
          <w:szCs w:val="24"/>
        </w:rPr>
        <w:t>przedmiotowym zakresie</w:t>
      </w:r>
      <w:r w:rsidRPr="007F28C1">
        <w:rPr>
          <w:rFonts w:ascii="Times New Roman" w:hAnsi="Times New Roman" w:cs="Times New Roman"/>
          <w:bCs/>
          <w:color w:val="000000"/>
          <w:sz w:val="24"/>
          <w:szCs w:val="24"/>
        </w:rPr>
        <w:t>. Powyższe rozwiązania pozwolą na</w:t>
      </w:r>
      <w:r w:rsidR="00621E21" w:rsidRPr="007F28C1">
        <w:rPr>
          <w:rFonts w:ascii="Times New Roman" w:hAnsi="Times New Roman" w:cs="Times New Roman"/>
          <w:bCs/>
          <w:color w:val="000000"/>
          <w:sz w:val="24"/>
          <w:szCs w:val="24"/>
        </w:rPr>
        <w:t> </w:t>
      </w:r>
      <w:r w:rsidRPr="007F28C1">
        <w:rPr>
          <w:rFonts w:ascii="Times New Roman" w:hAnsi="Times New Roman" w:cs="Times New Roman"/>
          <w:bCs/>
          <w:color w:val="000000"/>
          <w:sz w:val="24"/>
          <w:szCs w:val="24"/>
        </w:rPr>
        <w:t>znaczne skrócenie procedowania tego rodzaju spraw i zdecydowanie przyspiesz</w:t>
      </w:r>
      <w:r w:rsidR="00F81015" w:rsidRPr="007F28C1">
        <w:rPr>
          <w:rFonts w:ascii="Times New Roman" w:hAnsi="Times New Roman" w:cs="Times New Roman"/>
          <w:bCs/>
          <w:color w:val="000000"/>
          <w:sz w:val="24"/>
          <w:szCs w:val="24"/>
        </w:rPr>
        <w:t>ą</w:t>
      </w:r>
      <w:r w:rsidRPr="007F28C1">
        <w:rPr>
          <w:rFonts w:ascii="Times New Roman" w:hAnsi="Times New Roman" w:cs="Times New Roman"/>
          <w:bCs/>
          <w:color w:val="000000"/>
          <w:sz w:val="24"/>
          <w:szCs w:val="24"/>
        </w:rPr>
        <w:t xml:space="preserve"> realizację robót. Ułatwienie nie będzie dotyczył</w:t>
      </w:r>
      <w:r w:rsidR="004C6421" w:rsidRPr="007F28C1">
        <w:rPr>
          <w:rFonts w:ascii="Times New Roman" w:hAnsi="Times New Roman" w:cs="Times New Roman"/>
          <w:bCs/>
          <w:color w:val="000000"/>
          <w:sz w:val="24"/>
          <w:szCs w:val="24"/>
        </w:rPr>
        <w:t>o</w:t>
      </w:r>
      <w:r w:rsidRPr="007F28C1">
        <w:rPr>
          <w:rFonts w:ascii="Times New Roman" w:hAnsi="Times New Roman" w:cs="Times New Roman"/>
          <w:bCs/>
          <w:color w:val="000000"/>
          <w:sz w:val="24"/>
          <w:szCs w:val="24"/>
        </w:rPr>
        <w:t xml:space="preserve"> projektów robót geologicznych w</w:t>
      </w:r>
      <w:r w:rsidR="00705A7E" w:rsidRPr="007F28C1">
        <w:rPr>
          <w:rFonts w:ascii="Times New Roman" w:hAnsi="Times New Roman" w:cs="Times New Roman"/>
          <w:bCs/>
          <w:color w:val="000000"/>
          <w:sz w:val="24"/>
          <w:szCs w:val="24"/>
        </w:rPr>
        <w:t> </w:t>
      </w:r>
      <w:r w:rsidRPr="007F28C1">
        <w:rPr>
          <w:rFonts w:ascii="Times New Roman" w:hAnsi="Times New Roman" w:cs="Times New Roman"/>
          <w:bCs/>
          <w:color w:val="000000"/>
          <w:sz w:val="24"/>
          <w:szCs w:val="24"/>
        </w:rPr>
        <w:t>przedmiotowym zakresie dotyczących obszarów morskich.</w:t>
      </w:r>
    </w:p>
    <w:p w14:paraId="0DBC0ED0" w14:textId="738D776F" w:rsidR="001B56AE" w:rsidRPr="007F28C1" w:rsidRDefault="008B0659" w:rsidP="007F28C1">
      <w:pPr>
        <w:keepNext/>
        <w:tabs>
          <w:tab w:val="left" w:pos="426"/>
        </w:tabs>
        <w:spacing w:before="120" w:after="0" w:line="360" w:lineRule="auto"/>
        <w:jc w:val="both"/>
        <w:rPr>
          <w:rFonts w:ascii="Times New Roman" w:hAnsi="Times New Roman" w:cs="Times New Roman"/>
          <w:b/>
          <w:bCs/>
          <w:sz w:val="24"/>
          <w:szCs w:val="24"/>
        </w:rPr>
      </w:pPr>
      <w:r w:rsidRPr="007F28C1">
        <w:rPr>
          <w:rFonts w:ascii="Times New Roman" w:hAnsi="Times New Roman" w:cs="Times New Roman"/>
          <w:b/>
          <w:bCs/>
          <w:sz w:val="24"/>
          <w:szCs w:val="24"/>
        </w:rPr>
        <w:t>k</w:t>
      </w:r>
      <w:r w:rsidR="001B56AE" w:rsidRPr="007F28C1">
        <w:rPr>
          <w:rFonts w:ascii="Times New Roman" w:hAnsi="Times New Roman" w:cs="Times New Roman"/>
          <w:b/>
          <w:bCs/>
          <w:sz w:val="24"/>
          <w:szCs w:val="24"/>
        </w:rPr>
        <w:t>)</w:t>
      </w:r>
      <w:r w:rsidR="0004564E">
        <w:rPr>
          <w:rFonts w:ascii="Times New Roman" w:hAnsi="Times New Roman" w:cs="Times New Roman"/>
          <w:b/>
          <w:bCs/>
          <w:sz w:val="24"/>
          <w:szCs w:val="24"/>
        </w:rPr>
        <w:tab/>
      </w:r>
      <w:r w:rsidR="001B56AE" w:rsidRPr="007F28C1">
        <w:rPr>
          <w:rFonts w:ascii="Times New Roman" w:hAnsi="Times New Roman" w:cs="Times New Roman"/>
          <w:b/>
          <w:bCs/>
          <w:sz w:val="24"/>
          <w:szCs w:val="24"/>
        </w:rPr>
        <w:t>Pozostałe zmiany</w:t>
      </w:r>
    </w:p>
    <w:p w14:paraId="029101C8" w14:textId="171AEA43" w:rsidR="001B56AE" w:rsidRPr="007F28C1" w:rsidRDefault="001B56A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Mając na względzie prawie dziesięcioletnią praktykę stosowania P.g.g., należy zaznaczyć, że art. 14 P.g.g.</w:t>
      </w:r>
      <w:r w:rsidR="00821BC9">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umożliwiający poprzedzenie ustanowienia użytkowania górniczego przetargiem, od wejścia w</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życie P.g.g. (tj. od</w:t>
      </w:r>
      <w:r w:rsidR="000E6B9D" w:rsidRPr="007F28C1">
        <w:rPr>
          <w:rFonts w:ascii="Times New Roman" w:eastAsia="Times New Roman" w:hAnsi="Times New Roman" w:cs="Times New Roman"/>
          <w:sz w:val="24"/>
          <w:szCs w:val="24"/>
          <w:lang w:eastAsia="pl-PL"/>
        </w:rPr>
        <w:t xml:space="preserve"> dnia </w:t>
      </w:r>
      <w:r w:rsidRPr="007F28C1">
        <w:rPr>
          <w:rFonts w:ascii="Times New Roman" w:eastAsia="Times New Roman" w:hAnsi="Times New Roman" w:cs="Times New Roman"/>
          <w:sz w:val="24"/>
          <w:szCs w:val="24"/>
          <w:lang w:eastAsia="pl-PL"/>
        </w:rPr>
        <w:t xml:space="preserve">1 stycznia 2012 r.) nie był stosowany przez organy koncesyjne – nie został ogłoszony żaden przetarg na ustanowienie użytkowania górniczego. Należy zauważyć, że dla koncesji na poszukiwanie i rozpoznawanie złóż węglowodorów oraz wydobywanie węglowodorów ze złóż, a także koncesji na wydobywanie węglowodorów </w:t>
      </w:r>
      <w:r w:rsidR="000A67D3" w:rsidRPr="007F28C1">
        <w:rPr>
          <w:rFonts w:ascii="Times New Roman" w:eastAsia="Times New Roman" w:hAnsi="Times New Roman" w:cs="Times New Roman"/>
          <w:sz w:val="24"/>
          <w:szCs w:val="24"/>
          <w:lang w:eastAsia="pl-PL"/>
        </w:rPr>
        <w:t xml:space="preserve">ze złóż </w:t>
      </w:r>
      <w:r w:rsidR="000E6B9D"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wprowadzona odrębna procedura udzielania koncesji (przetarg z urzędu albo na wniosek zainteresowanego podmiotu zgodnie z art.</w:t>
      </w:r>
      <w:r w:rsidR="006773CD"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49e P.g.g.), natomiast dla koncesji na poszukiwanie lub rozpoznawanie złóż kopalin, o których mowa w</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art.</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10 ust. 1 P.g.g. z wyłączeniem złóż węglowodorów – procedura udzielenia koncesji na wniosek zainteresowanego podmiotu (zgodnie z art. 28i P.g.g.). Zgodnie z art. 14 ust. 3</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 xml:space="preserve">P.g.g. warunki przetargu </w:t>
      </w:r>
      <w:r w:rsidR="00EF5B6E" w:rsidRPr="007F28C1">
        <w:rPr>
          <w:rFonts w:ascii="Times New Roman" w:eastAsia="Times New Roman" w:hAnsi="Times New Roman" w:cs="Times New Roman"/>
          <w:sz w:val="24"/>
          <w:szCs w:val="24"/>
          <w:lang w:eastAsia="pl-PL"/>
        </w:rPr>
        <w:t xml:space="preserve">o ustanowienie użytkowania górniczego </w:t>
      </w:r>
      <w:r w:rsidRPr="007F28C1">
        <w:rPr>
          <w:rFonts w:ascii="Times New Roman" w:eastAsia="Times New Roman" w:hAnsi="Times New Roman" w:cs="Times New Roman"/>
          <w:sz w:val="24"/>
          <w:szCs w:val="24"/>
          <w:lang w:eastAsia="pl-PL"/>
        </w:rPr>
        <w:t>powinny mieć charakter niedyskryminujący i opierać się na</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technicznych i finansowych możliwościach oferenta, proponowanej technologii prowadzenia prac oraz proponowanej wysokości wynagrodzenia z tytułu ustanowienia użytkowania górniczego. Zgodnie z § 6 ust. 1 rozporządzenia Rady Ministrów z dnia 10 </w:t>
      </w:r>
      <w:r w:rsidRPr="007F28C1">
        <w:rPr>
          <w:rFonts w:ascii="Times New Roman" w:eastAsia="Times New Roman" w:hAnsi="Times New Roman" w:cs="Times New Roman"/>
          <w:sz w:val="24"/>
          <w:szCs w:val="24"/>
          <w:lang w:eastAsia="pl-PL"/>
        </w:rPr>
        <w:lastRenderedPageBreak/>
        <w:t>stycznia 2012 r. w sprawie przetargu na</w:t>
      </w:r>
      <w:r w:rsidR="00D2588E"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ustanowienie użytkowania górniczego</w:t>
      </w:r>
      <w:r w:rsidRPr="007F28C1">
        <w:rPr>
          <w:rFonts w:ascii="Times New Roman" w:eastAsia="Times New Roman" w:hAnsi="Times New Roman" w:cs="Times New Roman"/>
          <w:iCs/>
          <w:sz w:val="24"/>
          <w:szCs w:val="24"/>
          <w:lang w:eastAsia="pl-PL"/>
        </w:rPr>
        <w:t xml:space="preserve"> </w:t>
      </w:r>
      <w:r w:rsidRPr="007F28C1">
        <w:rPr>
          <w:rFonts w:ascii="Times New Roman" w:eastAsia="Times New Roman" w:hAnsi="Times New Roman" w:cs="Times New Roman"/>
          <w:sz w:val="24"/>
          <w:szCs w:val="24"/>
          <w:lang w:eastAsia="pl-PL"/>
        </w:rPr>
        <w:t>(Dz.</w:t>
      </w:r>
      <w:r w:rsidR="006773CD"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U. poz. 101) oferta na ustanowienie użytkowania górniczego powinna określać m.in. proponowany czas, na jaki ma być zawarta umowa o ustanowienie użytkowania górniczego, techniczne i finansowe możliwości oferenta, zakres, harmonogram i sposób prowadzenia działalności regulowanej P.g.g. oraz proponowaną wysokość wynagrodzenia za ustanowienie użytkowania górniczego. W praktyce o tym, kto uzyska prawo użytkowania górniczego</w:t>
      </w:r>
      <w:r w:rsidR="001A2260">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przesądza treść i warunki koncesji (zakres, harmonogram i sposób prowadzenia działalności regulowanej P.g.g.), a znaczenie przetargu na ustanowienie użytkowania górniczego jest znikome. Wobec powyższego uchyla się art. 14</w:t>
      </w:r>
      <w:r w:rsidR="005B7604"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P.g.g.</w:t>
      </w:r>
    </w:p>
    <w:p w14:paraId="73916324" w14:textId="644BE1D3" w:rsidR="00C952C1" w:rsidRPr="007F28C1" w:rsidRDefault="00C952C1"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Projektodawca dostrzegł potrzebę uregulowania zagadnienia możliwości </w:t>
      </w:r>
      <w:r w:rsidRPr="007F28C1">
        <w:rPr>
          <w:rFonts w:ascii="Times New Roman" w:hAnsi="Times New Roman" w:cs="Times New Roman"/>
          <w:sz w:val="24"/>
          <w:szCs w:val="24"/>
        </w:rPr>
        <w:t>utrzymywania i</w:t>
      </w:r>
      <w:r w:rsidR="00546F0A" w:rsidRPr="007F28C1">
        <w:rPr>
          <w:rFonts w:ascii="Times New Roman" w:hAnsi="Times New Roman" w:cs="Times New Roman"/>
          <w:sz w:val="24"/>
          <w:szCs w:val="24"/>
        </w:rPr>
        <w:t> </w:t>
      </w:r>
      <w:r w:rsidRPr="007F28C1">
        <w:rPr>
          <w:rFonts w:ascii="Times New Roman" w:hAnsi="Times New Roman" w:cs="Times New Roman"/>
          <w:sz w:val="24"/>
          <w:szCs w:val="24"/>
        </w:rPr>
        <w:t>niezwiązanego z wydobywaniem kopaliny ze złoża wykorzystywania podziemnej części likwidowanych zakładów górniczych, niezbędnej do prowadzenia ruchu innych zakładów górniczych. Kwestia ta jest powiązana z trwającym procesem restrukturyzacji sektora węgla kamiennego.</w:t>
      </w:r>
      <w:r w:rsidR="005B7604" w:rsidRPr="007F28C1">
        <w:rPr>
          <w:rFonts w:ascii="Times New Roman" w:hAnsi="Times New Roman" w:cs="Times New Roman"/>
          <w:sz w:val="24"/>
          <w:szCs w:val="24"/>
        </w:rPr>
        <w:t xml:space="preserve"> </w:t>
      </w:r>
      <w:r w:rsidRPr="007F28C1">
        <w:rPr>
          <w:rFonts w:ascii="Times New Roman" w:eastAsia="Times New Roman" w:hAnsi="Times New Roman" w:cs="Times New Roman"/>
          <w:sz w:val="24"/>
          <w:szCs w:val="24"/>
          <w:lang w:eastAsia="pl-PL"/>
        </w:rPr>
        <w:t>Przyjęty obecnie terminarz likwidacji zakładów górniczych wydobywających węgiel kamienny zakłada likwidację niektórych kopalń zespolonych</w:t>
      </w:r>
      <w:r w:rsidR="00546F0A"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r w:rsidR="00546F0A" w:rsidRPr="007F28C1">
        <w:rPr>
          <w:rFonts w:ascii="Times New Roman" w:eastAsia="Times New Roman" w:hAnsi="Times New Roman" w:cs="Times New Roman"/>
          <w:sz w:val="24"/>
          <w:szCs w:val="24"/>
          <w:lang w:eastAsia="pl-PL"/>
        </w:rPr>
        <w:t xml:space="preserve">to </w:t>
      </w:r>
      <w:r w:rsidRPr="007F28C1">
        <w:rPr>
          <w:rFonts w:ascii="Times New Roman" w:eastAsia="Times New Roman" w:hAnsi="Times New Roman" w:cs="Times New Roman"/>
          <w:sz w:val="24"/>
          <w:szCs w:val="24"/>
          <w:lang w:eastAsia="pl-PL"/>
        </w:rPr>
        <w:t>j</w:t>
      </w:r>
      <w:r w:rsidR="00546F0A" w:rsidRPr="007F28C1">
        <w:rPr>
          <w:rFonts w:ascii="Times New Roman" w:eastAsia="Times New Roman" w:hAnsi="Times New Roman" w:cs="Times New Roman"/>
          <w:sz w:val="24"/>
          <w:szCs w:val="24"/>
          <w:lang w:eastAsia="pl-PL"/>
        </w:rPr>
        <w:t>est</w:t>
      </w:r>
      <w:r w:rsidRPr="007F28C1">
        <w:rPr>
          <w:rFonts w:ascii="Times New Roman" w:eastAsia="Times New Roman" w:hAnsi="Times New Roman" w:cs="Times New Roman"/>
          <w:sz w:val="24"/>
          <w:szCs w:val="24"/>
          <w:lang w:eastAsia="pl-PL"/>
        </w:rPr>
        <w:t xml:space="preserve"> kopalń prowadzących działalność wydobywczą na podstawie działalności ruchów posiadających koncesje. W </w:t>
      </w:r>
      <w:r w:rsidR="00546F0A" w:rsidRPr="007F28C1">
        <w:rPr>
          <w:rFonts w:ascii="Times New Roman" w:eastAsia="Times New Roman" w:hAnsi="Times New Roman" w:cs="Times New Roman"/>
          <w:sz w:val="24"/>
          <w:szCs w:val="24"/>
          <w:lang w:eastAsia="pl-PL"/>
        </w:rPr>
        <w:t>t</w:t>
      </w:r>
      <w:r w:rsidRPr="007F28C1">
        <w:rPr>
          <w:rFonts w:ascii="Times New Roman" w:eastAsia="Times New Roman" w:hAnsi="Times New Roman" w:cs="Times New Roman"/>
          <w:sz w:val="24"/>
          <w:szCs w:val="24"/>
          <w:lang w:eastAsia="pl-PL"/>
        </w:rPr>
        <w:t xml:space="preserve">ej sytuacji przedsiębiorcy górniczy </w:t>
      </w:r>
      <w:r w:rsidR="000E6B9D" w:rsidRPr="007F28C1">
        <w:rPr>
          <w:rFonts w:ascii="Times New Roman" w:eastAsia="Times New Roman" w:hAnsi="Times New Roman" w:cs="Times New Roman"/>
          <w:sz w:val="24"/>
          <w:szCs w:val="24"/>
          <w:lang w:eastAsia="pl-PL"/>
        </w:rPr>
        <w:t xml:space="preserve">są </w:t>
      </w:r>
      <w:r w:rsidRPr="007F28C1">
        <w:rPr>
          <w:rFonts w:ascii="Times New Roman" w:eastAsia="Times New Roman" w:hAnsi="Times New Roman" w:cs="Times New Roman"/>
          <w:sz w:val="24"/>
          <w:szCs w:val="24"/>
          <w:lang w:eastAsia="pl-PL"/>
        </w:rPr>
        <w:t>obowiązani do likwidacji wyznaczonych zakładów górniczych lub ich części. Działania te wymagają w</w:t>
      </w:r>
      <w:r w:rsidR="000D0EB2"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wielu przypadkach wykonywani</w:t>
      </w:r>
      <w:r w:rsidR="000E6B9D" w:rsidRPr="007F28C1">
        <w:rPr>
          <w:rFonts w:ascii="Times New Roman" w:eastAsia="Times New Roman" w:hAnsi="Times New Roman" w:cs="Times New Roman"/>
          <w:sz w:val="24"/>
          <w:szCs w:val="24"/>
          <w:lang w:eastAsia="pl-PL"/>
        </w:rPr>
        <w:t>a</w:t>
      </w:r>
      <w:r w:rsidRPr="007F28C1">
        <w:rPr>
          <w:rFonts w:ascii="Times New Roman" w:eastAsia="Times New Roman" w:hAnsi="Times New Roman" w:cs="Times New Roman"/>
          <w:sz w:val="24"/>
          <w:szCs w:val="24"/>
          <w:lang w:eastAsia="pl-PL"/>
        </w:rPr>
        <w:t xml:space="preserve"> robót górniczych w celu umożliwienia funkcjonowania pozostałej części kopalni zespolonej. Ustalony terminarz oraz brak możliwości przedłużenia przyjętych w nim dat likwidacji doprowadza do sytuacji, w której przedsiębiorca górniczy</w:t>
      </w:r>
      <w:r w:rsidR="001D2553">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zachowując zasadę racjonalnej gospodarki zasobami złoża oraz </w:t>
      </w:r>
      <w:r w:rsidR="00546F0A" w:rsidRPr="007F28C1">
        <w:rPr>
          <w:rFonts w:ascii="Times New Roman" w:eastAsia="Times New Roman" w:hAnsi="Times New Roman" w:cs="Times New Roman"/>
          <w:sz w:val="24"/>
          <w:szCs w:val="24"/>
          <w:lang w:eastAsia="pl-PL"/>
        </w:rPr>
        <w:t xml:space="preserve">dążąc do zachowania </w:t>
      </w:r>
      <w:r w:rsidRPr="007F28C1">
        <w:rPr>
          <w:rFonts w:ascii="Times New Roman" w:eastAsia="Times New Roman" w:hAnsi="Times New Roman" w:cs="Times New Roman"/>
          <w:sz w:val="24"/>
          <w:szCs w:val="24"/>
          <w:lang w:eastAsia="pl-PL"/>
        </w:rPr>
        <w:t>opłacalnoś</w:t>
      </w:r>
      <w:r w:rsidR="00546F0A" w:rsidRPr="007F28C1">
        <w:rPr>
          <w:rFonts w:ascii="Times New Roman" w:eastAsia="Times New Roman" w:hAnsi="Times New Roman" w:cs="Times New Roman"/>
          <w:sz w:val="24"/>
          <w:szCs w:val="24"/>
          <w:lang w:eastAsia="pl-PL"/>
        </w:rPr>
        <w:t>ci</w:t>
      </w:r>
      <w:r w:rsidRPr="007F28C1">
        <w:rPr>
          <w:rFonts w:ascii="Times New Roman" w:eastAsia="Times New Roman" w:hAnsi="Times New Roman" w:cs="Times New Roman"/>
          <w:sz w:val="24"/>
          <w:szCs w:val="24"/>
          <w:lang w:eastAsia="pl-PL"/>
        </w:rPr>
        <w:t xml:space="preserve"> prowadzenia działalności wydobywczej przez </w:t>
      </w:r>
      <w:r w:rsidR="00546F0A" w:rsidRPr="007F28C1">
        <w:rPr>
          <w:rFonts w:ascii="Times New Roman" w:eastAsia="Times New Roman" w:hAnsi="Times New Roman" w:cs="Times New Roman"/>
          <w:sz w:val="24"/>
          <w:szCs w:val="24"/>
          <w:lang w:eastAsia="pl-PL"/>
        </w:rPr>
        <w:t>k</w:t>
      </w:r>
      <w:r w:rsidRPr="007F28C1">
        <w:rPr>
          <w:rFonts w:ascii="Times New Roman" w:eastAsia="Times New Roman" w:hAnsi="Times New Roman" w:cs="Times New Roman"/>
          <w:sz w:val="24"/>
          <w:szCs w:val="24"/>
          <w:lang w:eastAsia="pl-PL"/>
        </w:rPr>
        <w:t>opalni</w:t>
      </w:r>
      <w:r w:rsidR="00546F0A" w:rsidRPr="007F28C1">
        <w:rPr>
          <w:rFonts w:ascii="Times New Roman" w:eastAsia="Times New Roman" w:hAnsi="Times New Roman" w:cs="Times New Roman"/>
          <w:sz w:val="24"/>
          <w:szCs w:val="24"/>
          <w:lang w:eastAsia="pl-PL"/>
        </w:rPr>
        <w:t>ę</w:t>
      </w:r>
      <w:r w:rsidRPr="007F28C1">
        <w:rPr>
          <w:rFonts w:ascii="Times New Roman" w:eastAsia="Times New Roman" w:hAnsi="Times New Roman" w:cs="Times New Roman"/>
          <w:sz w:val="24"/>
          <w:szCs w:val="24"/>
          <w:lang w:eastAsia="pl-PL"/>
        </w:rPr>
        <w:t xml:space="preserve"> zespoloną, </w:t>
      </w:r>
      <w:r w:rsidR="00384517" w:rsidRPr="007F28C1">
        <w:rPr>
          <w:rFonts w:ascii="Times New Roman" w:eastAsia="Times New Roman" w:hAnsi="Times New Roman" w:cs="Times New Roman"/>
          <w:sz w:val="24"/>
          <w:szCs w:val="24"/>
          <w:lang w:eastAsia="pl-PL"/>
        </w:rPr>
        <w:t>a także dążąc do zapewnienia bezpieczeństwa ruchu czynnego zakładu górniczego</w:t>
      </w:r>
      <w:r w:rsidR="00546F0A" w:rsidRPr="007F28C1">
        <w:rPr>
          <w:rFonts w:ascii="Times New Roman" w:eastAsia="Times New Roman" w:hAnsi="Times New Roman" w:cs="Times New Roman"/>
          <w:sz w:val="24"/>
          <w:szCs w:val="24"/>
          <w:lang w:eastAsia="pl-PL"/>
        </w:rPr>
        <w:t>,</w:t>
      </w:r>
      <w:r w:rsidR="00384517" w:rsidRPr="007F28C1">
        <w:rPr>
          <w:rFonts w:ascii="Times New Roman" w:eastAsia="Times New Roman" w:hAnsi="Times New Roman" w:cs="Times New Roman"/>
          <w:sz w:val="24"/>
          <w:szCs w:val="24"/>
          <w:lang w:eastAsia="pl-PL"/>
        </w:rPr>
        <w:t xml:space="preserve"> </w:t>
      </w:r>
      <w:r w:rsidR="000E6B9D"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 xml:space="preserve">zmuszony do prowadzenia działalności wydobywczej </w:t>
      </w:r>
      <w:r w:rsidR="00546F0A" w:rsidRPr="007F28C1">
        <w:rPr>
          <w:rFonts w:ascii="Times New Roman" w:eastAsia="Times New Roman" w:hAnsi="Times New Roman" w:cs="Times New Roman"/>
          <w:sz w:val="24"/>
          <w:szCs w:val="24"/>
          <w:lang w:eastAsia="pl-PL"/>
        </w:rPr>
        <w:t>z wykorzystaniem</w:t>
      </w:r>
      <w:r w:rsidRPr="007F28C1">
        <w:rPr>
          <w:rFonts w:ascii="Times New Roman" w:eastAsia="Times New Roman" w:hAnsi="Times New Roman" w:cs="Times New Roman"/>
          <w:sz w:val="24"/>
          <w:szCs w:val="24"/>
          <w:lang w:eastAsia="pl-PL"/>
        </w:rPr>
        <w:t xml:space="preserve"> </w:t>
      </w:r>
      <w:r w:rsidR="00546F0A" w:rsidRPr="007F28C1">
        <w:rPr>
          <w:rFonts w:ascii="Times New Roman" w:eastAsia="Times New Roman" w:hAnsi="Times New Roman" w:cs="Times New Roman"/>
          <w:sz w:val="24"/>
          <w:szCs w:val="24"/>
          <w:lang w:eastAsia="pl-PL"/>
        </w:rPr>
        <w:t xml:space="preserve">podziemnej części </w:t>
      </w:r>
      <w:r w:rsidR="000D2272" w:rsidRPr="007F28C1">
        <w:rPr>
          <w:rFonts w:ascii="Times New Roman" w:eastAsia="Times New Roman" w:hAnsi="Times New Roman" w:cs="Times New Roman"/>
          <w:sz w:val="24"/>
          <w:szCs w:val="24"/>
          <w:lang w:eastAsia="pl-PL"/>
        </w:rPr>
        <w:t>likwidowanego zakładu górniczego</w:t>
      </w:r>
      <w:r w:rsidRPr="007F28C1">
        <w:rPr>
          <w:rFonts w:ascii="Times New Roman" w:eastAsia="Times New Roman" w:hAnsi="Times New Roman" w:cs="Times New Roman"/>
          <w:sz w:val="24"/>
          <w:szCs w:val="24"/>
          <w:lang w:eastAsia="pl-PL"/>
        </w:rPr>
        <w:t>.</w:t>
      </w:r>
    </w:p>
    <w:p w14:paraId="7056B2A2" w14:textId="2022C755" w:rsidR="00384517" w:rsidRPr="007F28C1" w:rsidRDefault="00C952C1"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Zgodnie z art. 12 ust</w:t>
      </w:r>
      <w:r w:rsidR="000D2272"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r w:rsidR="000D2272" w:rsidRPr="007F28C1">
        <w:rPr>
          <w:rFonts w:ascii="Times New Roman" w:eastAsia="Times New Roman" w:hAnsi="Times New Roman" w:cs="Times New Roman"/>
          <w:sz w:val="24"/>
          <w:szCs w:val="24"/>
          <w:lang w:eastAsia="pl-PL"/>
        </w:rPr>
        <w:t>1</w:t>
      </w:r>
      <w:r w:rsidRPr="007F28C1">
        <w:rPr>
          <w:rFonts w:ascii="Times New Roman" w:eastAsia="Times New Roman" w:hAnsi="Times New Roman" w:cs="Times New Roman"/>
          <w:sz w:val="24"/>
          <w:szCs w:val="24"/>
          <w:lang w:eastAsia="pl-PL"/>
        </w:rPr>
        <w:t xml:space="preserve"> </w:t>
      </w:r>
      <w:r w:rsidR="000D2272" w:rsidRPr="007F28C1">
        <w:rPr>
          <w:rFonts w:ascii="Times New Roman" w:eastAsia="Times New Roman" w:hAnsi="Times New Roman" w:cs="Times New Roman"/>
          <w:sz w:val="24"/>
          <w:szCs w:val="24"/>
          <w:lang w:eastAsia="pl-PL"/>
        </w:rPr>
        <w:t>P.</w:t>
      </w:r>
      <w:r w:rsidRPr="007F28C1">
        <w:rPr>
          <w:rFonts w:ascii="Times New Roman" w:eastAsia="Times New Roman" w:hAnsi="Times New Roman" w:cs="Times New Roman"/>
          <w:sz w:val="24"/>
          <w:szCs w:val="24"/>
          <w:lang w:eastAsia="pl-PL"/>
        </w:rPr>
        <w:t>g</w:t>
      </w:r>
      <w:r w:rsidR="000D2272" w:rsidRPr="007F28C1">
        <w:rPr>
          <w:rFonts w:ascii="Times New Roman" w:eastAsia="Times New Roman" w:hAnsi="Times New Roman" w:cs="Times New Roman"/>
          <w:sz w:val="24"/>
          <w:szCs w:val="24"/>
          <w:lang w:eastAsia="pl-PL"/>
        </w:rPr>
        <w:t>.g.</w:t>
      </w:r>
      <w:r w:rsidR="000E6B9D" w:rsidRPr="007F28C1">
        <w:rPr>
          <w:rFonts w:ascii="Times New Roman" w:eastAsia="Times New Roman" w:hAnsi="Times New Roman" w:cs="Times New Roman"/>
          <w:sz w:val="24"/>
          <w:szCs w:val="24"/>
          <w:lang w:eastAsia="pl-PL"/>
        </w:rPr>
        <w:t>,</w:t>
      </w:r>
      <w:r w:rsidR="000D2272" w:rsidRPr="007F28C1">
        <w:rPr>
          <w:rFonts w:ascii="Times New Roman" w:eastAsia="Times New Roman" w:hAnsi="Times New Roman" w:cs="Times New Roman"/>
          <w:sz w:val="24"/>
          <w:szCs w:val="24"/>
          <w:lang w:eastAsia="pl-PL"/>
        </w:rPr>
        <w:t xml:space="preserve"> w granicach</w:t>
      </w:r>
      <w:r w:rsidRPr="007F28C1">
        <w:rPr>
          <w:rFonts w:ascii="Times New Roman" w:eastAsia="Times New Roman" w:hAnsi="Times New Roman" w:cs="Times New Roman"/>
          <w:sz w:val="24"/>
          <w:szCs w:val="24"/>
          <w:lang w:eastAsia="pl-PL"/>
        </w:rPr>
        <w:t xml:space="preserve"> określonych przez ustawy</w:t>
      </w:r>
      <w:r w:rsidR="000E6B9D"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Skarb Państwa, z wyłączeniem innych osób, może korzystać z przedmiotu własności górniczej albo rozporządzać swoim prawem wyłącznie przez ustanowienie użytkowania górniczego. Art. 12 ust</w:t>
      </w:r>
      <w:r w:rsidR="000D2272"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2 </w:t>
      </w:r>
      <w:r w:rsidR="000D2272" w:rsidRPr="007F28C1">
        <w:rPr>
          <w:rFonts w:ascii="Times New Roman" w:eastAsia="Times New Roman" w:hAnsi="Times New Roman" w:cs="Times New Roman"/>
          <w:sz w:val="24"/>
          <w:szCs w:val="24"/>
          <w:lang w:eastAsia="pl-PL"/>
        </w:rPr>
        <w:t xml:space="preserve">P.g.g. </w:t>
      </w:r>
      <w:r w:rsidRPr="007F28C1">
        <w:rPr>
          <w:rFonts w:ascii="Times New Roman" w:eastAsia="Times New Roman" w:hAnsi="Times New Roman" w:cs="Times New Roman"/>
          <w:sz w:val="24"/>
          <w:szCs w:val="24"/>
          <w:lang w:eastAsia="pl-PL"/>
        </w:rPr>
        <w:t>wskazuje, ż</w:t>
      </w:r>
      <w:r w:rsidR="000D2272" w:rsidRPr="007F28C1">
        <w:rPr>
          <w:rFonts w:ascii="Times New Roman" w:eastAsia="Times New Roman" w:hAnsi="Times New Roman" w:cs="Times New Roman"/>
          <w:sz w:val="24"/>
          <w:szCs w:val="24"/>
          <w:lang w:eastAsia="pl-PL"/>
        </w:rPr>
        <w:t>e</w:t>
      </w:r>
      <w:r w:rsidRPr="007F28C1">
        <w:rPr>
          <w:rFonts w:ascii="Times New Roman" w:eastAsia="Times New Roman" w:hAnsi="Times New Roman" w:cs="Times New Roman"/>
          <w:sz w:val="24"/>
          <w:szCs w:val="24"/>
          <w:lang w:eastAsia="pl-PL"/>
        </w:rPr>
        <w:t xml:space="preserve"> uprawnienia Skarbu Państwa w zakresie wynikającym z własności górniczej w odniesieniu do działalności wymagającej koncesji wykonują właściwe organy koncesyjne (pkt 1) lub w przypadku działalności wskazanej w art. 2 ust. 1 </w:t>
      </w:r>
      <w:r w:rsidR="000E6B9D"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zarządy województw (pkt 2). Art. 2 ust. 1 pkt 1 </w:t>
      </w:r>
      <w:r w:rsidR="000D2272" w:rsidRPr="007F28C1">
        <w:rPr>
          <w:rFonts w:ascii="Times New Roman" w:eastAsia="Times New Roman" w:hAnsi="Times New Roman" w:cs="Times New Roman"/>
          <w:sz w:val="24"/>
          <w:szCs w:val="24"/>
          <w:lang w:eastAsia="pl-PL"/>
        </w:rPr>
        <w:t xml:space="preserve">ma zastosowanie do </w:t>
      </w:r>
      <w:r w:rsidRPr="007F28C1">
        <w:rPr>
          <w:rFonts w:ascii="Times New Roman" w:eastAsia="Times New Roman" w:hAnsi="Times New Roman" w:cs="Times New Roman"/>
          <w:sz w:val="24"/>
          <w:szCs w:val="24"/>
          <w:lang w:eastAsia="pl-PL"/>
        </w:rPr>
        <w:t>działalnoś</w:t>
      </w:r>
      <w:r w:rsidR="000D2272" w:rsidRPr="007F28C1">
        <w:rPr>
          <w:rFonts w:ascii="Times New Roman" w:eastAsia="Times New Roman" w:hAnsi="Times New Roman" w:cs="Times New Roman"/>
          <w:sz w:val="24"/>
          <w:szCs w:val="24"/>
          <w:lang w:eastAsia="pl-PL"/>
        </w:rPr>
        <w:t>ci</w:t>
      </w:r>
      <w:r w:rsidRPr="007F28C1">
        <w:rPr>
          <w:rFonts w:ascii="Times New Roman" w:eastAsia="Times New Roman" w:hAnsi="Times New Roman" w:cs="Times New Roman"/>
          <w:sz w:val="24"/>
          <w:szCs w:val="24"/>
          <w:lang w:eastAsia="pl-PL"/>
        </w:rPr>
        <w:t xml:space="preserve"> prowadzon</w:t>
      </w:r>
      <w:r w:rsidR="000D2272" w:rsidRPr="007F28C1">
        <w:rPr>
          <w:rFonts w:ascii="Times New Roman" w:eastAsia="Times New Roman" w:hAnsi="Times New Roman" w:cs="Times New Roman"/>
          <w:sz w:val="24"/>
          <w:szCs w:val="24"/>
          <w:lang w:eastAsia="pl-PL"/>
        </w:rPr>
        <w:t>ej</w:t>
      </w:r>
      <w:r w:rsidRPr="007F28C1">
        <w:rPr>
          <w:rFonts w:ascii="Times New Roman" w:eastAsia="Times New Roman" w:hAnsi="Times New Roman" w:cs="Times New Roman"/>
          <w:sz w:val="24"/>
          <w:szCs w:val="24"/>
          <w:lang w:eastAsia="pl-PL"/>
        </w:rPr>
        <w:t xml:space="preserve"> w celu budowy, rozbudowy oraz </w:t>
      </w:r>
      <w:r w:rsidRPr="007F28C1">
        <w:rPr>
          <w:rFonts w:ascii="Times New Roman" w:eastAsia="Times New Roman" w:hAnsi="Times New Roman" w:cs="Times New Roman"/>
          <w:sz w:val="24"/>
          <w:szCs w:val="24"/>
          <w:lang w:eastAsia="pl-PL"/>
        </w:rPr>
        <w:lastRenderedPageBreak/>
        <w:t>utrzymywania systemów odwadniania zlikwidowanych zakładów górniczych</w:t>
      </w:r>
      <w:r w:rsidR="000D2272"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W obecnej sytuacji użytkownicy górniczy przystępujący do prac likwidacyjnych poszczególnych ruchów kopalń zespolonych w ramach przyjętych terminów wygaszania działalności górniczej</w:t>
      </w:r>
      <w:r w:rsidR="000D2272"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nie zawsze mogą skorzystać z </w:t>
      </w:r>
      <w:r w:rsidR="000D2272" w:rsidRPr="007F28C1">
        <w:rPr>
          <w:rFonts w:ascii="Times New Roman" w:eastAsia="Times New Roman" w:hAnsi="Times New Roman" w:cs="Times New Roman"/>
          <w:sz w:val="24"/>
          <w:szCs w:val="24"/>
          <w:lang w:eastAsia="pl-PL"/>
        </w:rPr>
        <w:t xml:space="preserve">regulacji </w:t>
      </w:r>
      <w:r w:rsidRPr="007F28C1">
        <w:rPr>
          <w:rFonts w:ascii="Times New Roman" w:eastAsia="Times New Roman" w:hAnsi="Times New Roman" w:cs="Times New Roman"/>
          <w:sz w:val="24"/>
          <w:szCs w:val="24"/>
          <w:lang w:eastAsia="pl-PL"/>
        </w:rPr>
        <w:t>przewidziane</w:t>
      </w:r>
      <w:r w:rsidR="000D2272" w:rsidRPr="007F28C1">
        <w:rPr>
          <w:rFonts w:ascii="Times New Roman" w:eastAsia="Times New Roman" w:hAnsi="Times New Roman" w:cs="Times New Roman"/>
          <w:sz w:val="24"/>
          <w:szCs w:val="24"/>
          <w:lang w:eastAsia="pl-PL"/>
        </w:rPr>
        <w:t>j</w:t>
      </w:r>
      <w:r w:rsidRPr="007F28C1">
        <w:rPr>
          <w:rFonts w:ascii="Times New Roman" w:eastAsia="Times New Roman" w:hAnsi="Times New Roman" w:cs="Times New Roman"/>
          <w:sz w:val="24"/>
          <w:szCs w:val="24"/>
          <w:lang w:eastAsia="pl-PL"/>
        </w:rPr>
        <w:t xml:space="preserve"> w art. 2 ust. 1 pkt 1 P</w:t>
      </w:r>
      <w:r w:rsidR="00384517" w:rsidRPr="007F28C1">
        <w:rPr>
          <w:rFonts w:ascii="Times New Roman" w:eastAsia="Times New Roman" w:hAnsi="Times New Roman" w:cs="Times New Roman"/>
          <w:sz w:val="24"/>
          <w:szCs w:val="24"/>
          <w:lang w:eastAsia="pl-PL"/>
        </w:rPr>
        <w:t>.g</w:t>
      </w:r>
      <w:r w:rsidRPr="007F28C1">
        <w:rPr>
          <w:rFonts w:ascii="Times New Roman" w:eastAsia="Times New Roman" w:hAnsi="Times New Roman" w:cs="Times New Roman"/>
          <w:sz w:val="24"/>
          <w:szCs w:val="24"/>
          <w:lang w:eastAsia="pl-PL"/>
        </w:rPr>
        <w:t>.</w:t>
      </w:r>
      <w:r w:rsidR="00384517" w:rsidRPr="007F28C1">
        <w:rPr>
          <w:rFonts w:ascii="Times New Roman" w:eastAsia="Times New Roman" w:hAnsi="Times New Roman" w:cs="Times New Roman"/>
          <w:sz w:val="24"/>
          <w:szCs w:val="24"/>
          <w:lang w:eastAsia="pl-PL"/>
        </w:rPr>
        <w:t>g, dotyczące</w:t>
      </w:r>
      <w:r w:rsidR="000E6B9D" w:rsidRPr="007F28C1">
        <w:rPr>
          <w:rFonts w:ascii="Times New Roman" w:eastAsia="Times New Roman" w:hAnsi="Times New Roman" w:cs="Times New Roman"/>
          <w:sz w:val="24"/>
          <w:szCs w:val="24"/>
          <w:lang w:eastAsia="pl-PL"/>
        </w:rPr>
        <w:t>j</w:t>
      </w:r>
      <w:r w:rsidR="00384517" w:rsidRPr="007F28C1">
        <w:rPr>
          <w:rFonts w:ascii="Times New Roman" w:eastAsia="Times New Roman" w:hAnsi="Times New Roman" w:cs="Times New Roman"/>
          <w:sz w:val="24"/>
          <w:szCs w:val="24"/>
          <w:lang w:eastAsia="pl-PL"/>
        </w:rPr>
        <w:t xml:space="preserve"> </w:t>
      </w:r>
      <w:r w:rsidR="000D2272" w:rsidRPr="007F28C1">
        <w:rPr>
          <w:rFonts w:ascii="Times New Roman" w:eastAsia="Times New Roman" w:hAnsi="Times New Roman" w:cs="Times New Roman"/>
          <w:sz w:val="24"/>
          <w:szCs w:val="24"/>
          <w:lang w:eastAsia="pl-PL"/>
        </w:rPr>
        <w:t xml:space="preserve">wyłącznie </w:t>
      </w:r>
      <w:r w:rsidR="00384517" w:rsidRPr="007F28C1">
        <w:rPr>
          <w:rFonts w:ascii="Times New Roman" w:hAnsi="Times New Roman" w:cs="Times New Roman"/>
          <w:sz w:val="24"/>
          <w:szCs w:val="24"/>
        </w:rPr>
        <w:t>budowy, rozbudowy oraz utrzymywania systemów odwadniania zlikwidowanych zakładów górniczych</w:t>
      </w:r>
      <w:r w:rsidR="00384517"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Stąd też potrzeba wprowadzenia </w:t>
      </w:r>
      <w:r w:rsidR="00384517" w:rsidRPr="007F28C1">
        <w:rPr>
          <w:rFonts w:ascii="Times New Roman" w:eastAsia="Times New Roman" w:hAnsi="Times New Roman" w:cs="Times New Roman"/>
          <w:sz w:val="24"/>
          <w:szCs w:val="24"/>
          <w:lang w:eastAsia="pl-PL"/>
        </w:rPr>
        <w:t xml:space="preserve">w art. 2 w ust. 1 P.g.g. pkt </w:t>
      </w:r>
      <w:r w:rsidR="00546F0A" w:rsidRPr="007F28C1">
        <w:rPr>
          <w:rFonts w:ascii="Times New Roman" w:eastAsia="Times New Roman" w:hAnsi="Times New Roman" w:cs="Times New Roman"/>
          <w:sz w:val="24"/>
          <w:szCs w:val="24"/>
          <w:lang w:eastAsia="pl-PL"/>
        </w:rPr>
        <w:t>1</w:t>
      </w:r>
      <w:r w:rsidR="00384517" w:rsidRPr="007F28C1">
        <w:rPr>
          <w:rFonts w:ascii="Times New Roman" w:eastAsia="Times New Roman" w:hAnsi="Times New Roman" w:cs="Times New Roman"/>
          <w:sz w:val="24"/>
          <w:szCs w:val="24"/>
          <w:lang w:eastAsia="pl-PL"/>
        </w:rPr>
        <w:t xml:space="preserve">a, </w:t>
      </w:r>
      <w:r w:rsidR="00546F0A" w:rsidRPr="007F28C1">
        <w:rPr>
          <w:rFonts w:ascii="Times New Roman" w:eastAsia="Times New Roman" w:hAnsi="Times New Roman" w:cs="Times New Roman"/>
          <w:sz w:val="24"/>
          <w:szCs w:val="24"/>
          <w:lang w:eastAsia="pl-PL"/>
        </w:rPr>
        <w:t>przewidującego</w:t>
      </w:r>
      <w:r w:rsidR="00546F0A" w:rsidRPr="007F28C1">
        <w:rPr>
          <w:rFonts w:ascii="Times New Roman" w:hAnsi="Times New Roman" w:cs="Times New Roman"/>
          <w:sz w:val="24"/>
          <w:szCs w:val="24"/>
        </w:rPr>
        <w:t xml:space="preserve"> możliwość</w:t>
      </w:r>
      <w:r w:rsidR="005B7604" w:rsidRPr="007F28C1">
        <w:rPr>
          <w:rFonts w:ascii="Times New Roman" w:hAnsi="Times New Roman" w:cs="Times New Roman"/>
          <w:sz w:val="24"/>
          <w:szCs w:val="24"/>
        </w:rPr>
        <w:t xml:space="preserve"> </w:t>
      </w:r>
      <w:r w:rsidR="00546F0A" w:rsidRPr="007F28C1">
        <w:rPr>
          <w:rFonts w:ascii="Times New Roman" w:hAnsi="Times New Roman" w:cs="Times New Roman"/>
          <w:sz w:val="24"/>
          <w:szCs w:val="24"/>
        </w:rPr>
        <w:t>utrzymywania i niezwiązanego z wydobywaniem kopaliny ze złoża wykorzystywania podziemnej części likwidowanych zakładów górniczych, niezbędnej do prowadzenia ruchu innych zakładów górniczych</w:t>
      </w:r>
      <w:r w:rsidR="00B02278">
        <w:rPr>
          <w:rFonts w:ascii="Times New Roman" w:hAnsi="Times New Roman" w:cs="Times New Roman"/>
          <w:sz w:val="24"/>
          <w:szCs w:val="24"/>
        </w:rPr>
        <w:t>,</w:t>
      </w:r>
      <w:r w:rsidR="000D2272" w:rsidRPr="007F28C1">
        <w:rPr>
          <w:rFonts w:ascii="Times New Roman" w:hAnsi="Times New Roman" w:cs="Times New Roman"/>
          <w:sz w:val="24"/>
          <w:szCs w:val="24"/>
        </w:rPr>
        <w:t xml:space="preserve"> i dającego przedsiębiorcy górniczemu możliwość zawarcia umowy użytkowania górniczego, o której mowa w art. 12 ust. 2 P.g.g.</w:t>
      </w:r>
      <w:r w:rsidR="009E73E6" w:rsidRPr="007F28C1">
        <w:rPr>
          <w:rFonts w:ascii="Times New Roman" w:hAnsi="Times New Roman" w:cs="Times New Roman"/>
          <w:sz w:val="24"/>
          <w:szCs w:val="24"/>
        </w:rPr>
        <w:t>, analogicznie jak ma to miejsce w</w:t>
      </w:r>
      <w:r w:rsidR="00705A7E" w:rsidRPr="007F28C1">
        <w:rPr>
          <w:rFonts w:ascii="Times New Roman" w:hAnsi="Times New Roman" w:cs="Times New Roman"/>
          <w:sz w:val="24"/>
          <w:szCs w:val="24"/>
        </w:rPr>
        <w:t> </w:t>
      </w:r>
      <w:r w:rsidR="009E73E6" w:rsidRPr="007F28C1">
        <w:rPr>
          <w:rFonts w:ascii="Times New Roman" w:hAnsi="Times New Roman" w:cs="Times New Roman"/>
          <w:sz w:val="24"/>
          <w:szCs w:val="24"/>
        </w:rPr>
        <w:t>przypadku działalności, o której mowa w art. 2 ust. 1 pkt 1 P</w:t>
      </w:r>
      <w:r w:rsidR="00C678A7" w:rsidRPr="007F28C1">
        <w:rPr>
          <w:rFonts w:ascii="Times New Roman" w:hAnsi="Times New Roman" w:cs="Times New Roman"/>
          <w:sz w:val="24"/>
          <w:szCs w:val="24"/>
        </w:rPr>
        <w:t>.</w:t>
      </w:r>
      <w:r w:rsidR="009E73E6" w:rsidRPr="007F28C1">
        <w:rPr>
          <w:rFonts w:ascii="Times New Roman" w:hAnsi="Times New Roman" w:cs="Times New Roman"/>
          <w:sz w:val="24"/>
          <w:szCs w:val="24"/>
        </w:rPr>
        <w:t>g.g.</w:t>
      </w:r>
      <w:r w:rsidR="00546F0A" w:rsidRPr="007F28C1">
        <w:rPr>
          <w:rFonts w:ascii="Times New Roman" w:eastAsia="Times New Roman" w:hAnsi="Times New Roman" w:cs="Times New Roman"/>
          <w:sz w:val="24"/>
          <w:szCs w:val="24"/>
          <w:lang w:eastAsia="pl-PL"/>
        </w:rPr>
        <w:t xml:space="preserve"> </w:t>
      </w:r>
    </w:p>
    <w:p w14:paraId="2B955DEE" w14:textId="50BC1906" w:rsidR="00C952C1" w:rsidRPr="007F28C1" w:rsidRDefault="00C952C1"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Proponowana </w:t>
      </w:r>
      <w:r w:rsidR="009E73E6" w:rsidRPr="007F28C1">
        <w:rPr>
          <w:rFonts w:ascii="Times New Roman" w:eastAsia="Times New Roman" w:hAnsi="Times New Roman" w:cs="Times New Roman"/>
          <w:sz w:val="24"/>
          <w:szCs w:val="24"/>
          <w:lang w:eastAsia="pl-PL"/>
        </w:rPr>
        <w:t>regulac</w:t>
      </w:r>
      <w:r w:rsidRPr="007F28C1">
        <w:rPr>
          <w:rFonts w:ascii="Times New Roman" w:eastAsia="Times New Roman" w:hAnsi="Times New Roman" w:cs="Times New Roman"/>
          <w:sz w:val="24"/>
          <w:szCs w:val="24"/>
          <w:lang w:eastAsia="pl-PL"/>
        </w:rPr>
        <w:t>ja:</w:t>
      </w:r>
    </w:p>
    <w:p w14:paraId="0FCA2868" w14:textId="118923BE" w:rsidR="00546F0A" w:rsidRPr="007F28C1" w:rsidRDefault="00D01EF4" w:rsidP="007F28C1">
      <w:pPr>
        <w:pStyle w:val="Akapitzlist"/>
        <w:numPr>
          <w:ilvl w:val="0"/>
          <w:numId w:val="38"/>
        </w:numPr>
        <w:spacing w:before="120" w:after="0" w:line="360" w:lineRule="auto"/>
        <w:ind w:left="397" w:hanging="39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umożliwi </w:t>
      </w:r>
      <w:r w:rsidR="00546F0A" w:rsidRPr="007F28C1">
        <w:rPr>
          <w:rFonts w:ascii="Times New Roman" w:eastAsia="Times New Roman" w:hAnsi="Times New Roman" w:cs="Times New Roman"/>
          <w:sz w:val="24"/>
          <w:szCs w:val="24"/>
          <w:lang w:eastAsia="pl-PL"/>
        </w:rPr>
        <w:t xml:space="preserve">zabezpieczenie i dalsze pozawydobywcze wykorzystanie infrastruktury podziemnej niezbędnej do funkcjonowania pozostałych ruchów przewidzianych do późniejszej likwidacji, co przełoży się również na zwiększenie bezpieczeństwa ruchu zakładu górniczego; </w:t>
      </w:r>
    </w:p>
    <w:p w14:paraId="1C41450F" w14:textId="0D055C52" w:rsidR="00C952C1" w:rsidRPr="007F28C1" w:rsidRDefault="00D01EF4" w:rsidP="007F28C1">
      <w:pPr>
        <w:pStyle w:val="Akapitzlist"/>
        <w:numPr>
          <w:ilvl w:val="0"/>
          <w:numId w:val="38"/>
        </w:numPr>
        <w:spacing w:before="120" w:after="0" w:line="360" w:lineRule="auto"/>
        <w:ind w:left="397" w:hanging="39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umożliwi </w:t>
      </w:r>
      <w:r w:rsidR="00C952C1" w:rsidRPr="007F28C1">
        <w:rPr>
          <w:rFonts w:ascii="Times New Roman" w:eastAsia="Times New Roman" w:hAnsi="Times New Roman" w:cs="Times New Roman"/>
          <w:sz w:val="24"/>
          <w:szCs w:val="24"/>
          <w:lang w:eastAsia="pl-PL"/>
        </w:rPr>
        <w:t>bardziej racjonalną gospodarkę zasobami złoża przewidzianego do wygaszenia wydobycia;</w:t>
      </w:r>
    </w:p>
    <w:p w14:paraId="0F0322E0" w14:textId="1E448012" w:rsidR="00C952C1" w:rsidRPr="007F28C1" w:rsidRDefault="00C952C1" w:rsidP="007F28C1">
      <w:pPr>
        <w:pStyle w:val="Akapitzlist"/>
        <w:numPr>
          <w:ilvl w:val="0"/>
          <w:numId w:val="38"/>
        </w:numPr>
        <w:spacing w:before="120" w:after="0" w:line="360" w:lineRule="auto"/>
        <w:ind w:left="397" w:hanging="397"/>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zwiększy ekonomikę prowadzenia wydobycia przez umożliwienie maksymalnego wykorzystania ustalonego czasu żywotności ruchu zakładu górniczego;</w:t>
      </w:r>
    </w:p>
    <w:p w14:paraId="4F846FCD" w14:textId="44F1FFCA" w:rsidR="00C952C1" w:rsidRPr="007F28C1" w:rsidRDefault="00C952C1" w:rsidP="007F28C1">
      <w:pPr>
        <w:pStyle w:val="Akapitzlist"/>
        <w:numPr>
          <w:ilvl w:val="0"/>
          <w:numId w:val="38"/>
        </w:numPr>
        <w:spacing w:before="120" w:after="0" w:line="360" w:lineRule="auto"/>
        <w:ind w:left="397" w:hanging="397"/>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umożliwi prowadzenie prac likwidacyjnych po wygaszeniu koncesji w ramach własnych działań likwidacyjnych przedsiębiorców górniczych, z zastrzeżeniem zaprzestania wydobycia w likwidowanym ruchu zespolonej kopalni.</w:t>
      </w:r>
      <w:r w:rsidR="005B7604" w:rsidRPr="007F28C1">
        <w:rPr>
          <w:rFonts w:ascii="Times New Roman" w:eastAsia="Times New Roman" w:hAnsi="Times New Roman" w:cs="Times New Roman"/>
          <w:sz w:val="24"/>
          <w:szCs w:val="24"/>
          <w:lang w:eastAsia="pl-PL"/>
        </w:rPr>
        <w:t xml:space="preserve"> </w:t>
      </w:r>
    </w:p>
    <w:p w14:paraId="0FFDFC53" w14:textId="47FE1AE6" w:rsidR="001B56AE" w:rsidRPr="007F28C1" w:rsidRDefault="001B56AE" w:rsidP="007F28C1">
      <w:pPr>
        <w:pStyle w:val="ZUSTzmustartykuempunktem"/>
        <w:spacing w:before="120"/>
        <w:ind w:left="0" w:firstLine="0"/>
        <w:rPr>
          <w:rFonts w:ascii="Times New Roman" w:hAnsi="Times New Roman" w:cs="Times New Roman"/>
          <w:szCs w:val="24"/>
        </w:rPr>
      </w:pPr>
      <w:r w:rsidRPr="007F28C1">
        <w:rPr>
          <w:rFonts w:ascii="Times New Roman" w:hAnsi="Times New Roman" w:cs="Times New Roman"/>
          <w:szCs w:val="24"/>
        </w:rPr>
        <w:t xml:space="preserve">Dodany przepis art. 21 ust. 4b P.g.g. usuwa wątpliwości interpretacyjne, </w:t>
      </w:r>
      <w:r w:rsidR="00CD0C09" w:rsidRPr="007F28C1">
        <w:rPr>
          <w:rFonts w:ascii="Times New Roman" w:hAnsi="Times New Roman" w:cs="Times New Roman"/>
          <w:szCs w:val="24"/>
        </w:rPr>
        <w:t>wyraźnie wskazując</w:t>
      </w:r>
      <w:r w:rsidRPr="007F28C1">
        <w:rPr>
          <w:rFonts w:ascii="Times New Roman" w:hAnsi="Times New Roman" w:cs="Times New Roman"/>
          <w:szCs w:val="24"/>
        </w:rPr>
        <w:t>, że koncesja na podziemne bezzbiornikowe magazynowanie substancji albo koncesja na podziemne składowanie odpadów musi być zawsze poprzedzona koncesją na wydobywanie kopalin ze złóż w przypadku, gdy udostępnienie przestrzeni koniecznej do podziemnego bezzbiornikowego magazynowania substancji albo podziemnego składowania odpadów wymaga wydobycia kopaliny.</w:t>
      </w:r>
      <w:r w:rsidR="00CD0C09" w:rsidRPr="007F28C1">
        <w:rPr>
          <w:rFonts w:ascii="Times New Roman" w:hAnsi="Times New Roman" w:cs="Times New Roman"/>
          <w:szCs w:val="24"/>
        </w:rPr>
        <w:t xml:space="preserve"> Mając na uwadze fakt, że w obrocie prawnym funkcjonują koncesje na podziemne bezzbiornikowe magazynowanie substancji oraz koncesje na podziemne składowanie odpadów, udzielone przed dniem wejścia w życie niniejszej ustawy, zaprojektowano przepisy dostosowujące, regulujące zasady objęcia tych koncesji nowymi </w:t>
      </w:r>
      <w:r w:rsidR="00CD0C09" w:rsidRPr="007F28C1">
        <w:rPr>
          <w:rFonts w:ascii="Times New Roman" w:hAnsi="Times New Roman" w:cs="Times New Roman"/>
          <w:szCs w:val="24"/>
        </w:rPr>
        <w:lastRenderedPageBreak/>
        <w:t xml:space="preserve">przepisami. Ponieważ działalność w zakresie podziemnego bezzbiornikowego magazynowania substancji oraz podziemnego składowania odpadów stanowi złożony proces inwestycyjny, w ocenie projektodawcy konieczne jest wyznaczenie </w:t>
      </w:r>
      <w:r w:rsidR="00AA0261" w:rsidRPr="007F28C1">
        <w:rPr>
          <w:rFonts w:ascii="Times New Roman" w:hAnsi="Times New Roman" w:cs="Times New Roman"/>
          <w:szCs w:val="24"/>
        </w:rPr>
        <w:t xml:space="preserve">stosunkowo długiego, </w:t>
      </w:r>
      <w:r w:rsidR="00CD0C09" w:rsidRPr="007F28C1">
        <w:rPr>
          <w:rFonts w:ascii="Times New Roman" w:hAnsi="Times New Roman" w:cs="Times New Roman"/>
          <w:szCs w:val="24"/>
        </w:rPr>
        <w:t>24</w:t>
      </w:r>
      <w:r w:rsidR="00AA0261" w:rsidRPr="007F28C1">
        <w:rPr>
          <w:rFonts w:ascii="Times New Roman" w:hAnsi="Times New Roman" w:cs="Times New Roman"/>
          <w:szCs w:val="24"/>
        </w:rPr>
        <w:t>-</w:t>
      </w:r>
      <w:r w:rsidR="00CD0C09" w:rsidRPr="007F28C1">
        <w:rPr>
          <w:rFonts w:ascii="Times New Roman" w:hAnsi="Times New Roman" w:cs="Times New Roman"/>
          <w:szCs w:val="24"/>
        </w:rPr>
        <w:t xml:space="preserve">miesięcznego terminu </w:t>
      </w:r>
      <w:r w:rsidR="00AA0261" w:rsidRPr="007F28C1">
        <w:rPr>
          <w:rFonts w:ascii="Times New Roman" w:hAnsi="Times New Roman" w:cs="Times New Roman"/>
          <w:szCs w:val="24"/>
        </w:rPr>
        <w:t xml:space="preserve">dostosowania </w:t>
      </w:r>
      <w:r w:rsidR="00CD0C09" w:rsidRPr="007F28C1">
        <w:rPr>
          <w:rFonts w:ascii="Times New Roman" w:hAnsi="Times New Roman" w:cs="Times New Roman"/>
          <w:szCs w:val="24"/>
        </w:rPr>
        <w:t>dotychczasow</w:t>
      </w:r>
      <w:r w:rsidR="00AA0261" w:rsidRPr="007F28C1">
        <w:rPr>
          <w:rFonts w:ascii="Times New Roman" w:hAnsi="Times New Roman" w:cs="Times New Roman"/>
          <w:szCs w:val="24"/>
        </w:rPr>
        <w:t>ej</w:t>
      </w:r>
      <w:r w:rsidR="00CD0C09" w:rsidRPr="007F28C1">
        <w:rPr>
          <w:rFonts w:ascii="Times New Roman" w:hAnsi="Times New Roman" w:cs="Times New Roman"/>
          <w:szCs w:val="24"/>
        </w:rPr>
        <w:t xml:space="preserve"> działalnoś</w:t>
      </w:r>
      <w:r w:rsidR="00AA0261" w:rsidRPr="007F28C1">
        <w:rPr>
          <w:rFonts w:ascii="Times New Roman" w:hAnsi="Times New Roman" w:cs="Times New Roman"/>
          <w:szCs w:val="24"/>
        </w:rPr>
        <w:t>ci</w:t>
      </w:r>
      <w:r w:rsidR="00CD0C09" w:rsidRPr="007F28C1">
        <w:rPr>
          <w:rFonts w:ascii="Times New Roman" w:hAnsi="Times New Roman" w:cs="Times New Roman"/>
          <w:szCs w:val="24"/>
        </w:rPr>
        <w:t xml:space="preserve"> do nowych regulacji prawnych.</w:t>
      </w:r>
      <w:r w:rsidR="00F26EF2" w:rsidRPr="007F28C1">
        <w:rPr>
          <w:rFonts w:ascii="Times New Roman" w:hAnsi="Times New Roman" w:cs="Times New Roman"/>
          <w:szCs w:val="24"/>
        </w:rPr>
        <w:t xml:space="preserve"> Ponadto</w:t>
      </w:r>
      <w:r w:rsidR="00614CA1" w:rsidRPr="007F28C1">
        <w:rPr>
          <w:rFonts w:ascii="Times New Roman" w:hAnsi="Times New Roman" w:cs="Times New Roman"/>
          <w:szCs w:val="24"/>
        </w:rPr>
        <w:t xml:space="preserve"> zgodnie z projektowanymi </w:t>
      </w:r>
      <w:r w:rsidR="00AA0261" w:rsidRPr="007F28C1">
        <w:rPr>
          <w:rFonts w:ascii="Times New Roman" w:hAnsi="Times New Roman" w:cs="Times New Roman"/>
          <w:szCs w:val="24"/>
        </w:rPr>
        <w:t>przepisami</w:t>
      </w:r>
      <w:r w:rsidR="00F26EF2" w:rsidRPr="007F28C1">
        <w:rPr>
          <w:rFonts w:ascii="Times New Roman" w:hAnsi="Times New Roman" w:cs="Times New Roman"/>
          <w:szCs w:val="24"/>
        </w:rPr>
        <w:t xml:space="preserve"> organ koncesyjny z urzędu będzie zobligowany do dostosowania koncesji na podziemne bezzbiornikowe magazynowanie substancji oraz koncesj</w:t>
      </w:r>
      <w:r w:rsidR="00614CA1" w:rsidRPr="007F28C1">
        <w:rPr>
          <w:rFonts w:ascii="Times New Roman" w:hAnsi="Times New Roman" w:cs="Times New Roman"/>
          <w:szCs w:val="24"/>
        </w:rPr>
        <w:t>i</w:t>
      </w:r>
      <w:r w:rsidR="00F26EF2" w:rsidRPr="007F28C1">
        <w:rPr>
          <w:rFonts w:ascii="Times New Roman" w:hAnsi="Times New Roman" w:cs="Times New Roman"/>
          <w:szCs w:val="24"/>
        </w:rPr>
        <w:t xml:space="preserve"> na podziemne składowanie odpadów w przypadku</w:t>
      </w:r>
      <w:r w:rsidR="00614CA1" w:rsidRPr="007F28C1">
        <w:rPr>
          <w:rFonts w:ascii="Times New Roman" w:hAnsi="Times New Roman" w:cs="Times New Roman"/>
          <w:szCs w:val="24"/>
        </w:rPr>
        <w:t>,</w:t>
      </w:r>
      <w:r w:rsidR="00F26EF2" w:rsidRPr="007F28C1">
        <w:rPr>
          <w:rFonts w:ascii="Times New Roman" w:hAnsi="Times New Roman" w:cs="Times New Roman"/>
          <w:szCs w:val="24"/>
        </w:rPr>
        <w:t xml:space="preserve"> gdy przedsiębiorca </w:t>
      </w:r>
      <w:r w:rsidR="00614CA1" w:rsidRPr="007F28C1">
        <w:rPr>
          <w:rFonts w:ascii="Times New Roman" w:hAnsi="Times New Roman" w:cs="Times New Roman"/>
          <w:szCs w:val="24"/>
        </w:rPr>
        <w:t xml:space="preserve">z własnej inicjatywy </w:t>
      </w:r>
      <w:r w:rsidR="00F26EF2" w:rsidRPr="007F28C1">
        <w:rPr>
          <w:rFonts w:ascii="Times New Roman" w:hAnsi="Times New Roman" w:cs="Times New Roman"/>
          <w:szCs w:val="24"/>
        </w:rPr>
        <w:t>nie dostosuje</w:t>
      </w:r>
      <w:r w:rsidR="00CD0C09" w:rsidRPr="007F28C1">
        <w:rPr>
          <w:rFonts w:ascii="Times New Roman" w:hAnsi="Times New Roman" w:cs="Times New Roman"/>
          <w:szCs w:val="24"/>
        </w:rPr>
        <w:t xml:space="preserve"> </w:t>
      </w:r>
      <w:r w:rsidR="00F26EF2" w:rsidRPr="007F28C1">
        <w:rPr>
          <w:rFonts w:ascii="Times New Roman" w:hAnsi="Times New Roman" w:cs="Times New Roman"/>
          <w:szCs w:val="24"/>
        </w:rPr>
        <w:t xml:space="preserve">prowadzonej </w:t>
      </w:r>
      <w:r w:rsidR="00CD0C09" w:rsidRPr="007F28C1">
        <w:rPr>
          <w:rFonts w:ascii="Times New Roman" w:hAnsi="Times New Roman" w:cs="Times New Roman"/>
          <w:szCs w:val="24"/>
        </w:rPr>
        <w:t>działalności do nowych przepisów</w:t>
      </w:r>
      <w:r w:rsidR="00F26EF2" w:rsidRPr="007F28C1">
        <w:rPr>
          <w:rFonts w:ascii="Times New Roman" w:hAnsi="Times New Roman" w:cs="Times New Roman"/>
          <w:szCs w:val="24"/>
        </w:rPr>
        <w:t xml:space="preserve"> w wymaganym terminie.</w:t>
      </w:r>
    </w:p>
    <w:p w14:paraId="1DC5A525" w14:textId="5B18C9A1" w:rsidR="001B56AE" w:rsidRPr="007F28C1" w:rsidRDefault="001B56AE" w:rsidP="007F28C1">
      <w:pPr>
        <w:pStyle w:val="ZUSTzmustartykuempunktem"/>
        <w:spacing w:before="120"/>
        <w:ind w:left="0" w:firstLine="0"/>
        <w:rPr>
          <w:rFonts w:ascii="Times New Roman" w:eastAsia="Times New Roman" w:hAnsi="Times New Roman" w:cs="Times New Roman"/>
          <w:szCs w:val="24"/>
        </w:rPr>
      </w:pPr>
      <w:r w:rsidRPr="007F28C1">
        <w:rPr>
          <w:rFonts w:ascii="Times New Roman" w:eastAsia="Times New Roman" w:hAnsi="Times New Roman" w:cs="Times New Roman"/>
          <w:szCs w:val="24"/>
          <w:lang w:val="x-none"/>
        </w:rPr>
        <w:t>Zgodnie z art. 24 ust.</w:t>
      </w:r>
      <w:r w:rsidR="00A87B50">
        <w:rPr>
          <w:rFonts w:ascii="Times New Roman" w:eastAsia="Times New Roman" w:hAnsi="Times New Roman" w:cs="Times New Roman"/>
          <w:szCs w:val="24"/>
        </w:rPr>
        <w:t xml:space="preserve"> </w:t>
      </w:r>
      <w:r w:rsidRPr="007F28C1">
        <w:rPr>
          <w:rFonts w:ascii="Times New Roman" w:eastAsia="Times New Roman" w:hAnsi="Times New Roman" w:cs="Times New Roman"/>
          <w:szCs w:val="24"/>
          <w:lang w:val="x-none"/>
        </w:rPr>
        <w:t xml:space="preserve">1 pkt 4 </w:t>
      </w:r>
      <w:r w:rsidRPr="007F28C1">
        <w:rPr>
          <w:rFonts w:ascii="Times New Roman" w:eastAsia="Times New Roman" w:hAnsi="Times New Roman" w:cs="Times New Roman"/>
          <w:szCs w:val="24"/>
        </w:rPr>
        <w:t>P.g.g.</w:t>
      </w:r>
      <w:r w:rsidRPr="007F28C1">
        <w:rPr>
          <w:rFonts w:ascii="Times New Roman" w:eastAsia="Times New Roman" w:hAnsi="Times New Roman" w:cs="Times New Roman"/>
          <w:szCs w:val="24"/>
          <w:lang w:val="x-none"/>
        </w:rPr>
        <w:t xml:space="preserve"> we wniosku o udzielenie koncesji określa się między innymi środki, jakimi wnioskodawca dysponuje w celu zapewnienia prawidłowego wykonywania zamierzonej działalności, które pozwolą na weryfikację wiarygodności wnioskodawcy jako podmiotu będącego w stanie zapewnić prawidłowe wykonanie zamierzonej działalności. Środkami, o których mowa</w:t>
      </w:r>
      <w:r w:rsidRPr="007F28C1">
        <w:rPr>
          <w:rFonts w:ascii="Times New Roman" w:eastAsia="Times New Roman" w:hAnsi="Times New Roman" w:cs="Times New Roman"/>
          <w:szCs w:val="24"/>
        </w:rPr>
        <w:t xml:space="preserve"> w </w:t>
      </w:r>
      <w:r w:rsidRPr="007F28C1">
        <w:rPr>
          <w:rFonts w:ascii="Times New Roman" w:eastAsia="Times New Roman" w:hAnsi="Times New Roman" w:cs="Times New Roman"/>
          <w:szCs w:val="24"/>
          <w:lang w:val="x-none"/>
        </w:rPr>
        <w:t>art. 24 ust.</w:t>
      </w:r>
      <w:r w:rsidR="00A87B50">
        <w:rPr>
          <w:rFonts w:ascii="Times New Roman" w:eastAsia="Times New Roman" w:hAnsi="Times New Roman" w:cs="Times New Roman"/>
          <w:szCs w:val="24"/>
        </w:rPr>
        <w:t xml:space="preserve"> </w:t>
      </w:r>
      <w:r w:rsidRPr="007F28C1">
        <w:rPr>
          <w:rFonts w:ascii="Times New Roman" w:eastAsia="Times New Roman" w:hAnsi="Times New Roman" w:cs="Times New Roman"/>
          <w:szCs w:val="24"/>
          <w:lang w:val="x-none"/>
        </w:rPr>
        <w:t xml:space="preserve">1 pkt 4 </w:t>
      </w:r>
      <w:r w:rsidRPr="007F28C1">
        <w:rPr>
          <w:rFonts w:ascii="Times New Roman" w:eastAsia="Times New Roman" w:hAnsi="Times New Roman" w:cs="Times New Roman"/>
          <w:szCs w:val="24"/>
        </w:rPr>
        <w:t>P.g.g.</w:t>
      </w:r>
      <w:r w:rsidRPr="007F28C1">
        <w:rPr>
          <w:rFonts w:ascii="Times New Roman" w:eastAsia="Times New Roman" w:hAnsi="Times New Roman" w:cs="Times New Roman"/>
          <w:szCs w:val="24"/>
          <w:lang w:val="x-none"/>
        </w:rPr>
        <w:t>, mogą być środki techniczne i finansowe (kapitałowe).</w:t>
      </w:r>
      <w:r w:rsidRPr="007F28C1">
        <w:rPr>
          <w:rFonts w:ascii="Times New Roman" w:eastAsia="Times New Roman" w:hAnsi="Times New Roman" w:cs="Times New Roman"/>
          <w:szCs w:val="24"/>
        </w:rPr>
        <w:t xml:space="preserve"> Mając na celu usunięcie wątpliwości interpretacyjnych, uznano za uzasadnione doprecyzowanie wymogu wniosku określonego w</w:t>
      </w:r>
      <w:r w:rsidRPr="007F28C1">
        <w:rPr>
          <w:rFonts w:ascii="Times New Roman" w:eastAsia="Times New Roman" w:hAnsi="Times New Roman" w:cs="Times New Roman"/>
          <w:bCs/>
          <w:szCs w:val="24"/>
        </w:rPr>
        <w:t xml:space="preserve"> </w:t>
      </w:r>
      <w:r w:rsidRPr="007F28C1">
        <w:rPr>
          <w:rFonts w:ascii="Times New Roman" w:eastAsia="Times New Roman" w:hAnsi="Times New Roman" w:cs="Times New Roman"/>
          <w:szCs w:val="24"/>
        </w:rPr>
        <w:t>art. 24 ust. 1 pkt 4 P.g.g.</w:t>
      </w:r>
      <w:r w:rsidRPr="007F28C1">
        <w:rPr>
          <w:rFonts w:ascii="Times New Roman" w:eastAsia="Times New Roman" w:hAnsi="Times New Roman" w:cs="Times New Roman"/>
          <w:bCs/>
          <w:szCs w:val="24"/>
        </w:rPr>
        <w:t xml:space="preserve"> </w:t>
      </w:r>
      <w:r w:rsidRPr="007F28C1">
        <w:rPr>
          <w:rFonts w:ascii="Times New Roman" w:eastAsia="Times New Roman" w:hAnsi="Times New Roman" w:cs="Times New Roman"/>
          <w:szCs w:val="24"/>
        </w:rPr>
        <w:t>Jednocześnie bez zmiany zostaje obowiązek wynikający z art. 24 ust. 2 P.g.g., zgodnie z którym do wniosku o udzielenie koncesji dołącza się dowody istnienia określonych w</w:t>
      </w:r>
      <w:r w:rsidR="000D0EB2" w:rsidRPr="007F28C1">
        <w:rPr>
          <w:rFonts w:ascii="Times New Roman" w:eastAsia="Times New Roman" w:hAnsi="Times New Roman" w:cs="Times New Roman"/>
          <w:szCs w:val="24"/>
        </w:rPr>
        <w:t> </w:t>
      </w:r>
      <w:r w:rsidRPr="007F28C1">
        <w:rPr>
          <w:rFonts w:ascii="Times New Roman" w:eastAsia="Times New Roman" w:hAnsi="Times New Roman" w:cs="Times New Roman"/>
          <w:szCs w:val="24"/>
        </w:rPr>
        <w:t xml:space="preserve">nim okoliczności, w tym dowody posiadania odpowiednich środków </w:t>
      </w:r>
      <w:r w:rsidRPr="007F28C1">
        <w:rPr>
          <w:rFonts w:ascii="Times New Roman" w:eastAsia="Times New Roman" w:hAnsi="Times New Roman" w:cs="Times New Roman"/>
          <w:szCs w:val="24"/>
          <w:lang w:val="x-none"/>
        </w:rPr>
        <w:t xml:space="preserve">w celu zapewnienia prawidłowego </w:t>
      </w:r>
      <w:r w:rsidR="00C36752" w:rsidRPr="007F28C1">
        <w:rPr>
          <w:rFonts w:ascii="Times New Roman" w:eastAsia="Times New Roman" w:hAnsi="Times New Roman" w:cs="Times New Roman"/>
          <w:szCs w:val="24"/>
        </w:rPr>
        <w:t xml:space="preserve">wykonywania </w:t>
      </w:r>
      <w:r w:rsidRPr="007F28C1">
        <w:rPr>
          <w:rFonts w:ascii="Times New Roman" w:eastAsia="Times New Roman" w:hAnsi="Times New Roman" w:cs="Times New Roman"/>
          <w:szCs w:val="24"/>
        </w:rPr>
        <w:t>zamierzonej działalności.</w:t>
      </w:r>
    </w:p>
    <w:p w14:paraId="204E0624" w14:textId="1B89D5A9" w:rsidR="000D40E4" w:rsidRPr="007F28C1" w:rsidRDefault="001B56AE" w:rsidP="007F28C1">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Dla prawidłowości udzielonej koncesji</w:t>
      </w:r>
      <w:r w:rsidR="00017DD0" w:rsidRPr="007F28C1">
        <w:rPr>
          <w:rFonts w:ascii="Times New Roman" w:eastAsia="Times New Roman" w:hAnsi="Times New Roman" w:cs="Times New Roman"/>
          <w:sz w:val="24"/>
          <w:szCs w:val="24"/>
          <w:lang w:eastAsia="pl-PL"/>
        </w:rPr>
        <w:t>, na etapie postępowania w sprawie udzielenia koncesji,</w:t>
      </w:r>
      <w:r w:rsidRPr="007F28C1">
        <w:rPr>
          <w:rFonts w:ascii="Times New Roman" w:eastAsia="Times New Roman" w:hAnsi="Times New Roman" w:cs="Times New Roman"/>
          <w:sz w:val="24"/>
          <w:szCs w:val="24"/>
          <w:lang w:eastAsia="pl-PL"/>
        </w:rPr>
        <w:t xml:space="preserve"> nie ma znaczenia rodzaj i warunki posiadanego tytułu prawnego do nieruchomości. Dlatego też w art. 24 P.g.g. </w:t>
      </w:r>
      <w:r w:rsidR="000E6B9D" w:rsidRPr="007F28C1">
        <w:rPr>
          <w:rFonts w:ascii="Times New Roman" w:eastAsia="Times New Roman" w:hAnsi="Times New Roman" w:cs="Times New Roman"/>
          <w:sz w:val="24"/>
          <w:szCs w:val="24"/>
          <w:lang w:eastAsia="pl-PL"/>
        </w:rPr>
        <w:t xml:space="preserve">w </w:t>
      </w:r>
      <w:r w:rsidR="000D40E4" w:rsidRPr="007F28C1">
        <w:rPr>
          <w:rFonts w:ascii="Times New Roman" w:eastAsia="Times New Roman" w:hAnsi="Times New Roman" w:cs="Times New Roman"/>
          <w:sz w:val="24"/>
          <w:szCs w:val="24"/>
          <w:lang w:eastAsia="pl-PL"/>
        </w:rPr>
        <w:t xml:space="preserve">ust. 1 dodano pkt 2a, w którym wyłączono obowiązek wykazywania się przez wnioskodawcę prawem do nieruchomości w przypadku działalności poszukiwawczo-rozpoznawczej prowadzonej metodą otworową – w odniesieniu do soli kamiennej, siarki oraz węglowodorów, a także w odniesieniu do podziemnego bezzbiornikowego magazynowania substancji oraz podziemnego składowania odpadów. </w:t>
      </w:r>
    </w:p>
    <w:p w14:paraId="0E4FA369" w14:textId="15A593FC" w:rsidR="00017DD0" w:rsidRPr="007F28C1" w:rsidRDefault="000D40E4" w:rsidP="007F28C1">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Jednocześnie </w:t>
      </w:r>
      <w:r w:rsidR="001B56AE" w:rsidRPr="007F28C1">
        <w:rPr>
          <w:rFonts w:ascii="Times New Roman" w:eastAsia="Times New Roman" w:hAnsi="Times New Roman" w:cs="Times New Roman"/>
          <w:sz w:val="24"/>
          <w:szCs w:val="24"/>
          <w:lang w:eastAsia="pl-PL"/>
        </w:rPr>
        <w:t xml:space="preserve">w </w:t>
      </w:r>
      <w:r w:rsidRPr="007F28C1">
        <w:rPr>
          <w:rFonts w:ascii="Times New Roman" w:eastAsia="Times New Roman" w:hAnsi="Times New Roman" w:cs="Times New Roman"/>
          <w:sz w:val="24"/>
          <w:szCs w:val="24"/>
          <w:lang w:eastAsia="pl-PL"/>
        </w:rPr>
        <w:t xml:space="preserve">art. 24 </w:t>
      </w:r>
      <w:r w:rsidR="001B56AE" w:rsidRPr="007F28C1">
        <w:rPr>
          <w:rFonts w:ascii="Times New Roman" w:eastAsia="Times New Roman" w:hAnsi="Times New Roman" w:cs="Times New Roman"/>
          <w:sz w:val="24"/>
          <w:szCs w:val="24"/>
          <w:lang w:eastAsia="pl-PL"/>
        </w:rPr>
        <w:t xml:space="preserve">ust. 1 </w:t>
      </w:r>
      <w:r w:rsidR="003C4D88" w:rsidRPr="007F28C1">
        <w:rPr>
          <w:rFonts w:ascii="Times New Roman" w:eastAsia="Times New Roman" w:hAnsi="Times New Roman" w:cs="Times New Roman"/>
          <w:sz w:val="24"/>
          <w:szCs w:val="24"/>
          <w:lang w:eastAsia="pl-PL"/>
        </w:rPr>
        <w:t>zmieniono</w:t>
      </w:r>
      <w:r w:rsidR="001B56AE" w:rsidRPr="007F28C1">
        <w:rPr>
          <w:rFonts w:ascii="Times New Roman" w:eastAsia="Times New Roman" w:hAnsi="Times New Roman" w:cs="Times New Roman"/>
          <w:sz w:val="24"/>
          <w:szCs w:val="24"/>
          <w:lang w:eastAsia="pl-PL"/>
        </w:rPr>
        <w:t xml:space="preserve"> pkt 2 oraz w art. 49eb P.g.g.</w:t>
      </w:r>
      <w:r w:rsidR="0018388F" w:rsidRPr="007F28C1">
        <w:rPr>
          <w:rFonts w:ascii="Times New Roman" w:eastAsia="Times New Roman" w:hAnsi="Times New Roman" w:cs="Times New Roman"/>
          <w:sz w:val="24"/>
          <w:szCs w:val="24"/>
          <w:lang w:eastAsia="pl-PL"/>
        </w:rPr>
        <w:t xml:space="preserve"> </w:t>
      </w:r>
      <w:r w:rsidR="001B56AE" w:rsidRPr="007F28C1">
        <w:rPr>
          <w:rFonts w:ascii="Times New Roman" w:eastAsia="Times New Roman" w:hAnsi="Times New Roman" w:cs="Times New Roman"/>
          <w:sz w:val="24"/>
          <w:szCs w:val="24"/>
          <w:lang w:eastAsia="pl-PL"/>
        </w:rPr>
        <w:t xml:space="preserve">w ust. 1 </w:t>
      </w:r>
      <w:r w:rsidR="003C4D88" w:rsidRPr="007F28C1">
        <w:rPr>
          <w:rFonts w:ascii="Times New Roman" w:eastAsia="Times New Roman" w:hAnsi="Times New Roman" w:cs="Times New Roman"/>
          <w:sz w:val="24"/>
          <w:szCs w:val="24"/>
          <w:lang w:eastAsia="pl-PL"/>
        </w:rPr>
        <w:t>zmieniono</w:t>
      </w:r>
      <w:r w:rsidR="001B56AE" w:rsidRPr="007F28C1">
        <w:rPr>
          <w:rFonts w:ascii="Times New Roman" w:eastAsia="Times New Roman" w:hAnsi="Times New Roman" w:cs="Times New Roman"/>
          <w:sz w:val="24"/>
          <w:szCs w:val="24"/>
          <w:lang w:eastAsia="pl-PL"/>
        </w:rPr>
        <w:t xml:space="preserve"> pkt 2</w:t>
      </w:r>
      <w:r w:rsidR="00D2588E" w:rsidRPr="007F28C1">
        <w:rPr>
          <w:rFonts w:ascii="Times New Roman" w:eastAsia="Times New Roman" w:hAnsi="Times New Roman" w:cs="Times New Roman"/>
          <w:sz w:val="24"/>
          <w:szCs w:val="24"/>
          <w:lang w:eastAsia="pl-PL"/>
        </w:rPr>
        <w:t>,</w:t>
      </w:r>
      <w:r w:rsidR="001B56AE" w:rsidRPr="007F28C1">
        <w:rPr>
          <w:rFonts w:ascii="Times New Roman" w:eastAsia="Times New Roman" w:hAnsi="Times New Roman" w:cs="Times New Roman"/>
          <w:sz w:val="24"/>
          <w:szCs w:val="24"/>
          <w:lang w:eastAsia="pl-PL"/>
        </w:rPr>
        <w:t xml:space="preserve"> </w:t>
      </w:r>
      <w:r w:rsidR="00017DD0" w:rsidRPr="007F28C1">
        <w:rPr>
          <w:rFonts w:ascii="Times New Roman" w:eastAsia="Times New Roman" w:hAnsi="Times New Roman" w:cs="Times New Roman"/>
          <w:sz w:val="24"/>
          <w:szCs w:val="24"/>
          <w:lang w:eastAsia="pl-PL"/>
        </w:rPr>
        <w:t xml:space="preserve">zastępując obowiązek </w:t>
      </w:r>
      <w:r w:rsidRPr="007F28C1">
        <w:rPr>
          <w:rFonts w:ascii="Times New Roman" w:eastAsia="Times New Roman" w:hAnsi="Times New Roman" w:cs="Times New Roman"/>
          <w:sz w:val="24"/>
          <w:szCs w:val="24"/>
          <w:lang w:eastAsia="pl-PL"/>
        </w:rPr>
        <w:t xml:space="preserve">wykazania się przez wnioskodawcę prawem do nieruchomości na obowiązek wykazania się prawem do przestrzeni, w granicach której ma być prowadzona działalność objęta koncesją (lub przyrzeczeniem </w:t>
      </w:r>
      <w:r w:rsidR="008600F9" w:rsidRPr="007F28C1">
        <w:rPr>
          <w:rFonts w:ascii="Times New Roman" w:eastAsia="Times New Roman" w:hAnsi="Times New Roman" w:cs="Times New Roman"/>
          <w:sz w:val="24"/>
          <w:szCs w:val="24"/>
          <w:lang w:eastAsia="pl-PL"/>
        </w:rPr>
        <w:t>uzyskania tego prawa</w:t>
      </w:r>
      <w:r w:rsidRPr="007F28C1">
        <w:rPr>
          <w:rFonts w:ascii="Times New Roman" w:eastAsia="Times New Roman" w:hAnsi="Times New Roman" w:cs="Times New Roman"/>
          <w:sz w:val="24"/>
          <w:szCs w:val="24"/>
          <w:lang w:eastAsia="pl-PL"/>
        </w:rPr>
        <w:t>)</w:t>
      </w:r>
      <w:r w:rsidR="008600F9" w:rsidRPr="007F28C1">
        <w:rPr>
          <w:rFonts w:ascii="Times New Roman" w:eastAsia="Times New Roman" w:hAnsi="Times New Roman" w:cs="Times New Roman"/>
          <w:sz w:val="24"/>
          <w:szCs w:val="24"/>
          <w:lang w:eastAsia="pl-PL"/>
        </w:rPr>
        <w:t>.</w:t>
      </w:r>
    </w:p>
    <w:p w14:paraId="425D2E45" w14:textId="63064E01" w:rsidR="001B56AE" w:rsidRPr="007F28C1" w:rsidRDefault="008600F9" w:rsidP="007F28C1">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W analogicznym zakresie </w:t>
      </w:r>
      <w:r w:rsidR="001B56AE" w:rsidRPr="007F28C1">
        <w:rPr>
          <w:rFonts w:ascii="Times New Roman" w:eastAsia="Times New Roman" w:hAnsi="Times New Roman" w:cs="Times New Roman"/>
          <w:sz w:val="24"/>
          <w:szCs w:val="24"/>
          <w:lang w:eastAsia="pl-PL"/>
        </w:rPr>
        <w:t>zmieniono także</w:t>
      </w:r>
      <w:r w:rsidR="0018388F" w:rsidRPr="007F28C1">
        <w:rPr>
          <w:rFonts w:ascii="Times New Roman" w:eastAsia="Times New Roman" w:hAnsi="Times New Roman" w:cs="Times New Roman"/>
          <w:sz w:val="24"/>
          <w:szCs w:val="24"/>
          <w:lang w:eastAsia="pl-PL"/>
        </w:rPr>
        <w:t xml:space="preserve"> </w:t>
      </w:r>
      <w:r w:rsidR="001B56AE" w:rsidRPr="007F28C1">
        <w:rPr>
          <w:rFonts w:ascii="Times New Roman" w:eastAsia="Times New Roman" w:hAnsi="Times New Roman" w:cs="Times New Roman"/>
          <w:sz w:val="24"/>
          <w:szCs w:val="24"/>
          <w:lang w:eastAsia="pl-PL"/>
        </w:rPr>
        <w:t>art. 80 ust. 2 P.g.g.</w:t>
      </w:r>
      <w:r w:rsidRPr="007F28C1">
        <w:rPr>
          <w:rFonts w:ascii="Times New Roman" w:eastAsia="Times New Roman" w:hAnsi="Times New Roman" w:cs="Times New Roman"/>
          <w:sz w:val="24"/>
          <w:szCs w:val="24"/>
          <w:lang w:eastAsia="pl-PL"/>
        </w:rPr>
        <w:t>,</w:t>
      </w:r>
      <w:r w:rsidR="001B56AE" w:rsidRPr="007F28C1">
        <w:rPr>
          <w:rFonts w:ascii="Times New Roman" w:eastAsia="Times New Roman" w:hAnsi="Times New Roman" w:cs="Times New Roman"/>
          <w:sz w:val="24"/>
          <w:szCs w:val="24"/>
          <w:lang w:eastAsia="pl-PL"/>
        </w:rPr>
        <w:t xml:space="preserve"> przewidując jedn</w:t>
      </w:r>
      <w:r w:rsidRPr="007F28C1">
        <w:rPr>
          <w:rFonts w:ascii="Times New Roman" w:eastAsia="Times New Roman" w:hAnsi="Times New Roman" w:cs="Times New Roman"/>
          <w:sz w:val="24"/>
          <w:szCs w:val="24"/>
          <w:lang w:eastAsia="pl-PL"/>
        </w:rPr>
        <w:t>ocześnie</w:t>
      </w:r>
      <w:r w:rsidR="001B56AE" w:rsidRPr="007F28C1">
        <w:rPr>
          <w:rFonts w:ascii="Times New Roman" w:eastAsia="Times New Roman" w:hAnsi="Times New Roman" w:cs="Times New Roman"/>
          <w:sz w:val="24"/>
          <w:szCs w:val="24"/>
          <w:lang w:eastAsia="pl-PL"/>
        </w:rPr>
        <w:t xml:space="preserve"> obowiązek dołączenia wypisu z ewidencji gruntów</w:t>
      </w:r>
      <w:r w:rsidR="0018388F" w:rsidRPr="007F28C1">
        <w:rPr>
          <w:rFonts w:ascii="Times New Roman" w:eastAsia="Times New Roman" w:hAnsi="Times New Roman" w:cs="Times New Roman"/>
          <w:sz w:val="24"/>
          <w:szCs w:val="24"/>
          <w:lang w:eastAsia="pl-PL"/>
        </w:rPr>
        <w:t xml:space="preserve"> </w:t>
      </w:r>
      <w:r w:rsidR="001B56AE" w:rsidRPr="007F28C1">
        <w:rPr>
          <w:rFonts w:ascii="Times New Roman" w:eastAsia="Times New Roman" w:hAnsi="Times New Roman" w:cs="Times New Roman"/>
          <w:sz w:val="24"/>
          <w:szCs w:val="24"/>
          <w:lang w:eastAsia="pl-PL"/>
        </w:rPr>
        <w:t>i budynków wydan</w:t>
      </w:r>
      <w:r w:rsidRPr="007F28C1">
        <w:rPr>
          <w:rFonts w:ascii="Times New Roman" w:eastAsia="Times New Roman" w:hAnsi="Times New Roman" w:cs="Times New Roman"/>
          <w:sz w:val="24"/>
          <w:szCs w:val="24"/>
          <w:lang w:eastAsia="pl-PL"/>
        </w:rPr>
        <w:t>ego</w:t>
      </w:r>
      <w:r w:rsidR="001B56AE" w:rsidRPr="007F28C1">
        <w:rPr>
          <w:rFonts w:ascii="Times New Roman" w:eastAsia="Times New Roman" w:hAnsi="Times New Roman" w:cs="Times New Roman"/>
          <w:sz w:val="24"/>
          <w:szCs w:val="24"/>
          <w:lang w:eastAsia="pl-PL"/>
        </w:rPr>
        <w:t xml:space="preserve"> nie wcześniej niż 3 </w:t>
      </w:r>
      <w:r w:rsidR="001B56AE" w:rsidRPr="007F28C1">
        <w:rPr>
          <w:rFonts w:ascii="Times New Roman" w:eastAsia="Times New Roman" w:hAnsi="Times New Roman" w:cs="Times New Roman"/>
          <w:sz w:val="24"/>
          <w:szCs w:val="24"/>
          <w:lang w:eastAsia="pl-PL"/>
        </w:rPr>
        <w:lastRenderedPageBreak/>
        <w:t>miesiące przed złożeniem wniosku.</w:t>
      </w:r>
      <w:r w:rsidR="005B7604" w:rsidRPr="007F28C1">
        <w:rPr>
          <w:rFonts w:ascii="Times New Roman" w:eastAsia="Times New Roman" w:hAnsi="Times New Roman" w:cs="Times New Roman"/>
          <w:sz w:val="24"/>
          <w:szCs w:val="24"/>
          <w:lang w:eastAsia="pl-PL"/>
        </w:rPr>
        <w:t xml:space="preserve"> </w:t>
      </w:r>
      <w:r w:rsidR="001B56AE" w:rsidRPr="007F28C1">
        <w:rPr>
          <w:rFonts w:ascii="Times New Roman" w:eastAsia="Times New Roman" w:hAnsi="Times New Roman" w:cs="Times New Roman"/>
          <w:sz w:val="24"/>
          <w:szCs w:val="24"/>
          <w:lang w:eastAsia="pl-PL"/>
        </w:rPr>
        <w:t>Powyższa zmiana nie będzie dotyczyła działalności w zakresie wydobywania kopaliny metodą odkrywkową – w takim przypadku, zgodnie z art. 26 ust. 2 pkt 2</w:t>
      </w:r>
      <w:r w:rsidR="001B56AE" w:rsidRPr="007F28C1">
        <w:rPr>
          <w:rFonts w:ascii="Times New Roman" w:eastAsia="Times New Roman" w:hAnsi="Times New Roman" w:cs="Times New Roman"/>
          <w:bCs/>
          <w:sz w:val="24"/>
          <w:szCs w:val="24"/>
          <w:lang w:eastAsia="pl-PL"/>
        </w:rPr>
        <w:t xml:space="preserve"> </w:t>
      </w:r>
      <w:r w:rsidR="001B56AE" w:rsidRPr="007F28C1">
        <w:rPr>
          <w:rFonts w:ascii="Times New Roman" w:eastAsia="Times New Roman" w:hAnsi="Times New Roman" w:cs="Times New Roman"/>
          <w:sz w:val="24"/>
          <w:szCs w:val="24"/>
          <w:lang w:eastAsia="pl-PL"/>
        </w:rPr>
        <w:t>P.g.g.</w:t>
      </w:r>
      <w:r w:rsidR="000E6B9D" w:rsidRPr="007F28C1">
        <w:rPr>
          <w:rFonts w:ascii="Times New Roman" w:eastAsia="Times New Roman" w:hAnsi="Times New Roman" w:cs="Times New Roman"/>
          <w:sz w:val="24"/>
          <w:szCs w:val="24"/>
          <w:lang w:eastAsia="pl-PL"/>
        </w:rPr>
        <w:t>,</w:t>
      </w:r>
      <w:r w:rsidR="001B56AE" w:rsidRPr="007F28C1">
        <w:rPr>
          <w:rFonts w:ascii="Times New Roman" w:eastAsia="Times New Roman" w:hAnsi="Times New Roman" w:cs="Times New Roman"/>
          <w:sz w:val="24"/>
          <w:szCs w:val="24"/>
          <w:lang w:eastAsia="pl-PL"/>
        </w:rPr>
        <w:t xml:space="preserve"> </w:t>
      </w:r>
      <w:r w:rsidR="000E6B9D" w:rsidRPr="007F28C1">
        <w:rPr>
          <w:rFonts w:ascii="Times New Roman" w:eastAsia="Times New Roman" w:hAnsi="Times New Roman" w:cs="Times New Roman"/>
          <w:sz w:val="24"/>
          <w:szCs w:val="24"/>
          <w:lang w:eastAsia="pl-PL"/>
        </w:rPr>
        <w:t xml:space="preserve">będzie </w:t>
      </w:r>
      <w:r w:rsidR="001B56AE" w:rsidRPr="007F28C1">
        <w:rPr>
          <w:rFonts w:ascii="Times New Roman" w:eastAsia="Times New Roman" w:hAnsi="Times New Roman" w:cs="Times New Roman"/>
          <w:sz w:val="24"/>
          <w:szCs w:val="24"/>
          <w:lang w:eastAsia="pl-PL"/>
        </w:rPr>
        <w:t>nadal istniał obowiązek dołączenia dowodu istnienia prawa przysługującego wnioskodawcy do nieruchomości gruntowej, w granicach której ma</w:t>
      </w:r>
      <w:r w:rsidR="00621E21" w:rsidRPr="007F28C1">
        <w:rPr>
          <w:rFonts w:ascii="Times New Roman" w:eastAsia="Times New Roman" w:hAnsi="Times New Roman" w:cs="Times New Roman"/>
          <w:sz w:val="24"/>
          <w:szCs w:val="24"/>
          <w:lang w:eastAsia="pl-PL"/>
        </w:rPr>
        <w:t> </w:t>
      </w:r>
      <w:r w:rsidR="001B56AE" w:rsidRPr="007F28C1">
        <w:rPr>
          <w:rFonts w:ascii="Times New Roman" w:eastAsia="Times New Roman" w:hAnsi="Times New Roman" w:cs="Times New Roman"/>
          <w:sz w:val="24"/>
          <w:szCs w:val="24"/>
          <w:lang w:eastAsia="pl-PL"/>
        </w:rPr>
        <w:t>być wykonywana zamierzona działalność</w:t>
      </w:r>
      <w:r w:rsidR="000E6B9D" w:rsidRPr="007F28C1">
        <w:rPr>
          <w:rFonts w:ascii="Times New Roman" w:eastAsia="Times New Roman" w:hAnsi="Times New Roman" w:cs="Times New Roman"/>
          <w:sz w:val="24"/>
          <w:szCs w:val="24"/>
          <w:lang w:eastAsia="pl-PL"/>
        </w:rPr>
        <w:t>,</w:t>
      </w:r>
      <w:r w:rsidR="001B56AE" w:rsidRPr="007F28C1">
        <w:rPr>
          <w:rFonts w:ascii="Times New Roman" w:eastAsia="Times New Roman" w:hAnsi="Times New Roman" w:cs="Times New Roman"/>
          <w:sz w:val="24"/>
          <w:szCs w:val="24"/>
          <w:lang w:eastAsia="pl-PL"/>
        </w:rPr>
        <w:t xml:space="preserve"> lub dowodu przyrzeczenia jego ustanowienia (obowiązek ten nie dotyczy węgla brunatnego). Należy zauważyć</w:t>
      </w:r>
      <w:r w:rsidRPr="007F28C1">
        <w:rPr>
          <w:rFonts w:ascii="Times New Roman" w:eastAsia="Times New Roman" w:hAnsi="Times New Roman" w:cs="Times New Roman"/>
          <w:sz w:val="24"/>
          <w:szCs w:val="24"/>
          <w:lang w:eastAsia="pl-PL"/>
        </w:rPr>
        <w:t>,</w:t>
      </w:r>
      <w:r w:rsidR="001B56AE" w:rsidRPr="007F28C1">
        <w:rPr>
          <w:rFonts w:ascii="Times New Roman" w:eastAsia="Times New Roman" w:hAnsi="Times New Roman" w:cs="Times New Roman"/>
          <w:sz w:val="24"/>
          <w:szCs w:val="24"/>
          <w:lang w:eastAsia="pl-PL"/>
        </w:rPr>
        <w:t xml:space="preserve"> że </w:t>
      </w:r>
      <w:r w:rsidRPr="007F28C1">
        <w:rPr>
          <w:rFonts w:ascii="Times New Roman" w:eastAsia="Times New Roman" w:hAnsi="Times New Roman" w:cs="Times New Roman"/>
          <w:sz w:val="24"/>
          <w:szCs w:val="24"/>
          <w:lang w:eastAsia="pl-PL"/>
        </w:rPr>
        <w:t xml:space="preserve">w przypadku działalności prowadzonej metodą otworową w zakresie przywołanym w dodawanym art. 24 ust. 1 pkt 2a </w:t>
      </w:r>
      <w:r w:rsidR="001B56AE" w:rsidRPr="007F28C1">
        <w:rPr>
          <w:rFonts w:ascii="Times New Roman" w:eastAsia="Times New Roman" w:hAnsi="Times New Roman" w:cs="Times New Roman"/>
          <w:sz w:val="24"/>
          <w:szCs w:val="24"/>
          <w:lang w:eastAsia="pl-PL"/>
        </w:rPr>
        <w:t>istnienie prawa wnioskodawcy do</w:t>
      </w:r>
      <w:r w:rsidR="00621E21" w:rsidRPr="007F28C1">
        <w:rPr>
          <w:rFonts w:ascii="Times New Roman" w:eastAsia="Times New Roman" w:hAnsi="Times New Roman" w:cs="Times New Roman"/>
          <w:sz w:val="24"/>
          <w:szCs w:val="24"/>
          <w:lang w:eastAsia="pl-PL"/>
        </w:rPr>
        <w:t> </w:t>
      </w:r>
      <w:r w:rsidR="001B56AE" w:rsidRPr="007F28C1">
        <w:rPr>
          <w:rFonts w:ascii="Times New Roman" w:eastAsia="Times New Roman" w:hAnsi="Times New Roman" w:cs="Times New Roman"/>
          <w:sz w:val="24"/>
          <w:szCs w:val="24"/>
          <w:lang w:eastAsia="pl-PL"/>
        </w:rPr>
        <w:t xml:space="preserve">nieruchomości, w granicach których ma być wykonywana działalność, bądź prawa, o ustanowienie którego ubiega się wnioskodawca, nie ma przełożenia na ewentualne udzielenie lub odmowę udzielenia koncesji, a do ustalenia kręgu stron postępowania </w:t>
      </w:r>
      <w:r w:rsidR="000E6B9D" w:rsidRPr="007F28C1">
        <w:rPr>
          <w:rFonts w:ascii="Times New Roman" w:eastAsia="Times New Roman" w:hAnsi="Times New Roman" w:cs="Times New Roman"/>
          <w:sz w:val="24"/>
          <w:szCs w:val="24"/>
          <w:lang w:eastAsia="pl-PL"/>
        </w:rPr>
        <w:t xml:space="preserve">jest </w:t>
      </w:r>
      <w:r w:rsidR="001B56AE" w:rsidRPr="007F28C1">
        <w:rPr>
          <w:rFonts w:ascii="Times New Roman" w:eastAsia="Times New Roman" w:hAnsi="Times New Roman" w:cs="Times New Roman"/>
          <w:sz w:val="24"/>
          <w:szCs w:val="24"/>
          <w:lang w:eastAsia="pl-PL"/>
        </w:rPr>
        <w:t xml:space="preserve">wystarczające wskazanie przez przedsiębiorcę właścicieli (użytkowników wieczystych) nieruchomości, w granicach których ma być wykonywana zamierzona działalność </w:t>
      </w:r>
      <w:r w:rsidR="00172DD3" w:rsidRPr="007F28C1">
        <w:rPr>
          <w:rFonts w:ascii="Times New Roman" w:eastAsia="Times New Roman" w:hAnsi="Times New Roman" w:cs="Times New Roman"/>
          <w:sz w:val="24"/>
          <w:szCs w:val="24"/>
          <w:lang w:eastAsia="pl-PL"/>
        </w:rPr>
        <w:t xml:space="preserve">oraz załączenie wypisu z ewidencji gruntów i budynków. </w:t>
      </w:r>
      <w:r w:rsidR="001B56AE" w:rsidRPr="007F28C1">
        <w:rPr>
          <w:rFonts w:ascii="Times New Roman" w:eastAsia="Times New Roman" w:hAnsi="Times New Roman" w:cs="Times New Roman"/>
          <w:sz w:val="24"/>
          <w:szCs w:val="24"/>
          <w:lang w:eastAsia="pl-PL"/>
        </w:rPr>
        <w:t xml:space="preserve">Jednocześnie w art. 108 ust. 9 pkt 3a P.g.g. </w:t>
      </w:r>
      <w:r w:rsidR="009415E5" w:rsidRPr="007F28C1">
        <w:rPr>
          <w:rFonts w:ascii="Times New Roman" w:eastAsia="Times New Roman" w:hAnsi="Times New Roman" w:cs="Times New Roman"/>
          <w:sz w:val="24"/>
          <w:szCs w:val="24"/>
          <w:lang w:eastAsia="pl-PL"/>
        </w:rPr>
        <w:t>dodano</w:t>
      </w:r>
      <w:r w:rsidR="001B56AE" w:rsidRPr="007F28C1">
        <w:rPr>
          <w:rFonts w:ascii="Times New Roman" w:eastAsia="Times New Roman" w:hAnsi="Times New Roman" w:cs="Times New Roman"/>
          <w:sz w:val="24"/>
          <w:szCs w:val="24"/>
          <w:lang w:eastAsia="pl-PL"/>
        </w:rPr>
        <w:t xml:space="preserve"> obowiązek wykazania się dowodem prawa do korzystania z</w:t>
      </w:r>
      <w:r w:rsidR="00D2588E" w:rsidRPr="007F28C1">
        <w:rPr>
          <w:rFonts w:ascii="Times New Roman" w:eastAsia="Times New Roman" w:hAnsi="Times New Roman" w:cs="Times New Roman"/>
          <w:sz w:val="24"/>
          <w:szCs w:val="24"/>
          <w:lang w:eastAsia="pl-PL"/>
        </w:rPr>
        <w:t> </w:t>
      </w:r>
      <w:r w:rsidR="001B56AE" w:rsidRPr="007F28C1">
        <w:rPr>
          <w:rFonts w:ascii="Times New Roman" w:eastAsia="Times New Roman" w:hAnsi="Times New Roman" w:cs="Times New Roman"/>
          <w:sz w:val="24"/>
          <w:szCs w:val="24"/>
          <w:lang w:eastAsia="pl-PL"/>
        </w:rPr>
        <w:t>nieruchomości</w:t>
      </w:r>
      <w:r w:rsidR="00207266">
        <w:rPr>
          <w:rFonts w:ascii="Times New Roman" w:eastAsia="Times New Roman" w:hAnsi="Times New Roman" w:cs="Times New Roman"/>
          <w:sz w:val="24"/>
          <w:szCs w:val="24"/>
          <w:lang w:eastAsia="pl-PL"/>
        </w:rPr>
        <w:t>,</w:t>
      </w:r>
      <w:r w:rsidR="00CB6990" w:rsidRPr="007F28C1">
        <w:rPr>
          <w:rFonts w:ascii="Times New Roman" w:eastAsia="Times New Roman" w:hAnsi="Times New Roman" w:cs="Times New Roman"/>
          <w:sz w:val="24"/>
          <w:szCs w:val="24"/>
          <w:lang w:eastAsia="pl-PL"/>
        </w:rPr>
        <w:t xml:space="preserve"> </w:t>
      </w:r>
      <w:r w:rsidR="001B56AE" w:rsidRPr="007F28C1">
        <w:rPr>
          <w:rFonts w:ascii="Times New Roman" w:eastAsia="Times New Roman" w:hAnsi="Times New Roman" w:cs="Times New Roman"/>
          <w:sz w:val="24"/>
          <w:szCs w:val="24"/>
          <w:lang w:eastAsia="pl-PL"/>
        </w:rPr>
        <w:t>przesu</w:t>
      </w:r>
      <w:r w:rsidR="009415E5" w:rsidRPr="007F28C1">
        <w:rPr>
          <w:rFonts w:ascii="Times New Roman" w:eastAsia="Times New Roman" w:hAnsi="Times New Roman" w:cs="Times New Roman"/>
          <w:sz w:val="24"/>
          <w:szCs w:val="24"/>
          <w:lang w:eastAsia="pl-PL"/>
        </w:rPr>
        <w:t>wając</w:t>
      </w:r>
      <w:r w:rsidR="001B56AE" w:rsidRPr="007F28C1">
        <w:rPr>
          <w:rFonts w:ascii="Times New Roman" w:eastAsia="Times New Roman" w:hAnsi="Times New Roman" w:cs="Times New Roman"/>
          <w:sz w:val="24"/>
          <w:szCs w:val="24"/>
          <w:lang w:eastAsia="pl-PL"/>
        </w:rPr>
        <w:t xml:space="preserve"> </w:t>
      </w:r>
      <w:r w:rsidR="009415E5" w:rsidRPr="007F28C1">
        <w:rPr>
          <w:rFonts w:ascii="Times New Roman" w:eastAsia="Times New Roman" w:hAnsi="Times New Roman" w:cs="Times New Roman"/>
          <w:sz w:val="24"/>
          <w:szCs w:val="24"/>
          <w:lang w:eastAsia="pl-PL"/>
        </w:rPr>
        <w:t xml:space="preserve">ten obowiązek </w:t>
      </w:r>
      <w:r w:rsidR="00CB6990" w:rsidRPr="007F28C1">
        <w:rPr>
          <w:rFonts w:ascii="Times New Roman" w:eastAsia="Times New Roman" w:hAnsi="Times New Roman" w:cs="Times New Roman"/>
          <w:sz w:val="24"/>
          <w:szCs w:val="24"/>
          <w:lang w:eastAsia="pl-PL"/>
        </w:rPr>
        <w:t>w przypadku działalności poszukiwawczo-rozpoznawczej prowadzonej metodą otworową – w odniesieniu do soli kamiennej, siarki oraz węglowodorów</w:t>
      </w:r>
      <w:r w:rsidR="00CC4554" w:rsidRPr="007F28C1">
        <w:rPr>
          <w:rFonts w:ascii="Times New Roman" w:eastAsia="Times New Roman" w:hAnsi="Times New Roman" w:cs="Times New Roman"/>
          <w:sz w:val="24"/>
          <w:szCs w:val="24"/>
          <w:lang w:eastAsia="pl-PL"/>
        </w:rPr>
        <w:t>,</w:t>
      </w:r>
      <w:r w:rsidR="00CB6990" w:rsidRPr="007F28C1">
        <w:rPr>
          <w:rFonts w:ascii="Times New Roman" w:eastAsia="Times New Roman" w:hAnsi="Times New Roman" w:cs="Times New Roman"/>
          <w:sz w:val="24"/>
          <w:szCs w:val="24"/>
          <w:lang w:eastAsia="pl-PL"/>
        </w:rPr>
        <w:t xml:space="preserve"> a także w odniesieniu do podziemnego bezzbiornikowego magazynowania substancji oraz podziemnego składowania odpadów </w:t>
      </w:r>
      <w:r w:rsidR="001B56AE" w:rsidRPr="007F28C1">
        <w:rPr>
          <w:rFonts w:ascii="Times New Roman" w:eastAsia="Times New Roman" w:hAnsi="Times New Roman" w:cs="Times New Roman"/>
          <w:sz w:val="24"/>
          <w:szCs w:val="24"/>
          <w:lang w:eastAsia="pl-PL"/>
        </w:rPr>
        <w:t>na etap zatwierdzan</w:t>
      </w:r>
      <w:r w:rsidR="009415E5" w:rsidRPr="007F28C1">
        <w:rPr>
          <w:rFonts w:ascii="Times New Roman" w:eastAsia="Times New Roman" w:hAnsi="Times New Roman" w:cs="Times New Roman"/>
          <w:sz w:val="24"/>
          <w:szCs w:val="24"/>
          <w:lang w:eastAsia="pl-PL"/>
        </w:rPr>
        <w:t>i</w:t>
      </w:r>
      <w:r w:rsidR="001B56AE" w:rsidRPr="007F28C1">
        <w:rPr>
          <w:rFonts w:ascii="Times New Roman" w:eastAsia="Times New Roman" w:hAnsi="Times New Roman" w:cs="Times New Roman"/>
          <w:sz w:val="24"/>
          <w:szCs w:val="24"/>
          <w:lang w:eastAsia="pl-PL"/>
        </w:rPr>
        <w:t>a planu ruchu zakładu górniczego, czyli decyzji, która bezpośrednio poprzedza korzystanie z cudzej nieruchomości do wykonywania działalności regulowanej P.g.g. Powyższ</w:t>
      </w:r>
      <w:r w:rsidR="009415E5" w:rsidRPr="007F28C1">
        <w:rPr>
          <w:rFonts w:ascii="Times New Roman" w:eastAsia="Times New Roman" w:hAnsi="Times New Roman" w:cs="Times New Roman"/>
          <w:sz w:val="24"/>
          <w:szCs w:val="24"/>
          <w:lang w:eastAsia="pl-PL"/>
        </w:rPr>
        <w:t>a zmiana</w:t>
      </w:r>
      <w:r w:rsidR="001B56AE" w:rsidRPr="007F28C1">
        <w:rPr>
          <w:rFonts w:ascii="Times New Roman" w:eastAsia="Times New Roman" w:hAnsi="Times New Roman" w:cs="Times New Roman"/>
          <w:sz w:val="24"/>
          <w:szCs w:val="24"/>
          <w:lang w:eastAsia="pl-PL"/>
        </w:rPr>
        <w:t xml:space="preserve"> nie zwalnia przedsiębiorcy z</w:t>
      </w:r>
      <w:r w:rsidR="00D2588E" w:rsidRPr="007F28C1">
        <w:rPr>
          <w:rFonts w:ascii="Times New Roman" w:eastAsia="Times New Roman" w:hAnsi="Times New Roman" w:cs="Times New Roman"/>
          <w:sz w:val="24"/>
          <w:szCs w:val="24"/>
          <w:lang w:eastAsia="pl-PL"/>
        </w:rPr>
        <w:t> </w:t>
      </w:r>
      <w:r w:rsidR="001B56AE" w:rsidRPr="007F28C1">
        <w:rPr>
          <w:rFonts w:ascii="Times New Roman" w:eastAsia="Times New Roman" w:hAnsi="Times New Roman" w:cs="Times New Roman"/>
          <w:sz w:val="24"/>
          <w:szCs w:val="24"/>
          <w:lang w:eastAsia="pl-PL"/>
        </w:rPr>
        <w:t>konieczności posiadania prawa do korzystania z</w:t>
      </w:r>
      <w:r w:rsidR="005B7604" w:rsidRPr="007F28C1">
        <w:rPr>
          <w:rFonts w:ascii="Times New Roman" w:eastAsia="Times New Roman" w:hAnsi="Times New Roman" w:cs="Times New Roman"/>
          <w:sz w:val="24"/>
          <w:szCs w:val="24"/>
          <w:lang w:eastAsia="pl-PL"/>
        </w:rPr>
        <w:t xml:space="preserve"> </w:t>
      </w:r>
      <w:r w:rsidR="001B56AE" w:rsidRPr="007F28C1">
        <w:rPr>
          <w:rFonts w:ascii="Times New Roman" w:eastAsia="Times New Roman" w:hAnsi="Times New Roman" w:cs="Times New Roman"/>
          <w:sz w:val="24"/>
          <w:szCs w:val="24"/>
          <w:lang w:eastAsia="pl-PL"/>
        </w:rPr>
        <w:t>nieruchomości</w:t>
      </w:r>
      <w:r w:rsidR="0022587D" w:rsidRPr="007F28C1">
        <w:rPr>
          <w:rFonts w:ascii="Times New Roman" w:eastAsia="Times New Roman" w:hAnsi="Times New Roman" w:cs="Times New Roman"/>
          <w:sz w:val="24"/>
          <w:szCs w:val="24"/>
          <w:lang w:eastAsia="pl-PL"/>
        </w:rPr>
        <w:t xml:space="preserve"> i</w:t>
      </w:r>
      <w:r w:rsidR="0012626E" w:rsidRPr="007F28C1">
        <w:rPr>
          <w:rFonts w:ascii="Times New Roman" w:eastAsia="Times New Roman" w:hAnsi="Times New Roman" w:cs="Times New Roman"/>
          <w:sz w:val="24"/>
          <w:szCs w:val="24"/>
          <w:lang w:eastAsia="pl-PL"/>
        </w:rPr>
        <w:t xml:space="preserve"> </w:t>
      </w:r>
      <w:r w:rsidR="001B56AE" w:rsidRPr="007F28C1">
        <w:rPr>
          <w:rFonts w:ascii="Times New Roman" w:eastAsia="Times New Roman" w:hAnsi="Times New Roman" w:cs="Times New Roman"/>
          <w:sz w:val="24"/>
          <w:szCs w:val="24"/>
          <w:lang w:eastAsia="pl-PL"/>
        </w:rPr>
        <w:t>w żaden sposób nie narusza praw właścicieli nieruchomości gruntowych</w:t>
      </w:r>
      <w:r w:rsidR="0022587D" w:rsidRPr="007F28C1">
        <w:rPr>
          <w:rFonts w:ascii="Times New Roman" w:eastAsia="Times New Roman" w:hAnsi="Times New Roman" w:cs="Times New Roman"/>
          <w:sz w:val="24"/>
          <w:szCs w:val="24"/>
          <w:lang w:eastAsia="pl-PL"/>
        </w:rPr>
        <w:t>.</w:t>
      </w:r>
      <w:r w:rsidR="002D7B13" w:rsidRPr="007F28C1">
        <w:rPr>
          <w:rFonts w:ascii="Times New Roman" w:eastAsia="Times New Roman" w:hAnsi="Times New Roman" w:cs="Times New Roman"/>
          <w:sz w:val="24"/>
          <w:szCs w:val="24"/>
          <w:lang w:eastAsia="pl-PL"/>
        </w:rPr>
        <w:t xml:space="preserve"> </w:t>
      </w:r>
      <w:r w:rsidR="0022587D" w:rsidRPr="007F28C1">
        <w:rPr>
          <w:rFonts w:ascii="Times New Roman" w:eastAsia="Times New Roman" w:hAnsi="Times New Roman" w:cs="Times New Roman"/>
          <w:sz w:val="24"/>
          <w:szCs w:val="24"/>
          <w:lang w:eastAsia="pl-PL"/>
        </w:rPr>
        <w:t>S</w:t>
      </w:r>
      <w:r w:rsidR="001B56AE" w:rsidRPr="007F28C1">
        <w:rPr>
          <w:rFonts w:ascii="Times New Roman" w:eastAsia="Times New Roman" w:hAnsi="Times New Roman" w:cs="Times New Roman"/>
          <w:sz w:val="24"/>
          <w:szCs w:val="24"/>
          <w:lang w:eastAsia="pl-PL"/>
        </w:rPr>
        <w:t>trony postępowania będą uwzględniane na etapie postępowania koncesyjnego, ale</w:t>
      </w:r>
      <w:r w:rsidR="00621E21" w:rsidRPr="007F28C1">
        <w:rPr>
          <w:rFonts w:ascii="Times New Roman" w:eastAsia="Times New Roman" w:hAnsi="Times New Roman" w:cs="Times New Roman"/>
          <w:sz w:val="24"/>
          <w:szCs w:val="24"/>
          <w:lang w:eastAsia="pl-PL"/>
        </w:rPr>
        <w:t> </w:t>
      </w:r>
      <w:r w:rsidR="001B56AE" w:rsidRPr="007F28C1">
        <w:rPr>
          <w:rFonts w:ascii="Times New Roman" w:eastAsia="Times New Roman" w:hAnsi="Times New Roman" w:cs="Times New Roman"/>
          <w:sz w:val="24"/>
          <w:szCs w:val="24"/>
          <w:lang w:eastAsia="pl-PL"/>
        </w:rPr>
        <w:t>przedsiębiorca będzie miał dodatkowy czas na uzyskanie prawa do korzystania z nieruchomości.</w:t>
      </w:r>
    </w:p>
    <w:p w14:paraId="0BC4DEE4" w14:textId="697AAF55" w:rsidR="001B56AE" w:rsidRPr="007F28C1" w:rsidRDefault="001B56A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W art. 24 ust. 4 P.g.g., w dodanym art. 49eb ust. 4</w:t>
      </w:r>
      <w:r w:rsidR="00EF5B6E"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P.g.g., a także w art. 80 ust. 4 P.g.g. doprecyzowano, że</w:t>
      </w:r>
      <w:r w:rsidR="005B7604" w:rsidRPr="007F28C1">
        <w:rPr>
          <w:rFonts w:ascii="Times New Roman" w:eastAsia="Times New Roman" w:hAnsi="Times New Roman" w:cs="Times New Roman"/>
          <w:sz w:val="24"/>
          <w:szCs w:val="24"/>
          <w:lang w:eastAsia="pl-PL"/>
        </w:rPr>
        <w:t xml:space="preserve"> </w:t>
      </w:r>
      <w:r w:rsidRPr="007F28C1">
        <w:rPr>
          <w:rFonts w:ascii="Times New Roman" w:hAnsi="Times New Roman" w:cs="Times New Roman"/>
          <w:sz w:val="24"/>
          <w:szCs w:val="24"/>
        </w:rPr>
        <w:t>organ koncesyjny może żądać złożenia kopii odpowiednio wniosku o udzielenie koncesji wraz z załącznikami albo projektu robót geologicznych, w postaci elektronicznej na informatycznych nośnikach danych. Kopie wniosków wraz z załącznikami są wymagane w celu przedłożenia do zaopiniowania oraz do uzgodnienia z organami współdziałającymi w toku post</w:t>
      </w:r>
      <w:r w:rsidR="00CB612A" w:rsidRPr="007F28C1">
        <w:rPr>
          <w:rFonts w:ascii="Times New Roman" w:hAnsi="Times New Roman" w:cs="Times New Roman"/>
          <w:sz w:val="24"/>
          <w:szCs w:val="24"/>
        </w:rPr>
        <w:t>ę</w:t>
      </w:r>
      <w:r w:rsidRPr="007F28C1">
        <w:rPr>
          <w:rFonts w:ascii="Times New Roman" w:hAnsi="Times New Roman" w:cs="Times New Roman"/>
          <w:sz w:val="24"/>
          <w:szCs w:val="24"/>
        </w:rPr>
        <w:t xml:space="preserve">powania. Kopie wniosków są przesyłane do organów współdziałających w </w:t>
      </w:r>
      <w:r w:rsidR="00150490" w:rsidRPr="007F28C1">
        <w:rPr>
          <w:rFonts w:ascii="Times New Roman" w:hAnsi="Times New Roman" w:cs="Times New Roman"/>
          <w:sz w:val="24"/>
          <w:szCs w:val="24"/>
        </w:rPr>
        <w:t xml:space="preserve">postaci </w:t>
      </w:r>
      <w:r w:rsidRPr="007F28C1">
        <w:rPr>
          <w:rFonts w:ascii="Times New Roman" w:hAnsi="Times New Roman" w:cs="Times New Roman"/>
          <w:sz w:val="24"/>
          <w:szCs w:val="24"/>
        </w:rPr>
        <w:t>elektronicznej za pośrednictwem ePUAP</w:t>
      </w:r>
      <w:r w:rsidR="00CB612A" w:rsidRPr="007F28C1">
        <w:rPr>
          <w:rFonts w:ascii="Times New Roman" w:hAnsi="Times New Roman" w:cs="Times New Roman"/>
          <w:sz w:val="24"/>
          <w:szCs w:val="24"/>
        </w:rPr>
        <w:t>-</w:t>
      </w:r>
      <w:r w:rsidRPr="007F28C1">
        <w:rPr>
          <w:rFonts w:ascii="Times New Roman" w:hAnsi="Times New Roman" w:cs="Times New Roman"/>
          <w:sz w:val="24"/>
          <w:szCs w:val="24"/>
        </w:rPr>
        <w:t>u, w związku z czym nie ma potrzeby przedkładania kopii wniosków w postaci papierowej.</w:t>
      </w:r>
    </w:p>
    <w:p w14:paraId="1AA791CB" w14:textId="60FC0625" w:rsidR="001B56AE" w:rsidRPr="007F28C1" w:rsidRDefault="001B56AE"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lastRenderedPageBreak/>
        <w:t xml:space="preserve">Zgodnie z dotychczasowymi przepisami P.g.g., we wniosku o udzielenie koncesji na podziemne bezzbiornikowe magazynowanie substancji albo podziemne składowanie odpadów nie było obowiązku wskazywania </w:t>
      </w:r>
      <w:r w:rsidRPr="007F28C1">
        <w:rPr>
          <w:rFonts w:ascii="Times New Roman" w:hAnsi="Times New Roman" w:cs="Times New Roman"/>
          <w:sz w:val="24"/>
          <w:szCs w:val="24"/>
        </w:rPr>
        <w:t xml:space="preserve">projektowanej pojemności podziemnego składowiska odpadów ani pojemności czynnej magazynu albo projektowanego zakresu i sposobu monitorowania podziemnego składowiska odpadów albo magazynu. W dodanym </w:t>
      </w:r>
      <w:r w:rsidRPr="007F28C1">
        <w:rPr>
          <w:rFonts w:ascii="Times New Roman" w:eastAsia="Times New Roman" w:hAnsi="Times New Roman" w:cs="Times New Roman"/>
          <w:sz w:val="24"/>
          <w:szCs w:val="24"/>
          <w:lang w:eastAsia="pl-PL"/>
        </w:rPr>
        <w:t>art. 27 ust. 1 pkt 5 i 6 P.g.g.</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u</w:t>
      </w:r>
      <w:r w:rsidRPr="007F28C1">
        <w:rPr>
          <w:rFonts w:ascii="Times New Roman" w:hAnsi="Times New Roman" w:cs="Times New Roman"/>
          <w:sz w:val="24"/>
          <w:szCs w:val="24"/>
        </w:rPr>
        <w:t xml:space="preserve">znano za uzasadnione doprecyzowanie tej kwestii. Dodatkowo </w:t>
      </w:r>
      <w:r w:rsidR="001C29AF" w:rsidRPr="007F28C1">
        <w:rPr>
          <w:rFonts w:ascii="Times New Roman" w:hAnsi="Times New Roman" w:cs="Times New Roman"/>
          <w:sz w:val="24"/>
          <w:szCs w:val="24"/>
        </w:rPr>
        <w:t>zdecydowano si</w:t>
      </w:r>
      <w:r w:rsidR="009C34D4" w:rsidRPr="007F28C1">
        <w:rPr>
          <w:rFonts w:ascii="Times New Roman" w:hAnsi="Times New Roman" w:cs="Times New Roman"/>
          <w:sz w:val="24"/>
          <w:szCs w:val="24"/>
        </w:rPr>
        <w:t>ę na uregulowanie kwestii lokalizacji, eksploatacji i zamknięcia podziemnego składowiska odpadów promieniotwórczych w przepisach rangi ustawowej zawartych w</w:t>
      </w:r>
      <w:r w:rsidR="000D0EB2" w:rsidRPr="007F28C1">
        <w:rPr>
          <w:rFonts w:ascii="Times New Roman" w:hAnsi="Times New Roman" w:cs="Times New Roman"/>
          <w:sz w:val="24"/>
          <w:szCs w:val="24"/>
        </w:rPr>
        <w:t> </w:t>
      </w:r>
      <w:r w:rsidR="009C34D4" w:rsidRPr="007F28C1">
        <w:rPr>
          <w:rFonts w:ascii="Times New Roman" w:hAnsi="Times New Roman" w:cs="Times New Roman"/>
          <w:sz w:val="24"/>
          <w:szCs w:val="24"/>
        </w:rPr>
        <w:t xml:space="preserve">ustawie </w:t>
      </w:r>
      <w:r w:rsidR="00CC4554" w:rsidRPr="007F28C1">
        <w:rPr>
          <w:rFonts w:ascii="Times New Roman" w:eastAsia="Times New Roman" w:hAnsi="Times New Roman" w:cs="Times New Roman"/>
          <w:sz w:val="24"/>
          <w:szCs w:val="24"/>
        </w:rPr>
        <w:t xml:space="preserve">z dnia 29 listopada 2000 r. – </w:t>
      </w:r>
      <w:r w:rsidR="009C34D4" w:rsidRPr="007F28C1">
        <w:rPr>
          <w:rFonts w:ascii="Times New Roman" w:eastAsia="Times New Roman" w:hAnsi="Times New Roman" w:cs="Times New Roman"/>
          <w:sz w:val="24"/>
          <w:szCs w:val="24"/>
        </w:rPr>
        <w:t>Prawo atomowe</w:t>
      </w:r>
      <w:r w:rsidR="009C34D4" w:rsidRPr="007F28C1">
        <w:rPr>
          <w:rFonts w:ascii="Times New Roman" w:eastAsia="Times New Roman" w:hAnsi="Times New Roman" w:cs="Times New Roman"/>
          <w:iCs/>
          <w:sz w:val="24"/>
          <w:szCs w:val="24"/>
        </w:rPr>
        <w:t xml:space="preserve">. </w:t>
      </w:r>
      <w:r w:rsidR="009C34D4" w:rsidRPr="007F28C1">
        <w:rPr>
          <w:rFonts w:ascii="Times New Roman" w:eastAsia="Times New Roman" w:hAnsi="Times New Roman" w:cs="Times New Roman"/>
          <w:sz w:val="24"/>
          <w:szCs w:val="24"/>
        </w:rPr>
        <w:t xml:space="preserve">W związku z powyższym dodano art. 125 ust. 2a P.g.g. i </w:t>
      </w:r>
      <w:r w:rsidR="00CC4554" w:rsidRPr="007F28C1">
        <w:rPr>
          <w:rFonts w:ascii="Times New Roman" w:eastAsia="Times New Roman" w:hAnsi="Times New Roman" w:cs="Times New Roman"/>
          <w:sz w:val="24"/>
          <w:szCs w:val="24"/>
        </w:rPr>
        <w:t xml:space="preserve">została </w:t>
      </w:r>
      <w:r w:rsidR="009C34D4" w:rsidRPr="007F28C1">
        <w:rPr>
          <w:rFonts w:ascii="Times New Roman" w:eastAsia="Times New Roman" w:hAnsi="Times New Roman" w:cs="Times New Roman"/>
          <w:sz w:val="24"/>
          <w:szCs w:val="24"/>
        </w:rPr>
        <w:t>zmieniona delegacja do wydania rozporządzenia zawarta w art. 125 ust. 7 P.g.g. Natomiast</w:t>
      </w:r>
      <w:r w:rsidR="009C34D4" w:rsidRPr="007F28C1">
        <w:rPr>
          <w:rFonts w:ascii="Times New Roman" w:eastAsia="Times New Roman" w:hAnsi="Times New Roman" w:cs="Times New Roman"/>
          <w:iCs/>
          <w:sz w:val="24"/>
          <w:szCs w:val="24"/>
        </w:rPr>
        <w:t xml:space="preserve"> </w:t>
      </w:r>
      <w:r w:rsidRPr="007F28C1">
        <w:rPr>
          <w:rFonts w:ascii="Times New Roman" w:hAnsi="Times New Roman" w:cs="Times New Roman"/>
          <w:sz w:val="24"/>
          <w:szCs w:val="24"/>
        </w:rPr>
        <w:t xml:space="preserve">w proponowanym art. 125 ust. 6a P.g.g. doprecyzowano, że wyniki monitoringu podziemnego składowiska odpadów będą przekazywane do PSG, która zgodnie z art. 162 ust. 1 pkt </w:t>
      </w:r>
      <w:r w:rsidR="00466D60" w:rsidRPr="007F28C1">
        <w:rPr>
          <w:rFonts w:ascii="Times New Roman" w:hAnsi="Times New Roman" w:cs="Times New Roman"/>
          <w:sz w:val="24"/>
          <w:szCs w:val="24"/>
        </w:rPr>
        <w:t>10d</w:t>
      </w:r>
      <w:r w:rsidR="00CC4554" w:rsidRPr="007F28C1">
        <w:rPr>
          <w:rFonts w:ascii="Times New Roman" w:hAnsi="Times New Roman" w:cs="Times New Roman"/>
          <w:sz w:val="24"/>
          <w:szCs w:val="24"/>
        </w:rPr>
        <w:t xml:space="preserve"> i</w:t>
      </w:r>
      <w:r w:rsidRPr="007F28C1">
        <w:rPr>
          <w:rFonts w:ascii="Times New Roman" w:hAnsi="Times New Roman" w:cs="Times New Roman"/>
          <w:sz w:val="24"/>
          <w:szCs w:val="24"/>
        </w:rPr>
        <w:t xml:space="preserve"> ust. 1a P.g.g. będzie gromadzić </w:t>
      </w:r>
      <w:r w:rsidR="00466D60" w:rsidRPr="007F28C1">
        <w:rPr>
          <w:rFonts w:ascii="Times New Roman" w:hAnsi="Times New Roman" w:cs="Times New Roman"/>
          <w:sz w:val="24"/>
          <w:szCs w:val="24"/>
        </w:rPr>
        <w:t xml:space="preserve">i przetwarzać </w:t>
      </w:r>
      <w:r w:rsidRPr="007F28C1">
        <w:rPr>
          <w:rFonts w:ascii="Times New Roman" w:hAnsi="Times New Roman" w:cs="Times New Roman"/>
          <w:sz w:val="24"/>
          <w:szCs w:val="24"/>
        </w:rPr>
        <w:t xml:space="preserve">informacje o wynikach z bieżącego </w:t>
      </w:r>
      <w:r w:rsidR="00466D60" w:rsidRPr="007F28C1">
        <w:rPr>
          <w:rFonts w:ascii="Times New Roman" w:hAnsi="Times New Roman" w:cs="Times New Roman"/>
          <w:sz w:val="24"/>
          <w:szCs w:val="24"/>
        </w:rPr>
        <w:t>monitoringu</w:t>
      </w:r>
      <w:r w:rsidRPr="007F28C1">
        <w:rPr>
          <w:rFonts w:ascii="Times New Roman" w:hAnsi="Times New Roman" w:cs="Times New Roman"/>
          <w:sz w:val="24"/>
          <w:szCs w:val="24"/>
        </w:rPr>
        <w:t xml:space="preserve"> podziemnych składowisk odpadów</w:t>
      </w:r>
      <w:r w:rsidR="008D5E5E" w:rsidRPr="007F28C1">
        <w:rPr>
          <w:rFonts w:ascii="Times New Roman" w:hAnsi="Times New Roman" w:cs="Times New Roman"/>
          <w:sz w:val="24"/>
          <w:szCs w:val="24"/>
        </w:rPr>
        <w:t xml:space="preserve"> oraz </w:t>
      </w:r>
      <w:r w:rsidR="0022587D" w:rsidRPr="007F28C1">
        <w:rPr>
          <w:rFonts w:ascii="Times New Roman" w:hAnsi="Times New Roman" w:cs="Times New Roman"/>
          <w:sz w:val="24"/>
          <w:szCs w:val="24"/>
        </w:rPr>
        <w:t xml:space="preserve">sporządzać </w:t>
      </w:r>
      <w:r w:rsidR="008D5E5E" w:rsidRPr="007F28C1">
        <w:rPr>
          <w:rFonts w:ascii="Times New Roman" w:hAnsi="Times New Roman" w:cs="Times New Roman"/>
          <w:sz w:val="24"/>
          <w:szCs w:val="24"/>
        </w:rPr>
        <w:t>na ich podstawie analizę,</w:t>
      </w:r>
      <w:r w:rsidR="0022587D" w:rsidRPr="007F28C1">
        <w:rPr>
          <w:rFonts w:ascii="Times New Roman" w:hAnsi="Times New Roman" w:cs="Times New Roman"/>
          <w:sz w:val="24"/>
          <w:szCs w:val="24"/>
        </w:rPr>
        <w:t xml:space="preserve"> </w:t>
      </w:r>
      <w:r w:rsidR="008D5E5E" w:rsidRPr="007F28C1">
        <w:rPr>
          <w:rFonts w:ascii="Times New Roman" w:hAnsi="Times New Roman" w:cs="Times New Roman"/>
          <w:sz w:val="24"/>
          <w:szCs w:val="24"/>
        </w:rPr>
        <w:t xml:space="preserve">a także przekazywać </w:t>
      </w:r>
      <w:r w:rsidR="002C3246" w:rsidRPr="007F28C1">
        <w:rPr>
          <w:rFonts w:ascii="Times New Roman" w:hAnsi="Times New Roman" w:cs="Times New Roman"/>
          <w:sz w:val="24"/>
          <w:szCs w:val="24"/>
        </w:rPr>
        <w:t xml:space="preserve">corocznie </w:t>
      </w:r>
      <w:r w:rsidR="00590353" w:rsidRPr="007F28C1">
        <w:rPr>
          <w:rFonts w:ascii="Times New Roman" w:hAnsi="Times New Roman" w:cs="Times New Roman"/>
          <w:sz w:val="24"/>
          <w:szCs w:val="24"/>
        </w:rPr>
        <w:t xml:space="preserve">ministrowi właściwemu do spraw środowiska </w:t>
      </w:r>
      <w:r w:rsidR="002C3246" w:rsidRPr="007F28C1">
        <w:rPr>
          <w:rFonts w:ascii="Times New Roman" w:hAnsi="Times New Roman" w:cs="Times New Roman"/>
          <w:sz w:val="24"/>
          <w:szCs w:val="24"/>
        </w:rPr>
        <w:t xml:space="preserve">oraz organowi nadzoru górniczego </w:t>
      </w:r>
      <w:r w:rsidR="008D5E5E" w:rsidRPr="007F28C1">
        <w:rPr>
          <w:rFonts w:ascii="Times New Roman" w:hAnsi="Times New Roman" w:cs="Times New Roman"/>
          <w:sz w:val="24"/>
          <w:szCs w:val="24"/>
        </w:rPr>
        <w:t>wyniki tej analiz</w:t>
      </w:r>
      <w:r w:rsidR="0022587D" w:rsidRPr="007F28C1">
        <w:rPr>
          <w:rFonts w:ascii="Times New Roman" w:hAnsi="Times New Roman" w:cs="Times New Roman"/>
          <w:sz w:val="24"/>
          <w:szCs w:val="24"/>
        </w:rPr>
        <w:t>y</w:t>
      </w:r>
      <w:r w:rsidRPr="007F28C1">
        <w:rPr>
          <w:rFonts w:ascii="Times New Roman" w:hAnsi="Times New Roman" w:cs="Times New Roman"/>
          <w:sz w:val="24"/>
          <w:szCs w:val="24"/>
        </w:rPr>
        <w:t xml:space="preserve">. </w:t>
      </w:r>
    </w:p>
    <w:p w14:paraId="6EE5C38B" w14:textId="0077430D" w:rsidR="008D5E5E" w:rsidRPr="007F28C1" w:rsidRDefault="008D5E5E" w:rsidP="007F28C1">
      <w:pPr>
        <w:spacing w:before="120" w:after="0" w:line="360" w:lineRule="auto"/>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bCs/>
          <w:sz w:val="24"/>
          <w:szCs w:val="24"/>
          <w:lang w:eastAsia="pl-PL"/>
        </w:rPr>
        <w:t xml:space="preserve">Zmiana art. 29 ust. 1 P.g.g. </w:t>
      </w:r>
      <w:r w:rsidR="00CC4554" w:rsidRPr="007F28C1">
        <w:rPr>
          <w:rFonts w:ascii="Times New Roman" w:eastAsia="Times New Roman" w:hAnsi="Times New Roman" w:cs="Times New Roman"/>
          <w:bCs/>
          <w:sz w:val="24"/>
          <w:szCs w:val="24"/>
          <w:lang w:eastAsia="pl-PL"/>
        </w:rPr>
        <w:t xml:space="preserve">jest </w:t>
      </w:r>
      <w:r w:rsidRPr="007F28C1">
        <w:rPr>
          <w:rFonts w:ascii="Times New Roman" w:eastAsia="Times New Roman" w:hAnsi="Times New Roman" w:cs="Times New Roman"/>
          <w:bCs/>
          <w:sz w:val="24"/>
          <w:szCs w:val="24"/>
          <w:lang w:eastAsia="pl-PL"/>
        </w:rPr>
        <w:t>związana z potrzebą doprecyzowania przesłanek odmowy udzielania koncesji na działalność regulowaną ustawą P.g.g. Zgodnie z dotychczasowym brzmieniem art. 29 P.g.g. organ koncesyjny odmawia udzielenia koncesji w ściśle określonych przypadkach: jeżeli zamierzona działalność sprzeciwia się interesowi publicznemu, w szczególności związanemu z bezpieczeństwem państwa</w:t>
      </w:r>
      <w:r w:rsidR="00CC4554" w:rsidRPr="007F28C1">
        <w:rPr>
          <w:rFonts w:ascii="Times New Roman" w:eastAsia="Times New Roman" w:hAnsi="Times New Roman" w:cs="Times New Roman"/>
          <w:bCs/>
          <w:sz w:val="24"/>
          <w:szCs w:val="24"/>
          <w:lang w:eastAsia="pl-PL"/>
        </w:rPr>
        <w:t>,</w:t>
      </w:r>
      <w:r w:rsidR="002C3246" w:rsidRPr="007F28C1">
        <w:rPr>
          <w:rFonts w:ascii="Times New Roman" w:eastAsia="Times New Roman" w:hAnsi="Times New Roman" w:cs="Times New Roman"/>
          <w:bCs/>
          <w:sz w:val="24"/>
          <w:szCs w:val="24"/>
          <w:lang w:eastAsia="pl-PL"/>
        </w:rPr>
        <w:t xml:space="preserve"> w tym z </w:t>
      </w:r>
      <w:r w:rsidRPr="007F28C1">
        <w:rPr>
          <w:rFonts w:ascii="Times New Roman" w:eastAsia="Times New Roman" w:hAnsi="Times New Roman" w:cs="Times New Roman"/>
          <w:bCs/>
          <w:sz w:val="24"/>
          <w:szCs w:val="24"/>
          <w:lang w:eastAsia="pl-PL"/>
        </w:rPr>
        <w:t>interesem surowcowym państwa lub ochroną środowiska</w:t>
      </w:r>
      <w:r w:rsidR="00CC4554" w:rsidRPr="007F28C1">
        <w:rPr>
          <w:rFonts w:ascii="Times New Roman" w:eastAsia="Times New Roman" w:hAnsi="Times New Roman" w:cs="Times New Roman"/>
          <w:bCs/>
          <w:sz w:val="24"/>
          <w:szCs w:val="24"/>
          <w:lang w:eastAsia="pl-PL"/>
        </w:rPr>
        <w:t>,</w:t>
      </w:r>
      <w:r w:rsidRPr="007F28C1">
        <w:rPr>
          <w:rFonts w:ascii="Times New Roman" w:eastAsia="Times New Roman" w:hAnsi="Times New Roman" w:cs="Times New Roman"/>
          <w:bCs/>
          <w:sz w:val="24"/>
          <w:szCs w:val="24"/>
          <w:lang w:eastAsia="pl-PL"/>
        </w:rPr>
        <w:t xml:space="preserve"> w tym z racjonalną gospodarką złożami kopalin, bądź uniemożliwiłaby wykorzystanie nieruchomości lub</w:t>
      </w:r>
      <w:r w:rsidR="00643D49"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bCs/>
          <w:sz w:val="24"/>
          <w:szCs w:val="24"/>
          <w:lang w:eastAsia="pl-PL"/>
        </w:rPr>
        <w:t>obszarów morskich Rzeczypospolitej Polskiej zgodnie z ich przeznaczeniem. Interes publiczny to klauzula generalna, która w kontekście indywidualnej sprawy musi być poddana stosownej wykładni</w:t>
      </w:r>
      <w:r w:rsidRPr="007F28C1">
        <w:rPr>
          <w:rFonts w:ascii="Times New Roman" w:eastAsia="Times New Roman" w:hAnsi="Times New Roman" w:cs="Times New Roman"/>
          <w:bCs/>
          <w:iCs/>
          <w:sz w:val="24"/>
          <w:szCs w:val="24"/>
          <w:lang w:eastAsia="pl-PL"/>
        </w:rPr>
        <w:t>.</w:t>
      </w:r>
      <w:r w:rsidRPr="007F28C1">
        <w:rPr>
          <w:rFonts w:ascii="Times New Roman" w:eastAsia="Times New Roman" w:hAnsi="Times New Roman" w:cs="Times New Roman"/>
          <w:bCs/>
          <w:sz w:val="24"/>
          <w:szCs w:val="24"/>
          <w:lang w:eastAsia="pl-PL"/>
        </w:rPr>
        <w:t xml:space="preserve"> Możliwe jest odwołanie się przez organ koncesyjny do wartości, które są wspólne i istotne dla całego społeczeństwa, a w szczególności mają oparcie w wartościach wskazywanych w Konstytucji R</w:t>
      </w:r>
      <w:r w:rsidR="008D5A2B" w:rsidRPr="007F28C1">
        <w:rPr>
          <w:rFonts w:ascii="Times New Roman" w:eastAsia="Times New Roman" w:hAnsi="Times New Roman" w:cs="Times New Roman"/>
          <w:bCs/>
          <w:sz w:val="24"/>
          <w:szCs w:val="24"/>
          <w:lang w:eastAsia="pl-PL"/>
        </w:rPr>
        <w:t xml:space="preserve">zeczypospolitej </w:t>
      </w:r>
      <w:r w:rsidRPr="007F28C1">
        <w:rPr>
          <w:rFonts w:ascii="Times New Roman" w:eastAsia="Times New Roman" w:hAnsi="Times New Roman" w:cs="Times New Roman"/>
          <w:bCs/>
          <w:sz w:val="24"/>
          <w:szCs w:val="24"/>
          <w:lang w:eastAsia="pl-PL"/>
        </w:rPr>
        <w:t>P</w:t>
      </w:r>
      <w:r w:rsidR="008D5A2B" w:rsidRPr="007F28C1">
        <w:rPr>
          <w:rFonts w:ascii="Times New Roman" w:eastAsia="Times New Roman" w:hAnsi="Times New Roman" w:cs="Times New Roman"/>
          <w:bCs/>
          <w:sz w:val="24"/>
          <w:szCs w:val="24"/>
          <w:lang w:eastAsia="pl-PL"/>
        </w:rPr>
        <w:t>olskiej</w:t>
      </w:r>
      <w:r w:rsidRPr="007F28C1">
        <w:rPr>
          <w:rFonts w:ascii="Times New Roman" w:eastAsia="Times New Roman" w:hAnsi="Times New Roman" w:cs="Times New Roman"/>
          <w:bCs/>
          <w:sz w:val="24"/>
          <w:szCs w:val="24"/>
          <w:lang w:eastAsia="pl-PL"/>
        </w:rPr>
        <w:t xml:space="preserve">. </w:t>
      </w:r>
    </w:p>
    <w:p w14:paraId="4777DEB5" w14:textId="2BF003E7" w:rsidR="008D5E5E" w:rsidRPr="007F28C1" w:rsidRDefault="008D5E5E" w:rsidP="007F28C1">
      <w:pPr>
        <w:spacing w:before="120" w:after="0" w:line="360" w:lineRule="auto"/>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bCs/>
          <w:sz w:val="24"/>
          <w:szCs w:val="24"/>
          <w:lang w:eastAsia="pl-PL"/>
        </w:rPr>
        <w:t xml:space="preserve">Dotychczasowe przesłanki odmowy udzielenia koncesji z uwagi na interes publiczny nie mają charakteru katalogu zamkniętego i są sformułowane ogólnie, co stwarza czasami problemy interpretacyjne przy wykładni tego przepisu. Dlatego też doprecyzowuje się w projektowanej regulacji, że interes publiczny ma uwzględniać również </w:t>
      </w:r>
      <w:r w:rsidR="009415E5" w:rsidRPr="007F28C1">
        <w:rPr>
          <w:rFonts w:ascii="Times New Roman" w:eastAsia="Times New Roman" w:hAnsi="Times New Roman" w:cs="Times New Roman"/>
          <w:bCs/>
          <w:sz w:val="24"/>
          <w:szCs w:val="24"/>
          <w:lang w:eastAsia="pl-PL"/>
        </w:rPr>
        <w:t>bezpieczeństwo</w:t>
      </w:r>
      <w:r w:rsidRPr="007F28C1">
        <w:rPr>
          <w:rFonts w:ascii="Times New Roman" w:eastAsia="Times New Roman" w:hAnsi="Times New Roman" w:cs="Times New Roman"/>
          <w:bCs/>
          <w:sz w:val="24"/>
          <w:szCs w:val="24"/>
          <w:lang w:eastAsia="pl-PL"/>
        </w:rPr>
        <w:t xml:space="preserve"> energetyczn</w:t>
      </w:r>
      <w:r w:rsidR="009415E5" w:rsidRPr="007F28C1">
        <w:rPr>
          <w:rFonts w:ascii="Times New Roman" w:eastAsia="Times New Roman" w:hAnsi="Times New Roman" w:cs="Times New Roman"/>
          <w:bCs/>
          <w:sz w:val="24"/>
          <w:szCs w:val="24"/>
          <w:lang w:eastAsia="pl-PL"/>
        </w:rPr>
        <w:t>e</w:t>
      </w:r>
      <w:r w:rsidRPr="007F28C1">
        <w:rPr>
          <w:rFonts w:ascii="Times New Roman" w:eastAsia="Times New Roman" w:hAnsi="Times New Roman" w:cs="Times New Roman"/>
          <w:bCs/>
          <w:sz w:val="24"/>
          <w:szCs w:val="24"/>
          <w:lang w:eastAsia="pl-PL"/>
        </w:rPr>
        <w:t xml:space="preserve"> państwa oraz </w:t>
      </w:r>
      <w:r w:rsidR="009415E5" w:rsidRPr="007F28C1">
        <w:rPr>
          <w:rFonts w:ascii="Times New Roman" w:eastAsia="Times New Roman" w:hAnsi="Times New Roman" w:cs="Times New Roman"/>
          <w:bCs/>
          <w:sz w:val="24"/>
          <w:szCs w:val="24"/>
          <w:lang w:eastAsia="pl-PL"/>
        </w:rPr>
        <w:t>możliwość pozyskania środków finansowych</w:t>
      </w:r>
      <w:r w:rsidRPr="007F28C1">
        <w:rPr>
          <w:rFonts w:ascii="Times New Roman" w:eastAsia="Times New Roman" w:hAnsi="Times New Roman" w:cs="Times New Roman"/>
          <w:bCs/>
          <w:sz w:val="24"/>
          <w:szCs w:val="24"/>
          <w:lang w:eastAsia="pl-PL"/>
        </w:rPr>
        <w:t>, związan</w:t>
      </w:r>
      <w:r w:rsidR="009415E5" w:rsidRPr="007F28C1">
        <w:rPr>
          <w:rFonts w:ascii="Times New Roman" w:eastAsia="Times New Roman" w:hAnsi="Times New Roman" w:cs="Times New Roman"/>
          <w:bCs/>
          <w:sz w:val="24"/>
          <w:szCs w:val="24"/>
          <w:lang w:eastAsia="pl-PL"/>
        </w:rPr>
        <w:t>ych</w:t>
      </w:r>
      <w:r w:rsidRPr="007F28C1">
        <w:rPr>
          <w:rFonts w:ascii="Times New Roman" w:eastAsia="Times New Roman" w:hAnsi="Times New Roman" w:cs="Times New Roman"/>
          <w:bCs/>
          <w:sz w:val="24"/>
          <w:szCs w:val="24"/>
          <w:lang w:eastAsia="pl-PL"/>
        </w:rPr>
        <w:t xml:space="preserve"> z </w:t>
      </w:r>
      <w:r w:rsidRPr="007F28C1">
        <w:rPr>
          <w:rFonts w:ascii="Times New Roman" w:eastAsia="Times New Roman" w:hAnsi="Times New Roman" w:cs="Times New Roman"/>
          <w:bCs/>
          <w:iCs/>
          <w:sz w:val="24"/>
          <w:szCs w:val="24"/>
          <w:lang w:eastAsia="pl-PL"/>
        </w:rPr>
        <w:t xml:space="preserve">transformacją energetyczną </w:t>
      </w:r>
      <w:r w:rsidRPr="007F28C1">
        <w:rPr>
          <w:rFonts w:ascii="Times New Roman" w:eastAsia="Times New Roman" w:hAnsi="Times New Roman" w:cs="Times New Roman"/>
          <w:bCs/>
          <w:iCs/>
          <w:sz w:val="24"/>
          <w:szCs w:val="24"/>
          <w:lang w:eastAsia="pl-PL"/>
        </w:rPr>
        <w:lastRenderedPageBreak/>
        <w:t xml:space="preserve">kraju. Organ koncesyjny, każdorazowo rozważając zastosowanie przesłanek przy odmowie udzielenia koncesji, w konkretnym stanie faktycznym, będzie musiał rozważyć bilans kosztów i korzyści społecznych – m.in. związanych z potencjalnymi przychodami gmin górniczych z podatków i innych wpływów z tytułu działalności geologiczno-górniczej, w tym uwzględnić również możliwe do pozyskania przez regiony wsparcie finansowe, m.in. z Funduszu Sprawiedliwej Transformacji. </w:t>
      </w:r>
      <w:r w:rsidRPr="007F28C1">
        <w:rPr>
          <w:rFonts w:ascii="Times New Roman" w:eastAsia="Times New Roman" w:hAnsi="Times New Roman" w:cs="Times New Roman"/>
          <w:bCs/>
          <w:sz w:val="24"/>
          <w:szCs w:val="24"/>
          <w:lang w:eastAsia="pl-PL"/>
        </w:rPr>
        <w:t>Organ koncesyjn</w:t>
      </w:r>
      <w:r w:rsidR="00CB6990" w:rsidRPr="007F28C1">
        <w:rPr>
          <w:rFonts w:ascii="Times New Roman" w:eastAsia="Times New Roman" w:hAnsi="Times New Roman" w:cs="Times New Roman"/>
          <w:bCs/>
          <w:sz w:val="24"/>
          <w:szCs w:val="24"/>
          <w:lang w:eastAsia="pl-PL"/>
        </w:rPr>
        <w:t>y</w:t>
      </w:r>
      <w:r w:rsidRPr="007F28C1">
        <w:rPr>
          <w:rFonts w:ascii="Times New Roman" w:eastAsia="Times New Roman" w:hAnsi="Times New Roman" w:cs="Times New Roman"/>
          <w:bCs/>
          <w:sz w:val="24"/>
          <w:szCs w:val="24"/>
          <w:lang w:eastAsia="pl-PL"/>
        </w:rPr>
        <w:t>, ustalając w toku postępowania, czy zaistniały przesłanki odmowy udzielenia koncesji</w:t>
      </w:r>
      <w:r w:rsidR="00CB6990" w:rsidRPr="007F28C1">
        <w:rPr>
          <w:rFonts w:ascii="Times New Roman" w:eastAsia="Times New Roman" w:hAnsi="Times New Roman" w:cs="Times New Roman"/>
          <w:bCs/>
          <w:sz w:val="24"/>
          <w:szCs w:val="24"/>
          <w:lang w:eastAsia="pl-PL"/>
        </w:rPr>
        <w:t xml:space="preserve"> wymienione w tym przepisie</w:t>
      </w:r>
      <w:r w:rsidR="009E73E6" w:rsidRPr="007F28C1">
        <w:rPr>
          <w:rFonts w:ascii="Times New Roman" w:eastAsia="Times New Roman" w:hAnsi="Times New Roman" w:cs="Times New Roman"/>
          <w:bCs/>
          <w:sz w:val="24"/>
          <w:szCs w:val="24"/>
          <w:lang w:eastAsia="pl-PL"/>
        </w:rPr>
        <w:t>,</w:t>
      </w:r>
      <w:r w:rsidR="005B7604" w:rsidRPr="007F28C1">
        <w:rPr>
          <w:rFonts w:ascii="Times New Roman" w:eastAsia="Times New Roman" w:hAnsi="Times New Roman" w:cs="Times New Roman"/>
          <w:bCs/>
          <w:sz w:val="24"/>
          <w:szCs w:val="24"/>
          <w:lang w:eastAsia="pl-PL"/>
        </w:rPr>
        <w:t xml:space="preserve"> </w:t>
      </w:r>
      <w:r w:rsidR="00CB6990" w:rsidRPr="007F28C1">
        <w:rPr>
          <w:rFonts w:ascii="Times New Roman" w:eastAsia="Times New Roman" w:hAnsi="Times New Roman" w:cs="Times New Roman"/>
          <w:bCs/>
          <w:sz w:val="24"/>
          <w:szCs w:val="24"/>
          <w:lang w:eastAsia="pl-PL"/>
        </w:rPr>
        <w:t>dokonując wykładni pojęcia interesu publicznego na gruncie konkretnego postępowania</w:t>
      </w:r>
      <w:r w:rsidR="001A746A">
        <w:rPr>
          <w:rFonts w:ascii="Times New Roman" w:eastAsia="Times New Roman" w:hAnsi="Times New Roman" w:cs="Times New Roman"/>
          <w:bCs/>
          <w:sz w:val="24"/>
          <w:szCs w:val="24"/>
          <w:lang w:eastAsia="pl-PL"/>
        </w:rPr>
        <w:t>,</w:t>
      </w:r>
      <w:r w:rsidRPr="007F28C1">
        <w:rPr>
          <w:rFonts w:ascii="Times New Roman" w:eastAsia="Times New Roman" w:hAnsi="Times New Roman" w:cs="Times New Roman"/>
          <w:bCs/>
          <w:sz w:val="24"/>
          <w:szCs w:val="24"/>
          <w:lang w:eastAsia="pl-PL"/>
        </w:rPr>
        <w:t xml:space="preserve"> będ</w:t>
      </w:r>
      <w:r w:rsidR="003D3420" w:rsidRPr="007F28C1">
        <w:rPr>
          <w:rFonts w:ascii="Times New Roman" w:eastAsia="Times New Roman" w:hAnsi="Times New Roman" w:cs="Times New Roman"/>
          <w:bCs/>
          <w:sz w:val="24"/>
          <w:szCs w:val="24"/>
          <w:lang w:eastAsia="pl-PL"/>
        </w:rPr>
        <w:t>zie</w:t>
      </w:r>
      <w:r w:rsidRPr="007F28C1">
        <w:rPr>
          <w:rFonts w:ascii="Times New Roman" w:eastAsia="Times New Roman" w:hAnsi="Times New Roman" w:cs="Times New Roman"/>
          <w:bCs/>
          <w:sz w:val="24"/>
          <w:szCs w:val="24"/>
          <w:lang w:eastAsia="pl-PL"/>
        </w:rPr>
        <w:t xml:space="preserve"> </w:t>
      </w:r>
      <w:r w:rsidR="008D5A2B" w:rsidRPr="007F28C1">
        <w:rPr>
          <w:rFonts w:ascii="Times New Roman" w:eastAsia="Times New Roman" w:hAnsi="Times New Roman" w:cs="Times New Roman"/>
          <w:bCs/>
          <w:sz w:val="24"/>
          <w:szCs w:val="24"/>
          <w:lang w:eastAsia="pl-PL"/>
        </w:rPr>
        <w:t xml:space="preserve">również, co oczywiste, </w:t>
      </w:r>
      <w:r w:rsidRPr="007F28C1">
        <w:rPr>
          <w:rFonts w:ascii="Times New Roman" w:eastAsia="Times New Roman" w:hAnsi="Times New Roman" w:cs="Times New Roman"/>
          <w:bCs/>
          <w:sz w:val="24"/>
          <w:szCs w:val="24"/>
          <w:lang w:eastAsia="pl-PL"/>
        </w:rPr>
        <w:t>posiłkowa</w:t>
      </w:r>
      <w:r w:rsidR="009E73E6" w:rsidRPr="007F28C1">
        <w:rPr>
          <w:rFonts w:ascii="Times New Roman" w:eastAsia="Times New Roman" w:hAnsi="Times New Roman" w:cs="Times New Roman"/>
          <w:bCs/>
          <w:sz w:val="24"/>
          <w:szCs w:val="24"/>
          <w:lang w:eastAsia="pl-PL"/>
        </w:rPr>
        <w:t>ł</w:t>
      </w:r>
      <w:r w:rsidRPr="007F28C1">
        <w:rPr>
          <w:rFonts w:ascii="Times New Roman" w:eastAsia="Times New Roman" w:hAnsi="Times New Roman" w:cs="Times New Roman"/>
          <w:bCs/>
          <w:sz w:val="24"/>
          <w:szCs w:val="24"/>
          <w:lang w:eastAsia="pl-PL"/>
        </w:rPr>
        <w:t xml:space="preserve"> się politykami, programami, strategiami państwa oraz innymi wytycznymi, zawartymi zwłaszcza w uchwałach Rady Ministrów</w:t>
      </w:r>
      <w:r w:rsidR="009E73E6" w:rsidRPr="007F28C1">
        <w:rPr>
          <w:rFonts w:ascii="Times New Roman" w:eastAsia="Times New Roman" w:hAnsi="Times New Roman" w:cs="Times New Roman"/>
          <w:bCs/>
          <w:sz w:val="24"/>
          <w:szCs w:val="24"/>
          <w:lang w:eastAsia="pl-PL"/>
        </w:rPr>
        <w:t xml:space="preserve"> określających politykę surowcową państwa, politykę klimatyczną czy politykę energetyczną, również w zakresie wynikającym z zobowiązań Rzeczypospolitej Polskiej związanych z członkostwem w Unii Europejskiej i realizacją celów klimatycznych stawianych przez U</w:t>
      </w:r>
      <w:r w:rsidR="00CC4554" w:rsidRPr="007F28C1">
        <w:rPr>
          <w:rFonts w:ascii="Times New Roman" w:eastAsia="Times New Roman" w:hAnsi="Times New Roman" w:cs="Times New Roman"/>
          <w:bCs/>
          <w:sz w:val="24"/>
          <w:szCs w:val="24"/>
          <w:lang w:eastAsia="pl-PL"/>
        </w:rPr>
        <w:t xml:space="preserve">nię </w:t>
      </w:r>
      <w:r w:rsidR="009E73E6" w:rsidRPr="007F28C1">
        <w:rPr>
          <w:rFonts w:ascii="Times New Roman" w:eastAsia="Times New Roman" w:hAnsi="Times New Roman" w:cs="Times New Roman"/>
          <w:bCs/>
          <w:sz w:val="24"/>
          <w:szCs w:val="24"/>
          <w:lang w:eastAsia="pl-PL"/>
        </w:rPr>
        <w:t>E</w:t>
      </w:r>
      <w:r w:rsidR="00CC4554" w:rsidRPr="007F28C1">
        <w:rPr>
          <w:rFonts w:ascii="Times New Roman" w:eastAsia="Times New Roman" w:hAnsi="Times New Roman" w:cs="Times New Roman"/>
          <w:bCs/>
          <w:sz w:val="24"/>
          <w:szCs w:val="24"/>
          <w:lang w:eastAsia="pl-PL"/>
        </w:rPr>
        <w:t>uropejską</w:t>
      </w:r>
      <w:r w:rsidR="00967A32">
        <w:rPr>
          <w:rFonts w:ascii="Times New Roman" w:eastAsia="Times New Roman" w:hAnsi="Times New Roman" w:cs="Times New Roman"/>
          <w:bCs/>
          <w:sz w:val="24"/>
          <w:szCs w:val="24"/>
          <w:lang w:eastAsia="pl-PL"/>
        </w:rPr>
        <w:t xml:space="preserve"> </w:t>
      </w:r>
      <w:r w:rsidR="009E73E6" w:rsidRPr="007F28C1">
        <w:rPr>
          <w:rFonts w:ascii="Times New Roman" w:eastAsia="Times New Roman" w:hAnsi="Times New Roman" w:cs="Times New Roman"/>
          <w:bCs/>
          <w:sz w:val="24"/>
          <w:szCs w:val="24"/>
          <w:lang w:eastAsia="pl-PL"/>
        </w:rPr>
        <w:t>państwom członkowskim</w:t>
      </w:r>
      <w:r w:rsidRPr="007F28C1">
        <w:rPr>
          <w:rFonts w:ascii="Times New Roman" w:eastAsia="Times New Roman" w:hAnsi="Times New Roman" w:cs="Times New Roman"/>
          <w:bCs/>
          <w:sz w:val="24"/>
          <w:szCs w:val="24"/>
          <w:lang w:eastAsia="pl-PL"/>
        </w:rPr>
        <w:t>.</w:t>
      </w:r>
    </w:p>
    <w:p w14:paraId="5CA79913" w14:textId="405381D6" w:rsidR="008D5E5E" w:rsidRPr="007F28C1" w:rsidRDefault="008D5E5E" w:rsidP="007F28C1">
      <w:pPr>
        <w:spacing w:before="120" w:after="0" w:line="360" w:lineRule="auto"/>
        <w:jc w:val="both"/>
        <w:rPr>
          <w:rFonts w:ascii="Times New Roman" w:eastAsia="Times New Roman" w:hAnsi="Times New Roman" w:cs="Times New Roman"/>
          <w:bCs/>
          <w:sz w:val="24"/>
          <w:szCs w:val="24"/>
          <w:lang w:eastAsia="pl-PL"/>
        </w:rPr>
      </w:pPr>
      <w:bookmarkStart w:id="7" w:name="_Hlk121325666"/>
      <w:r w:rsidRPr="007F28C1">
        <w:rPr>
          <w:rFonts w:ascii="Times New Roman" w:eastAsia="Times New Roman" w:hAnsi="Times New Roman" w:cs="Times New Roman"/>
          <w:bCs/>
          <w:sz w:val="24"/>
          <w:szCs w:val="24"/>
          <w:lang w:eastAsia="pl-PL"/>
        </w:rPr>
        <w:t xml:space="preserve">Ponadto w art. 23 P.g.g. rozszerzono katalog podmiotów współdziałających przy udzielaniu koncesji na poszukiwanie, rozpoznawanie lub wydobywanie </w:t>
      </w:r>
      <w:r w:rsidR="006C2505" w:rsidRPr="007F28C1">
        <w:rPr>
          <w:rFonts w:ascii="Times New Roman" w:eastAsia="Times New Roman" w:hAnsi="Times New Roman" w:cs="Times New Roman"/>
          <w:bCs/>
          <w:sz w:val="24"/>
          <w:szCs w:val="24"/>
          <w:lang w:eastAsia="pl-PL"/>
        </w:rPr>
        <w:t xml:space="preserve">węgla kamiennego lub brunatnego o ministra właściwego do spraw rozwoju regionalnego, </w:t>
      </w:r>
      <w:r w:rsidRPr="007F28C1">
        <w:rPr>
          <w:rFonts w:ascii="Times New Roman" w:eastAsia="Times New Roman" w:hAnsi="Times New Roman" w:cs="Times New Roman"/>
          <w:bCs/>
          <w:sz w:val="24"/>
          <w:szCs w:val="24"/>
          <w:lang w:eastAsia="pl-PL"/>
        </w:rPr>
        <w:t>odpowiedzialn</w:t>
      </w:r>
      <w:r w:rsidR="006C2505" w:rsidRPr="007F28C1">
        <w:rPr>
          <w:rFonts w:ascii="Times New Roman" w:eastAsia="Times New Roman" w:hAnsi="Times New Roman" w:cs="Times New Roman"/>
          <w:bCs/>
          <w:sz w:val="24"/>
          <w:szCs w:val="24"/>
          <w:lang w:eastAsia="pl-PL"/>
        </w:rPr>
        <w:t>ego</w:t>
      </w:r>
      <w:r w:rsidR="00AA26A0"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bCs/>
          <w:sz w:val="24"/>
          <w:szCs w:val="24"/>
          <w:lang w:eastAsia="pl-PL"/>
        </w:rPr>
        <w:t>za programowanie i</w:t>
      </w:r>
      <w:r w:rsidR="006C2505"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bCs/>
          <w:sz w:val="24"/>
          <w:szCs w:val="24"/>
          <w:lang w:eastAsia="pl-PL"/>
        </w:rPr>
        <w:t>koordynację polityki rozwoju oraz zarządzanie systemem Funduszy Europejskich.</w:t>
      </w:r>
    </w:p>
    <w:bookmarkEnd w:id="7"/>
    <w:p w14:paraId="2995245E" w14:textId="3F849F6B" w:rsidR="00E41DA0" w:rsidRPr="007F28C1" w:rsidRDefault="008D5A2B"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bCs/>
          <w:sz w:val="24"/>
          <w:szCs w:val="24"/>
          <w:lang w:eastAsia="pl-PL"/>
        </w:rPr>
        <w:t>Niezależnie od omówionej wyżej zmiany art. 29 P.g.g.</w:t>
      </w:r>
      <w:r w:rsidR="00CC4554" w:rsidRPr="007F28C1">
        <w:rPr>
          <w:rFonts w:ascii="Times New Roman" w:eastAsia="Times New Roman" w:hAnsi="Times New Roman" w:cs="Times New Roman"/>
          <w:bCs/>
          <w:sz w:val="24"/>
          <w:szCs w:val="24"/>
          <w:lang w:eastAsia="pl-PL"/>
        </w:rPr>
        <w:t>,</w:t>
      </w:r>
      <w:r w:rsidRPr="007F28C1">
        <w:rPr>
          <w:rFonts w:ascii="Times New Roman" w:eastAsia="Times New Roman" w:hAnsi="Times New Roman" w:cs="Times New Roman"/>
          <w:bCs/>
          <w:sz w:val="24"/>
          <w:szCs w:val="24"/>
          <w:lang w:eastAsia="pl-PL"/>
        </w:rPr>
        <w:t xml:space="preserve"> w projekcie przewidziano również wprowadzenie </w:t>
      </w:r>
      <w:r w:rsidR="00194F73" w:rsidRPr="007F28C1">
        <w:rPr>
          <w:rFonts w:ascii="Times New Roman" w:eastAsia="Times New Roman" w:hAnsi="Times New Roman" w:cs="Times New Roman"/>
          <w:bCs/>
          <w:sz w:val="24"/>
          <w:szCs w:val="24"/>
          <w:lang w:eastAsia="pl-PL"/>
        </w:rPr>
        <w:t>w nowym art. 29a P.g.g. in</w:t>
      </w:r>
      <w:r w:rsidRPr="007F28C1">
        <w:rPr>
          <w:rFonts w:ascii="Times New Roman" w:eastAsia="Times New Roman" w:hAnsi="Times New Roman" w:cs="Times New Roman"/>
          <w:bCs/>
          <w:sz w:val="24"/>
          <w:szCs w:val="24"/>
          <w:lang w:eastAsia="pl-PL"/>
        </w:rPr>
        <w:t xml:space="preserve">stytucji </w:t>
      </w:r>
      <w:r w:rsidR="00AF085A" w:rsidRPr="007F28C1">
        <w:rPr>
          <w:rFonts w:ascii="Times New Roman" w:eastAsia="Times New Roman" w:hAnsi="Times New Roman" w:cs="Times New Roman"/>
          <w:bCs/>
          <w:sz w:val="24"/>
          <w:szCs w:val="24"/>
          <w:lang w:eastAsia="pl-PL"/>
        </w:rPr>
        <w:t xml:space="preserve">umożliwiającej organowi koncesyjnemu prowadzenie skuteczniejszej polityki surowcowej państwa, </w:t>
      </w:r>
      <w:r w:rsidR="00194F73" w:rsidRPr="007F28C1">
        <w:rPr>
          <w:rFonts w:ascii="Times New Roman" w:eastAsia="Times New Roman" w:hAnsi="Times New Roman" w:cs="Times New Roman"/>
          <w:bCs/>
          <w:sz w:val="24"/>
          <w:szCs w:val="24"/>
          <w:lang w:eastAsia="pl-PL"/>
        </w:rPr>
        <w:t xml:space="preserve">ale także </w:t>
      </w:r>
      <w:r w:rsidR="00AF085A" w:rsidRPr="007F28C1">
        <w:rPr>
          <w:rFonts w:ascii="Times New Roman" w:eastAsia="Times New Roman" w:hAnsi="Times New Roman" w:cs="Times New Roman"/>
          <w:bCs/>
          <w:sz w:val="24"/>
          <w:szCs w:val="24"/>
          <w:lang w:eastAsia="pl-PL"/>
        </w:rPr>
        <w:t xml:space="preserve">uwzględniającej </w:t>
      </w:r>
      <w:r w:rsidR="00194F73" w:rsidRPr="007F28C1">
        <w:rPr>
          <w:rFonts w:ascii="Times New Roman" w:eastAsia="Times New Roman" w:hAnsi="Times New Roman" w:cs="Times New Roman"/>
          <w:bCs/>
          <w:sz w:val="24"/>
          <w:szCs w:val="24"/>
          <w:lang w:eastAsia="pl-PL"/>
        </w:rPr>
        <w:t>wymogi i uwarunkowania związane z polityką klimatyczną państwa i transformacją energetyczną. Zgodnie z</w:t>
      </w:r>
      <w:r w:rsidR="0006193B" w:rsidRPr="007F28C1">
        <w:rPr>
          <w:rFonts w:ascii="Times New Roman" w:eastAsia="Times New Roman" w:hAnsi="Times New Roman" w:cs="Times New Roman"/>
          <w:bCs/>
          <w:sz w:val="24"/>
          <w:szCs w:val="24"/>
          <w:lang w:eastAsia="pl-PL"/>
        </w:rPr>
        <w:t> </w:t>
      </w:r>
      <w:r w:rsidR="00194F73" w:rsidRPr="007F28C1">
        <w:rPr>
          <w:rFonts w:ascii="Times New Roman" w:eastAsia="Times New Roman" w:hAnsi="Times New Roman" w:cs="Times New Roman"/>
          <w:bCs/>
          <w:sz w:val="24"/>
          <w:szCs w:val="24"/>
          <w:lang w:eastAsia="pl-PL"/>
        </w:rPr>
        <w:t>projektowanym przepisem o</w:t>
      </w:r>
      <w:r w:rsidR="00AF085A" w:rsidRPr="007F28C1">
        <w:rPr>
          <w:rFonts w:ascii="Times New Roman" w:eastAsia="Times New Roman" w:hAnsi="Times New Roman" w:cs="Times New Roman"/>
          <w:sz w:val="24"/>
          <w:szCs w:val="24"/>
          <w:lang w:eastAsia="pl-PL"/>
        </w:rPr>
        <w:t>rgan koncesyjny może czasowo wstrzymać udzielanie koncesji na działalność</w:t>
      </w:r>
      <w:r w:rsidR="00194F73" w:rsidRPr="007F28C1">
        <w:rPr>
          <w:rFonts w:ascii="Times New Roman" w:eastAsia="Times New Roman" w:hAnsi="Times New Roman" w:cs="Times New Roman"/>
          <w:sz w:val="24"/>
          <w:szCs w:val="24"/>
          <w:lang w:eastAsia="pl-PL"/>
        </w:rPr>
        <w:t xml:space="preserve"> </w:t>
      </w:r>
      <w:r w:rsidR="0006193B" w:rsidRPr="007F28C1">
        <w:rPr>
          <w:rFonts w:ascii="Times New Roman" w:eastAsia="Times New Roman" w:hAnsi="Times New Roman" w:cs="Times New Roman"/>
          <w:sz w:val="24"/>
          <w:szCs w:val="24"/>
          <w:lang w:eastAsia="pl-PL"/>
        </w:rPr>
        <w:t>polegającą na poszukiwaniu, rozpoznawaniu i wydobywaniu kopalin ze złóż</w:t>
      </w:r>
      <w:r w:rsidR="00AF085A" w:rsidRPr="007F28C1">
        <w:rPr>
          <w:rFonts w:ascii="Times New Roman" w:eastAsia="Times New Roman" w:hAnsi="Times New Roman" w:cs="Times New Roman"/>
          <w:sz w:val="24"/>
          <w:szCs w:val="24"/>
          <w:lang w:eastAsia="pl-PL"/>
        </w:rPr>
        <w:t xml:space="preserve"> na obszarze c</w:t>
      </w:r>
      <w:r w:rsidR="00B80C73" w:rsidRPr="007F28C1">
        <w:rPr>
          <w:rFonts w:ascii="Times New Roman" w:eastAsia="Times New Roman" w:hAnsi="Times New Roman" w:cs="Times New Roman"/>
          <w:sz w:val="24"/>
          <w:szCs w:val="24"/>
          <w:lang w:eastAsia="pl-PL"/>
        </w:rPr>
        <w:t>ałego</w:t>
      </w:r>
      <w:r w:rsidR="00AF085A" w:rsidRPr="007F28C1">
        <w:rPr>
          <w:rFonts w:ascii="Times New Roman" w:eastAsia="Times New Roman" w:hAnsi="Times New Roman" w:cs="Times New Roman"/>
          <w:sz w:val="24"/>
          <w:szCs w:val="24"/>
          <w:lang w:eastAsia="pl-PL"/>
        </w:rPr>
        <w:t xml:space="preserve"> lub c</w:t>
      </w:r>
      <w:r w:rsidR="00B80C73" w:rsidRPr="007F28C1">
        <w:rPr>
          <w:rFonts w:ascii="Times New Roman" w:eastAsia="Times New Roman" w:hAnsi="Times New Roman" w:cs="Times New Roman"/>
          <w:sz w:val="24"/>
          <w:szCs w:val="24"/>
          <w:lang w:eastAsia="pl-PL"/>
        </w:rPr>
        <w:t>zęści</w:t>
      </w:r>
      <w:r w:rsidR="00AF085A" w:rsidRPr="007F28C1">
        <w:rPr>
          <w:rFonts w:ascii="Times New Roman" w:eastAsia="Times New Roman" w:hAnsi="Times New Roman" w:cs="Times New Roman"/>
          <w:sz w:val="24"/>
          <w:szCs w:val="24"/>
          <w:lang w:eastAsia="pl-PL"/>
        </w:rPr>
        <w:t xml:space="preserve"> terytorium Rzeczypospolitej Polskiej, jeżeli udzielenie koncesji na tę działalność stałoby w sprzeczności z interesem publicznym, o którym mowa w art. 29 ust. 1 pkt 1</w:t>
      </w:r>
      <w:r w:rsidR="000D0EB2" w:rsidRPr="007F28C1">
        <w:rPr>
          <w:rFonts w:ascii="Times New Roman" w:eastAsia="Times New Roman" w:hAnsi="Times New Roman" w:cs="Times New Roman"/>
          <w:sz w:val="24"/>
          <w:szCs w:val="24"/>
          <w:lang w:eastAsia="pl-PL"/>
        </w:rPr>
        <w:t xml:space="preserve"> P.g.g</w:t>
      </w:r>
      <w:r w:rsidR="00AF085A" w:rsidRPr="007F28C1">
        <w:rPr>
          <w:rFonts w:ascii="Times New Roman" w:eastAsia="Times New Roman" w:hAnsi="Times New Roman" w:cs="Times New Roman"/>
          <w:sz w:val="24"/>
          <w:szCs w:val="24"/>
          <w:lang w:eastAsia="pl-PL"/>
        </w:rPr>
        <w:t>.</w:t>
      </w:r>
      <w:r w:rsidR="0006193B" w:rsidRPr="007F28C1">
        <w:rPr>
          <w:rFonts w:ascii="Times New Roman" w:eastAsia="Times New Roman" w:hAnsi="Times New Roman" w:cs="Times New Roman"/>
          <w:sz w:val="24"/>
          <w:szCs w:val="24"/>
          <w:lang w:eastAsia="pl-PL"/>
        </w:rPr>
        <w:t xml:space="preserve"> </w:t>
      </w:r>
    </w:p>
    <w:p w14:paraId="7758220B" w14:textId="28EF5AB2" w:rsidR="00E9199C" w:rsidRPr="007F28C1" w:rsidRDefault="0006193B"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Aczkolwiek przesłanki czasowego wstrzymania udzielania koncesji są tożsame z przesłankami odmowy udzielenia koncesji</w:t>
      </w:r>
      <w:r w:rsidR="00A25FFB" w:rsidRPr="007F28C1">
        <w:rPr>
          <w:rFonts w:ascii="Times New Roman" w:eastAsia="Times New Roman" w:hAnsi="Times New Roman" w:cs="Times New Roman"/>
          <w:sz w:val="24"/>
          <w:szCs w:val="24"/>
          <w:lang w:eastAsia="pl-PL"/>
        </w:rPr>
        <w:t xml:space="preserve"> i organ koncesyjny mógłby każdorazowo odmawiać udzielenia koncesji na podstawie już obowiązującego art. 29 P.g.g.</w:t>
      </w:r>
      <w:r w:rsidRPr="007F28C1">
        <w:rPr>
          <w:rFonts w:ascii="Times New Roman" w:eastAsia="Times New Roman" w:hAnsi="Times New Roman" w:cs="Times New Roman"/>
          <w:sz w:val="24"/>
          <w:szCs w:val="24"/>
          <w:lang w:eastAsia="pl-PL"/>
        </w:rPr>
        <w:t xml:space="preserve">, projektodawca uznał jednak, że </w:t>
      </w:r>
      <w:r w:rsidR="00A25FFB" w:rsidRPr="007F28C1">
        <w:rPr>
          <w:rFonts w:ascii="Times New Roman" w:eastAsia="Times New Roman" w:hAnsi="Times New Roman" w:cs="Times New Roman"/>
          <w:sz w:val="24"/>
          <w:szCs w:val="24"/>
          <w:lang w:eastAsia="pl-PL"/>
        </w:rPr>
        <w:t>wywodzona z</w:t>
      </w:r>
      <w:r w:rsidR="00705A7E" w:rsidRPr="007F28C1">
        <w:rPr>
          <w:rFonts w:ascii="Times New Roman" w:eastAsia="Times New Roman" w:hAnsi="Times New Roman" w:cs="Times New Roman"/>
          <w:sz w:val="24"/>
          <w:szCs w:val="24"/>
          <w:lang w:eastAsia="pl-PL"/>
        </w:rPr>
        <w:t> </w:t>
      </w:r>
      <w:r w:rsidR="00A25FFB" w:rsidRPr="007F28C1">
        <w:rPr>
          <w:rFonts w:ascii="Times New Roman" w:eastAsia="Times New Roman" w:hAnsi="Times New Roman" w:cs="Times New Roman"/>
          <w:sz w:val="24"/>
          <w:szCs w:val="24"/>
          <w:lang w:eastAsia="pl-PL"/>
        </w:rPr>
        <w:t>konstytucyjnej zasady demokratycznego państwa praw</w:t>
      </w:r>
      <w:r w:rsidR="00EC6244">
        <w:rPr>
          <w:rFonts w:ascii="Times New Roman" w:eastAsia="Times New Roman" w:hAnsi="Times New Roman" w:cs="Times New Roman"/>
          <w:sz w:val="24"/>
          <w:szCs w:val="24"/>
          <w:lang w:eastAsia="pl-PL"/>
        </w:rPr>
        <w:t>nego</w:t>
      </w:r>
      <w:r w:rsidR="00A25FFB" w:rsidRPr="007F28C1">
        <w:rPr>
          <w:rFonts w:ascii="Times New Roman" w:eastAsia="Times New Roman" w:hAnsi="Times New Roman" w:cs="Times New Roman"/>
          <w:sz w:val="24"/>
          <w:szCs w:val="24"/>
          <w:lang w:eastAsia="pl-PL"/>
        </w:rPr>
        <w:t xml:space="preserve"> zasada zaufania obywatela do państwa wymaga, aby w sytuacji, gdy </w:t>
      </w:r>
      <w:r w:rsidR="005A6D23" w:rsidRPr="007F28C1">
        <w:rPr>
          <w:rFonts w:ascii="Times New Roman" w:eastAsia="Times New Roman" w:hAnsi="Times New Roman" w:cs="Times New Roman"/>
          <w:sz w:val="24"/>
          <w:szCs w:val="24"/>
          <w:lang w:eastAsia="pl-PL"/>
        </w:rPr>
        <w:t xml:space="preserve">z góry wiadomo, że z uwagi na interes publiczny związany np. z interesem surowcowym państwa czy realizacją transformacji </w:t>
      </w:r>
      <w:r w:rsidR="005A6D23" w:rsidRPr="007F28C1">
        <w:rPr>
          <w:rFonts w:ascii="Times New Roman" w:eastAsia="Times New Roman" w:hAnsi="Times New Roman" w:cs="Times New Roman"/>
          <w:sz w:val="24"/>
          <w:szCs w:val="24"/>
          <w:lang w:eastAsia="pl-PL"/>
        </w:rPr>
        <w:lastRenderedPageBreak/>
        <w:t>energetycznej koncesje na konkretną działalność określoną w P.g.g. nie będą mogły być udzielone, należy z wyprzedzeniem poinformować o</w:t>
      </w:r>
      <w:r w:rsidR="00705A7E" w:rsidRPr="007F28C1">
        <w:rPr>
          <w:rFonts w:ascii="Times New Roman" w:eastAsia="Times New Roman" w:hAnsi="Times New Roman" w:cs="Times New Roman"/>
          <w:sz w:val="24"/>
          <w:szCs w:val="24"/>
          <w:lang w:eastAsia="pl-PL"/>
        </w:rPr>
        <w:t> </w:t>
      </w:r>
      <w:r w:rsidR="005A6D23" w:rsidRPr="007F28C1">
        <w:rPr>
          <w:rFonts w:ascii="Times New Roman" w:eastAsia="Times New Roman" w:hAnsi="Times New Roman" w:cs="Times New Roman"/>
          <w:sz w:val="24"/>
          <w:szCs w:val="24"/>
          <w:lang w:eastAsia="pl-PL"/>
        </w:rPr>
        <w:t xml:space="preserve">tym fakcie przedsiębiorców potencjalnie zainteresowanych prowadzeniem tej działalności. </w:t>
      </w:r>
    </w:p>
    <w:p w14:paraId="796A39BD" w14:textId="09B68664" w:rsidR="00024367" w:rsidRPr="007F28C1" w:rsidRDefault="00CD6E9B"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Projektowany art. 29a P.g.g. przewiduje, </w:t>
      </w:r>
      <w:bookmarkStart w:id="8" w:name="_Hlk108778646"/>
      <w:bookmarkEnd w:id="8"/>
      <w:r w:rsidRPr="00CF413A">
        <w:rPr>
          <w:rFonts w:ascii="Times New Roman" w:eastAsia="Times New Roman" w:hAnsi="Times New Roman" w:cs="Times New Roman"/>
          <w:sz w:val="24"/>
          <w:szCs w:val="24"/>
          <w:lang w:eastAsia="pl-PL"/>
        </w:rPr>
        <w:t xml:space="preserve">że </w:t>
      </w:r>
      <w:r w:rsidR="00AF085A" w:rsidRPr="007F28C1">
        <w:rPr>
          <w:rFonts w:ascii="Times New Roman" w:eastAsia="Times New Roman" w:hAnsi="Times New Roman" w:cs="Times New Roman"/>
          <w:sz w:val="24"/>
          <w:szCs w:val="24"/>
          <w:lang w:eastAsia="pl-PL"/>
        </w:rPr>
        <w:t xml:space="preserve">czasowe wstrzymanie udzielania koncesji </w:t>
      </w:r>
      <w:r w:rsidRPr="007F28C1">
        <w:rPr>
          <w:rFonts w:ascii="Times New Roman" w:eastAsia="Times New Roman" w:hAnsi="Times New Roman" w:cs="Times New Roman"/>
          <w:sz w:val="24"/>
          <w:szCs w:val="24"/>
          <w:lang w:eastAsia="pl-PL"/>
        </w:rPr>
        <w:t xml:space="preserve">będzie ogłaszane przez organ koncesyjny </w:t>
      </w:r>
      <w:r w:rsidR="00AF085A" w:rsidRPr="007F28C1">
        <w:rPr>
          <w:rFonts w:ascii="Times New Roman" w:eastAsia="Times New Roman" w:hAnsi="Times New Roman" w:cs="Times New Roman"/>
          <w:sz w:val="24"/>
          <w:szCs w:val="24"/>
          <w:lang w:eastAsia="pl-PL"/>
        </w:rPr>
        <w:t xml:space="preserve">w drodze obwieszczenia publikowanego w Dzienniku Urzędowym Rzeczypospolitej Polskiej „Monitor Polski”, z co najmniej trzymiesięcznym wyprzedzeniem, </w:t>
      </w:r>
      <w:r w:rsidRPr="007F28C1">
        <w:rPr>
          <w:rFonts w:ascii="Times New Roman" w:eastAsia="Times New Roman" w:hAnsi="Times New Roman" w:cs="Times New Roman"/>
          <w:sz w:val="24"/>
          <w:szCs w:val="24"/>
          <w:lang w:eastAsia="pl-PL"/>
        </w:rPr>
        <w:t xml:space="preserve">a w </w:t>
      </w:r>
      <w:r w:rsidR="00CC4554" w:rsidRPr="007F28C1">
        <w:rPr>
          <w:rFonts w:ascii="Times New Roman" w:eastAsia="Times New Roman" w:hAnsi="Times New Roman" w:cs="Times New Roman"/>
          <w:sz w:val="24"/>
          <w:szCs w:val="24"/>
          <w:lang w:eastAsia="pl-PL"/>
        </w:rPr>
        <w:t xml:space="preserve">tym </w:t>
      </w:r>
      <w:r w:rsidRPr="007F28C1">
        <w:rPr>
          <w:rFonts w:ascii="Times New Roman" w:eastAsia="Times New Roman" w:hAnsi="Times New Roman" w:cs="Times New Roman"/>
          <w:sz w:val="24"/>
          <w:szCs w:val="24"/>
          <w:lang w:eastAsia="pl-PL"/>
        </w:rPr>
        <w:t xml:space="preserve">obwieszczeniu </w:t>
      </w:r>
      <w:r w:rsidR="00CC4554" w:rsidRPr="007F28C1">
        <w:rPr>
          <w:rFonts w:ascii="Times New Roman" w:eastAsia="Times New Roman" w:hAnsi="Times New Roman" w:cs="Times New Roman"/>
          <w:sz w:val="24"/>
          <w:szCs w:val="24"/>
          <w:lang w:eastAsia="pl-PL"/>
        </w:rPr>
        <w:t xml:space="preserve">zostanie </w:t>
      </w:r>
      <w:r w:rsidR="00AF085A" w:rsidRPr="007F28C1">
        <w:rPr>
          <w:rFonts w:ascii="Times New Roman" w:eastAsia="Times New Roman" w:hAnsi="Times New Roman" w:cs="Times New Roman"/>
          <w:sz w:val="24"/>
          <w:szCs w:val="24"/>
          <w:lang w:eastAsia="pl-PL"/>
        </w:rPr>
        <w:t>szczegółowo określ</w:t>
      </w:r>
      <w:r w:rsidRPr="007F28C1">
        <w:rPr>
          <w:rFonts w:ascii="Times New Roman" w:eastAsia="Times New Roman" w:hAnsi="Times New Roman" w:cs="Times New Roman"/>
          <w:sz w:val="24"/>
          <w:szCs w:val="24"/>
          <w:lang w:eastAsia="pl-PL"/>
        </w:rPr>
        <w:t>ony</w:t>
      </w:r>
      <w:r w:rsidR="00AF085A" w:rsidRPr="007F28C1">
        <w:rPr>
          <w:rFonts w:ascii="Times New Roman" w:eastAsia="Times New Roman" w:hAnsi="Times New Roman" w:cs="Times New Roman"/>
          <w:sz w:val="24"/>
          <w:szCs w:val="24"/>
          <w:lang w:eastAsia="pl-PL"/>
        </w:rPr>
        <w:t xml:space="preserve"> rodzaj działalności, rodzaj kopaliny, obszar oraz </w:t>
      </w:r>
      <w:r w:rsidR="00CD7863" w:rsidRPr="007F28C1">
        <w:rPr>
          <w:rFonts w:ascii="Times New Roman" w:eastAsia="Times New Roman" w:hAnsi="Times New Roman" w:cs="Times New Roman"/>
          <w:sz w:val="24"/>
          <w:szCs w:val="24"/>
          <w:lang w:eastAsia="pl-PL"/>
        </w:rPr>
        <w:t>okres</w:t>
      </w:r>
      <w:r w:rsidR="00AF085A" w:rsidRPr="007F28C1">
        <w:rPr>
          <w:rFonts w:ascii="Times New Roman" w:eastAsia="Times New Roman" w:hAnsi="Times New Roman" w:cs="Times New Roman"/>
          <w:sz w:val="24"/>
          <w:szCs w:val="24"/>
          <w:lang w:eastAsia="pl-PL"/>
        </w:rPr>
        <w:t>, w którym koncesje nie będą udzielane, a także wskaz</w:t>
      </w:r>
      <w:r w:rsidRPr="007F28C1">
        <w:rPr>
          <w:rFonts w:ascii="Times New Roman" w:eastAsia="Times New Roman" w:hAnsi="Times New Roman" w:cs="Times New Roman"/>
          <w:sz w:val="24"/>
          <w:szCs w:val="24"/>
          <w:lang w:eastAsia="pl-PL"/>
        </w:rPr>
        <w:t>any</w:t>
      </w:r>
      <w:r w:rsidR="00AF085A" w:rsidRPr="007F28C1">
        <w:rPr>
          <w:rFonts w:ascii="Times New Roman" w:eastAsia="Times New Roman" w:hAnsi="Times New Roman" w:cs="Times New Roman"/>
          <w:sz w:val="24"/>
          <w:szCs w:val="24"/>
          <w:lang w:eastAsia="pl-PL"/>
        </w:rPr>
        <w:t xml:space="preserve"> rodzaj interesu publicznego, o którym mowa w</w:t>
      </w:r>
      <w:r w:rsidRPr="007F28C1">
        <w:rPr>
          <w:rFonts w:ascii="Times New Roman" w:eastAsia="Times New Roman" w:hAnsi="Times New Roman" w:cs="Times New Roman"/>
          <w:sz w:val="24"/>
          <w:szCs w:val="24"/>
          <w:lang w:eastAsia="pl-PL"/>
        </w:rPr>
        <w:t xml:space="preserve"> art. 29 P.g.g.</w:t>
      </w:r>
      <w:r w:rsidR="00AF085A" w:rsidRPr="007F28C1">
        <w:rPr>
          <w:rFonts w:ascii="Times New Roman" w:eastAsia="Times New Roman" w:hAnsi="Times New Roman" w:cs="Times New Roman"/>
          <w:sz w:val="24"/>
          <w:szCs w:val="24"/>
          <w:lang w:eastAsia="pl-PL"/>
        </w:rPr>
        <w:t>, uzasadniającego czasowe wstrzymanie udzielania konces</w:t>
      </w:r>
      <w:r w:rsidR="00E8023F" w:rsidRPr="007F28C1">
        <w:rPr>
          <w:rFonts w:ascii="Times New Roman" w:eastAsia="Times New Roman" w:hAnsi="Times New Roman" w:cs="Times New Roman"/>
          <w:sz w:val="24"/>
          <w:szCs w:val="24"/>
          <w:lang w:eastAsia="pl-PL"/>
        </w:rPr>
        <w:t>ji. Projektowany art. 29a P.g.g. zakłada, że o</w:t>
      </w:r>
      <w:r w:rsidR="00AF085A" w:rsidRPr="007F28C1">
        <w:rPr>
          <w:rFonts w:ascii="Times New Roman" w:eastAsia="Times New Roman" w:hAnsi="Times New Roman" w:cs="Times New Roman"/>
          <w:sz w:val="24"/>
          <w:szCs w:val="24"/>
          <w:lang w:eastAsia="pl-PL"/>
        </w:rPr>
        <w:t>rgan koncesyjny odm</w:t>
      </w:r>
      <w:r w:rsidR="00E8023F" w:rsidRPr="007F28C1">
        <w:rPr>
          <w:rFonts w:ascii="Times New Roman" w:eastAsia="Times New Roman" w:hAnsi="Times New Roman" w:cs="Times New Roman"/>
          <w:sz w:val="24"/>
          <w:szCs w:val="24"/>
          <w:lang w:eastAsia="pl-PL"/>
        </w:rPr>
        <w:t>ó</w:t>
      </w:r>
      <w:r w:rsidR="00AF085A" w:rsidRPr="007F28C1">
        <w:rPr>
          <w:rFonts w:ascii="Times New Roman" w:eastAsia="Times New Roman" w:hAnsi="Times New Roman" w:cs="Times New Roman"/>
          <w:sz w:val="24"/>
          <w:szCs w:val="24"/>
          <w:lang w:eastAsia="pl-PL"/>
        </w:rPr>
        <w:t xml:space="preserve">wi wszczęcia postępowania </w:t>
      </w:r>
      <w:r w:rsidR="00E8023F" w:rsidRPr="007F28C1">
        <w:rPr>
          <w:rFonts w:ascii="Times New Roman" w:eastAsia="Times New Roman" w:hAnsi="Times New Roman" w:cs="Times New Roman"/>
          <w:sz w:val="24"/>
          <w:szCs w:val="24"/>
          <w:lang w:eastAsia="pl-PL"/>
        </w:rPr>
        <w:t>na podstawie wniosków, które wpłynęły do organu w czasie wstrzymania udzielania koncesji, określonym w powyższym obwieszczeniu, a</w:t>
      </w:r>
      <w:r w:rsidR="00705A7E" w:rsidRPr="007F28C1">
        <w:rPr>
          <w:rFonts w:ascii="Times New Roman" w:eastAsia="Times New Roman" w:hAnsi="Times New Roman" w:cs="Times New Roman"/>
          <w:sz w:val="24"/>
          <w:szCs w:val="24"/>
          <w:lang w:eastAsia="pl-PL"/>
        </w:rPr>
        <w:t> </w:t>
      </w:r>
      <w:r w:rsidR="00E8023F" w:rsidRPr="007F28C1">
        <w:rPr>
          <w:rFonts w:ascii="Times New Roman" w:eastAsia="Times New Roman" w:hAnsi="Times New Roman" w:cs="Times New Roman"/>
          <w:sz w:val="24"/>
          <w:szCs w:val="24"/>
          <w:lang w:eastAsia="pl-PL"/>
        </w:rPr>
        <w:t>dotyczyły</w:t>
      </w:r>
      <w:r w:rsidR="00AF085A" w:rsidRPr="007F28C1">
        <w:rPr>
          <w:rFonts w:ascii="Times New Roman" w:eastAsia="Times New Roman" w:hAnsi="Times New Roman" w:cs="Times New Roman"/>
          <w:sz w:val="24"/>
          <w:szCs w:val="24"/>
          <w:lang w:eastAsia="pl-PL"/>
        </w:rPr>
        <w:t xml:space="preserve"> udzielenia koncesji obejmującej rodzaj działalności, rodzaj kopaliny i obszar wskazane w</w:t>
      </w:r>
      <w:r w:rsidR="00E8023F" w:rsidRPr="007F28C1">
        <w:rPr>
          <w:rFonts w:ascii="Times New Roman" w:eastAsia="Times New Roman" w:hAnsi="Times New Roman" w:cs="Times New Roman"/>
          <w:sz w:val="24"/>
          <w:szCs w:val="24"/>
          <w:lang w:eastAsia="pl-PL"/>
        </w:rPr>
        <w:t> </w:t>
      </w:r>
      <w:r w:rsidR="00AF085A" w:rsidRPr="007F28C1">
        <w:rPr>
          <w:rFonts w:ascii="Times New Roman" w:eastAsia="Times New Roman" w:hAnsi="Times New Roman" w:cs="Times New Roman"/>
          <w:sz w:val="24"/>
          <w:szCs w:val="24"/>
          <w:lang w:eastAsia="pl-PL"/>
        </w:rPr>
        <w:t>obwieszczeniu.</w:t>
      </w:r>
    </w:p>
    <w:p w14:paraId="16EFBF9E" w14:textId="37BEEE3F" w:rsidR="00EF4103" w:rsidRPr="007F28C1" w:rsidRDefault="00EF4103"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Ponadto, mając na uwadze ochronę praw nabytych, w projektowanym art. 29a </w:t>
      </w:r>
      <w:r w:rsidR="003B536B" w:rsidRPr="007F28C1">
        <w:rPr>
          <w:rFonts w:ascii="Times New Roman" w:eastAsia="Times New Roman" w:hAnsi="Times New Roman" w:cs="Times New Roman"/>
          <w:sz w:val="24"/>
          <w:szCs w:val="24"/>
          <w:lang w:eastAsia="pl-PL"/>
        </w:rPr>
        <w:t xml:space="preserve">P.g.g. </w:t>
      </w:r>
      <w:r w:rsidRPr="007F28C1">
        <w:rPr>
          <w:rFonts w:ascii="Times New Roman" w:eastAsia="Times New Roman" w:hAnsi="Times New Roman" w:cs="Times New Roman"/>
          <w:sz w:val="24"/>
          <w:szCs w:val="24"/>
          <w:lang w:eastAsia="pl-PL"/>
        </w:rPr>
        <w:t xml:space="preserve">wprowadzono ust. 4, zgodnie z którym bieg terminów dotyczących szczególnych uprawnień, o których mowa w art. 15 ust. 1 i art. 99 ust. 3 P.g.g., związanych z rozpoznaniem i udokumentowaniem złóż kopalin, to jest prawa do wnioskowania o ustanowienie użytkowania </w:t>
      </w:r>
      <w:r w:rsidR="00065C4C" w:rsidRPr="007F28C1">
        <w:rPr>
          <w:rFonts w:ascii="Times New Roman" w:eastAsia="Times New Roman" w:hAnsi="Times New Roman" w:cs="Times New Roman"/>
          <w:sz w:val="24"/>
          <w:szCs w:val="24"/>
          <w:lang w:eastAsia="pl-PL"/>
        </w:rPr>
        <w:t xml:space="preserve">górniczego </w:t>
      </w:r>
      <w:r w:rsidRPr="007F28C1">
        <w:rPr>
          <w:rFonts w:ascii="Times New Roman" w:eastAsia="Times New Roman" w:hAnsi="Times New Roman" w:cs="Times New Roman"/>
          <w:sz w:val="24"/>
          <w:szCs w:val="24"/>
          <w:lang w:eastAsia="pl-PL"/>
        </w:rPr>
        <w:t xml:space="preserve">z pierwszeństwem przed innymi podmiotami i wyłącznego prawa do korzystania z informacji geologicznej w celu ubiegania się o wykonywanie działalności, o której mowa w art. 100 ust. 2 P.g.g., ulega zawieszeniu na okres wstrzymania udzielania koncesji określony w obwieszczeniu organu koncesyjnego. </w:t>
      </w:r>
    </w:p>
    <w:p w14:paraId="36D58A22" w14:textId="01771CDC" w:rsidR="0051727D" w:rsidRPr="007F28C1" w:rsidRDefault="00EF4103"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Również</w:t>
      </w:r>
      <w:r w:rsidR="00053379">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m</w:t>
      </w:r>
      <w:r w:rsidR="00E8023F" w:rsidRPr="007F28C1">
        <w:rPr>
          <w:rFonts w:ascii="Times New Roman" w:eastAsia="Times New Roman" w:hAnsi="Times New Roman" w:cs="Times New Roman"/>
          <w:sz w:val="24"/>
          <w:szCs w:val="24"/>
          <w:lang w:eastAsia="pl-PL"/>
        </w:rPr>
        <w:t>ając na uwadze ochronę praw nabytych</w:t>
      </w:r>
      <w:r w:rsidR="000F6A77"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przez </w:t>
      </w:r>
      <w:r w:rsidR="000F6A77" w:rsidRPr="007F28C1">
        <w:rPr>
          <w:rFonts w:ascii="Times New Roman" w:eastAsia="Times New Roman" w:hAnsi="Times New Roman" w:cs="Times New Roman"/>
          <w:sz w:val="24"/>
          <w:szCs w:val="24"/>
          <w:lang w:eastAsia="pl-PL"/>
        </w:rPr>
        <w:t>przedsiębiorców</w:t>
      </w:r>
      <w:r w:rsidR="00053379">
        <w:rPr>
          <w:rFonts w:ascii="Times New Roman" w:eastAsia="Times New Roman" w:hAnsi="Times New Roman" w:cs="Times New Roman"/>
          <w:sz w:val="24"/>
          <w:szCs w:val="24"/>
          <w:lang w:eastAsia="pl-PL"/>
        </w:rPr>
        <w:t>,</w:t>
      </w:r>
      <w:r w:rsidR="00E8023F" w:rsidRPr="007F28C1">
        <w:rPr>
          <w:rFonts w:ascii="Times New Roman" w:eastAsia="Times New Roman" w:hAnsi="Times New Roman" w:cs="Times New Roman"/>
          <w:sz w:val="24"/>
          <w:szCs w:val="24"/>
          <w:lang w:eastAsia="pl-PL"/>
        </w:rPr>
        <w:t xml:space="preserve"> </w:t>
      </w:r>
      <w:r w:rsidR="000F6A77" w:rsidRPr="007F28C1">
        <w:rPr>
          <w:rFonts w:ascii="Times New Roman" w:eastAsia="Times New Roman" w:hAnsi="Times New Roman" w:cs="Times New Roman"/>
          <w:sz w:val="24"/>
          <w:szCs w:val="24"/>
          <w:lang w:eastAsia="pl-PL"/>
        </w:rPr>
        <w:t>projektodawca uznał, że art. 29</w:t>
      </w:r>
      <w:r w:rsidR="00B80C73" w:rsidRPr="007F28C1">
        <w:rPr>
          <w:rFonts w:ascii="Times New Roman" w:eastAsia="Times New Roman" w:hAnsi="Times New Roman" w:cs="Times New Roman"/>
          <w:sz w:val="24"/>
          <w:szCs w:val="24"/>
          <w:lang w:eastAsia="pl-PL"/>
        </w:rPr>
        <w:t>a P.g.g.</w:t>
      </w:r>
      <w:r w:rsidR="000F6A77" w:rsidRPr="007F28C1">
        <w:rPr>
          <w:rFonts w:ascii="Times New Roman" w:eastAsia="Times New Roman" w:hAnsi="Times New Roman" w:cs="Times New Roman"/>
          <w:sz w:val="24"/>
          <w:szCs w:val="24"/>
          <w:lang w:eastAsia="pl-PL"/>
        </w:rPr>
        <w:t xml:space="preserve"> nie powinien mieć zastosowania do zmiany koncesji już udzielonych, dlatego też </w:t>
      </w:r>
      <w:r w:rsidR="00E8023F" w:rsidRPr="007F28C1">
        <w:rPr>
          <w:rFonts w:ascii="Times New Roman" w:eastAsia="Times New Roman" w:hAnsi="Times New Roman" w:cs="Times New Roman"/>
          <w:sz w:val="24"/>
          <w:szCs w:val="24"/>
          <w:lang w:eastAsia="pl-PL"/>
        </w:rPr>
        <w:t>dokona</w:t>
      </w:r>
      <w:r w:rsidR="000F6A77" w:rsidRPr="007F28C1">
        <w:rPr>
          <w:rFonts w:ascii="Times New Roman" w:eastAsia="Times New Roman" w:hAnsi="Times New Roman" w:cs="Times New Roman"/>
          <w:sz w:val="24"/>
          <w:szCs w:val="24"/>
          <w:lang w:eastAsia="pl-PL"/>
        </w:rPr>
        <w:t>no</w:t>
      </w:r>
      <w:r w:rsidR="00E8023F" w:rsidRPr="007F28C1">
        <w:rPr>
          <w:rFonts w:ascii="Times New Roman" w:eastAsia="Times New Roman" w:hAnsi="Times New Roman" w:cs="Times New Roman"/>
          <w:sz w:val="24"/>
          <w:szCs w:val="24"/>
          <w:lang w:eastAsia="pl-PL"/>
        </w:rPr>
        <w:t xml:space="preserve"> </w:t>
      </w:r>
      <w:r w:rsidR="000F6A77" w:rsidRPr="007F28C1">
        <w:rPr>
          <w:rFonts w:ascii="Times New Roman" w:eastAsia="Times New Roman" w:hAnsi="Times New Roman" w:cs="Times New Roman"/>
          <w:sz w:val="24"/>
          <w:szCs w:val="24"/>
          <w:lang w:eastAsia="pl-PL"/>
        </w:rPr>
        <w:t xml:space="preserve">stosownej </w:t>
      </w:r>
      <w:r w:rsidR="00E8023F" w:rsidRPr="007F28C1">
        <w:rPr>
          <w:rFonts w:ascii="Times New Roman" w:eastAsia="Times New Roman" w:hAnsi="Times New Roman" w:cs="Times New Roman"/>
          <w:sz w:val="24"/>
          <w:szCs w:val="24"/>
          <w:lang w:eastAsia="pl-PL"/>
        </w:rPr>
        <w:t>zmiany</w:t>
      </w:r>
      <w:r w:rsidR="00AF085A" w:rsidRPr="007F28C1">
        <w:rPr>
          <w:rFonts w:ascii="Times New Roman" w:eastAsia="Times New Roman" w:hAnsi="Times New Roman" w:cs="Times New Roman"/>
          <w:bCs/>
          <w:sz w:val="24"/>
          <w:szCs w:val="24"/>
          <w:lang w:eastAsia="pl-PL"/>
        </w:rPr>
        <w:t xml:space="preserve"> </w:t>
      </w:r>
      <w:r w:rsidR="00AF085A" w:rsidRPr="007F28C1">
        <w:rPr>
          <w:rFonts w:ascii="Times New Roman" w:eastAsia="Times New Roman" w:hAnsi="Times New Roman" w:cs="Times New Roman"/>
          <w:sz w:val="24"/>
          <w:szCs w:val="24"/>
          <w:lang w:eastAsia="pl-PL"/>
        </w:rPr>
        <w:t>art. 34</w:t>
      </w:r>
      <w:r w:rsidR="00E8023F" w:rsidRPr="007F28C1">
        <w:rPr>
          <w:rFonts w:ascii="Times New Roman" w:eastAsia="Times New Roman" w:hAnsi="Times New Roman" w:cs="Times New Roman"/>
          <w:sz w:val="24"/>
          <w:szCs w:val="24"/>
          <w:lang w:eastAsia="pl-PL"/>
        </w:rPr>
        <w:t xml:space="preserve"> P.g.g.</w:t>
      </w:r>
      <w:r w:rsidR="000F6A77" w:rsidRPr="007F28C1">
        <w:rPr>
          <w:rFonts w:ascii="Times New Roman" w:eastAsia="Times New Roman" w:hAnsi="Times New Roman" w:cs="Times New Roman"/>
          <w:sz w:val="24"/>
          <w:szCs w:val="24"/>
          <w:lang w:eastAsia="pl-PL"/>
        </w:rPr>
        <w:t xml:space="preserve"> nakazującego</w:t>
      </w:r>
      <w:r w:rsidR="000F6A77" w:rsidRPr="007F28C1">
        <w:rPr>
          <w:rFonts w:ascii="Times New Roman" w:eastAsia="Times New Roman" w:hAnsi="Times New Roman" w:cs="Times New Roman"/>
          <w:bCs/>
          <w:sz w:val="24"/>
          <w:szCs w:val="24"/>
          <w:lang w:eastAsia="pl-PL"/>
        </w:rPr>
        <w:t xml:space="preserve"> </w:t>
      </w:r>
      <w:r w:rsidR="00CC4554" w:rsidRPr="007F28C1">
        <w:rPr>
          <w:rFonts w:ascii="Times New Roman" w:eastAsia="Times New Roman" w:hAnsi="Times New Roman" w:cs="Times New Roman"/>
          <w:sz w:val="24"/>
          <w:szCs w:val="24"/>
          <w:lang w:eastAsia="pl-PL"/>
        </w:rPr>
        <w:t xml:space="preserve">stosować </w:t>
      </w:r>
      <w:r w:rsidR="000F6A77" w:rsidRPr="007F28C1">
        <w:rPr>
          <w:rFonts w:ascii="Times New Roman" w:eastAsia="Times New Roman" w:hAnsi="Times New Roman" w:cs="Times New Roman"/>
          <w:sz w:val="24"/>
          <w:szCs w:val="24"/>
          <w:lang w:eastAsia="pl-PL"/>
        </w:rPr>
        <w:t>d</w:t>
      </w:r>
      <w:r w:rsidR="00AF085A" w:rsidRPr="007F28C1">
        <w:rPr>
          <w:rFonts w:ascii="Times New Roman" w:eastAsia="Times New Roman" w:hAnsi="Times New Roman" w:cs="Times New Roman"/>
          <w:sz w:val="24"/>
          <w:szCs w:val="24"/>
          <w:lang w:eastAsia="pl-PL"/>
        </w:rPr>
        <w:t>o zmiany koncesji odpowiednio przepisy o</w:t>
      </w:r>
      <w:r w:rsidR="00705A7E" w:rsidRPr="007F28C1">
        <w:rPr>
          <w:rFonts w:ascii="Times New Roman" w:eastAsia="Times New Roman" w:hAnsi="Times New Roman" w:cs="Times New Roman"/>
          <w:sz w:val="24"/>
          <w:szCs w:val="24"/>
          <w:lang w:eastAsia="pl-PL"/>
        </w:rPr>
        <w:t> </w:t>
      </w:r>
      <w:r w:rsidR="00AF085A" w:rsidRPr="007F28C1">
        <w:rPr>
          <w:rFonts w:ascii="Times New Roman" w:eastAsia="Times New Roman" w:hAnsi="Times New Roman" w:cs="Times New Roman"/>
          <w:sz w:val="24"/>
          <w:szCs w:val="24"/>
          <w:lang w:eastAsia="pl-PL"/>
        </w:rPr>
        <w:t>jej udzieleniu</w:t>
      </w:r>
      <w:r w:rsidR="000F6A77" w:rsidRPr="007F28C1">
        <w:rPr>
          <w:rFonts w:ascii="Times New Roman" w:eastAsia="Times New Roman" w:hAnsi="Times New Roman" w:cs="Times New Roman"/>
          <w:sz w:val="24"/>
          <w:szCs w:val="24"/>
          <w:lang w:eastAsia="pl-PL"/>
        </w:rPr>
        <w:t xml:space="preserve"> i wprost wyłączono stosowanie art. 29a </w:t>
      </w:r>
      <w:r w:rsidR="00B80C73" w:rsidRPr="007F28C1">
        <w:rPr>
          <w:rFonts w:ascii="Times New Roman" w:eastAsia="Times New Roman" w:hAnsi="Times New Roman" w:cs="Times New Roman"/>
          <w:sz w:val="24"/>
          <w:szCs w:val="24"/>
          <w:lang w:eastAsia="pl-PL"/>
        </w:rPr>
        <w:t xml:space="preserve">P.g.g. </w:t>
      </w:r>
      <w:r w:rsidR="000F6A77" w:rsidRPr="007F28C1">
        <w:rPr>
          <w:rFonts w:ascii="Times New Roman" w:eastAsia="Times New Roman" w:hAnsi="Times New Roman" w:cs="Times New Roman"/>
          <w:sz w:val="24"/>
          <w:szCs w:val="24"/>
          <w:lang w:eastAsia="pl-PL"/>
        </w:rPr>
        <w:t xml:space="preserve">przy zmianie koncesji. </w:t>
      </w:r>
    </w:p>
    <w:p w14:paraId="386CBB1D" w14:textId="7B4F499D" w:rsidR="00020A00" w:rsidRPr="007F28C1" w:rsidRDefault="000F6A77"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Niewątpliwie </w:t>
      </w:r>
      <w:r w:rsidR="00C8268D" w:rsidRPr="007F28C1">
        <w:rPr>
          <w:rFonts w:ascii="Times New Roman" w:eastAsia="Times New Roman" w:hAnsi="Times New Roman" w:cs="Times New Roman"/>
          <w:sz w:val="24"/>
          <w:szCs w:val="24"/>
          <w:lang w:eastAsia="pl-PL"/>
        </w:rPr>
        <w:t>wprowadzony do P.g.g. art. 29a stanowi ograniczenie wolności działalności gospodarczej, jednak należy zaznaczyć, że ograniczenie to dokonuje się w sposób zgodny z art. 22 Konstytucji Rzeczypospolitej Polskiej</w:t>
      </w:r>
      <w:r w:rsidR="00BD6DE5" w:rsidRPr="007F28C1">
        <w:rPr>
          <w:rFonts w:ascii="Times New Roman" w:eastAsia="Times New Roman" w:hAnsi="Times New Roman" w:cs="Times New Roman"/>
          <w:sz w:val="24"/>
          <w:szCs w:val="24"/>
          <w:lang w:eastAsia="pl-PL"/>
        </w:rPr>
        <w:t xml:space="preserve">, </w:t>
      </w:r>
      <w:r w:rsidR="00C8268D" w:rsidRPr="007F28C1">
        <w:rPr>
          <w:rFonts w:ascii="Times New Roman" w:eastAsia="Times New Roman" w:hAnsi="Times New Roman" w:cs="Times New Roman"/>
          <w:sz w:val="24"/>
          <w:szCs w:val="24"/>
          <w:lang w:eastAsia="pl-PL"/>
        </w:rPr>
        <w:t>a więc w drodze ustawy i tylko ze względu na ważny interes publiczny,</w:t>
      </w:r>
      <w:r w:rsidR="00BD6DE5" w:rsidRPr="007F28C1">
        <w:rPr>
          <w:rFonts w:ascii="Times New Roman" w:eastAsia="Times New Roman" w:hAnsi="Times New Roman" w:cs="Times New Roman"/>
          <w:sz w:val="24"/>
          <w:szCs w:val="24"/>
          <w:lang w:eastAsia="pl-PL"/>
        </w:rPr>
        <w:t xml:space="preserve"> </w:t>
      </w:r>
      <w:r w:rsidR="00C8268D" w:rsidRPr="007F28C1">
        <w:rPr>
          <w:rFonts w:ascii="Times New Roman" w:eastAsia="Times New Roman" w:hAnsi="Times New Roman" w:cs="Times New Roman"/>
          <w:sz w:val="24"/>
          <w:szCs w:val="24"/>
          <w:lang w:eastAsia="pl-PL"/>
        </w:rPr>
        <w:t>o</w:t>
      </w:r>
      <w:r w:rsidR="000D0EB2" w:rsidRPr="007F28C1">
        <w:rPr>
          <w:rFonts w:ascii="Times New Roman" w:eastAsia="Times New Roman" w:hAnsi="Times New Roman" w:cs="Times New Roman"/>
          <w:sz w:val="24"/>
          <w:szCs w:val="24"/>
          <w:lang w:eastAsia="pl-PL"/>
        </w:rPr>
        <w:t> </w:t>
      </w:r>
      <w:r w:rsidR="00C8268D" w:rsidRPr="007F28C1">
        <w:rPr>
          <w:rFonts w:ascii="Times New Roman" w:eastAsia="Times New Roman" w:hAnsi="Times New Roman" w:cs="Times New Roman"/>
          <w:sz w:val="24"/>
          <w:szCs w:val="24"/>
          <w:lang w:eastAsia="pl-PL"/>
        </w:rPr>
        <w:t xml:space="preserve">którym mowa w art. 29 </w:t>
      </w:r>
      <w:r w:rsidR="00BD6DE5" w:rsidRPr="007F28C1">
        <w:rPr>
          <w:rFonts w:ascii="Times New Roman" w:eastAsia="Times New Roman" w:hAnsi="Times New Roman" w:cs="Times New Roman"/>
          <w:sz w:val="24"/>
          <w:szCs w:val="24"/>
          <w:lang w:eastAsia="pl-PL"/>
        </w:rPr>
        <w:t xml:space="preserve">ust. 1 </w:t>
      </w:r>
      <w:r w:rsidR="00C8268D" w:rsidRPr="007F28C1">
        <w:rPr>
          <w:rFonts w:ascii="Times New Roman" w:eastAsia="Times New Roman" w:hAnsi="Times New Roman" w:cs="Times New Roman"/>
          <w:sz w:val="24"/>
          <w:szCs w:val="24"/>
          <w:lang w:eastAsia="pl-PL"/>
        </w:rPr>
        <w:t xml:space="preserve">P.g.g. </w:t>
      </w:r>
      <w:r w:rsidR="00E278FE" w:rsidRPr="007F28C1">
        <w:rPr>
          <w:rFonts w:ascii="Times New Roman" w:eastAsia="Times New Roman" w:hAnsi="Times New Roman" w:cs="Times New Roman"/>
          <w:sz w:val="24"/>
          <w:szCs w:val="24"/>
          <w:lang w:eastAsia="pl-PL"/>
        </w:rPr>
        <w:t xml:space="preserve">Ograniczenie to dotyczy również szczególnego rodzaju działalności gospodarczej – ściśle reglamentowanego, którego </w:t>
      </w:r>
      <w:r w:rsidR="00E278FE" w:rsidRPr="007F28C1">
        <w:rPr>
          <w:rFonts w:ascii="Times New Roman" w:eastAsia="Times New Roman" w:hAnsi="Times New Roman" w:cs="Times New Roman"/>
          <w:sz w:val="24"/>
          <w:szCs w:val="24"/>
          <w:lang w:eastAsia="pl-PL"/>
        </w:rPr>
        <w:lastRenderedPageBreak/>
        <w:t xml:space="preserve">przedmiotem są złoża kopalin będące własnością Skarbu Państwa, a państwo jako właściciel może </w:t>
      </w:r>
      <w:r w:rsidR="00BD6DE5" w:rsidRPr="007F28C1">
        <w:rPr>
          <w:rFonts w:ascii="Times New Roman" w:eastAsia="Times New Roman" w:hAnsi="Times New Roman" w:cs="Times New Roman"/>
          <w:sz w:val="24"/>
          <w:szCs w:val="24"/>
          <w:lang w:eastAsia="pl-PL"/>
        </w:rPr>
        <w:t xml:space="preserve">czasowo wstrzymać </w:t>
      </w:r>
      <w:r w:rsidR="00E278FE" w:rsidRPr="007F28C1">
        <w:rPr>
          <w:rFonts w:ascii="Times New Roman" w:eastAsia="Times New Roman" w:hAnsi="Times New Roman" w:cs="Times New Roman"/>
          <w:sz w:val="24"/>
          <w:szCs w:val="24"/>
          <w:lang w:eastAsia="pl-PL"/>
        </w:rPr>
        <w:t>dostęp do tych złóż</w:t>
      </w:r>
      <w:r w:rsidR="00BD6DE5" w:rsidRPr="007F28C1">
        <w:rPr>
          <w:rFonts w:ascii="Times New Roman" w:eastAsia="Times New Roman" w:hAnsi="Times New Roman" w:cs="Times New Roman"/>
          <w:sz w:val="24"/>
          <w:szCs w:val="24"/>
          <w:lang w:eastAsia="pl-PL"/>
        </w:rPr>
        <w:t>.</w:t>
      </w:r>
      <w:r w:rsidR="005B7604" w:rsidRPr="007F28C1">
        <w:rPr>
          <w:rFonts w:ascii="Times New Roman" w:eastAsia="Times New Roman" w:hAnsi="Times New Roman" w:cs="Times New Roman"/>
          <w:sz w:val="24"/>
          <w:szCs w:val="24"/>
          <w:lang w:eastAsia="pl-PL"/>
        </w:rPr>
        <w:t xml:space="preserve"> </w:t>
      </w:r>
    </w:p>
    <w:p w14:paraId="3B183D32" w14:textId="4DEB4221" w:rsidR="00492317" w:rsidRPr="007F28C1" w:rsidRDefault="00C8268D"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Trzeba też zauważyć, że instytucja czasowego wstrzymania </w:t>
      </w:r>
      <w:r w:rsidR="00C5452F" w:rsidRPr="007F28C1">
        <w:rPr>
          <w:rFonts w:ascii="Times New Roman" w:eastAsia="Times New Roman" w:hAnsi="Times New Roman" w:cs="Times New Roman"/>
          <w:sz w:val="24"/>
          <w:szCs w:val="24"/>
          <w:lang w:eastAsia="pl-PL"/>
        </w:rPr>
        <w:t xml:space="preserve">udzielania koncesji co do zasady nie jest obca polskiemu systemowi prawa, gdyż możliwość taką przewidywał zarówno </w:t>
      </w:r>
      <w:r w:rsidR="00144B8C" w:rsidRPr="007F28C1">
        <w:rPr>
          <w:rFonts w:ascii="Times New Roman" w:eastAsia="Times New Roman" w:hAnsi="Times New Roman" w:cs="Times New Roman"/>
          <w:sz w:val="24"/>
          <w:szCs w:val="24"/>
          <w:lang w:eastAsia="pl-PL"/>
        </w:rPr>
        <w:t xml:space="preserve">art. </w:t>
      </w:r>
      <w:r w:rsidR="00D2525B" w:rsidRPr="007F28C1">
        <w:rPr>
          <w:rFonts w:ascii="Times New Roman" w:eastAsia="Times New Roman" w:hAnsi="Times New Roman" w:cs="Times New Roman"/>
          <w:sz w:val="24"/>
          <w:szCs w:val="24"/>
          <w:lang w:eastAsia="pl-PL"/>
        </w:rPr>
        <w:t xml:space="preserve">46 uchylonej </w:t>
      </w:r>
      <w:r w:rsidR="00C5452F" w:rsidRPr="007F28C1">
        <w:rPr>
          <w:rFonts w:ascii="Times New Roman" w:eastAsia="Times New Roman" w:hAnsi="Times New Roman" w:cs="Times New Roman"/>
          <w:sz w:val="24"/>
          <w:szCs w:val="24"/>
          <w:lang w:eastAsia="pl-PL"/>
        </w:rPr>
        <w:t>ustaw</w:t>
      </w:r>
      <w:r w:rsidR="00D2525B" w:rsidRPr="007F28C1">
        <w:rPr>
          <w:rFonts w:ascii="Times New Roman" w:eastAsia="Times New Roman" w:hAnsi="Times New Roman" w:cs="Times New Roman"/>
          <w:sz w:val="24"/>
          <w:szCs w:val="24"/>
          <w:lang w:eastAsia="pl-PL"/>
        </w:rPr>
        <w:t>y</w:t>
      </w:r>
      <w:r w:rsidR="00C5452F" w:rsidRPr="007F28C1">
        <w:rPr>
          <w:rFonts w:ascii="Times New Roman" w:eastAsia="Times New Roman" w:hAnsi="Times New Roman" w:cs="Times New Roman"/>
          <w:sz w:val="24"/>
          <w:szCs w:val="24"/>
          <w:lang w:eastAsia="pl-PL"/>
        </w:rPr>
        <w:t xml:space="preserve"> z dnia 2 lipca 2004 r. o swobodzie działalności g</w:t>
      </w:r>
      <w:r w:rsidR="00983120" w:rsidRPr="007F28C1">
        <w:rPr>
          <w:rFonts w:ascii="Times New Roman" w:eastAsia="Times New Roman" w:hAnsi="Times New Roman" w:cs="Times New Roman"/>
          <w:sz w:val="24"/>
          <w:szCs w:val="24"/>
          <w:lang w:eastAsia="pl-PL"/>
        </w:rPr>
        <w:t>o</w:t>
      </w:r>
      <w:r w:rsidR="00C5452F" w:rsidRPr="007F28C1">
        <w:rPr>
          <w:rFonts w:ascii="Times New Roman" w:eastAsia="Times New Roman" w:hAnsi="Times New Roman" w:cs="Times New Roman"/>
          <w:sz w:val="24"/>
          <w:szCs w:val="24"/>
          <w:lang w:eastAsia="pl-PL"/>
        </w:rPr>
        <w:t>spodarcz</w:t>
      </w:r>
      <w:r w:rsidR="00983120" w:rsidRPr="007F28C1">
        <w:rPr>
          <w:rFonts w:ascii="Times New Roman" w:eastAsia="Times New Roman" w:hAnsi="Times New Roman" w:cs="Times New Roman"/>
          <w:sz w:val="24"/>
          <w:szCs w:val="24"/>
          <w:lang w:eastAsia="pl-PL"/>
        </w:rPr>
        <w:t>ej (</w:t>
      </w:r>
      <w:r w:rsidR="00D2525B" w:rsidRPr="007F28C1">
        <w:rPr>
          <w:rFonts w:ascii="Times New Roman" w:eastAsia="Times New Roman" w:hAnsi="Times New Roman" w:cs="Times New Roman"/>
          <w:sz w:val="24"/>
          <w:szCs w:val="24"/>
          <w:lang w:eastAsia="pl-PL"/>
        </w:rPr>
        <w:t xml:space="preserve">Dz. U. </w:t>
      </w:r>
      <w:r w:rsidR="00B035C3" w:rsidRPr="007F28C1">
        <w:rPr>
          <w:rFonts w:ascii="Times New Roman" w:eastAsia="Times New Roman" w:hAnsi="Times New Roman" w:cs="Times New Roman"/>
          <w:sz w:val="24"/>
          <w:szCs w:val="24"/>
          <w:lang w:eastAsia="pl-PL"/>
        </w:rPr>
        <w:t>z 2017 r. poz. 2168, z późn. zm.</w:t>
      </w:r>
      <w:r w:rsidR="00983120" w:rsidRPr="007F28C1">
        <w:rPr>
          <w:rFonts w:ascii="Times New Roman" w:eastAsia="Times New Roman" w:hAnsi="Times New Roman" w:cs="Times New Roman"/>
          <w:sz w:val="24"/>
          <w:szCs w:val="24"/>
          <w:lang w:eastAsia="pl-PL"/>
        </w:rPr>
        <w:t xml:space="preserve">), jak i </w:t>
      </w:r>
      <w:r w:rsidR="00B035C3" w:rsidRPr="007F28C1">
        <w:rPr>
          <w:rFonts w:ascii="Times New Roman" w:eastAsia="Times New Roman" w:hAnsi="Times New Roman" w:cs="Times New Roman"/>
          <w:sz w:val="24"/>
          <w:szCs w:val="24"/>
          <w:lang w:eastAsia="pl-PL"/>
        </w:rPr>
        <w:t xml:space="preserve">art. 39 </w:t>
      </w:r>
      <w:r w:rsidR="00983120" w:rsidRPr="007F28C1">
        <w:rPr>
          <w:rFonts w:ascii="Times New Roman" w:eastAsia="Times New Roman" w:hAnsi="Times New Roman" w:cs="Times New Roman"/>
          <w:sz w:val="24"/>
          <w:szCs w:val="24"/>
          <w:lang w:eastAsia="pl-PL"/>
        </w:rPr>
        <w:t>obecnie obowiązując</w:t>
      </w:r>
      <w:r w:rsidR="00B035C3" w:rsidRPr="007F28C1">
        <w:rPr>
          <w:rFonts w:ascii="Times New Roman" w:eastAsia="Times New Roman" w:hAnsi="Times New Roman" w:cs="Times New Roman"/>
          <w:sz w:val="24"/>
          <w:szCs w:val="24"/>
          <w:lang w:eastAsia="pl-PL"/>
        </w:rPr>
        <w:t>ej</w:t>
      </w:r>
      <w:r w:rsidR="00983120" w:rsidRPr="007F28C1">
        <w:rPr>
          <w:rFonts w:ascii="Times New Roman" w:eastAsia="Times New Roman" w:hAnsi="Times New Roman" w:cs="Times New Roman"/>
          <w:sz w:val="24"/>
          <w:szCs w:val="24"/>
          <w:lang w:eastAsia="pl-PL"/>
        </w:rPr>
        <w:t xml:space="preserve"> ustaw</w:t>
      </w:r>
      <w:r w:rsidR="00B035C3" w:rsidRPr="007F28C1">
        <w:rPr>
          <w:rFonts w:ascii="Times New Roman" w:eastAsia="Times New Roman" w:hAnsi="Times New Roman" w:cs="Times New Roman"/>
          <w:sz w:val="24"/>
          <w:szCs w:val="24"/>
          <w:lang w:eastAsia="pl-PL"/>
        </w:rPr>
        <w:t>y</w:t>
      </w:r>
      <w:r w:rsidR="00983120" w:rsidRPr="007F28C1">
        <w:rPr>
          <w:rFonts w:ascii="Times New Roman" w:eastAsia="Times New Roman" w:hAnsi="Times New Roman" w:cs="Times New Roman"/>
          <w:sz w:val="24"/>
          <w:szCs w:val="24"/>
          <w:lang w:eastAsia="pl-PL"/>
        </w:rPr>
        <w:t xml:space="preserve"> z dnia 6 marca 2018 r. – Prawo przedsiębiorców </w:t>
      </w:r>
      <w:r w:rsidR="00245C6B" w:rsidRPr="007F28C1">
        <w:rPr>
          <w:rFonts w:ascii="Times New Roman" w:hAnsi="Times New Roman" w:cs="Times New Roman"/>
          <w:sz w:val="24"/>
          <w:szCs w:val="24"/>
        </w:rPr>
        <w:t>(Dz.</w:t>
      </w:r>
      <w:r w:rsidR="00BF003E" w:rsidRPr="007F28C1">
        <w:rPr>
          <w:rFonts w:ascii="Times New Roman" w:hAnsi="Times New Roman" w:cs="Times New Roman"/>
          <w:sz w:val="24"/>
          <w:szCs w:val="24"/>
        </w:rPr>
        <w:t xml:space="preserve"> </w:t>
      </w:r>
      <w:r w:rsidR="00245C6B" w:rsidRPr="007F28C1">
        <w:rPr>
          <w:rFonts w:ascii="Times New Roman" w:hAnsi="Times New Roman" w:cs="Times New Roman"/>
          <w:sz w:val="24"/>
          <w:szCs w:val="24"/>
        </w:rPr>
        <w:t>U. z</w:t>
      </w:r>
      <w:r w:rsidR="00705A7E" w:rsidRPr="007F28C1">
        <w:rPr>
          <w:rFonts w:ascii="Times New Roman" w:hAnsi="Times New Roman" w:cs="Times New Roman"/>
          <w:sz w:val="24"/>
          <w:szCs w:val="24"/>
        </w:rPr>
        <w:t> </w:t>
      </w:r>
      <w:r w:rsidR="00BF003E" w:rsidRPr="007F28C1">
        <w:rPr>
          <w:rFonts w:ascii="Times New Roman" w:hAnsi="Times New Roman" w:cs="Times New Roman"/>
          <w:sz w:val="24"/>
          <w:szCs w:val="24"/>
        </w:rPr>
        <w:t xml:space="preserve">2023 </w:t>
      </w:r>
      <w:r w:rsidR="00245C6B" w:rsidRPr="007F28C1">
        <w:rPr>
          <w:rFonts w:ascii="Times New Roman" w:hAnsi="Times New Roman" w:cs="Times New Roman"/>
          <w:sz w:val="24"/>
          <w:szCs w:val="24"/>
        </w:rPr>
        <w:t xml:space="preserve">r. poz. </w:t>
      </w:r>
      <w:r w:rsidR="00BF003E" w:rsidRPr="007F28C1">
        <w:rPr>
          <w:rFonts w:ascii="Times New Roman" w:hAnsi="Times New Roman" w:cs="Times New Roman"/>
          <w:sz w:val="24"/>
          <w:szCs w:val="24"/>
        </w:rPr>
        <w:t>221</w:t>
      </w:r>
      <w:r w:rsidR="00710382" w:rsidRPr="007F28C1">
        <w:rPr>
          <w:rFonts w:ascii="Times New Roman" w:hAnsi="Times New Roman" w:cs="Times New Roman"/>
          <w:sz w:val="24"/>
          <w:szCs w:val="24"/>
        </w:rPr>
        <w:t>, z późn. zm.</w:t>
      </w:r>
      <w:r w:rsidR="00245C6B" w:rsidRPr="007F28C1">
        <w:rPr>
          <w:rFonts w:ascii="Times New Roman" w:hAnsi="Times New Roman" w:cs="Times New Roman"/>
          <w:sz w:val="24"/>
          <w:szCs w:val="24"/>
        </w:rPr>
        <w:t>)</w:t>
      </w:r>
      <w:r w:rsidR="00983120" w:rsidRPr="007F28C1">
        <w:rPr>
          <w:rFonts w:ascii="Times New Roman" w:eastAsia="Times New Roman" w:hAnsi="Times New Roman" w:cs="Times New Roman"/>
          <w:color w:val="000000" w:themeColor="text1"/>
          <w:sz w:val="24"/>
          <w:szCs w:val="24"/>
          <w:lang w:eastAsia="pl-PL"/>
        </w:rPr>
        <w:t xml:space="preserve">. </w:t>
      </w:r>
      <w:r w:rsidR="00983120" w:rsidRPr="007F28C1">
        <w:rPr>
          <w:rFonts w:ascii="Times New Roman" w:eastAsia="Times New Roman" w:hAnsi="Times New Roman" w:cs="Times New Roman"/>
          <w:sz w:val="24"/>
          <w:szCs w:val="24"/>
          <w:lang w:eastAsia="pl-PL"/>
        </w:rPr>
        <w:t xml:space="preserve">Pierwsza z przywołanych ustaw dopuszczała, a druga obecnie dopuszcza możliwość czasowego wstrzymania udzielania </w:t>
      </w:r>
      <w:r w:rsidR="00E278FE" w:rsidRPr="007F28C1">
        <w:rPr>
          <w:rFonts w:ascii="Times New Roman" w:eastAsia="Times New Roman" w:hAnsi="Times New Roman" w:cs="Times New Roman"/>
          <w:sz w:val="24"/>
          <w:szCs w:val="24"/>
          <w:lang w:eastAsia="pl-PL"/>
        </w:rPr>
        <w:t>koncesji przez organ koncesyjny</w:t>
      </w:r>
      <w:r w:rsidR="00983120" w:rsidRPr="007F28C1">
        <w:rPr>
          <w:rFonts w:ascii="Times New Roman" w:eastAsia="Times New Roman" w:hAnsi="Times New Roman" w:cs="Times New Roman"/>
          <w:sz w:val="24"/>
          <w:szCs w:val="24"/>
          <w:lang w:eastAsia="pl-PL"/>
        </w:rPr>
        <w:t xml:space="preserve"> </w:t>
      </w:r>
      <w:r w:rsidR="00983120" w:rsidRPr="007F28C1">
        <w:rPr>
          <w:rFonts w:ascii="Times New Roman" w:hAnsi="Times New Roman" w:cs="Times New Roman"/>
          <w:sz w:val="24"/>
          <w:szCs w:val="24"/>
        </w:rPr>
        <w:t>ze</w:t>
      </w:r>
      <w:r w:rsidR="005B7604" w:rsidRPr="007F28C1">
        <w:rPr>
          <w:rFonts w:ascii="Times New Roman" w:hAnsi="Times New Roman" w:cs="Times New Roman"/>
          <w:sz w:val="24"/>
          <w:szCs w:val="24"/>
        </w:rPr>
        <w:t xml:space="preserve"> </w:t>
      </w:r>
      <w:r w:rsidR="00983120" w:rsidRPr="007F28C1">
        <w:rPr>
          <w:rFonts w:ascii="Times New Roman" w:hAnsi="Times New Roman" w:cs="Times New Roman"/>
          <w:sz w:val="24"/>
          <w:szCs w:val="24"/>
        </w:rPr>
        <w:t>względu na zagrożenie obronności lub bezpieczeństwa państwa lub obywateli</w:t>
      </w:r>
      <w:r w:rsidR="00E278FE" w:rsidRPr="007F28C1">
        <w:rPr>
          <w:rFonts w:ascii="Times New Roman" w:hAnsi="Times New Roman" w:cs="Times New Roman"/>
          <w:sz w:val="24"/>
          <w:szCs w:val="24"/>
        </w:rPr>
        <w:t>.</w:t>
      </w:r>
      <w:r w:rsidR="00BD6DE5" w:rsidRPr="007F28C1">
        <w:rPr>
          <w:rFonts w:ascii="Times New Roman" w:hAnsi="Times New Roman" w:cs="Times New Roman"/>
          <w:sz w:val="24"/>
          <w:szCs w:val="24"/>
        </w:rPr>
        <w:t xml:space="preserve"> Mając na uwadze konieczność zachowania spójności systemu prawnego</w:t>
      </w:r>
      <w:r w:rsidR="007464FA" w:rsidRPr="007F28C1">
        <w:rPr>
          <w:rFonts w:ascii="Times New Roman" w:hAnsi="Times New Roman" w:cs="Times New Roman"/>
          <w:sz w:val="24"/>
          <w:szCs w:val="24"/>
        </w:rPr>
        <w:t>,</w:t>
      </w:r>
      <w:r w:rsidR="00BD6DE5" w:rsidRPr="007F28C1">
        <w:rPr>
          <w:rFonts w:ascii="Times New Roman" w:hAnsi="Times New Roman" w:cs="Times New Roman"/>
          <w:sz w:val="24"/>
          <w:szCs w:val="24"/>
        </w:rPr>
        <w:t xml:space="preserve"> projektodawca postanowił rozszerzyć te przesłanki o wymienione w art. 39 ust. 2 pkt 5 ustawy </w:t>
      </w:r>
      <w:r w:rsidR="00BF003E" w:rsidRPr="007F28C1">
        <w:rPr>
          <w:rFonts w:ascii="Times New Roman" w:eastAsia="Times New Roman" w:hAnsi="Times New Roman" w:cs="Times New Roman"/>
          <w:sz w:val="24"/>
          <w:szCs w:val="24"/>
          <w:lang w:eastAsia="pl-PL"/>
        </w:rPr>
        <w:t xml:space="preserve">z dnia 6 marca 2018 r. </w:t>
      </w:r>
      <w:r w:rsidR="00BD6DE5" w:rsidRPr="007F28C1">
        <w:rPr>
          <w:rFonts w:ascii="Times New Roman" w:hAnsi="Times New Roman" w:cs="Times New Roman"/>
          <w:sz w:val="24"/>
          <w:szCs w:val="24"/>
        </w:rPr>
        <w:t xml:space="preserve">– Prawo przedsiębiorców przypadki określone w odrębnych ustawach, a więc również w </w:t>
      </w:r>
      <w:r w:rsidR="00144B8C" w:rsidRPr="007F28C1">
        <w:rPr>
          <w:rFonts w:ascii="Times New Roman" w:hAnsi="Times New Roman" w:cs="Times New Roman"/>
          <w:sz w:val="24"/>
          <w:szCs w:val="24"/>
        </w:rPr>
        <w:t>P.g.g</w:t>
      </w:r>
      <w:r w:rsidR="00BD6DE5" w:rsidRPr="007F28C1">
        <w:rPr>
          <w:rFonts w:ascii="Times New Roman" w:hAnsi="Times New Roman" w:cs="Times New Roman"/>
          <w:sz w:val="24"/>
          <w:szCs w:val="24"/>
        </w:rPr>
        <w:t>.</w:t>
      </w:r>
      <w:r w:rsidR="005B7604" w:rsidRPr="007F28C1">
        <w:rPr>
          <w:rFonts w:ascii="Times New Roman" w:hAnsi="Times New Roman" w:cs="Times New Roman"/>
          <w:sz w:val="24"/>
          <w:szCs w:val="24"/>
        </w:rPr>
        <w:t xml:space="preserve"> </w:t>
      </w:r>
      <w:bookmarkStart w:id="9" w:name="_Hlk108778736"/>
      <w:bookmarkEnd w:id="9"/>
    </w:p>
    <w:p w14:paraId="26B0BFE6" w14:textId="641E142E" w:rsidR="00E41DA0" w:rsidRPr="007F28C1" w:rsidRDefault="00E41DA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Projektodawca przewidział także w dodanym art. 29a ust. 5</w:t>
      </w:r>
      <w:r w:rsidR="009C505F"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P.g.g., że podmiot, którego interes prawny lub uprawnienie zostały naruszone obwieszczeniem dotyczącym </w:t>
      </w:r>
      <w:r w:rsidRPr="007F28C1">
        <w:rPr>
          <w:rFonts w:ascii="Times New Roman" w:eastAsia="Times New Roman" w:hAnsi="Times New Roman" w:cs="Times New Roman"/>
          <w:sz w:val="24"/>
          <w:szCs w:val="24"/>
          <w:lang w:eastAsia="pl-PL"/>
        </w:rPr>
        <w:t xml:space="preserve">wstrzymania udzielania koncesji, będzie </w:t>
      </w:r>
      <w:r w:rsidR="009C505F" w:rsidRPr="007F28C1">
        <w:rPr>
          <w:rFonts w:ascii="Times New Roman" w:eastAsia="Times New Roman" w:hAnsi="Times New Roman" w:cs="Times New Roman"/>
          <w:sz w:val="24"/>
          <w:szCs w:val="24"/>
          <w:lang w:eastAsia="pl-PL"/>
        </w:rPr>
        <w:t>uprawniony</w:t>
      </w:r>
      <w:r w:rsidRPr="007F28C1">
        <w:rPr>
          <w:rFonts w:ascii="Times New Roman" w:eastAsia="Times New Roman" w:hAnsi="Times New Roman" w:cs="Times New Roman"/>
          <w:sz w:val="24"/>
          <w:szCs w:val="24"/>
          <w:lang w:eastAsia="pl-PL"/>
        </w:rPr>
        <w:t xml:space="preserve"> do wniesienia skargi do sądu administracyjnego. </w:t>
      </w:r>
    </w:p>
    <w:p w14:paraId="2990DEBB" w14:textId="28232F18" w:rsidR="001B56AE" w:rsidRPr="007F28C1" w:rsidRDefault="001B56A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Zmiana w art. 32 ust. 2 P.g.g. oraz w art. 49w ust. 2 P.g.g. ma na celu usunięcie wątpliwości interpretacyjnych przez jednoznaczne wskazanie, że również dla wyznaczania granic terenu górniczego podstawą jest dokumentacja geologiczna </w:t>
      </w:r>
      <w:r w:rsidR="00AD3EC1" w:rsidRPr="007F28C1">
        <w:rPr>
          <w:rFonts w:ascii="Times New Roman" w:eastAsia="Times New Roman" w:hAnsi="Times New Roman" w:cs="Times New Roman"/>
          <w:sz w:val="24"/>
          <w:szCs w:val="24"/>
          <w:lang w:eastAsia="pl-PL"/>
        </w:rPr>
        <w:t xml:space="preserve">i </w:t>
      </w:r>
      <w:r w:rsidRPr="007F28C1">
        <w:rPr>
          <w:rFonts w:ascii="Times New Roman" w:eastAsia="Times New Roman" w:hAnsi="Times New Roman" w:cs="Times New Roman"/>
          <w:sz w:val="24"/>
          <w:szCs w:val="24"/>
          <w:lang w:eastAsia="pl-PL"/>
        </w:rPr>
        <w:t>projekt zagospodarowania złoża albo plan zagospodarowania podziemnego składowiska dwutlenku węgla.</w:t>
      </w:r>
    </w:p>
    <w:p w14:paraId="35BD7870" w14:textId="06B8F052" w:rsidR="001B56AE" w:rsidRPr="007F28C1" w:rsidRDefault="001B56A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 xml:space="preserve">Przepis art. </w:t>
      </w:r>
      <w:r w:rsidRPr="007F28C1">
        <w:rPr>
          <w:rFonts w:ascii="Times New Roman" w:eastAsia="Times New Roman" w:hAnsi="Times New Roman" w:cs="Times New Roman"/>
          <w:sz w:val="24"/>
          <w:szCs w:val="24"/>
          <w:lang w:eastAsia="pl-PL"/>
        </w:rPr>
        <w:t xml:space="preserve">27 ust. 1 pkt 1 P.g.g. wskazuje, że we wniosku o udzielenie koncesji na podziemne bezzbiornikowe magazynowanie substancji albo podziemne składowanie odpadów określa się również rodzaj, ilość oraz charakterystykę substancji albo odpadów. Jednakże koncesja udzielana na taką działalność nie określa ilości magazynowanej substancji. </w:t>
      </w:r>
      <w:r w:rsidR="009415E5" w:rsidRPr="007F28C1">
        <w:rPr>
          <w:rFonts w:ascii="Times New Roman" w:eastAsia="Times New Roman" w:hAnsi="Times New Roman" w:cs="Times New Roman"/>
          <w:sz w:val="24"/>
          <w:szCs w:val="24"/>
          <w:lang w:eastAsia="pl-PL"/>
        </w:rPr>
        <w:t>Z</w:t>
      </w:r>
      <w:r w:rsidRPr="007F28C1">
        <w:rPr>
          <w:rFonts w:ascii="Times New Roman" w:eastAsia="Times New Roman" w:hAnsi="Times New Roman" w:cs="Times New Roman"/>
          <w:sz w:val="24"/>
          <w:szCs w:val="24"/>
          <w:lang w:eastAsia="pl-PL"/>
        </w:rPr>
        <w:t xml:space="preserve">miana w art. 32 ust. 6 P.g.g. oraz dodanie ust. 10 </w:t>
      </w:r>
      <w:r w:rsidR="009415E5" w:rsidRPr="007F28C1">
        <w:rPr>
          <w:rFonts w:ascii="Times New Roman" w:eastAsia="Times New Roman" w:hAnsi="Times New Roman" w:cs="Times New Roman"/>
          <w:sz w:val="24"/>
          <w:szCs w:val="24"/>
          <w:lang w:eastAsia="pl-PL"/>
        </w:rPr>
        <w:t>służą doprecyzowaniu tej kwestii.</w:t>
      </w:r>
    </w:p>
    <w:p w14:paraId="7FE8258B" w14:textId="519ACE41" w:rsidR="00DB6E87" w:rsidRPr="007F28C1" w:rsidRDefault="00DB6E87"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Zmiana art. 36 </w:t>
      </w:r>
      <w:r w:rsidR="00947701" w:rsidRPr="007F28C1">
        <w:rPr>
          <w:rFonts w:ascii="Times New Roman" w:eastAsia="Times New Roman" w:hAnsi="Times New Roman" w:cs="Times New Roman"/>
          <w:sz w:val="24"/>
          <w:szCs w:val="24"/>
          <w:lang w:eastAsia="pl-PL"/>
        </w:rPr>
        <w:t>ust</w:t>
      </w:r>
      <w:r w:rsidR="00BF003E" w:rsidRPr="007F28C1">
        <w:rPr>
          <w:rFonts w:ascii="Times New Roman" w:eastAsia="Times New Roman" w:hAnsi="Times New Roman" w:cs="Times New Roman"/>
          <w:sz w:val="24"/>
          <w:szCs w:val="24"/>
          <w:lang w:eastAsia="pl-PL"/>
        </w:rPr>
        <w:t>.</w:t>
      </w:r>
      <w:r w:rsidR="00947701" w:rsidRPr="007F28C1">
        <w:rPr>
          <w:rFonts w:ascii="Times New Roman" w:eastAsia="Times New Roman" w:hAnsi="Times New Roman" w:cs="Times New Roman"/>
          <w:sz w:val="24"/>
          <w:szCs w:val="24"/>
          <w:lang w:eastAsia="pl-PL"/>
        </w:rPr>
        <w:t xml:space="preserve"> 1 pkt 3 P.g.g. ma na celu doprecyzowanie, że w przypadku przeniesienia koncesji dotyczących złóż kopalin objętych prawem własności nieruchomości gruntowej podmiot ubiegający się o przeniesienie koncesji </w:t>
      </w:r>
      <w:r w:rsidR="001A7E79">
        <w:rPr>
          <w:rFonts w:ascii="Times New Roman" w:eastAsia="Times New Roman" w:hAnsi="Times New Roman" w:cs="Times New Roman"/>
          <w:sz w:val="24"/>
          <w:szCs w:val="24"/>
          <w:lang w:eastAsia="pl-PL"/>
        </w:rPr>
        <w:t>po</w:t>
      </w:r>
      <w:r w:rsidR="00947701" w:rsidRPr="007F28C1">
        <w:rPr>
          <w:rFonts w:ascii="Times New Roman" w:eastAsia="Times New Roman" w:hAnsi="Times New Roman" w:cs="Times New Roman"/>
          <w:sz w:val="24"/>
          <w:szCs w:val="24"/>
          <w:lang w:eastAsia="pl-PL"/>
        </w:rPr>
        <w:t xml:space="preserve">winien wykazać się prawem do korzystania z tej nieruchomości gruntowej lub przyrzeczeniem uzyskania tego prawa. </w:t>
      </w:r>
    </w:p>
    <w:p w14:paraId="40C2259F" w14:textId="46F841C0" w:rsidR="001B56AE" w:rsidRPr="007F28C1" w:rsidRDefault="001B56A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Zmiana w art. 49ee ust. 1 pkt 1 P.g.g. ma na celu doprecyzowanie przepisu i usunięcie wątpliwości interpretacyjnych dotyczących sytuacji, gdy w postępowaniu o udzielenie koncesji na poszukiwanie i</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rozpoznawanie złóż węglowodorów oraz wydobywanie węglowodorów ze </w:t>
      </w:r>
      <w:r w:rsidRPr="007F28C1">
        <w:rPr>
          <w:rFonts w:ascii="Times New Roman" w:eastAsia="Times New Roman" w:hAnsi="Times New Roman" w:cs="Times New Roman"/>
          <w:sz w:val="24"/>
          <w:szCs w:val="24"/>
          <w:lang w:eastAsia="pl-PL"/>
        </w:rPr>
        <w:lastRenderedPageBreak/>
        <w:t>złóż albo koncesji na</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wydobywanie węglowodorów ze złóż, wszczętym na wniosek zainteresowanego podmiotu</w:t>
      </w:r>
      <w:r w:rsidR="0004564E">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(tzw. procedura „open door”), zgodnie z art. 49ea P.g.g., nie wpłynie wniosek innego podmiotu. Zgodnie z</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art. 49ec ust. 5 P.g.g., w przypadku gdy w terminie, o którym mowa w art. 49ec ust. 2 pkt 4 P.g.g., nie</w:t>
      </w:r>
      <w:r w:rsidR="00D978C1"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wpłynie wniosek innego podmiotu o udzielenie koncesji na wykonywanie działalności, której dotyczy postępowanie, organ koncesyjny prowadzi to postępowanie wobec podmiotu, który złożył wniosek</w:t>
      </w:r>
      <w:r w:rsidR="00D978C1"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o udzielenie koncesji, o którym mowa w art. 49ea P.g.g., bez dokonywania oceny wniosku według kryteriów wskazanych w ogłoszeniu, o którym mowa w art. 49ec ust. 1 P.g.g. W takim przypadku trudno mówić, że wniosek podmiotu uzyskał najwyższą ocenę, dlatego też </w:t>
      </w:r>
      <w:r w:rsidR="00BF003E"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niezbędne doprecyzowanie</w:t>
      </w:r>
      <w:r w:rsidR="00D679AD"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w art. 49ee ust. 1 pkt 1 P.g.g. i wskazanie, że w sytuacji, gdy do organu koncesyjnego nie wpłynie konkurencyjny wniosek, koncesja </w:t>
      </w:r>
      <w:r w:rsidR="00BF003E"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udzielana na rzecz podmiotu, którego wniosek zainicjował procedurę „open door”.</w:t>
      </w:r>
    </w:p>
    <w:p w14:paraId="14F995D6" w14:textId="3AE78582" w:rsidR="00580EAA" w:rsidRPr="007F28C1" w:rsidRDefault="005023B1"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Projektowana zmiana art. 49f P.g.g. ma na celu uelastycznienie procedury ogłaszania przez organ koncesyjny postępowania przetargowego o udzielenie koncesji na poszukiwanie i rozpoznawanie złóż węglowodorów oraz wydobywanie węglowodorów ze złóż lub koncesji na wydobywanie węglowodorów ze złóż. </w:t>
      </w:r>
      <w:r w:rsidR="00580EAA" w:rsidRPr="007F28C1">
        <w:rPr>
          <w:rFonts w:ascii="Times New Roman" w:hAnsi="Times New Roman" w:cs="Times New Roman"/>
          <w:sz w:val="24"/>
          <w:szCs w:val="24"/>
        </w:rPr>
        <w:t>Zgodnie z dotychczas obowiązującymi przepisami organ koncesyjny miał obowiązek corocznie, w terminie do dnia 30 czerwca, ogłaszać w Biuletynie Informacji Publicznej na stronie podmiotowej urzędu informację o przestrzeniach, w tym ich granicach, dla których planuje w następnym roku wszczęcie postępowania przetargowego. W praktyce regulacja ta nie pozwalała organowi koncesyjnemu na elastyczną realizację polityki koncesyjnej oraz dostosowywani</w:t>
      </w:r>
      <w:r w:rsidR="000A2D6A" w:rsidRPr="007F28C1">
        <w:rPr>
          <w:rFonts w:ascii="Times New Roman" w:hAnsi="Times New Roman" w:cs="Times New Roman"/>
          <w:sz w:val="24"/>
          <w:szCs w:val="24"/>
        </w:rPr>
        <w:t>e</w:t>
      </w:r>
      <w:r w:rsidR="00580EAA" w:rsidRPr="007F28C1">
        <w:rPr>
          <w:rFonts w:ascii="Times New Roman" w:hAnsi="Times New Roman" w:cs="Times New Roman"/>
          <w:sz w:val="24"/>
          <w:szCs w:val="24"/>
        </w:rPr>
        <w:t xml:space="preserve"> jej do aktualnych potrzeb i perspektyw, wynikających m.in. z oceny </w:t>
      </w:r>
      <w:r w:rsidR="00580EAA" w:rsidRPr="007F28C1">
        <w:rPr>
          <w:rFonts w:ascii="Times New Roman" w:eastAsia="Times New Roman" w:hAnsi="Times New Roman" w:cs="Times New Roman"/>
          <w:sz w:val="24"/>
          <w:szCs w:val="24"/>
          <w:lang w:eastAsia="pl-PL"/>
        </w:rPr>
        <w:t xml:space="preserve">perspektywiczności geologicznej, dokonywanej we współpracy z </w:t>
      </w:r>
      <w:r w:rsidR="006674C4">
        <w:rPr>
          <w:rFonts w:ascii="Times New Roman" w:eastAsia="Times New Roman" w:hAnsi="Times New Roman" w:cs="Times New Roman"/>
          <w:sz w:val="24"/>
          <w:szCs w:val="24"/>
          <w:lang w:eastAsia="pl-PL"/>
        </w:rPr>
        <w:t>PSG</w:t>
      </w:r>
      <w:r w:rsidR="00580EAA" w:rsidRPr="007F28C1">
        <w:rPr>
          <w:rFonts w:ascii="Times New Roman" w:hAnsi="Times New Roman" w:cs="Times New Roman"/>
          <w:sz w:val="24"/>
          <w:szCs w:val="24"/>
        </w:rPr>
        <w:t xml:space="preserve">. </w:t>
      </w:r>
    </w:p>
    <w:p w14:paraId="2AE1DC7E" w14:textId="12034223" w:rsidR="00580EAA" w:rsidRPr="007F28C1" w:rsidRDefault="00580EA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Projektowana zmiana art. 49f P.g.g. przewiduje</w:t>
      </w:r>
      <w:r w:rsidR="00C26410" w:rsidRPr="007F28C1">
        <w:rPr>
          <w:rFonts w:ascii="Times New Roman" w:hAnsi="Times New Roman" w:cs="Times New Roman"/>
          <w:sz w:val="24"/>
          <w:szCs w:val="24"/>
        </w:rPr>
        <w:t>, że organ koncesyjny będzie</w:t>
      </w:r>
      <w:r w:rsidRPr="007F28C1">
        <w:rPr>
          <w:rFonts w:ascii="Times New Roman" w:hAnsi="Times New Roman" w:cs="Times New Roman"/>
          <w:sz w:val="24"/>
          <w:szCs w:val="24"/>
        </w:rPr>
        <w:t xml:space="preserve"> </w:t>
      </w:r>
      <w:r w:rsidR="00C26410" w:rsidRPr="007F28C1">
        <w:rPr>
          <w:rFonts w:ascii="Times New Roman" w:hAnsi="Times New Roman" w:cs="Times New Roman"/>
          <w:sz w:val="24"/>
          <w:szCs w:val="24"/>
        </w:rPr>
        <w:t>ogłaszał w Biuletynie Informacji Publicznej na stronie podmiotowej urzędu obsługującego ten organ informację o</w:t>
      </w:r>
      <w:r w:rsidR="00705A7E" w:rsidRPr="007F28C1">
        <w:rPr>
          <w:rFonts w:ascii="Times New Roman" w:hAnsi="Times New Roman" w:cs="Times New Roman"/>
          <w:sz w:val="24"/>
          <w:szCs w:val="24"/>
        </w:rPr>
        <w:t> </w:t>
      </w:r>
      <w:r w:rsidR="00C26410" w:rsidRPr="007F28C1">
        <w:rPr>
          <w:rFonts w:ascii="Times New Roman" w:hAnsi="Times New Roman" w:cs="Times New Roman"/>
          <w:sz w:val="24"/>
          <w:szCs w:val="24"/>
        </w:rPr>
        <w:t>przestrzeniach, dla których planuje wszczęcie tego postępowania, nie corocznie, a jedynie wówczas</w:t>
      </w:r>
      <w:r w:rsidR="00184D72">
        <w:rPr>
          <w:rFonts w:ascii="Times New Roman" w:hAnsi="Times New Roman" w:cs="Times New Roman"/>
          <w:sz w:val="24"/>
          <w:szCs w:val="24"/>
        </w:rPr>
        <w:t>,</w:t>
      </w:r>
      <w:r w:rsidR="00C26410" w:rsidRPr="007F28C1">
        <w:rPr>
          <w:rFonts w:ascii="Times New Roman" w:hAnsi="Times New Roman" w:cs="Times New Roman"/>
          <w:sz w:val="24"/>
          <w:szCs w:val="24"/>
        </w:rPr>
        <w:t xml:space="preserve"> gdy w danym roku uzna za celowe udzielenie koncesji w trybie przetargowym.</w:t>
      </w:r>
    </w:p>
    <w:p w14:paraId="7C747477" w14:textId="7B96D939" w:rsidR="00580EAA" w:rsidRPr="007F28C1" w:rsidRDefault="005023B1"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Mając na względzie potrzebę uelastycznienia procedury ogłaszania przez organ koncesyjny postępowania przetargowego i związanego z tym przygotowywania przez </w:t>
      </w:r>
      <w:r w:rsidR="00583E8A">
        <w:rPr>
          <w:rFonts w:ascii="Times New Roman" w:eastAsia="Times New Roman" w:hAnsi="Times New Roman" w:cs="Times New Roman"/>
          <w:sz w:val="24"/>
          <w:szCs w:val="24"/>
          <w:lang w:eastAsia="pl-PL"/>
        </w:rPr>
        <w:t>PSG</w:t>
      </w:r>
      <w:r w:rsidRPr="007F28C1">
        <w:rPr>
          <w:rFonts w:ascii="Times New Roman" w:eastAsia="Times New Roman" w:hAnsi="Times New Roman" w:cs="Times New Roman"/>
          <w:sz w:val="24"/>
          <w:szCs w:val="24"/>
          <w:lang w:eastAsia="pl-PL"/>
        </w:rPr>
        <w:t xml:space="preserve"> materiałów na potrzeby tego postępowania oraz oceny perspektywiczności, zapro</w:t>
      </w:r>
      <w:r w:rsidR="00040D50" w:rsidRPr="007F28C1">
        <w:rPr>
          <w:rFonts w:ascii="Times New Roman" w:eastAsia="Times New Roman" w:hAnsi="Times New Roman" w:cs="Times New Roman"/>
          <w:sz w:val="24"/>
          <w:szCs w:val="24"/>
          <w:lang w:eastAsia="pl-PL"/>
        </w:rPr>
        <w:t>ponowano dodanie</w:t>
      </w:r>
      <w:r w:rsidRPr="007F28C1">
        <w:rPr>
          <w:rFonts w:ascii="Times New Roman" w:eastAsia="Times New Roman" w:hAnsi="Times New Roman" w:cs="Times New Roman"/>
          <w:sz w:val="24"/>
          <w:szCs w:val="24"/>
          <w:lang w:eastAsia="pl-PL"/>
        </w:rPr>
        <w:t xml:space="preserve"> art. 163 ust. 4a P.g.g., zgodnie z którym plan prac </w:t>
      </w:r>
      <w:r w:rsidR="00583E8A">
        <w:rPr>
          <w:rFonts w:ascii="Times New Roman" w:eastAsia="Times New Roman" w:hAnsi="Times New Roman" w:cs="Times New Roman"/>
          <w:sz w:val="24"/>
          <w:szCs w:val="24"/>
          <w:lang w:eastAsia="pl-PL"/>
        </w:rPr>
        <w:t>PSG</w:t>
      </w:r>
      <w:r w:rsidRPr="007F28C1">
        <w:rPr>
          <w:rFonts w:ascii="Times New Roman" w:eastAsia="Times New Roman" w:hAnsi="Times New Roman" w:cs="Times New Roman"/>
          <w:sz w:val="24"/>
          <w:szCs w:val="24"/>
          <w:lang w:eastAsia="pl-PL"/>
        </w:rPr>
        <w:t xml:space="preserve"> będzie uwzględniać realizację zadania, o którym mowa w art. 162 ust. 1 pkt 6 P.g.g., wyłącznie w przypadku planowanego przez organ </w:t>
      </w:r>
      <w:r w:rsidRPr="007F28C1">
        <w:rPr>
          <w:rFonts w:ascii="Times New Roman" w:eastAsia="Times New Roman" w:hAnsi="Times New Roman" w:cs="Times New Roman"/>
          <w:sz w:val="24"/>
          <w:szCs w:val="24"/>
          <w:lang w:eastAsia="pl-PL"/>
        </w:rPr>
        <w:lastRenderedPageBreak/>
        <w:t xml:space="preserve">koncesyjny wszczęcia postępowania przetargowego w celu udzielenia koncesji na poszukiwanie i rozpoznawanie złoża węglowodorów oraz wydobywanie węglowodorów ze złoża lub koncesji na wydobywanie węglowodorów ze złoża. W praktyce to organ koncesyjny będzie decydował o potrzebie realizacji w danym roku tego zadania przez </w:t>
      </w:r>
      <w:r w:rsidR="00583E8A">
        <w:rPr>
          <w:rFonts w:ascii="Times New Roman" w:eastAsia="Times New Roman" w:hAnsi="Times New Roman" w:cs="Times New Roman"/>
          <w:sz w:val="24"/>
          <w:szCs w:val="24"/>
          <w:lang w:eastAsia="pl-PL"/>
        </w:rPr>
        <w:t>PSG</w:t>
      </w:r>
      <w:r w:rsidRPr="007F28C1">
        <w:rPr>
          <w:rFonts w:ascii="Times New Roman" w:eastAsia="Times New Roman" w:hAnsi="Times New Roman" w:cs="Times New Roman"/>
          <w:sz w:val="24"/>
          <w:szCs w:val="24"/>
          <w:lang w:eastAsia="pl-PL"/>
        </w:rPr>
        <w:t>.</w:t>
      </w:r>
      <w:r w:rsidR="000E66D0" w:rsidRPr="007F28C1">
        <w:rPr>
          <w:rFonts w:ascii="Times New Roman" w:hAnsi="Times New Roman" w:cs="Times New Roman"/>
          <w:sz w:val="24"/>
          <w:szCs w:val="24"/>
        </w:rPr>
        <w:t xml:space="preserve"> </w:t>
      </w:r>
      <w:r w:rsidR="00580EAA" w:rsidRPr="007F28C1">
        <w:rPr>
          <w:rFonts w:ascii="Times New Roman" w:hAnsi="Times New Roman" w:cs="Times New Roman"/>
          <w:sz w:val="24"/>
          <w:szCs w:val="24"/>
        </w:rPr>
        <w:t xml:space="preserve">Projektowana zmiana jest zgodna z dyrektywą </w:t>
      </w:r>
      <w:r w:rsidR="00A834DA" w:rsidRPr="007F28C1">
        <w:rPr>
          <w:rFonts w:ascii="Times New Roman" w:hAnsi="Times New Roman" w:cs="Times New Roman"/>
          <w:sz w:val="24"/>
          <w:szCs w:val="24"/>
        </w:rPr>
        <w:t xml:space="preserve">Parlamentu Europejskiego i Rady </w:t>
      </w:r>
      <w:r w:rsidR="005E56D0" w:rsidRPr="007F28C1">
        <w:rPr>
          <w:rFonts w:ascii="Times New Roman" w:hAnsi="Times New Roman" w:cs="Times New Roman"/>
          <w:sz w:val="24"/>
          <w:szCs w:val="24"/>
        </w:rPr>
        <w:t xml:space="preserve">94/22/WE </w:t>
      </w:r>
      <w:r w:rsidR="00A834DA" w:rsidRPr="007F28C1">
        <w:rPr>
          <w:rFonts w:ascii="Times New Roman" w:hAnsi="Times New Roman" w:cs="Times New Roman"/>
          <w:sz w:val="24"/>
          <w:szCs w:val="24"/>
        </w:rPr>
        <w:t>z dnia 30 maja 1994 r. w sprawie warunków udzielania i korzystania z zezwoleń na poszukiwanie, badanie i produkcję węglowodorów (Dz</w:t>
      </w:r>
      <w:r w:rsidR="00877B92" w:rsidRPr="007F28C1">
        <w:rPr>
          <w:rFonts w:ascii="Times New Roman" w:hAnsi="Times New Roman" w:cs="Times New Roman"/>
          <w:sz w:val="24"/>
          <w:szCs w:val="24"/>
        </w:rPr>
        <w:t>.</w:t>
      </w:r>
      <w:r w:rsidR="00A834DA" w:rsidRPr="007F28C1">
        <w:rPr>
          <w:rFonts w:ascii="Times New Roman" w:hAnsi="Times New Roman" w:cs="Times New Roman"/>
          <w:sz w:val="24"/>
          <w:szCs w:val="24"/>
        </w:rPr>
        <w:t xml:space="preserve"> U</w:t>
      </w:r>
      <w:r w:rsidR="00877B92" w:rsidRPr="007F28C1">
        <w:rPr>
          <w:rFonts w:ascii="Times New Roman" w:hAnsi="Times New Roman" w:cs="Times New Roman"/>
          <w:sz w:val="24"/>
          <w:szCs w:val="24"/>
        </w:rPr>
        <w:t>rz.</w:t>
      </w:r>
      <w:r w:rsidR="00A834DA" w:rsidRPr="007F28C1">
        <w:rPr>
          <w:rFonts w:ascii="Times New Roman" w:hAnsi="Times New Roman" w:cs="Times New Roman"/>
          <w:sz w:val="24"/>
          <w:szCs w:val="24"/>
        </w:rPr>
        <w:t xml:space="preserve"> </w:t>
      </w:r>
      <w:r w:rsidR="00877B92" w:rsidRPr="007F28C1">
        <w:rPr>
          <w:rFonts w:ascii="Times New Roman" w:hAnsi="Times New Roman" w:cs="Times New Roman"/>
          <w:sz w:val="24"/>
          <w:szCs w:val="24"/>
        </w:rPr>
        <w:t xml:space="preserve">UE </w:t>
      </w:r>
      <w:r w:rsidR="00A834DA" w:rsidRPr="007F28C1">
        <w:rPr>
          <w:rFonts w:ascii="Times New Roman" w:hAnsi="Times New Roman" w:cs="Times New Roman"/>
          <w:sz w:val="24"/>
          <w:szCs w:val="24"/>
        </w:rPr>
        <w:t>L 164</w:t>
      </w:r>
      <w:r w:rsidR="00877B92" w:rsidRPr="007F28C1">
        <w:rPr>
          <w:rFonts w:ascii="Times New Roman" w:hAnsi="Times New Roman" w:cs="Times New Roman"/>
          <w:sz w:val="24"/>
          <w:szCs w:val="24"/>
        </w:rPr>
        <w:t xml:space="preserve"> z</w:t>
      </w:r>
      <w:r w:rsidR="00A834DA" w:rsidRPr="007F28C1">
        <w:rPr>
          <w:rFonts w:ascii="Times New Roman" w:hAnsi="Times New Roman" w:cs="Times New Roman"/>
          <w:sz w:val="24"/>
          <w:szCs w:val="24"/>
        </w:rPr>
        <w:t xml:space="preserve"> 30</w:t>
      </w:r>
      <w:r w:rsidR="00877B92" w:rsidRPr="007F28C1">
        <w:rPr>
          <w:rFonts w:ascii="Times New Roman" w:hAnsi="Times New Roman" w:cs="Times New Roman"/>
          <w:sz w:val="24"/>
          <w:szCs w:val="24"/>
        </w:rPr>
        <w:t>.</w:t>
      </w:r>
      <w:r w:rsidR="00A834DA" w:rsidRPr="007F28C1">
        <w:rPr>
          <w:rFonts w:ascii="Times New Roman" w:hAnsi="Times New Roman" w:cs="Times New Roman"/>
          <w:sz w:val="24"/>
          <w:szCs w:val="24"/>
        </w:rPr>
        <w:t>06</w:t>
      </w:r>
      <w:r w:rsidR="00877B92" w:rsidRPr="007F28C1">
        <w:rPr>
          <w:rFonts w:ascii="Times New Roman" w:hAnsi="Times New Roman" w:cs="Times New Roman"/>
          <w:sz w:val="24"/>
          <w:szCs w:val="24"/>
        </w:rPr>
        <w:t>.</w:t>
      </w:r>
      <w:r w:rsidR="00A834DA" w:rsidRPr="007F28C1">
        <w:rPr>
          <w:rFonts w:ascii="Times New Roman" w:hAnsi="Times New Roman" w:cs="Times New Roman"/>
          <w:sz w:val="24"/>
          <w:szCs w:val="24"/>
        </w:rPr>
        <w:t>1994</w:t>
      </w:r>
      <w:r w:rsidR="001A3822" w:rsidRPr="007F28C1">
        <w:rPr>
          <w:rFonts w:ascii="Times New Roman" w:hAnsi="Times New Roman" w:cs="Times New Roman"/>
          <w:sz w:val="24"/>
          <w:szCs w:val="24"/>
        </w:rPr>
        <w:t>,</w:t>
      </w:r>
      <w:r w:rsidR="00A834DA" w:rsidRPr="007F28C1">
        <w:rPr>
          <w:rFonts w:ascii="Times New Roman" w:hAnsi="Times New Roman" w:cs="Times New Roman"/>
          <w:sz w:val="24"/>
          <w:szCs w:val="24"/>
        </w:rPr>
        <w:t xml:space="preserve"> </w:t>
      </w:r>
      <w:r w:rsidR="00B07918" w:rsidRPr="007F28C1">
        <w:rPr>
          <w:rFonts w:ascii="Times New Roman" w:hAnsi="Times New Roman" w:cs="Times New Roman"/>
          <w:sz w:val="24"/>
          <w:szCs w:val="24"/>
        </w:rPr>
        <w:t>str. 3</w:t>
      </w:r>
      <w:r w:rsidR="001A3822" w:rsidRPr="007F28C1">
        <w:rPr>
          <w:rFonts w:ascii="Times New Roman" w:hAnsi="Times New Roman" w:cs="Times New Roman"/>
          <w:sz w:val="24"/>
          <w:szCs w:val="24"/>
        </w:rPr>
        <w:t>, z późn. zm.</w:t>
      </w:r>
      <w:r w:rsidR="00A834DA" w:rsidRPr="007F28C1">
        <w:rPr>
          <w:rFonts w:ascii="Times New Roman" w:hAnsi="Times New Roman" w:cs="Times New Roman"/>
          <w:sz w:val="24"/>
          <w:szCs w:val="24"/>
        </w:rPr>
        <w:t xml:space="preserve">) </w:t>
      </w:r>
      <w:r w:rsidR="00580EAA" w:rsidRPr="007F28C1">
        <w:rPr>
          <w:rFonts w:ascii="Times New Roman" w:hAnsi="Times New Roman" w:cs="Times New Roman"/>
          <w:sz w:val="24"/>
          <w:szCs w:val="24"/>
        </w:rPr>
        <w:t xml:space="preserve">i zapewnia niedyskryminujący dostęp do prowadzenia działalności związanej z poszukiwaniem, rozpoznawaniem lub wydobywaniem węglowodorów, dając pierwszeństwo najlepszym systemom prowadzenia działalności na podstawie koncesji. </w:t>
      </w:r>
    </w:p>
    <w:p w14:paraId="732A22CB" w14:textId="06BBC81B" w:rsidR="001B56AE" w:rsidRPr="007F28C1" w:rsidRDefault="001B56AE" w:rsidP="007F28C1">
      <w:pPr>
        <w:spacing w:before="120" w:after="0" w:line="360" w:lineRule="auto"/>
        <w:jc w:val="both"/>
        <w:rPr>
          <w:rFonts w:ascii="Times New Roman" w:eastAsia="Calibri" w:hAnsi="Times New Roman" w:cs="Times New Roman"/>
          <w:sz w:val="24"/>
          <w:szCs w:val="24"/>
          <w:lang w:eastAsia="ar-SA"/>
        </w:rPr>
      </w:pPr>
      <w:r w:rsidRPr="007F28C1">
        <w:rPr>
          <w:rFonts w:ascii="Times New Roman" w:eastAsia="Calibri" w:hAnsi="Times New Roman" w:cs="Times New Roman"/>
          <w:sz w:val="24"/>
          <w:szCs w:val="24"/>
          <w:lang w:eastAsia="ar-SA"/>
        </w:rPr>
        <w:t xml:space="preserve">Modyfikacji ulega brzmienie </w:t>
      </w:r>
      <w:r w:rsidRPr="007F28C1">
        <w:rPr>
          <w:rFonts w:ascii="Times New Roman" w:eastAsia="Times New Roman" w:hAnsi="Times New Roman" w:cs="Times New Roman"/>
          <w:sz w:val="24"/>
          <w:szCs w:val="24"/>
          <w:lang w:eastAsia="pl-PL"/>
        </w:rPr>
        <w:t>art. 49g ust. 1 pkt 2 lit. a P.g.g.</w:t>
      </w:r>
      <w:r w:rsidRPr="007F28C1">
        <w:rPr>
          <w:rFonts w:ascii="Times New Roman" w:hAnsi="Times New Roman" w:cs="Times New Roman"/>
          <w:sz w:val="24"/>
          <w:szCs w:val="24"/>
        </w:rPr>
        <w:t>, przez odwołanie się do opinii, o której mowa w art. 23 ust. 1 pkt 1b tej ustawy, a nie błędnie do nieistniejącej opinii, o której mowa w art. 23 ust. 1b</w:t>
      </w:r>
      <w:r w:rsidR="000D0EB2" w:rsidRPr="007F28C1">
        <w:rPr>
          <w:rFonts w:ascii="Times New Roman" w:hAnsi="Times New Roman" w:cs="Times New Roman"/>
          <w:sz w:val="24"/>
          <w:szCs w:val="24"/>
        </w:rPr>
        <w:t xml:space="preserve"> P.g.g</w:t>
      </w:r>
      <w:r w:rsidRPr="007F28C1">
        <w:rPr>
          <w:rFonts w:ascii="Times New Roman" w:hAnsi="Times New Roman" w:cs="Times New Roman"/>
          <w:sz w:val="24"/>
          <w:szCs w:val="24"/>
        </w:rPr>
        <w:t>.</w:t>
      </w:r>
      <w:r w:rsidRPr="007F28C1">
        <w:rPr>
          <w:rFonts w:ascii="Times New Roman" w:eastAsia="Calibri" w:hAnsi="Times New Roman" w:cs="Times New Roman"/>
          <w:sz w:val="24"/>
          <w:szCs w:val="24"/>
          <w:lang w:eastAsia="ar-SA"/>
        </w:rPr>
        <w:t xml:space="preserve"> Przepis ten ma charakter korygujący.</w:t>
      </w:r>
    </w:p>
    <w:p w14:paraId="3285C460" w14:textId="7BBA9E00" w:rsidR="001B56AE" w:rsidRPr="007F28C1" w:rsidRDefault="001B56AE" w:rsidP="007F28C1">
      <w:pPr>
        <w:spacing w:before="120" w:after="0" w:line="360" w:lineRule="auto"/>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W</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art. 49m ust. 1a pkt 1 P.g.g.</w:t>
      </w:r>
      <w:r w:rsidRPr="007F28C1">
        <w:rPr>
          <w:rFonts w:ascii="Times New Roman" w:eastAsia="Times New Roman" w:hAnsi="Times New Roman" w:cs="Times New Roman"/>
          <w:bCs/>
          <w:sz w:val="24"/>
          <w:szCs w:val="24"/>
          <w:lang w:eastAsia="pl-PL"/>
        </w:rPr>
        <w:t xml:space="preserve"> </w:t>
      </w:r>
      <w:r w:rsidR="00BF003E"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konieczna aktualizacja odesłania do ustawy z dnia 20 lipca 2017 r. </w:t>
      </w:r>
      <w:r w:rsidR="00BF003E" w:rsidRPr="007F28C1">
        <w:rPr>
          <w:rFonts w:ascii="Times New Roman" w:hAnsi="Times New Roman" w:cs="Times New Roman"/>
          <w:sz w:val="24"/>
          <w:szCs w:val="24"/>
        </w:rPr>
        <w:t xml:space="preserve">– </w:t>
      </w:r>
      <w:r w:rsidRPr="007F28C1">
        <w:rPr>
          <w:rFonts w:ascii="Times New Roman" w:hAnsi="Times New Roman" w:cs="Times New Roman"/>
          <w:sz w:val="24"/>
          <w:szCs w:val="24"/>
        </w:rPr>
        <w:t>Prawo wodne (Dz.</w:t>
      </w:r>
      <w:r w:rsidR="00CB6990"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U. </w:t>
      </w:r>
      <w:r w:rsidR="00910BDB" w:rsidRPr="007F28C1">
        <w:rPr>
          <w:rFonts w:ascii="Times New Roman" w:hAnsi="Times New Roman" w:cs="Times New Roman"/>
          <w:sz w:val="24"/>
          <w:szCs w:val="24"/>
        </w:rPr>
        <w:t>z 202</w:t>
      </w:r>
      <w:r w:rsidR="001A3822" w:rsidRPr="007F28C1">
        <w:rPr>
          <w:rFonts w:ascii="Times New Roman" w:hAnsi="Times New Roman" w:cs="Times New Roman"/>
          <w:sz w:val="24"/>
          <w:szCs w:val="24"/>
        </w:rPr>
        <w:t>2</w:t>
      </w:r>
      <w:r w:rsidR="00910BDB" w:rsidRPr="007F28C1">
        <w:rPr>
          <w:rFonts w:ascii="Times New Roman" w:hAnsi="Times New Roman" w:cs="Times New Roman"/>
          <w:sz w:val="24"/>
          <w:szCs w:val="24"/>
        </w:rPr>
        <w:t xml:space="preserve"> r. </w:t>
      </w:r>
      <w:r w:rsidRPr="007F28C1">
        <w:rPr>
          <w:rFonts w:ascii="Times New Roman" w:hAnsi="Times New Roman" w:cs="Times New Roman"/>
          <w:sz w:val="24"/>
          <w:szCs w:val="24"/>
        </w:rPr>
        <w:t xml:space="preserve">poz. </w:t>
      </w:r>
      <w:r w:rsidR="001C4A87" w:rsidRPr="007F28C1">
        <w:rPr>
          <w:rFonts w:ascii="Times New Roman" w:hAnsi="Times New Roman" w:cs="Times New Roman"/>
          <w:sz w:val="24"/>
          <w:szCs w:val="24"/>
        </w:rPr>
        <w:t>2</w:t>
      </w:r>
      <w:r w:rsidR="001A3822" w:rsidRPr="007F28C1">
        <w:rPr>
          <w:rFonts w:ascii="Times New Roman" w:hAnsi="Times New Roman" w:cs="Times New Roman"/>
          <w:sz w:val="24"/>
          <w:szCs w:val="24"/>
        </w:rPr>
        <w:t>625</w:t>
      </w:r>
      <w:r w:rsidR="00864711">
        <w:rPr>
          <w:rFonts w:ascii="Times New Roman" w:hAnsi="Times New Roman" w:cs="Times New Roman"/>
          <w:sz w:val="24"/>
          <w:szCs w:val="24"/>
        </w:rPr>
        <w:t>,</w:t>
      </w:r>
      <w:r w:rsidRPr="007F28C1">
        <w:rPr>
          <w:rFonts w:ascii="Times New Roman" w:hAnsi="Times New Roman" w:cs="Times New Roman"/>
          <w:sz w:val="24"/>
          <w:szCs w:val="24"/>
        </w:rPr>
        <w:t xml:space="preserve"> z</w:t>
      </w:r>
      <w:r w:rsidR="00C00904" w:rsidRPr="007F28C1">
        <w:rPr>
          <w:rFonts w:ascii="Times New Roman" w:hAnsi="Times New Roman" w:cs="Times New Roman"/>
          <w:sz w:val="24"/>
          <w:szCs w:val="24"/>
        </w:rPr>
        <w:t xml:space="preserve"> późn.</w:t>
      </w:r>
      <w:r w:rsidRPr="007F28C1">
        <w:rPr>
          <w:rFonts w:ascii="Times New Roman" w:hAnsi="Times New Roman" w:cs="Times New Roman"/>
          <w:sz w:val="24"/>
          <w:szCs w:val="24"/>
        </w:rPr>
        <w:t xml:space="preserve"> zm.)</w:t>
      </w:r>
      <w:r w:rsidR="001C6511" w:rsidRPr="007F28C1">
        <w:rPr>
          <w:rFonts w:ascii="Times New Roman" w:hAnsi="Times New Roman" w:cs="Times New Roman"/>
          <w:sz w:val="24"/>
          <w:szCs w:val="24"/>
        </w:rPr>
        <w:t>, zwanej dalej „P.w.”</w:t>
      </w:r>
      <w:r w:rsidRPr="007F28C1">
        <w:rPr>
          <w:rFonts w:ascii="Times New Roman" w:hAnsi="Times New Roman" w:cs="Times New Roman"/>
          <w:sz w:val="24"/>
          <w:szCs w:val="24"/>
        </w:rPr>
        <w:t xml:space="preserve">, która weszła w życie z dniem 1 stycznia 2018 r. Aktualnie odesłanie dotyczy ustawy z dnia 18 lipca 2001 r. </w:t>
      </w:r>
      <w:r w:rsidR="00BF003E" w:rsidRPr="007F28C1">
        <w:rPr>
          <w:rFonts w:ascii="Times New Roman" w:hAnsi="Times New Roman" w:cs="Times New Roman"/>
          <w:sz w:val="24"/>
          <w:szCs w:val="24"/>
        </w:rPr>
        <w:t xml:space="preserve">– </w:t>
      </w:r>
      <w:r w:rsidRPr="007F28C1">
        <w:rPr>
          <w:rFonts w:ascii="Times New Roman" w:hAnsi="Times New Roman" w:cs="Times New Roman"/>
          <w:sz w:val="24"/>
          <w:szCs w:val="24"/>
        </w:rPr>
        <w:t>Prawo wodne, któr</w:t>
      </w:r>
      <w:r w:rsidR="00022D64" w:rsidRPr="007F28C1">
        <w:rPr>
          <w:rFonts w:ascii="Times New Roman" w:hAnsi="Times New Roman" w:cs="Times New Roman"/>
          <w:sz w:val="24"/>
          <w:szCs w:val="24"/>
        </w:rPr>
        <w:t xml:space="preserve">a utraciła moc z dniem </w:t>
      </w:r>
      <w:r w:rsidRPr="007F28C1">
        <w:rPr>
          <w:rFonts w:ascii="Times New Roman" w:hAnsi="Times New Roman" w:cs="Times New Roman"/>
          <w:sz w:val="24"/>
          <w:szCs w:val="24"/>
        </w:rPr>
        <w:t>1</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stycznia 2018 r. </w:t>
      </w:r>
    </w:p>
    <w:p w14:paraId="50CB6FD0" w14:textId="651852DF" w:rsidR="001B56AE" w:rsidRPr="007F28C1" w:rsidRDefault="00BF003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Zmiana z</w:t>
      </w:r>
      <w:r w:rsidR="001B56AE" w:rsidRPr="007F28C1">
        <w:rPr>
          <w:rFonts w:ascii="Times New Roman" w:eastAsia="Times New Roman" w:hAnsi="Times New Roman" w:cs="Times New Roman"/>
          <w:sz w:val="24"/>
          <w:szCs w:val="24"/>
          <w:lang w:eastAsia="pl-PL"/>
        </w:rPr>
        <w:t>aproponowana w art. 49q ust. 3 P.g.g.</w:t>
      </w:r>
      <w:r w:rsidR="001B56AE" w:rsidRPr="007F28C1">
        <w:rPr>
          <w:rFonts w:ascii="Times New Roman" w:eastAsia="Times New Roman" w:hAnsi="Times New Roman" w:cs="Times New Roman"/>
          <w:bCs/>
          <w:sz w:val="24"/>
          <w:szCs w:val="24"/>
          <w:lang w:eastAsia="pl-PL"/>
        </w:rPr>
        <w:t xml:space="preserve"> </w:t>
      </w:r>
      <w:r w:rsidR="001B56AE" w:rsidRPr="007F28C1">
        <w:rPr>
          <w:rFonts w:ascii="Times New Roman" w:eastAsia="Times New Roman" w:hAnsi="Times New Roman" w:cs="Times New Roman"/>
          <w:sz w:val="24"/>
          <w:szCs w:val="24"/>
          <w:lang w:eastAsia="pl-PL"/>
        </w:rPr>
        <w:t>ma na celu ujednolicenie terminu zwrotu wadium wniesionego w przetargu na udzielenie koncesji na poszukiwanie i rozpoznawanie złóż węglowodorów oraz wydobywanie węglowodorów ze złóż albo koncesji na wydobywanie węglowodorów ze złóż. W</w:t>
      </w:r>
      <w:r w:rsidR="00AA26A0" w:rsidRPr="007F28C1">
        <w:rPr>
          <w:rFonts w:ascii="Times New Roman" w:eastAsia="Times New Roman" w:hAnsi="Times New Roman" w:cs="Times New Roman"/>
          <w:sz w:val="24"/>
          <w:szCs w:val="24"/>
          <w:lang w:eastAsia="pl-PL"/>
        </w:rPr>
        <w:t> </w:t>
      </w:r>
      <w:r w:rsidR="001B56AE" w:rsidRPr="007F28C1">
        <w:rPr>
          <w:rFonts w:ascii="Times New Roman" w:eastAsia="Times New Roman" w:hAnsi="Times New Roman" w:cs="Times New Roman"/>
          <w:sz w:val="24"/>
          <w:szCs w:val="24"/>
          <w:lang w:eastAsia="pl-PL"/>
        </w:rPr>
        <w:t>obecnym brzmieniu art. 49q ust. 3 P.g.g. uzależniał ten termin od tego, czy zwycięzcą przetargu był jeden podmiot (wadium podlegało zwrotowi w terminie 14 dni od dnia udzielenia koncesji) czy też strony umowy o współpracy (wadium podlegało zwrotowi w terminie 14 dni od dnia przekazania organowi koncesyjnemu umowy o współpracy). Wprowadzenie takiego rozróżnienia wydaje się nieuzasadnione, w związku z czym ujednolicono, że wadium wniesione przez zwycięzcę przetargu podlega zwrotowi w terminie 14 dni od doręczenia koncesji.</w:t>
      </w:r>
    </w:p>
    <w:p w14:paraId="278D6FB5" w14:textId="2259B0E4" w:rsidR="001B56AE" w:rsidRPr="007F28C1" w:rsidRDefault="001B56AE"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W</w:t>
      </w:r>
      <w:r w:rsidR="00E272E6"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art. 49t ust. 1 i 1c P.g.g.</w:t>
      </w:r>
      <w:r w:rsidRPr="004161A9">
        <w:rPr>
          <w:rFonts w:ascii="Times New Roman" w:eastAsia="Times New Roman" w:hAnsi="Times New Roman" w:cs="Times New Roman"/>
          <w:bCs/>
          <w:sz w:val="24"/>
          <w:szCs w:val="24"/>
          <w:lang w:eastAsia="pl-PL"/>
        </w:rPr>
        <w:t xml:space="preserve"> </w:t>
      </w:r>
      <w:r w:rsidR="00BF003E"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konieczne wskazanie, analogicznie jak w art. 21 ust. 4</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P.g.g., że koncesja na wydobywanie kopaliny może zostać udzielona na czas krótszy niż 10 lat, o ile przedsiębiorca złoży wniosek o udzielenie takiej koncesji na czas krótszy. Będzie to związane ze złożami, których eksploatacja, zgodna z racjonalną gospodarką złożem, </w:t>
      </w:r>
      <w:r w:rsidR="00BF003E"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przewidziana na czas krótszy niż 10 lat. Ponadto </w:t>
      </w:r>
      <w:r w:rsidR="00BF003E"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konieczne usunięcie wątpliwości interpretacyjnych </w:t>
      </w:r>
      <w:r w:rsidRPr="007F28C1">
        <w:rPr>
          <w:rFonts w:ascii="Times New Roman" w:hAnsi="Times New Roman" w:cs="Times New Roman"/>
          <w:sz w:val="24"/>
          <w:szCs w:val="24"/>
        </w:rPr>
        <w:lastRenderedPageBreak/>
        <w:t>i </w:t>
      </w:r>
      <w:r w:rsidR="009415E5" w:rsidRPr="007F28C1">
        <w:rPr>
          <w:rFonts w:ascii="Times New Roman" w:hAnsi="Times New Roman" w:cs="Times New Roman"/>
          <w:sz w:val="24"/>
          <w:szCs w:val="24"/>
        </w:rPr>
        <w:t xml:space="preserve">jednoznaczne </w:t>
      </w:r>
      <w:r w:rsidRPr="007F28C1">
        <w:rPr>
          <w:rFonts w:ascii="Times New Roman" w:hAnsi="Times New Roman" w:cs="Times New Roman"/>
          <w:sz w:val="24"/>
          <w:szCs w:val="24"/>
        </w:rPr>
        <w:t>wskazanie, że koncesja może zostać przedłużona na okres dłuższy niż 50 lat, jeżeli jest to uzasadnione racjonalną gospodarką złożem.</w:t>
      </w:r>
    </w:p>
    <w:p w14:paraId="6B2FD706" w14:textId="713015E4" w:rsidR="00D07BDB" w:rsidRPr="007F28C1" w:rsidRDefault="00D07BDB"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Kolejną zmianą ustawy o charakterze</w:t>
      </w:r>
      <w:r w:rsidRPr="007F28C1">
        <w:rPr>
          <w:rFonts w:ascii="Times New Roman" w:hAnsi="Times New Roman" w:cs="Times New Roman"/>
          <w:i/>
          <w:iCs/>
          <w:sz w:val="24"/>
          <w:szCs w:val="24"/>
        </w:rPr>
        <w:t xml:space="preserve"> stricte</w:t>
      </w:r>
      <w:r w:rsidRPr="007F28C1">
        <w:rPr>
          <w:rFonts w:ascii="Times New Roman" w:hAnsi="Times New Roman" w:cs="Times New Roman"/>
          <w:sz w:val="24"/>
          <w:szCs w:val="24"/>
        </w:rPr>
        <w:t xml:space="preserve"> porządkującym jest zmiana art. 49zd </w:t>
      </w:r>
      <w:r w:rsidR="00B12C26" w:rsidRPr="007F28C1">
        <w:rPr>
          <w:rFonts w:ascii="Times New Roman" w:hAnsi="Times New Roman" w:cs="Times New Roman"/>
          <w:sz w:val="24"/>
          <w:szCs w:val="24"/>
        </w:rPr>
        <w:t xml:space="preserve">ust. 2 P.g.g., w którym dodano pkt 2a, nakazujący, aby w przypadku przeniesienia koncesji węglowodorowych na nowy podmiot czy też nową stronę umowy o współpracy </w:t>
      </w:r>
      <w:r w:rsidR="00BF003E" w:rsidRPr="007F28C1">
        <w:rPr>
          <w:rFonts w:ascii="Times New Roman" w:hAnsi="Times New Roman" w:cs="Times New Roman"/>
          <w:sz w:val="24"/>
          <w:szCs w:val="24"/>
        </w:rPr>
        <w:t xml:space="preserve">było </w:t>
      </w:r>
      <w:r w:rsidR="00B12C26" w:rsidRPr="007F28C1">
        <w:rPr>
          <w:rFonts w:ascii="Times New Roman" w:hAnsi="Times New Roman" w:cs="Times New Roman"/>
          <w:sz w:val="24"/>
          <w:szCs w:val="24"/>
        </w:rPr>
        <w:t xml:space="preserve">wymagane wykazanie się </w:t>
      </w:r>
      <w:r w:rsidR="00DB6E87" w:rsidRPr="007F28C1">
        <w:rPr>
          <w:rFonts w:ascii="Times New Roman" w:hAnsi="Times New Roman" w:cs="Times New Roman"/>
          <w:sz w:val="24"/>
          <w:szCs w:val="24"/>
        </w:rPr>
        <w:t xml:space="preserve">przedsiębiorcy </w:t>
      </w:r>
      <w:r w:rsidR="00B12C26" w:rsidRPr="007F28C1">
        <w:rPr>
          <w:rFonts w:ascii="Times New Roman" w:hAnsi="Times New Roman" w:cs="Times New Roman"/>
          <w:sz w:val="24"/>
          <w:szCs w:val="24"/>
        </w:rPr>
        <w:t xml:space="preserve">prawem do korzystania z informacji geologicznej w zakresie niezbędnym do wykonywania zamierzonej działalności – analogicznie do wymogów, które ustawa przewiduje w przypadku przeniesienia koncesji dotyczących </w:t>
      </w:r>
      <w:r w:rsidR="004932FA" w:rsidRPr="007F28C1">
        <w:rPr>
          <w:rFonts w:ascii="Times New Roman" w:hAnsi="Times New Roman" w:cs="Times New Roman"/>
          <w:sz w:val="24"/>
          <w:szCs w:val="24"/>
        </w:rPr>
        <w:t>kopalin innych niż węglowodory (</w:t>
      </w:r>
      <w:r w:rsidR="004932FA" w:rsidRPr="007F28C1">
        <w:rPr>
          <w:rFonts w:ascii="Times New Roman" w:hAnsi="Times New Roman" w:cs="Times New Roman"/>
          <w:i/>
          <w:iCs/>
          <w:sz w:val="24"/>
          <w:szCs w:val="24"/>
        </w:rPr>
        <w:t>vide</w:t>
      </w:r>
      <w:r w:rsidR="004932FA" w:rsidRPr="007F28C1">
        <w:rPr>
          <w:rFonts w:ascii="Times New Roman" w:hAnsi="Times New Roman" w:cs="Times New Roman"/>
          <w:sz w:val="24"/>
          <w:szCs w:val="24"/>
        </w:rPr>
        <w:t xml:space="preserve"> art. 36 ust. 1 pkt 4 P.g.g.). Brak</w:t>
      </w:r>
      <w:r w:rsidR="00DB6E87" w:rsidRPr="007F28C1">
        <w:rPr>
          <w:rFonts w:ascii="Times New Roman" w:hAnsi="Times New Roman" w:cs="Times New Roman"/>
          <w:sz w:val="24"/>
          <w:szCs w:val="24"/>
        </w:rPr>
        <w:t xml:space="preserve"> projektowan</w:t>
      </w:r>
      <w:r w:rsidR="004932FA" w:rsidRPr="007F28C1">
        <w:rPr>
          <w:rFonts w:ascii="Times New Roman" w:hAnsi="Times New Roman" w:cs="Times New Roman"/>
          <w:sz w:val="24"/>
          <w:szCs w:val="24"/>
        </w:rPr>
        <w:t xml:space="preserve">ej regulacji stwarzał wątpliwości interpretacyjne, które w skrajnym przypadku mogły prowadzić do wykładni, że w </w:t>
      </w:r>
      <w:r w:rsidR="00DB6E87" w:rsidRPr="007F28C1">
        <w:rPr>
          <w:rFonts w:ascii="Times New Roman" w:hAnsi="Times New Roman" w:cs="Times New Roman"/>
          <w:sz w:val="24"/>
          <w:szCs w:val="24"/>
        </w:rPr>
        <w:t>odniesieniu do</w:t>
      </w:r>
      <w:r w:rsidR="004932FA" w:rsidRPr="007F28C1">
        <w:rPr>
          <w:rFonts w:ascii="Times New Roman" w:hAnsi="Times New Roman" w:cs="Times New Roman"/>
          <w:sz w:val="24"/>
          <w:szCs w:val="24"/>
        </w:rPr>
        <w:t xml:space="preserve"> przeniesienia koncesji węglowodorowych wymogi dotyczące wykazania się prawem do korzystania z informacji geologicznej nie </w:t>
      </w:r>
      <w:r w:rsidR="00DB6E87" w:rsidRPr="007F28C1">
        <w:rPr>
          <w:rFonts w:ascii="Times New Roman" w:hAnsi="Times New Roman" w:cs="Times New Roman"/>
          <w:sz w:val="24"/>
          <w:szCs w:val="24"/>
        </w:rPr>
        <w:t>obowiązują – w przeciwieństwie do wymogów dotyczących przeniesienia wszystkich pozostałych koncesji. Sytuacja taka z pewnością byłaby sprzeczna z zamiarem ustawodawcy.</w:t>
      </w:r>
    </w:p>
    <w:p w14:paraId="2D76A4BE" w14:textId="49EEA6C7" w:rsidR="001B56AE" w:rsidRPr="007F28C1" w:rsidRDefault="001B56AE" w:rsidP="007F28C1">
      <w:pPr>
        <w:spacing w:before="120" w:after="0" w:line="360" w:lineRule="auto"/>
        <w:jc w:val="both"/>
        <w:rPr>
          <w:rFonts w:ascii="Times New Roman" w:hAnsi="Times New Roman" w:cs="Times New Roman"/>
          <w:sz w:val="24"/>
          <w:szCs w:val="24"/>
        </w:rPr>
      </w:pPr>
      <w:r w:rsidRPr="007F28C1">
        <w:rPr>
          <w:rFonts w:ascii="Times New Roman" w:eastAsia="Times New Roman" w:hAnsi="Times New Roman" w:cs="Times New Roman"/>
          <w:sz w:val="24"/>
          <w:szCs w:val="24"/>
          <w:lang w:eastAsia="pl-PL"/>
        </w:rPr>
        <w:t xml:space="preserve">W art. 52 ust. 1, 2, </w:t>
      </w:r>
      <w:r w:rsidR="00097900">
        <w:rPr>
          <w:rFonts w:ascii="Times New Roman" w:eastAsia="Times New Roman" w:hAnsi="Times New Roman" w:cs="Times New Roman"/>
          <w:sz w:val="24"/>
          <w:szCs w:val="24"/>
          <w:lang w:eastAsia="pl-PL"/>
        </w:rPr>
        <w:t xml:space="preserve">ust. </w:t>
      </w:r>
      <w:r w:rsidR="00097895" w:rsidRPr="007F28C1">
        <w:rPr>
          <w:rFonts w:ascii="Times New Roman" w:eastAsia="Times New Roman" w:hAnsi="Times New Roman" w:cs="Times New Roman"/>
          <w:sz w:val="24"/>
          <w:szCs w:val="24"/>
          <w:lang w:eastAsia="pl-PL"/>
        </w:rPr>
        <w:t xml:space="preserve">3 pkt 3, </w:t>
      </w:r>
      <w:r w:rsidR="00097900">
        <w:rPr>
          <w:rFonts w:ascii="Times New Roman" w:eastAsia="Times New Roman" w:hAnsi="Times New Roman" w:cs="Times New Roman"/>
          <w:sz w:val="24"/>
          <w:szCs w:val="24"/>
          <w:lang w:eastAsia="pl-PL"/>
        </w:rPr>
        <w:t xml:space="preserve">ust. </w:t>
      </w:r>
      <w:r w:rsidRPr="007F28C1">
        <w:rPr>
          <w:rFonts w:ascii="Times New Roman" w:eastAsia="Times New Roman" w:hAnsi="Times New Roman" w:cs="Times New Roman"/>
          <w:sz w:val="24"/>
          <w:szCs w:val="24"/>
          <w:lang w:eastAsia="pl-PL"/>
        </w:rPr>
        <w:t>5 pkt 2 P.g.g.</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w</w:t>
      </w:r>
      <w:r w:rsidRPr="007F28C1">
        <w:rPr>
          <w:rFonts w:ascii="Times New Roman" w:hAnsi="Times New Roman" w:cs="Times New Roman"/>
          <w:sz w:val="24"/>
          <w:szCs w:val="24"/>
        </w:rPr>
        <w:t>prowadzono zmiany o charakterze porządkującym w zakresie zmiany odesłania do art. 69 ust. 1 pkt 1 P.g.g</w:t>
      </w:r>
      <w:r w:rsidR="00097895" w:rsidRPr="007F28C1">
        <w:rPr>
          <w:rFonts w:ascii="Times New Roman" w:hAnsi="Times New Roman" w:cs="Times New Roman"/>
          <w:sz w:val="24"/>
          <w:szCs w:val="24"/>
        </w:rPr>
        <w:t xml:space="preserve"> i dostosowania terminologii do obecnie obowiązujących przepisów regulujących kształcenie</w:t>
      </w:r>
      <w:r w:rsidRPr="007F28C1">
        <w:rPr>
          <w:rFonts w:ascii="Times New Roman" w:hAnsi="Times New Roman" w:cs="Times New Roman"/>
          <w:sz w:val="24"/>
          <w:szCs w:val="24"/>
        </w:rPr>
        <w:t>. Zmiana taka została wprowadzona ustawą z dnia 15</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czerwca 2018 r. o zmianie ustawy – Prawo geologiczne i górnicze oraz niektórych innych ustaw (Dz.</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U. poz. 1563). Jednakże, po około dwóch tygodniach od dnia wejścia w życie tej ustawy</w:t>
      </w:r>
      <w:r w:rsidR="00097900">
        <w:rPr>
          <w:rFonts w:ascii="Times New Roman" w:hAnsi="Times New Roman" w:cs="Times New Roman"/>
          <w:sz w:val="24"/>
          <w:szCs w:val="24"/>
        </w:rPr>
        <w:t>,</w:t>
      </w:r>
      <w:r w:rsidRPr="007F28C1">
        <w:rPr>
          <w:rFonts w:ascii="Times New Roman" w:hAnsi="Times New Roman" w:cs="Times New Roman"/>
          <w:sz w:val="24"/>
          <w:szCs w:val="24"/>
        </w:rPr>
        <w:t xml:space="preserve"> zaczęły obowiązywać przepisy </w:t>
      </w:r>
      <w:r w:rsidR="00D00E4C" w:rsidRPr="007F28C1">
        <w:rPr>
          <w:rFonts w:ascii="Times New Roman" w:hAnsi="Times New Roman" w:cs="Times New Roman"/>
          <w:sz w:val="24"/>
          <w:szCs w:val="24"/>
        </w:rPr>
        <w:t xml:space="preserve">ustawy z dnia 3 lipca 2018 r. – Przepisy </w:t>
      </w:r>
      <w:r w:rsidRPr="007F28C1">
        <w:rPr>
          <w:rFonts w:ascii="Times New Roman" w:hAnsi="Times New Roman" w:cs="Times New Roman"/>
          <w:sz w:val="24"/>
          <w:szCs w:val="24"/>
        </w:rPr>
        <w:t>wprowadzające ustawę</w:t>
      </w:r>
      <w:r w:rsidR="00D00E4C" w:rsidRPr="007F28C1">
        <w:rPr>
          <w:rFonts w:ascii="Times New Roman" w:hAnsi="Times New Roman" w:cs="Times New Roman"/>
          <w:sz w:val="24"/>
          <w:szCs w:val="24"/>
        </w:rPr>
        <w:t xml:space="preserve"> </w:t>
      </w:r>
      <w:r w:rsidRPr="007F28C1">
        <w:rPr>
          <w:rFonts w:ascii="Times New Roman" w:hAnsi="Times New Roman" w:cs="Times New Roman"/>
          <w:sz w:val="24"/>
          <w:szCs w:val="24"/>
        </w:rPr>
        <w:t>– Prawo o szkolnictwie wyższym i nauce, któr</w:t>
      </w:r>
      <w:r w:rsidR="00D00E4C" w:rsidRPr="007F28C1">
        <w:rPr>
          <w:rFonts w:ascii="Times New Roman" w:hAnsi="Times New Roman" w:cs="Times New Roman"/>
          <w:sz w:val="24"/>
          <w:szCs w:val="24"/>
        </w:rPr>
        <w:t>ej</w:t>
      </w:r>
      <w:r w:rsidRPr="007F28C1">
        <w:rPr>
          <w:rFonts w:ascii="Times New Roman" w:hAnsi="Times New Roman" w:cs="Times New Roman"/>
          <w:sz w:val="24"/>
          <w:szCs w:val="24"/>
        </w:rPr>
        <w:t xml:space="preserve"> projekt był procedowany niezależnie, a które wprowadzały nowe brzmienie art. 52 P.g.g. z</w:t>
      </w:r>
      <w:r w:rsidR="00C8424D" w:rsidRPr="007F28C1">
        <w:rPr>
          <w:rFonts w:ascii="Times New Roman" w:hAnsi="Times New Roman" w:cs="Times New Roman"/>
          <w:sz w:val="24"/>
          <w:szCs w:val="24"/>
        </w:rPr>
        <w:t> </w:t>
      </w:r>
      <w:r w:rsidRPr="007F28C1">
        <w:rPr>
          <w:rFonts w:ascii="Times New Roman" w:hAnsi="Times New Roman" w:cs="Times New Roman"/>
          <w:sz w:val="24"/>
          <w:szCs w:val="24"/>
        </w:rPr>
        <w:t xml:space="preserve">pominięciem prawidłowego odesłania. Skutkiem tych zmian było odesłanie do przepisu nieistniejącego. Pozostałe zmiany mają cel porządkujący w zakresie zastosowania pojęć wprowadzonych ustawą </w:t>
      </w:r>
      <w:r w:rsidR="00D00E4C" w:rsidRPr="007F28C1">
        <w:rPr>
          <w:rFonts w:ascii="Times New Roman" w:hAnsi="Times New Roman" w:cs="Times New Roman"/>
          <w:sz w:val="24"/>
          <w:szCs w:val="24"/>
        </w:rPr>
        <w:t>z dnia 3 lipca 2018 r. – P</w:t>
      </w:r>
      <w:r w:rsidRPr="007F28C1">
        <w:rPr>
          <w:rFonts w:ascii="Times New Roman" w:hAnsi="Times New Roman" w:cs="Times New Roman"/>
          <w:sz w:val="24"/>
          <w:szCs w:val="24"/>
        </w:rPr>
        <w:t>rzepisy wprowadzające ustawę – Prawo o szkolnictwie wyższym i nauce, tj. zastąpiono pojęcie studia wyższe pierwszego stopnia pojęciem studia pierwszego stopnia.</w:t>
      </w:r>
    </w:p>
    <w:p w14:paraId="3B9ADCAC" w14:textId="5CC4C6B6" w:rsidR="001B56AE" w:rsidRPr="007F28C1" w:rsidRDefault="001B56A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Stosownie do art</w:t>
      </w:r>
      <w:r w:rsidR="00CE31ED"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79 ust. 1 P.g.g. prace geologiczne z zastosowaniem robót geologicznych mogą być wykonywane tylko na podstawie projektu robót geologicznych. Zgodnie zaś z art. 79 ust. 1a P.g.g. prace geologiczne z zastosowaniem metod geofizycznych w granicach obszarów morskich R</w:t>
      </w:r>
      <w:r w:rsidR="00C2013A" w:rsidRPr="007F28C1">
        <w:rPr>
          <w:rFonts w:ascii="Times New Roman" w:eastAsia="Times New Roman" w:hAnsi="Times New Roman" w:cs="Times New Roman"/>
          <w:sz w:val="24"/>
          <w:szCs w:val="24"/>
          <w:lang w:eastAsia="pl-PL"/>
        </w:rPr>
        <w:t xml:space="preserve">zeczypospolitej </w:t>
      </w:r>
      <w:r w:rsidRPr="007F28C1">
        <w:rPr>
          <w:rFonts w:ascii="Times New Roman" w:eastAsia="Times New Roman" w:hAnsi="Times New Roman" w:cs="Times New Roman"/>
          <w:sz w:val="24"/>
          <w:szCs w:val="24"/>
          <w:lang w:eastAsia="pl-PL"/>
        </w:rPr>
        <w:t>P</w:t>
      </w:r>
      <w:r w:rsidR="00C2013A" w:rsidRPr="007F28C1">
        <w:rPr>
          <w:rFonts w:ascii="Times New Roman" w:eastAsia="Times New Roman" w:hAnsi="Times New Roman" w:cs="Times New Roman"/>
          <w:sz w:val="24"/>
          <w:szCs w:val="24"/>
          <w:lang w:eastAsia="pl-PL"/>
        </w:rPr>
        <w:t>olskiej</w:t>
      </w:r>
      <w:r w:rsidRPr="007F28C1">
        <w:rPr>
          <w:rFonts w:ascii="Times New Roman" w:eastAsia="Times New Roman" w:hAnsi="Times New Roman" w:cs="Times New Roman"/>
          <w:sz w:val="24"/>
          <w:szCs w:val="24"/>
          <w:lang w:eastAsia="pl-PL"/>
        </w:rPr>
        <w:t xml:space="preserve"> mogą być wykonywane tylko na podstawie projektu robót geologicznych. W świetle art. 6 ust. 1 pkt 8 P.g.g. pracą geologiczną jest projektowanie i wykonywanie badań oraz innych czynności, w celu ustalenia budowy geologicznej kraju, a w </w:t>
      </w:r>
      <w:r w:rsidRPr="007F28C1">
        <w:rPr>
          <w:rFonts w:ascii="Times New Roman" w:eastAsia="Times New Roman" w:hAnsi="Times New Roman" w:cs="Times New Roman"/>
          <w:sz w:val="24"/>
          <w:szCs w:val="24"/>
          <w:lang w:eastAsia="pl-PL"/>
        </w:rPr>
        <w:lastRenderedPageBreak/>
        <w:t>szczególności poszukiwania i rozpoznawania złóż kopalin, wód podziemnych oraz kompleksu podziemnego składowania dwutlenku węgla, określenia warunków hydrogeologicznych, geologiczno-inżynierskich, a także sporządzanie map i dokumentacji geologicznych oraz projektowanie i wykonywanie badań na potrzeby wykorzystania ciepła Ziemi lub</w:t>
      </w:r>
      <w:r w:rsidR="00D978C1"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korzystania z wód podziemnych. Zaproponowana w art. 79 ust. 1a P.g.g.</w:t>
      </w:r>
      <w:r w:rsidRPr="007F28C1">
        <w:rPr>
          <w:rFonts w:ascii="Times New Roman" w:eastAsia="Times New Roman" w:hAnsi="Times New Roman" w:cs="Times New Roman"/>
          <w:bCs/>
          <w:sz w:val="24"/>
          <w:szCs w:val="24"/>
          <w:lang w:eastAsia="pl-PL"/>
        </w:rPr>
        <w:t xml:space="preserve"> </w:t>
      </w:r>
      <w:r w:rsidRPr="007F28C1">
        <w:rPr>
          <w:rFonts w:ascii="Times New Roman" w:eastAsia="Times New Roman" w:hAnsi="Times New Roman" w:cs="Times New Roman"/>
          <w:sz w:val="24"/>
          <w:szCs w:val="24"/>
          <w:lang w:eastAsia="pl-PL"/>
        </w:rPr>
        <w:t xml:space="preserve">zmiana </w:t>
      </w:r>
      <w:r w:rsidR="006B5D57" w:rsidRPr="007F28C1">
        <w:rPr>
          <w:rFonts w:ascii="Times New Roman" w:eastAsia="Times New Roman" w:hAnsi="Times New Roman" w:cs="Times New Roman"/>
          <w:sz w:val="24"/>
          <w:szCs w:val="24"/>
          <w:lang w:eastAsia="pl-PL"/>
        </w:rPr>
        <w:t xml:space="preserve">przewiduje </w:t>
      </w:r>
      <w:r w:rsidR="00CC47E7" w:rsidRPr="007F28C1">
        <w:rPr>
          <w:rFonts w:ascii="Times New Roman" w:eastAsia="Times New Roman" w:hAnsi="Times New Roman" w:cs="Times New Roman"/>
          <w:sz w:val="24"/>
          <w:szCs w:val="24"/>
          <w:lang w:eastAsia="pl-PL"/>
        </w:rPr>
        <w:t>zawężenie dotychczasowego brzmienia art. 79 ust. 1a</w:t>
      </w:r>
      <w:r w:rsidR="006B5D57" w:rsidRPr="007F28C1">
        <w:rPr>
          <w:rFonts w:ascii="Times New Roman" w:eastAsia="Times New Roman" w:hAnsi="Times New Roman" w:cs="Times New Roman"/>
          <w:sz w:val="24"/>
          <w:szCs w:val="24"/>
          <w:lang w:eastAsia="pl-PL"/>
        </w:rPr>
        <w:t xml:space="preserve"> P</w:t>
      </w:r>
      <w:r w:rsidR="00CC2F5A" w:rsidRPr="007F28C1">
        <w:rPr>
          <w:rFonts w:ascii="Times New Roman" w:eastAsia="Times New Roman" w:hAnsi="Times New Roman" w:cs="Times New Roman"/>
          <w:sz w:val="24"/>
          <w:szCs w:val="24"/>
          <w:lang w:eastAsia="pl-PL"/>
        </w:rPr>
        <w:t>.</w:t>
      </w:r>
      <w:r w:rsidR="006B5D57" w:rsidRPr="007F28C1">
        <w:rPr>
          <w:rFonts w:ascii="Times New Roman" w:eastAsia="Times New Roman" w:hAnsi="Times New Roman" w:cs="Times New Roman"/>
          <w:sz w:val="24"/>
          <w:szCs w:val="24"/>
          <w:lang w:eastAsia="pl-PL"/>
        </w:rPr>
        <w:t>g.g.</w:t>
      </w:r>
      <w:r w:rsidR="00CC47E7" w:rsidRPr="007F28C1">
        <w:rPr>
          <w:rFonts w:ascii="Times New Roman" w:eastAsia="Times New Roman" w:hAnsi="Times New Roman" w:cs="Times New Roman"/>
          <w:sz w:val="24"/>
          <w:szCs w:val="24"/>
          <w:lang w:eastAsia="pl-PL"/>
        </w:rPr>
        <w:t>, tj. wskazanie, że w przypadku obszarów morskich projekt robót geologicznych jest wymagany jedynie dla prac geologicznych z zastosowaniem jednej z</w:t>
      </w:r>
      <w:r w:rsidR="00AA26A0" w:rsidRPr="007F28C1">
        <w:rPr>
          <w:rFonts w:ascii="Times New Roman" w:eastAsia="Times New Roman" w:hAnsi="Times New Roman" w:cs="Times New Roman"/>
          <w:sz w:val="24"/>
          <w:szCs w:val="24"/>
          <w:lang w:eastAsia="pl-PL"/>
        </w:rPr>
        <w:t> </w:t>
      </w:r>
      <w:r w:rsidR="00CC47E7" w:rsidRPr="007F28C1">
        <w:rPr>
          <w:rFonts w:ascii="Times New Roman" w:eastAsia="Times New Roman" w:hAnsi="Times New Roman" w:cs="Times New Roman"/>
          <w:sz w:val="24"/>
          <w:szCs w:val="24"/>
          <w:lang w:eastAsia="pl-PL"/>
        </w:rPr>
        <w:t>metod geofizycznych, tj. badań sejsmicznych, w przypadku budowy morskiej farmy wiatrowej oraz</w:t>
      </w:r>
      <w:r w:rsidR="00AA26A0" w:rsidRPr="007F28C1">
        <w:rPr>
          <w:rFonts w:ascii="Times New Roman" w:eastAsia="Times New Roman" w:hAnsi="Times New Roman" w:cs="Times New Roman"/>
          <w:sz w:val="24"/>
          <w:szCs w:val="24"/>
          <w:lang w:eastAsia="pl-PL"/>
        </w:rPr>
        <w:t> </w:t>
      </w:r>
      <w:r w:rsidR="00CC47E7" w:rsidRPr="007F28C1">
        <w:rPr>
          <w:rFonts w:ascii="Times New Roman" w:eastAsia="Times New Roman" w:hAnsi="Times New Roman" w:cs="Times New Roman"/>
          <w:sz w:val="24"/>
          <w:szCs w:val="24"/>
          <w:lang w:eastAsia="pl-PL"/>
        </w:rPr>
        <w:t>zespołu urządzeń służących do wyprowadzenia mocy w rozumieniu ustawy z dnia 17 grudnia 2020</w:t>
      </w:r>
      <w:r w:rsidR="00C8424D" w:rsidRPr="007F28C1">
        <w:rPr>
          <w:rFonts w:ascii="Times New Roman" w:eastAsia="Times New Roman" w:hAnsi="Times New Roman" w:cs="Times New Roman"/>
          <w:sz w:val="24"/>
          <w:szCs w:val="24"/>
          <w:lang w:eastAsia="pl-PL"/>
        </w:rPr>
        <w:t> </w:t>
      </w:r>
      <w:r w:rsidR="00CC47E7" w:rsidRPr="007F28C1">
        <w:rPr>
          <w:rFonts w:ascii="Times New Roman" w:eastAsia="Times New Roman" w:hAnsi="Times New Roman" w:cs="Times New Roman"/>
          <w:sz w:val="24"/>
          <w:szCs w:val="24"/>
          <w:lang w:eastAsia="pl-PL"/>
        </w:rPr>
        <w:t>r. o promowaniu wytwarzania energii elektrycznej w morskich farmach wiatrowych (Dz.</w:t>
      </w:r>
      <w:r w:rsidR="00C2013A" w:rsidRPr="007F28C1">
        <w:rPr>
          <w:rFonts w:ascii="Times New Roman" w:eastAsia="Times New Roman" w:hAnsi="Times New Roman" w:cs="Times New Roman"/>
          <w:sz w:val="24"/>
          <w:szCs w:val="24"/>
          <w:lang w:eastAsia="pl-PL"/>
        </w:rPr>
        <w:t xml:space="preserve"> </w:t>
      </w:r>
      <w:r w:rsidR="00CC47E7" w:rsidRPr="007F28C1">
        <w:rPr>
          <w:rFonts w:ascii="Times New Roman" w:eastAsia="Times New Roman" w:hAnsi="Times New Roman" w:cs="Times New Roman"/>
          <w:sz w:val="24"/>
          <w:szCs w:val="24"/>
          <w:lang w:eastAsia="pl-PL"/>
        </w:rPr>
        <w:t>U. z</w:t>
      </w:r>
      <w:r w:rsidR="00705A7E" w:rsidRPr="007F28C1">
        <w:rPr>
          <w:rFonts w:ascii="Times New Roman" w:eastAsia="Times New Roman" w:hAnsi="Times New Roman" w:cs="Times New Roman"/>
          <w:sz w:val="24"/>
          <w:szCs w:val="24"/>
          <w:lang w:eastAsia="pl-PL"/>
        </w:rPr>
        <w:t> </w:t>
      </w:r>
      <w:r w:rsidR="00C2013A" w:rsidRPr="007F28C1">
        <w:rPr>
          <w:rFonts w:ascii="Times New Roman" w:eastAsia="Times New Roman" w:hAnsi="Times New Roman" w:cs="Times New Roman"/>
          <w:sz w:val="24"/>
          <w:szCs w:val="24"/>
          <w:lang w:eastAsia="pl-PL"/>
        </w:rPr>
        <w:t xml:space="preserve">2022 </w:t>
      </w:r>
      <w:r w:rsidR="00CC47E7" w:rsidRPr="007F28C1">
        <w:rPr>
          <w:rFonts w:ascii="Times New Roman" w:eastAsia="Times New Roman" w:hAnsi="Times New Roman" w:cs="Times New Roman"/>
          <w:sz w:val="24"/>
          <w:szCs w:val="24"/>
          <w:lang w:eastAsia="pl-PL"/>
        </w:rPr>
        <w:t xml:space="preserve">r. poz. </w:t>
      </w:r>
      <w:r w:rsidR="00C2013A" w:rsidRPr="007F28C1">
        <w:rPr>
          <w:rFonts w:ascii="Times New Roman" w:eastAsia="Times New Roman" w:hAnsi="Times New Roman" w:cs="Times New Roman"/>
          <w:sz w:val="24"/>
          <w:szCs w:val="24"/>
          <w:lang w:eastAsia="pl-PL"/>
        </w:rPr>
        <w:t>1050</w:t>
      </w:r>
      <w:r w:rsidR="00265A6B" w:rsidRPr="007F28C1">
        <w:rPr>
          <w:rFonts w:ascii="Times New Roman" w:eastAsia="Times New Roman" w:hAnsi="Times New Roman" w:cs="Times New Roman"/>
          <w:sz w:val="24"/>
          <w:szCs w:val="24"/>
          <w:lang w:eastAsia="pl-PL"/>
        </w:rPr>
        <w:t>, z</w:t>
      </w:r>
      <w:r w:rsidR="00C00904" w:rsidRPr="007F28C1">
        <w:rPr>
          <w:rFonts w:ascii="Times New Roman" w:eastAsia="Times New Roman" w:hAnsi="Times New Roman" w:cs="Times New Roman"/>
          <w:sz w:val="24"/>
          <w:szCs w:val="24"/>
          <w:lang w:eastAsia="pl-PL"/>
        </w:rPr>
        <w:t xml:space="preserve"> późn.</w:t>
      </w:r>
      <w:r w:rsidR="00CC47E7" w:rsidRPr="007F28C1">
        <w:rPr>
          <w:rFonts w:ascii="Times New Roman" w:eastAsia="Times New Roman" w:hAnsi="Times New Roman" w:cs="Times New Roman"/>
          <w:sz w:val="24"/>
          <w:szCs w:val="24"/>
          <w:lang w:eastAsia="pl-PL"/>
        </w:rPr>
        <w:t xml:space="preserve"> zm.). </w:t>
      </w:r>
      <w:r w:rsidRPr="007F28C1">
        <w:rPr>
          <w:rFonts w:ascii="Times New Roman" w:eastAsia="Times New Roman" w:hAnsi="Times New Roman" w:cs="Times New Roman"/>
          <w:sz w:val="24"/>
          <w:szCs w:val="24"/>
          <w:lang w:eastAsia="pl-PL"/>
        </w:rPr>
        <w:t>Konsekwencją zaproponowanej zmiany jest modyfikacja w art. 92 P.g.g.</w:t>
      </w:r>
      <w:r w:rsidR="006773CD"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r w:rsidR="001814CA" w:rsidRPr="007F28C1">
        <w:rPr>
          <w:rFonts w:ascii="Times New Roman" w:eastAsia="Times New Roman" w:hAnsi="Times New Roman" w:cs="Times New Roman"/>
          <w:sz w:val="24"/>
          <w:szCs w:val="24"/>
          <w:lang w:eastAsia="pl-PL"/>
        </w:rPr>
        <w:t>polegająca na</w:t>
      </w:r>
      <w:r w:rsidR="006B5D57"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dodani</w:t>
      </w:r>
      <w:r w:rsidR="001814CA" w:rsidRPr="007F28C1">
        <w:rPr>
          <w:rFonts w:ascii="Times New Roman" w:eastAsia="Times New Roman" w:hAnsi="Times New Roman" w:cs="Times New Roman"/>
          <w:sz w:val="24"/>
          <w:szCs w:val="24"/>
          <w:lang w:eastAsia="pl-PL"/>
        </w:rPr>
        <w:t>u</w:t>
      </w:r>
      <w:r w:rsidRPr="007F28C1">
        <w:rPr>
          <w:rFonts w:ascii="Times New Roman" w:eastAsia="Times New Roman" w:hAnsi="Times New Roman" w:cs="Times New Roman"/>
          <w:sz w:val="24"/>
          <w:szCs w:val="24"/>
          <w:lang w:eastAsia="pl-PL"/>
        </w:rPr>
        <w:t xml:space="preserve"> </w:t>
      </w:r>
      <w:r w:rsidR="001814CA" w:rsidRPr="007F28C1">
        <w:rPr>
          <w:rFonts w:ascii="Times New Roman" w:eastAsia="Times New Roman" w:hAnsi="Times New Roman" w:cs="Times New Roman"/>
          <w:sz w:val="24"/>
          <w:szCs w:val="24"/>
          <w:lang w:eastAsia="pl-PL"/>
        </w:rPr>
        <w:t xml:space="preserve">nowego </w:t>
      </w:r>
      <w:r w:rsidRPr="007F28C1">
        <w:rPr>
          <w:rFonts w:ascii="Times New Roman" w:eastAsia="Times New Roman" w:hAnsi="Times New Roman" w:cs="Times New Roman"/>
          <w:sz w:val="24"/>
          <w:szCs w:val="24"/>
          <w:lang w:eastAsia="pl-PL"/>
        </w:rPr>
        <w:t xml:space="preserve">pkt 7, określającego </w:t>
      </w:r>
      <w:r w:rsidR="001814CA" w:rsidRPr="007F28C1">
        <w:rPr>
          <w:rFonts w:ascii="Times New Roman" w:eastAsia="Times New Roman" w:hAnsi="Times New Roman" w:cs="Times New Roman"/>
          <w:sz w:val="24"/>
          <w:szCs w:val="24"/>
          <w:lang w:eastAsia="pl-PL"/>
        </w:rPr>
        <w:t xml:space="preserve">kolejny </w:t>
      </w:r>
      <w:r w:rsidRPr="007F28C1">
        <w:rPr>
          <w:rFonts w:ascii="Times New Roman" w:eastAsia="Times New Roman" w:hAnsi="Times New Roman" w:cs="Times New Roman"/>
          <w:sz w:val="24"/>
          <w:szCs w:val="24"/>
          <w:lang w:eastAsia="pl-PL"/>
        </w:rPr>
        <w:t>przypad</w:t>
      </w:r>
      <w:r w:rsidR="001814CA" w:rsidRPr="007F28C1">
        <w:rPr>
          <w:rFonts w:ascii="Times New Roman" w:eastAsia="Times New Roman" w:hAnsi="Times New Roman" w:cs="Times New Roman"/>
          <w:sz w:val="24"/>
          <w:szCs w:val="24"/>
          <w:lang w:eastAsia="pl-PL"/>
        </w:rPr>
        <w:t>e</w:t>
      </w:r>
      <w:r w:rsidRPr="007F28C1">
        <w:rPr>
          <w:rFonts w:ascii="Times New Roman" w:eastAsia="Times New Roman" w:hAnsi="Times New Roman" w:cs="Times New Roman"/>
          <w:sz w:val="24"/>
          <w:szCs w:val="24"/>
          <w:lang w:eastAsia="pl-PL"/>
        </w:rPr>
        <w:t>k sporządzenia dokumentacji geologicznej, o</w:t>
      </w:r>
      <w:r w:rsidR="00D978C1"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której mowa w art. 88 ust. 2 pkt 4 P.g.g., tzw. innej dokumentacji geologicznej. </w:t>
      </w:r>
    </w:p>
    <w:p w14:paraId="3F108F8C" w14:textId="2344F47E" w:rsidR="001B56AE" w:rsidRPr="007F28C1" w:rsidRDefault="001B56A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Propozycja zmiany art. 65 ust. 11 pkt 1 P.g.g. umożliwi sprawną organizację egzaminów oraz ograniczy koszty przeprowadzania egzaminów, z uwagi na fakt, ż</w:t>
      </w:r>
      <w:r w:rsidR="00CC2F5A" w:rsidRPr="007F28C1">
        <w:rPr>
          <w:rFonts w:ascii="Times New Roman" w:eastAsia="Times New Roman" w:hAnsi="Times New Roman" w:cs="Times New Roman"/>
          <w:sz w:val="24"/>
          <w:szCs w:val="24"/>
          <w:lang w:eastAsia="pl-PL"/>
        </w:rPr>
        <w:t>e</w:t>
      </w:r>
      <w:r w:rsidRPr="007F28C1">
        <w:rPr>
          <w:rFonts w:ascii="Times New Roman" w:eastAsia="Times New Roman" w:hAnsi="Times New Roman" w:cs="Times New Roman"/>
          <w:sz w:val="24"/>
          <w:szCs w:val="24"/>
          <w:lang w:eastAsia="pl-PL"/>
        </w:rPr>
        <w:t xml:space="preserve"> osoby niezainteresowane dalszym </w:t>
      </w:r>
      <w:r w:rsidR="00EF5B6E" w:rsidRPr="007F28C1">
        <w:rPr>
          <w:rFonts w:ascii="Times New Roman" w:eastAsia="Times New Roman" w:hAnsi="Times New Roman" w:cs="Times New Roman"/>
          <w:sz w:val="24"/>
          <w:szCs w:val="24"/>
          <w:lang w:eastAsia="pl-PL"/>
        </w:rPr>
        <w:t xml:space="preserve">ubieganiem się o kwalifikacje </w:t>
      </w:r>
      <w:r w:rsidRPr="007F28C1">
        <w:rPr>
          <w:rFonts w:ascii="Times New Roman" w:eastAsia="Times New Roman" w:hAnsi="Times New Roman" w:cs="Times New Roman"/>
          <w:sz w:val="24"/>
          <w:szCs w:val="24"/>
          <w:lang w:eastAsia="pl-PL"/>
        </w:rPr>
        <w:t>nie będą na nie zapraszane oraz uwzględniane jako potencjalni zdający. Obecnie organ administracji geologicznej nie posiada informacji, czy osoba nieprzystępująca do egzaminu kolejny raz jest nadal zainteresowana ubieganiem się o stwierdzenie kwalifikacji. Kandydat, który przez trzy lata od dnia doręczenia informacji o dopuszczeniu do egzaminu nie przystąpi do niego lub przystąpi</w:t>
      </w:r>
      <w:r w:rsidR="00AA26A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ale</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uzyska wynik negatywny z egzaminu, będzie musiał ponownie złożyć wniosek o stwierdzenie kwalifikacji. W związku z zaproponowaną zmianą </w:t>
      </w:r>
      <w:r w:rsidR="00856E9E"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konieczne również wprowadzenie odpowiedniego przepisu przejściowego.</w:t>
      </w:r>
    </w:p>
    <w:p w14:paraId="795FB843" w14:textId="585F75F6" w:rsidR="001B56AE" w:rsidRPr="007F28C1" w:rsidRDefault="00F845B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Obecnie d</w:t>
      </w:r>
      <w:r w:rsidR="001B56AE" w:rsidRPr="007F28C1">
        <w:rPr>
          <w:rFonts w:ascii="Times New Roman" w:hAnsi="Times New Roman" w:cs="Times New Roman"/>
          <w:sz w:val="24"/>
          <w:szCs w:val="24"/>
        </w:rPr>
        <w:t>o ministra właściwego do spraw środowiska, jako organu administracji geologicznej pierwszej instancji, należą m.in. sprawy związane z zatwierdzaniem projektów robót geologicznych oraz dokumentacjami geologicznymi, dotyczące obszarów morskich R</w:t>
      </w:r>
      <w:r w:rsidR="00856E9E" w:rsidRPr="007F28C1">
        <w:rPr>
          <w:rFonts w:ascii="Times New Roman" w:hAnsi="Times New Roman" w:cs="Times New Roman"/>
          <w:sz w:val="24"/>
          <w:szCs w:val="24"/>
        </w:rPr>
        <w:t xml:space="preserve">zeczypospolitej </w:t>
      </w:r>
      <w:r w:rsidR="001B56AE" w:rsidRPr="007F28C1">
        <w:rPr>
          <w:rFonts w:ascii="Times New Roman" w:hAnsi="Times New Roman" w:cs="Times New Roman"/>
          <w:sz w:val="24"/>
          <w:szCs w:val="24"/>
        </w:rPr>
        <w:t>P</w:t>
      </w:r>
      <w:r w:rsidR="00856E9E" w:rsidRPr="007F28C1">
        <w:rPr>
          <w:rFonts w:ascii="Times New Roman" w:hAnsi="Times New Roman" w:cs="Times New Roman"/>
          <w:sz w:val="24"/>
          <w:szCs w:val="24"/>
        </w:rPr>
        <w:t>olskiej</w:t>
      </w:r>
      <w:r w:rsidR="001B56AE" w:rsidRPr="007F28C1">
        <w:rPr>
          <w:rFonts w:ascii="Times New Roman" w:hAnsi="Times New Roman" w:cs="Times New Roman"/>
          <w:sz w:val="24"/>
          <w:szCs w:val="24"/>
        </w:rPr>
        <w:t>. Z powyższego można wywodzić, ż</w:t>
      </w:r>
      <w:r w:rsidR="00CC2F5A" w:rsidRPr="007F28C1">
        <w:rPr>
          <w:rFonts w:ascii="Times New Roman" w:hAnsi="Times New Roman" w:cs="Times New Roman"/>
          <w:sz w:val="24"/>
          <w:szCs w:val="24"/>
        </w:rPr>
        <w:t>e</w:t>
      </w:r>
      <w:r w:rsidR="001B56AE" w:rsidRPr="007F28C1">
        <w:rPr>
          <w:rFonts w:ascii="Times New Roman" w:hAnsi="Times New Roman" w:cs="Times New Roman"/>
          <w:sz w:val="24"/>
          <w:szCs w:val="24"/>
        </w:rPr>
        <w:t xml:space="preserve"> minister właściwy do spraw środowiska jest właściwy tylko w zakresie robót geologicznych znajdujących się w obszarach morskich, a nie poza nimi. Jednakże w praktyce częstym przypadkiem jest projektowanie inwestycji częściowo położonej na lądzie, a częściowo w obszarze morskim (pomosty, nadbrzeża, infrastruktura portowa). Wydawanie dla jednej inwestycji dwóch różnych rozstrzygnięć przez dwa organy administracji geologicznej może skutkować wydaniem </w:t>
      </w:r>
      <w:r w:rsidR="001B56AE" w:rsidRPr="007F28C1">
        <w:rPr>
          <w:rFonts w:ascii="Times New Roman" w:hAnsi="Times New Roman" w:cs="Times New Roman"/>
          <w:sz w:val="24"/>
          <w:szCs w:val="24"/>
        </w:rPr>
        <w:lastRenderedPageBreak/>
        <w:t xml:space="preserve">odmiennych i niespójnych rozstrzygnięć, jak również pozostaje w sprzeczności z ekonomiką postępowania. Mając na względzie powyższe wątpliwości, </w:t>
      </w:r>
      <w:r w:rsidR="00856E9E" w:rsidRPr="007F28C1">
        <w:rPr>
          <w:rFonts w:ascii="Times New Roman" w:hAnsi="Times New Roman" w:cs="Times New Roman"/>
          <w:sz w:val="24"/>
          <w:szCs w:val="24"/>
        </w:rPr>
        <w:t xml:space="preserve">jest </w:t>
      </w:r>
      <w:r w:rsidR="001B56AE" w:rsidRPr="007F28C1">
        <w:rPr>
          <w:rFonts w:ascii="Times New Roman" w:hAnsi="Times New Roman" w:cs="Times New Roman"/>
          <w:sz w:val="24"/>
          <w:szCs w:val="24"/>
        </w:rPr>
        <w:t>konieczne wprowadzenie w art.</w:t>
      </w:r>
      <w:r w:rsidR="001B56AE" w:rsidRPr="007F28C1">
        <w:rPr>
          <w:rFonts w:ascii="Times New Roman" w:eastAsia="Times New Roman" w:hAnsi="Times New Roman" w:cs="Times New Roman"/>
          <w:sz w:val="24"/>
          <w:szCs w:val="24"/>
          <w:lang w:eastAsia="pl-PL"/>
        </w:rPr>
        <w:t> 161 ust. 3 pkt 2 P.g.g.</w:t>
      </w:r>
      <w:r w:rsidR="001B56AE" w:rsidRPr="007F28C1">
        <w:rPr>
          <w:rFonts w:ascii="Times New Roman" w:hAnsi="Times New Roman" w:cs="Times New Roman"/>
          <w:sz w:val="24"/>
          <w:szCs w:val="24"/>
        </w:rPr>
        <w:t xml:space="preserve"> regulacji </w:t>
      </w:r>
      <w:r w:rsidRPr="007F28C1">
        <w:rPr>
          <w:rFonts w:ascii="Times New Roman" w:hAnsi="Times New Roman" w:cs="Times New Roman"/>
          <w:sz w:val="24"/>
          <w:szCs w:val="24"/>
        </w:rPr>
        <w:t xml:space="preserve">wskazującej </w:t>
      </w:r>
      <w:r w:rsidR="001B56AE" w:rsidRPr="007F28C1">
        <w:rPr>
          <w:rFonts w:ascii="Times New Roman" w:hAnsi="Times New Roman" w:cs="Times New Roman"/>
          <w:sz w:val="24"/>
          <w:szCs w:val="24"/>
        </w:rPr>
        <w:t xml:space="preserve">właściwość </w:t>
      </w:r>
      <w:r w:rsidR="00590353" w:rsidRPr="007F28C1">
        <w:rPr>
          <w:rFonts w:ascii="Times New Roman" w:hAnsi="Times New Roman" w:cs="Times New Roman"/>
          <w:sz w:val="24"/>
          <w:szCs w:val="24"/>
        </w:rPr>
        <w:t>ministra właściwego do spraw środowiska</w:t>
      </w:r>
      <w:r w:rsidR="000151BD" w:rsidRPr="007F28C1">
        <w:rPr>
          <w:rFonts w:ascii="Times New Roman" w:hAnsi="Times New Roman" w:cs="Times New Roman"/>
          <w:sz w:val="24"/>
          <w:szCs w:val="24"/>
        </w:rPr>
        <w:t xml:space="preserve"> </w:t>
      </w:r>
      <w:r w:rsidR="001B56AE" w:rsidRPr="007F28C1">
        <w:rPr>
          <w:rFonts w:ascii="Times New Roman" w:hAnsi="Times New Roman" w:cs="Times New Roman"/>
          <w:sz w:val="24"/>
          <w:szCs w:val="24"/>
        </w:rPr>
        <w:t>w przypadku, gdy np. projekt robót geologicznych albo dokumentacja geologiczno-inżynierska obejmuje częściowo obszar morski. W takim przypadku projekt robót geologicznych dla realizacji jednej inwestycji, co do której zaplanowano roboty geologiczne częściowo w obszarze morskim, częściowo na lądzie, zatwierdzałby</w:t>
      </w:r>
      <w:r w:rsidR="00590353" w:rsidRPr="007F28C1">
        <w:rPr>
          <w:rFonts w:ascii="Times New Roman" w:hAnsi="Times New Roman" w:cs="Times New Roman"/>
          <w:sz w:val="24"/>
          <w:szCs w:val="24"/>
        </w:rPr>
        <w:t xml:space="preserve"> </w:t>
      </w:r>
      <w:r w:rsidR="00856E9E" w:rsidRPr="007F28C1">
        <w:rPr>
          <w:rFonts w:ascii="Times New Roman" w:hAnsi="Times New Roman" w:cs="Times New Roman"/>
          <w:sz w:val="24"/>
          <w:szCs w:val="24"/>
        </w:rPr>
        <w:t>m</w:t>
      </w:r>
      <w:r w:rsidR="00590353" w:rsidRPr="007F28C1">
        <w:rPr>
          <w:rFonts w:ascii="Times New Roman" w:hAnsi="Times New Roman" w:cs="Times New Roman"/>
          <w:sz w:val="24"/>
          <w:szCs w:val="24"/>
        </w:rPr>
        <w:t>inister</w:t>
      </w:r>
      <w:r w:rsidR="00856E9E" w:rsidRPr="007F28C1">
        <w:rPr>
          <w:rFonts w:ascii="Times New Roman" w:hAnsi="Times New Roman" w:cs="Times New Roman"/>
          <w:sz w:val="24"/>
          <w:szCs w:val="24"/>
        </w:rPr>
        <w:t xml:space="preserve"> właściwy do spraw środowiska</w:t>
      </w:r>
      <w:r w:rsidR="001B56AE" w:rsidRPr="007F28C1">
        <w:rPr>
          <w:rFonts w:ascii="Times New Roman" w:hAnsi="Times New Roman" w:cs="Times New Roman"/>
          <w:sz w:val="24"/>
          <w:szCs w:val="24"/>
        </w:rPr>
        <w:t>.</w:t>
      </w:r>
    </w:p>
    <w:p w14:paraId="3110269E" w14:textId="04E768C7" w:rsidR="00547905" w:rsidRPr="007F28C1" w:rsidRDefault="001B56A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Przepis </w:t>
      </w:r>
      <w:r w:rsidRPr="007F28C1">
        <w:rPr>
          <w:rFonts w:ascii="Times New Roman" w:eastAsia="Times New Roman" w:hAnsi="Times New Roman" w:cs="Times New Roman"/>
          <w:sz w:val="24"/>
          <w:szCs w:val="24"/>
          <w:lang w:eastAsia="pl-PL"/>
        </w:rPr>
        <w:t>art. 161 ust. 3 pkt 1c P.g.g.,</w:t>
      </w:r>
      <w:r w:rsidRPr="007F28C1">
        <w:rPr>
          <w:rFonts w:ascii="Times New Roman" w:hAnsi="Times New Roman" w:cs="Times New Roman"/>
          <w:sz w:val="24"/>
          <w:szCs w:val="24"/>
        </w:rPr>
        <w:t xml:space="preserve"> określający </w:t>
      </w:r>
      <w:r w:rsidR="00F845B0" w:rsidRPr="007F28C1">
        <w:rPr>
          <w:rFonts w:ascii="Times New Roman" w:hAnsi="Times New Roman" w:cs="Times New Roman"/>
          <w:sz w:val="24"/>
          <w:szCs w:val="24"/>
        </w:rPr>
        <w:t xml:space="preserve">dotychczas </w:t>
      </w:r>
      <w:r w:rsidRPr="007F28C1">
        <w:rPr>
          <w:rFonts w:ascii="Times New Roman" w:hAnsi="Times New Roman" w:cs="Times New Roman"/>
          <w:sz w:val="24"/>
          <w:szCs w:val="24"/>
        </w:rPr>
        <w:t xml:space="preserve">kompetencje ministra właściwego do spraw środowiska, uzupełniono również o sprawy dotyczące zakończenia </w:t>
      </w:r>
      <w:r w:rsidR="00856E9E" w:rsidRPr="007F28C1">
        <w:rPr>
          <w:rFonts w:ascii="Times New Roman" w:hAnsi="Times New Roman" w:cs="Times New Roman"/>
          <w:sz w:val="24"/>
          <w:szCs w:val="24"/>
        </w:rPr>
        <w:t xml:space="preserve">odwadniania </w:t>
      </w:r>
      <w:r w:rsidRPr="007F28C1">
        <w:rPr>
          <w:rFonts w:ascii="Times New Roman" w:hAnsi="Times New Roman" w:cs="Times New Roman"/>
          <w:sz w:val="24"/>
          <w:szCs w:val="24"/>
        </w:rPr>
        <w:t xml:space="preserve">lub zmiany poziomu odwadniania likwidowanych zakładów górniczych wydobywających kopaliny, o których mowa w art. 10 ust. 1 P.g.g. Ze względu na istotność i złożoność tych spraw </w:t>
      </w:r>
      <w:r w:rsidR="00856E9E"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zasadn</w:t>
      </w:r>
      <w:r w:rsidR="00856E9E" w:rsidRPr="007F28C1">
        <w:rPr>
          <w:rFonts w:ascii="Times New Roman" w:hAnsi="Times New Roman" w:cs="Times New Roman"/>
          <w:sz w:val="24"/>
          <w:szCs w:val="24"/>
        </w:rPr>
        <w:t>e</w:t>
      </w:r>
      <w:r w:rsidRPr="007F28C1">
        <w:rPr>
          <w:rFonts w:ascii="Times New Roman" w:hAnsi="Times New Roman" w:cs="Times New Roman"/>
          <w:sz w:val="24"/>
          <w:szCs w:val="24"/>
        </w:rPr>
        <w:t xml:space="preserve">, aby </w:t>
      </w:r>
      <w:r w:rsidR="001F088F" w:rsidRPr="007F28C1">
        <w:rPr>
          <w:rFonts w:ascii="Times New Roman" w:hAnsi="Times New Roman" w:cs="Times New Roman"/>
          <w:sz w:val="24"/>
          <w:szCs w:val="24"/>
        </w:rPr>
        <w:t xml:space="preserve">były </w:t>
      </w:r>
      <w:r w:rsidR="00856E9E" w:rsidRPr="007F28C1">
        <w:rPr>
          <w:rFonts w:ascii="Times New Roman" w:hAnsi="Times New Roman" w:cs="Times New Roman"/>
          <w:sz w:val="24"/>
          <w:szCs w:val="24"/>
        </w:rPr>
        <w:t xml:space="preserve">one </w:t>
      </w:r>
      <w:r w:rsidRPr="007F28C1">
        <w:rPr>
          <w:rFonts w:ascii="Times New Roman" w:hAnsi="Times New Roman" w:cs="Times New Roman"/>
          <w:sz w:val="24"/>
          <w:szCs w:val="24"/>
        </w:rPr>
        <w:t>we właściwości</w:t>
      </w:r>
      <w:r w:rsidR="00F702CF" w:rsidRPr="007F28C1">
        <w:rPr>
          <w:rFonts w:ascii="Times New Roman" w:hAnsi="Times New Roman" w:cs="Times New Roman"/>
          <w:sz w:val="24"/>
          <w:szCs w:val="24"/>
        </w:rPr>
        <w:t xml:space="preserve"> </w:t>
      </w:r>
      <w:r w:rsidR="00856E9E" w:rsidRPr="007F28C1">
        <w:rPr>
          <w:rFonts w:ascii="Times New Roman" w:hAnsi="Times New Roman" w:cs="Times New Roman"/>
          <w:sz w:val="24"/>
          <w:szCs w:val="24"/>
        </w:rPr>
        <w:t>m</w:t>
      </w:r>
      <w:r w:rsidR="00590353" w:rsidRPr="007F28C1">
        <w:rPr>
          <w:rFonts w:ascii="Times New Roman" w:hAnsi="Times New Roman" w:cs="Times New Roman"/>
          <w:sz w:val="24"/>
          <w:szCs w:val="24"/>
        </w:rPr>
        <w:t>inistra</w:t>
      </w:r>
      <w:r w:rsidR="00856E9E" w:rsidRPr="007F28C1">
        <w:rPr>
          <w:rFonts w:ascii="Times New Roman" w:hAnsi="Times New Roman" w:cs="Times New Roman"/>
          <w:sz w:val="24"/>
          <w:szCs w:val="24"/>
        </w:rPr>
        <w:t xml:space="preserve"> właściwego do spraw środowiska</w:t>
      </w:r>
      <w:r w:rsidR="001F088F" w:rsidRPr="007F28C1">
        <w:rPr>
          <w:rFonts w:ascii="Times New Roman" w:hAnsi="Times New Roman" w:cs="Times New Roman"/>
          <w:sz w:val="24"/>
          <w:szCs w:val="24"/>
        </w:rPr>
        <w:t xml:space="preserve">. </w:t>
      </w:r>
    </w:p>
    <w:p w14:paraId="63F783E7" w14:textId="39E58600" w:rsidR="006051F4" w:rsidRPr="007F28C1" w:rsidRDefault="00B21DD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Ponadto, mając na uwadze konieczność zapewnienia kontynuacji działań </w:t>
      </w:r>
      <w:r w:rsidR="001F088F" w:rsidRPr="007F28C1">
        <w:rPr>
          <w:rFonts w:ascii="Times New Roman" w:hAnsi="Times New Roman" w:cs="Times New Roman"/>
          <w:sz w:val="24"/>
          <w:szCs w:val="24"/>
        </w:rPr>
        <w:t xml:space="preserve">organu administracji geologicznej </w:t>
      </w:r>
      <w:r w:rsidRPr="007F28C1">
        <w:rPr>
          <w:rFonts w:ascii="Times New Roman" w:hAnsi="Times New Roman" w:cs="Times New Roman"/>
          <w:sz w:val="24"/>
          <w:szCs w:val="24"/>
        </w:rPr>
        <w:t xml:space="preserve">w zakresie koncesjonowania węglowodorów, a także kontroli sprawowanej </w:t>
      </w:r>
      <w:r w:rsidR="00FE4CE0" w:rsidRPr="007F28C1">
        <w:rPr>
          <w:rFonts w:ascii="Times New Roman" w:hAnsi="Times New Roman" w:cs="Times New Roman"/>
          <w:sz w:val="24"/>
          <w:szCs w:val="24"/>
        </w:rPr>
        <w:t xml:space="preserve">przez organy nadzoru górniczego </w:t>
      </w:r>
      <w:r w:rsidRPr="007F28C1">
        <w:rPr>
          <w:rFonts w:ascii="Times New Roman" w:hAnsi="Times New Roman" w:cs="Times New Roman"/>
          <w:sz w:val="24"/>
          <w:szCs w:val="24"/>
        </w:rPr>
        <w:t xml:space="preserve">nad </w:t>
      </w:r>
      <w:r w:rsidR="00FE4CE0" w:rsidRPr="007F28C1">
        <w:rPr>
          <w:rFonts w:ascii="Times New Roman" w:hAnsi="Times New Roman" w:cs="Times New Roman"/>
          <w:sz w:val="24"/>
          <w:szCs w:val="24"/>
        </w:rPr>
        <w:t>wykonywaniem tej</w:t>
      </w:r>
      <w:r w:rsidRPr="007F28C1">
        <w:rPr>
          <w:rFonts w:ascii="Times New Roman" w:hAnsi="Times New Roman" w:cs="Times New Roman"/>
          <w:sz w:val="24"/>
          <w:szCs w:val="24"/>
        </w:rPr>
        <w:t xml:space="preserve"> działalności, w art. </w:t>
      </w:r>
      <w:r w:rsidR="007A08F8" w:rsidRPr="007F28C1">
        <w:rPr>
          <w:rFonts w:ascii="Times New Roman" w:hAnsi="Times New Roman" w:cs="Times New Roman"/>
          <w:sz w:val="24"/>
          <w:szCs w:val="24"/>
        </w:rPr>
        <w:t xml:space="preserve">20 </w:t>
      </w:r>
      <w:r w:rsidRPr="007F28C1">
        <w:rPr>
          <w:rFonts w:ascii="Times New Roman" w:hAnsi="Times New Roman" w:cs="Times New Roman"/>
          <w:sz w:val="24"/>
          <w:szCs w:val="24"/>
        </w:rPr>
        <w:t>projektu przewidziano zmianę art.</w:t>
      </w:r>
      <w:r w:rsidR="00FE4CE0" w:rsidRPr="007F28C1">
        <w:rPr>
          <w:rFonts w:ascii="Times New Roman" w:hAnsi="Times New Roman" w:cs="Times New Roman"/>
          <w:sz w:val="24"/>
          <w:szCs w:val="24"/>
        </w:rPr>
        <w:t> </w:t>
      </w:r>
      <w:r w:rsidRPr="007F28C1">
        <w:rPr>
          <w:rFonts w:ascii="Times New Roman" w:hAnsi="Times New Roman" w:cs="Times New Roman"/>
          <w:sz w:val="24"/>
          <w:szCs w:val="24"/>
        </w:rPr>
        <w:t>24</w:t>
      </w:r>
      <w:r w:rsidR="00D978C1" w:rsidRPr="007F28C1">
        <w:rPr>
          <w:rFonts w:ascii="Times New Roman" w:hAnsi="Times New Roman" w:cs="Times New Roman"/>
          <w:sz w:val="24"/>
          <w:szCs w:val="24"/>
        </w:rPr>
        <w:t> </w:t>
      </w:r>
      <w:r w:rsidRPr="007F28C1">
        <w:rPr>
          <w:rFonts w:ascii="Times New Roman" w:hAnsi="Times New Roman" w:cs="Times New Roman"/>
          <w:sz w:val="24"/>
          <w:szCs w:val="24"/>
        </w:rPr>
        <w:t>ustawy z dnia 11 lipca 2014 r</w:t>
      </w:r>
      <w:r w:rsidRPr="007F28C1">
        <w:rPr>
          <w:rFonts w:ascii="Times New Roman" w:hAnsi="Times New Roman" w:cs="Times New Roman"/>
          <w:iCs/>
          <w:sz w:val="24"/>
          <w:szCs w:val="24"/>
        </w:rPr>
        <w:t xml:space="preserve">. </w:t>
      </w:r>
      <w:r w:rsidRPr="007F28C1">
        <w:rPr>
          <w:rFonts w:ascii="Times New Roman" w:hAnsi="Times New Roman" w:cs="Times New Roman"/>
          <w:sz w:val="24"/>
          <w:szCs w:val="24"/>
        </w:rPr>
        <w:t xml:space="preserve">o zmianie ustawy </w:t>
      </w:r>
      <w:r w:rsidR="00022D64" w:rsidRPr="007F28C1">
        <w:rPr>
          <w:rFonts w:ascii="Times New Roman" w:hAnsi="Times New Roman" w:cs="Times New Roman"/>
          <w:sz w:val="24"/>
          <w:szCs w:val="24"/>
        </w:rPr>
        <w:t xml:space="preserve">– </w:t>
      </w:r>
      <w:r w:rsidRPr="007F28C1">
        <w:rPr>
          <w:rFonts w:ascii="Times New Roman" w:hAnsi="Times New Roman" w:cs="Times New Roman"/>
          <w:sz w:val="24"/>
          <w:szCs w:val="24"/>
        </w:rPr>
        <w:t>Prawo geologiczne i górnicze oraz niektórych innych ustaw (Dz. U.</w:t>
      </w:r>
      <w:r w:rsidR="007D7CCC" w:rsidRPr="007F28C1">
        <w:rPr>
          <w:rFonts w:ascii="Times New Roman" w:hAnsi="Times New Roman" w:cs="Times New Roman"/>
          <w:sz w:val="24"/>
          <w:szCs w:val="24"/>
        </w:rPr>
        <w:t xml:space="preserve"> poz. 1133</w:t>
      </w:r>
      <w:r w:rsidR="00003ADF" w:rsidRPr="007F28C1">
        <w:rPr>
          <w:rFonts w:ascii="Times New Roman" w:hAnsi="Times New Roman" w:cs="Times New Roman"/>
          <w:sz w:val="24"/>
          <w:szCs w:val="24"/>
        </w:rPr>
        <w:t>, z</w:t>
      </w:r>
      <w:r w:rsidR="00DB3C23" w:rsidRPr="007F28C1">
        <w:rPr>
          <w:rFonts w:ascii="Times New Roman" w:hAnsi="Times New Roman" w:cs="Times New Roman"/>
          <w:sz w:val="24"/>
          <w:szCs w:val="24"/>
        </w:rPr>
        <w:t xml:space="preserve"> pó</w:t>
      </w:r>
      <w:r w:rsidR="00C00904" w:rsidRPr="007F28C1">
        <w:rPr>
          <w:rFonts w:ascii="Times New Roman" w:hAnsi="Times New Roman" w:cs="Times New Roman"/>
          <w:sz w:val="24"/>
          <w:szCs w:val="24"/>
        </w:rPr>
        <w:t>ź</w:t>
      </w:r>
      <w:r w:rsidR="00DB3C23" w:rsidRPr="007F28C1">
        <w:rPr>
          <w:rFonts w:ascii="Times New Roman" w:hAnsi="Times New Roman" w:cs="Times New Roman"/>
          <w:sz w:val="24"/>
          <w:szCs w:val="24"/>
        </w:rPr>
        <w:t>n.</w:t>
      </w:r>
      <w:r w:rsidR="00997FF9" w:rsidRPr="007F28C1">
        <w:rPr>
          <w:rFonts w:ascii="Times New Roman" w:hAnsi="Times New Roman" w:cs="Times New Roman"/>
          <w:sz w:val="24"/>
          <w:szCs w:val="24"/>
        </w:rPr>
        <w:t xml:space="preserve"> </w:t>
      </w:r>
      <w:r w:rsidR="00003ADF" w:rsidRPr="007F28C1">
        <w:rPr>
          <w:rFonts w:ascii="Times New Roman" w:hAnsi="Times New Roman" w:cs="Times New Roman"/>
          <w:sz w:val="24"/>
          <w:szCs w:val="24"/>
        </w:rPr>
        <w:t>zm.</w:t>
      </w:r>
      <w:r w:rsidRPr="007F28C1">
        <w:rPr>
          <w:rFonts w:ascii="Times New Roman" w:hAnsi="Times New Roman" w:cs="Times New Roman"/>
          <w:sz w:val="24"/>
          <w:szCs w:val="24"/>
        </w:rPr>
        <w:t>), polegającą na przedłużeniu na kolejn</w:t>
      </w:r>
      <w:r w:rsidR="00FE4CE0" w:rsidRPr="007F28C1">
        <w:rPr>
          <w:rFonts w:ascii="Times New Roman" w:hAnsi="Times New Roman" w:cs="Times New Roman"/>
          <w:sz w:val="24"/>
          <w:szCs w:val="24"/>
        </w:rPr>
        <w:t>ych</w:t>
      </w:r>
      <w:r w:rsidRPr="007F28C1">
        <w:rPr>
          <w:rFonts w:ascii="Times New Roman" w:hAnsi="Times New Roman" w:cs="Times New Roman"/>
          <w:sz w:val="24"/>
          <w:szCs w:val="24"/>
        </w:rPr>
        <w:t xml:space="preserve"> 10 lat budżetowych (2025</w:t>
      </w:r>
      <w:r w:rsidR="00856E9E" w:rsidRPr="007F28C1">
        <w:rPr>
          <w:rFonts w:ascii="Times New Roman" w:hAnsi="Times New Roman" w:cs="Times New Roman"/>
          <w:sz w:val="24"/>
          <w:szCs w:val="24"/>
        </w:rPr>
        <w:t>–</w:t>
      </w:r>
      <w:r w:rsidRPr="007F28C1">
        <w:rPr>
          <w:rFonts w:ascii="Times New Roman" w:hAnsi="Times New Roman" w:cs="Times New Roman"/>
          <w:sz w:val="24"/>
          <w:szCs w:val="24"/>
        </w:rPr>
        <w:t>20</w:t>
      </w:r>
      <w:r w:rsidR="00FE4CE0" w:rsidRPr="007F28C1">
        <w:rPr>
          <w:rFonts w:ascii="Times New Roman" w:hAnsi="Times New Roman" w:cs="Times New Roman"/>
          <w:sz w:val="24"/>
          <w:szCs w:val="24"/>
        </w:rPr>
        <w:t>34</w:t>
      </w:r>
      <w:r w:rsidRPr="007F28C1">
        <w:rPr>
          <w:rFonts w:ascii="Times New Roman" w:hAnsi="Times New Roman" w:cs="Times New Roman"/>
          <w:sz w:val="24"/>
          <w:szCs w:val="24"/>
        </w:rPr>
        <w:t>)</w:t>
      </w:r>
      <w:r w:rsidR="00FE4CE0"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reguły wydatkowej </w:t>
      </w:r>
      <w:r w:rsidR="00FE4CE0" w:rsidRPr="007F28C1">
        <w:rPr>
          <w:rFonts w:ascii="Times New Roman" w:hAnsi="Times New Roman" w:cs="Times New Roman"/>
          <w:sz w:val="24"/>
          <w:szCs w:val="24"/>
        </w:rPr>
        <w:t>uregulowanej</w:t>
      </w:r>
      <w:r w:rsidRPr="007F28C1">
        <w:rPr>
          <w:rFonts w:ascii="Times New Roman" w:hAnsi="Times New Roman" w:cs="Times New Roman"/>
          <w:sz w:val="24"/>
          <w:szCs w:val="24"/>
        </w:rPr>
        <w:t xml:space="preserve"> w</w:t>
      </w:r>
      <w:r w:rsidR="00FE4CE0" w:rsidRPr="007F28C1">
        <w:rPr>
          <w:rFonts w:ascii="Times New Roman" w:hAnsi="Times New Roman" w:cs="Times New Roman"/>
          <w:sz w:val="24"/>
          <w:szCs w:val="24"/>
        </w:rPr>
        <w:t xml:space="preserve"> tym przepisie. Zmiana ta jest konieczna i uzasadniona, ponieważ wszystkie zadania organów administracji geologicznej i organów nadzoru geologicznego wprowadzone ustaw</w:t>
      </w:r>
      <w:r w:rsidR="005F7894" w:rsidRPr="007F28C1">
        <w:rPr>
          <w:rFonts w:ascii="Times New Roman" w:hAnsi="Times New Roman" w:cs="Times New Roman"/>
          <w:sz w:val="24"/>
          <w:szCs w:val="24"/>
        </w:rPr>
        <w:t>ą</w:t>
      </w:r>
      <w:r w:rsidR="00FE4CE0" w:rsidRPr="007F28C1">
        <w:rPr>
          <w:rFonts w:ascii="Times New Roman" w:hAnsi="Times New Roman" w:cs="Times New Roman"/>
          <w:sz w:val="24"/>
          <w:szCs w:val="24"/>
        </w:rPr>
        <w:t xml:space="preserve"> z dnia 11 lipca 2014 r. o zmianie ustawy </w:t>
      </w:r>
      <w:r w:rsidR="00022D64" w:rsidRPr="007F28C1">
        <w:rPr>
          <w:rFonts w:ascii="Times New Roman" w:hAnsi="Times New Roman" w:cs="Times New Roman"/>
          <w:sz w:val="24"/>
          <w:szCs w:val="24"/>
        </w:rPr>
        <w:t xml:space="preserve">– </w:t>
      </w:r>
      <w:r w:rsidR="00FE4CE0" w:rsidRPr="007F28C1">
        <w:rPr>
          <w:rFonts w:ascii="Times New Roman" w:hAnsi="Times New Roman" w:cs="Times New Roman"/>
          <w:sz w:val="24"/>
          <w:szCs w:val="24"/>
        </w:rPr>
        <w:t>Prawo geologiczne i</w:t>
      </w:r>
      <w:r w:rsidR="00D978C1" w:rsidRPr="007F28C1">
        <w:rPr>
          <w:rFonts w:ascii="Times New Roman" w:hAnsi="Times New Roman" w:cs="Times New Roman"/>
          <w:sz w:val="24"/>
          <w:szCs w:val="24"/>
        </w:rPr>
        <w:t> </w:t>
      </w:r>
      <w:r w:rsidR="00FE4CE0" w:rsidRPr="007F28C1">
        <w:rPr>
          <w:rFonts w:ascii="Times New Roman" w:hAnsi="Times New Roman" w:cs="Times New Roman"/>
          <w:sz w:val="24"/>
          <w:szCs w:val="24"/>
        </w:rPr>
        <w:t xml:space="preserve">górnicze oraz niektórych innych ustaw są nadal realizowane i </w:t>
      </w:r>
      <w:r w:rsidR="00856E9E" w:rsidRPr="007F28C1">
        <w:rPr>
          <w:rFonts w:ascii="Times New Roman" w:hAnsi="Times New Roman" w:cs="Times New Roman"/>
          <w:sz w:val="24"/>
          <w:szCs w:val="24"/>
        </w:rPr>
        <w:t xml:space="preserve">jest </w:t>
      </w:r>
      <w:r w:rsidR="00FE4CE0" w:rsidRPr="007F28C1">
        <w:rPr>
          <w:rFonts w:ascii="Times New Roman" w:hAnsi="Times New Roman" w:cs="Times New Roman"/>
          <w:sz w:val="24"/>
          <w:szCs w:val="24"/>
        </w:rPr>
        <w:t>niezbędne zapewnieni</w:t>
      </w:r>
      <w:r w:rsidR="00856E9E" w:rsidRPr="007F28C1">
        <w:rPr>
          <w:rFonts w:ascii="Times New Roman" w:hAnsi="Times New Roman" w:cs="Times New Roman"/>
          <w:sz w:val="24"/>
          <w:szCs w:val="24"/>
        </w:rPr>
        <w:t>e</w:t>
      </w:r>
      <w:r w:rsidR="00FE4CE0" w:rsidRPr="007F28C1">
        <w:rPr>
          <w:rFonts w:ascii="Times New Roman" w:hAnsi="Times New Roman" w:cs="Times New Roman"/>
          <w:sz w:val="24"/>
          <w:szCs w:val="24"/>
        </w:rPr>
        <w:t xml:space="preserve"> dalszego ich finansowania z budżetu państwa. Projektowana zmiana czyni zadość obowiązkowi nałożonemu na Radę Ministrów przez art. 50 ust. 1c ustawy z dnia 27 sierpnia 2009 r. o</w:t>
      </w:r>
      <w:r w:rsidR="00AA26A0" w:rsidRPr="007F28C1">
        <w:rPr>
          <w:rFonts w:ascii="Times New Roman" w:hAnsi="Times New Roman" w:cs="Times New Roman"/>
          <w:sz w:val="24"/>
          <w:szCs w:val="24"/>
        </w:rPr>
        <w:t> </w:t>
      </w:r>
      <w:r w:rsidR="00FE4CE0" w:rsidRPr="007F28C1">
        <w:rPr>
          <w:rFonts w:ascii="Times New Roman" w:hAnsi="Times New Roman" w:cs="Times New Roman"/>
          <w:sz w:val="24"/>
          <w:szCs w:val="24"/>
        </w:rPr>
        <w:t>finansach publicznych (Dz. U. z 202</w:t>
      </w:r>
      <w:r w:rsidR="00C17E7F" w:rsidRPr="007F28C1">
        <w:rPr>
          <w:rFonts w:ascii="Times New Roman" w:hAnsi="Times New Roman" w:cs="Times New Roman"/>
          <w:sz w:val="24"/>
          <w:szCs w:val="24"/>
        </w:rPr>
        <w:t>2</w:t>
      </w:r>
      <w:r w:rsidR="00FE4CE0" w:rsidRPr="007F28C1">
        <w:rPr>
          <w:rFonts w:ascii="Times New Roman" w:hAnsi="Times New Roman" w:cs="Times New Roman"/>
          <w:sz w:val="24"/>
          <w:szCs w:val="24"/>
        </w:rPr>
        <w:t xml:space="preserve"> r. </w:t>
      </w:r>
      <w:r w:rsidR="007D7CCC" w:rsidRPr="007F28C1">
        <w:rPr>
          <w:rFonts w:ascii="Times New Roman" w:hAnsi="Times New Roman" w:cs="Times New Roman"/>
          <w:sz w:val="24"/>
          <w:szCs w:val="24"/>
        </w:rPr>
        <w:t xml:space="preserve">poz. </w:t>
      </w:r>
      <w:r w:rsidR="00C17E7F" w:rsidRPr="007F28C1">
        <w:rPr>
          <w:rFonts w:ascii="Times New Roman" w:hAnsi="Times New Roman" w:cs="Times New Roman"/>
          <w:sz w:val="24"/>
          <w:szCs w:val="24"/>
        </w:rPr>
        <w:t>1634</w:t>
      </w:r>
      <w:r w:rsidR="00265A6B" w:rsidRPr="007F28C1">
        <w:rPr>
          <w:rFonts w:ascii="Times New Roman" w:hAnsi="Times New Roman" w:cs="Times New Roman"/>
          <w:sz w:val="24"/>
          <w:szCs w:val="24"/>
        </w:rPr>
        <w:t>,</w:t>
      </w:r>
      <w:r w:rsidR="00997FF9" w:rsidRPr="007F28C1">
        <w:rPr>
          <w:rFonts w:ascii="Times New Roman" w:hAnsi="Times New Roman" w:cs="Times New Roman"/>
          <w:sz w:val="24"/>
          <w:szCs w:val="24"/>
        </w:rPr>
        <w:t xml:space="preserve"> z</w:t>
      </w:r>
      <w:r w:rsidR="00C00904" w:rsidRPr="007F28C1">
        <w:rPr>
          <w:rFonts w:ascii="Times New Roman" w:hAnsi="Times New Roman" w:cs="Times New Roman"/>
          <w:sz w:val="24"/>
          <w:szCs w:val="24"/>
        </w:rPr>
        <w:t xml:space="preserve"> </w:t>
      </w:r>
      <w:r w:rsidR="00DB3C23" w:rsidRPr="007F28C1">
        <w:rPr>
          <w:rFonts w:ascii="Times New Roman" w:hAnsi="Times New Roman" w:cs="Times New Roman"/>
          <w:sz w:val="24"/>
          <w:szCs w:val="24"/>
        </w:rPr>
        <w:t>późn.</w:t>
      </w:r>
      <w:r w:rsidR="005B7604" w:rsidRPr="007F28C1">
        <w:rPr>
          <w:rFonts w:ascii="Times New Roman" w:hAnsi="Times New Roman" w:cs="Times New Roman"/>
          <w:sz w:val="24"/>
          <w:szCs w:val="24"/>
        </w:rPr>
        <w:t xml:space="preserve"> </w:t>
      </w:r>
      <w:r w:rsidR="00FE4CE0" w:rsidRPr="007F28C1">
        <w:rPr>
          <w:rFonts w:ascii="Times New Roman" w:hAnsi="Times New Roman" w:cs="Times New Roman"/>
          <w:sz w:val="24"/>
          <w:szCs w:val="24"/>
        </w:rPr>
        <w:t>zm.)</w:t>
      </w:r>
      <w:r w:rsidR="005B203B" w:rsidRPr="007F28C1">
        <w:rPr>
          <w:rFonts w:ascii="Times New Roman" w:hAnsi="Times New Roman" w:cs="Times New Roman"/>
          <w:sz w:val="24"/>
          <w:szCs w:val="24"/>
        </w:rPr>
        <w:t>.</w:t>
      </w:r>
      <w:r w:rsidR="005B7604" w:rsidRPr="007F28C1">
        <w:rPr>
          <w:rFonts w:ascii="Times New Roman" w:hAnsi="Times New Roman" w:cs="Times New Roman"/>
          <w:sz w:val="24"/>
          <w:szCs w:val="24"/>
        </w:rPr>
        <w:t xml:space="preserve"> </w:t>
      </w:r>
    </w:p>
    <w:p w14:paraId="58CF350E" w14:textId="3899E724" w:rsidR="006051F4" w:rsidRPr="007F28C1" w:rsidRDefault="006051F4"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w:t>
      </w:r>
      <w:r w:rsidR="00952A38" w:rsidRPr="007F28C1">
        <w:rPr>
          <w:rFonts w:ascii="Times New Roman" w:hAnsi="Times New Roman" w:cs="Times New Roman"/>
          <w:sz w:val="24"/>
          <w:szCs w:val="24"/>
        </w:rPr>
        <w:t xml:space="preserve"> art. 32 projektu projektodawca przewidział regulację </w:t>
      </w:r>
      <w:r w:rsidR="003D216E" w:rsidRPr="007F28C1">
        <w:rPr>
          <w:rFonts w:ascii="Times New Roman" w:hAnsi="Times New Roman" w:cs="Times New Roman"/>
          <w:sz w:val="24"/>
          <w:szCs w:val="24"/>
        </w:rPr>
        <w:t>dotyczącą</w:t>
      </w:r>
      <w:r w:rsidRPr="007F28C1">
        <w:rPr>
          <w:rFonts w:ascii="Times New Roman" w:hAnsi="Times New Roman" w:cs="Times New Roman"/>
          <w:sz w:val="24"/>
          <w:szCs w:val="24"/>
        </w:rPr>
        <w:t xml:space="preserve"> </w:t>
      </w:r>
      <w:r w:rsidR="003D216E" w:rsidRPr="007F28C1">
        <w:rPr>
          <w:rFonts w:ascii="Times New Roman" w:hAnsi="Times New Roman" w:cs="Times New Roman"/>
          <w:sz w:val="24"/>
          <w:szCs w:val="24"/>
        </w:rPr>
        <w:t xml:space="preserve">funkcjonujących nadal w </w:t>
      </w:r>
      <w:r w:rsidRPr="007F28C1">
        <w:rPr>
          <w:rFonts w:ascii="Times New Roman" w:hAnsi="Times New Roman" w:cs="Times New Roman"/>
          <w:sz w:val="24"/>
          <w:szCs w:val="24"/>
        </w:rPr>
        <w:t>obrocie prawnym koncesj</w:t>
      </w:r>
      <w:r w:rsidR="003D216E" w:rsidRPr="007F28C1">
        <w:rPr>
          <w:rFonts w:ascii="Times New Roman" w:hAnsi="Times New Roman" w:cs="Times New Roman"/>
          <w:sz w:val="24"/>
          <w:szCs w:val="24"/>
        </w:rPr>
        <w:t>i</w:t>
      </w:r>
      <w:r w:rsidRPr="007F28C1">
        <w:rPr>
          <w:rFonts w:ascii="Times New Roman" w:hAnsi="Times New Roman" w:cs="Times New Roman"/>
          <w:sz w:val="24"/>
          <w:szCs w:val="24"/>
        </w:rPr>
        <w:t xml:space="preserve"> na podziemne składowanie odpadów udzielon</w:t>
      </w:r>
      <w:r w:rsidR="003D216E" w:rsidRPr="007F28C1">
        <w:rPr>
          <w:rFonts w:ascii="Times New Roman" w:hAnsi="Times New Roman" w:cs="Times New Roman"/>
          <w:sz w:val="24"/>
          <w:szCs w:val="24"/>
        </w:rPr>
        <w:t>ych</w:t>
      </w:r>
      <w:r w:rsidRPr="007F28C1">
        <w:rPr>
          <w:rFonts w:ascii="Times New Roman" w:hAnsi="Times New Roman" w:cs="Times New Roman"/>
          <w:sz w:val="24"/>
          <w:szCs w:val="24"/>
        </w:rPr>
        <w:t xml:space="preserve"> na podstawie nieobowiązującej już ustawy z dnia 4 lutego 1994 r. </w:t>
      </w:r>
      <w:r w:rsidR="004177ED" w:rsidRPr="007F28C1">
        <w:rPr>
          <w:rFonts w:ascii="Times New Roman" w:hAnsi="Times New Roman" w:cs="Times New Roman"/>
          <w:sz w:val="24"/>
          <w:szCs w:val="24"/>
        </w:rPr>
        <w:t>−</w:t>
      </w:r>
      <w:r w:rsidR="006C12FC" w:rsidRPr="007F28C1">
        <w:rPr>
          <w:rFonts w:ascii="Times New Roman" w:hAnsi="Times New Roman" w:cs="Times New Roman"/>
          <w:sz w:val="24"/>
          <w:szCs w:val="24"/>
        </w:rPr>
        <w:t xml:space="preserve"> </w:t>
      </w:r>
      <w:r w:rsidRPr="007F28C1">
        <w:rPr>
          <w:rFonts w:ascii="Times New Roman" w:hAnsi="Times New Roman" w:cs="Times New Roman"/>
          <w:sz w:val="24"/>
          <w:szCs w:val="24"/>
        </w:rPr>
        <w:t>Prawo geologiczne i górnicze (Dz. U. z 2005 r. poz. 1947</w:t>
      </w:r>
      <w:r w:rsidR="0090335B" w:rsidRPr="007F28C1">
        <w:rPr>
          <w:rFonts w:ascii="Times New Roman" w:hAnsi="Times New Roman" w:cs="Times New Roman"/>
          <w:sz w:val="24"/>
          <w:szCs w:val="24"/>
        </w:rPr>
        <w:t>, z późn.</w:t>
      </w:r>
      <w:r w:rsidRPr="007F28C1">
        <w:rPr>
          <w:rFonts w:ascii="Times New Roman" w:hAnsi="Times New Roman" w:cs="Times New Roman"/>
          <w:sz w:val="24"/>
          <w:szCs w:val="24"/>
        </w:rPr>
        <w:t xml:space="preserve"> zm.)</w:t>
      </w:r>
      <w:r w:rsidR="00952A38" w:rsidRPr="007F28C1">
        <w:rPr>
          <w:rFonts w:ascii="Times New Roman" w:hAnsi="Times New Roman" w:cs="Times New Roman"/>
          <w:sz w:val="24"/>
          <w:szCs w:val="24"/>
        </w:rPr>
        <w:t xml:space="preserve"> przed dniem 22 kwietnia 2005 r.</w:t>
      </w:r>
      <w:r w:rsidRPr="007F28C1">
        <w:rPr>
          <w:rFonts w:ascii="Times New Roman" w:hAnsi="Times New Roman" w:cs="Times New Roman"/>
          <w:sz w:val="24"/>
          <w:szCs w:val="24"/>
        </w:rPr>
        <w:t xml:space="preserve"> </w:t>
      </w:r>
      <w:r w:rsidR="00F0595A" w:rsidRPr="007F28C1">
        <w:rPr>
          <w:rFonts w:ascii="Times New Roman" w:hAnsi="Times New Roman" w:cs="Times New Roman"/>
          <w:sz w:val="24"/>
          <w:szCs w:val="24"/>
        </w:rPr>
        <w:t xml:space="preserve">W stanie prawnym </w:t>
      </w:r>
      <w:r w:rsidRPr="007F28C1">
        <w:rPr>
          <w:rFonts w:ascii="Times New Roman" w:hAnsi="Times New Roman" w:cs="Times New Roman"/>
          <w:sz w:val="24"/>
          <w:szCs w:val="24"/>
        </w:rPr>
        <w:t xml:space="preserve">obowiązującym </w:t>
      </w:r>
      <w:r w:rsidR="006C12FC" w:rsidRPr="007F28C1">
        <w:rPr>
          <w:rFonts w:ascii="Times New Roman" w:hAnsi="Times New Roman" w:cs="Times New Roman"/>
          <w:sz w:val="24"/>
          <w:szCs w:val="24"/>
        </w:rPr>
        <w:t>w</w:t>
      </w:r>
      <w:r w:rsidRPr="007F28C1">
        <w:rPr>
          <w:rFonts w:ascii="Times New Roman" w:hAnsi="Times New Roman" w:cs="Times New Roman"/>
          <w:sz w:val="24"/>
          <w:szCs w:val="24"/>
        </w:rPr>
        <w:t xml:space="preserve"> d</w:t>
      </w:r>
      <w:r w:rsidR="006C12FC" w:rsidRPr="007F28C1">
        <w:rPr>
          <w:rFonts w:ascii="Times New Roman" w:hAnsi="Times New Roman" w:cs="Times New Roman"/>
          <w:sz w:val="24"/>
          <w:szCs w:val="24"/>
        </w:rPr>
        <w:t>niu</w:t>
      </w:r>
      <w:r w:rsidRPr="007F28C1">
        <w:rPr>
          <w:rFonts w:ascii="Times New Roman" w:hAnsi="Times New Roman" w:cs="Times New Roman"/>
          <w:sz w:val="24"/>
          <w:szCs w:val="24"/>
        </w:rPr>
        <w:t xml:space="preserve"> udzielania tych koncesji nie </w:t>
      </w:r>
      <w:r w:rsidR="00F0595A" w:rsidRPr="007F28C1">
        <w:rPr>
          <w:rFonts w:ascii="Times New Roman" w:hAnsi="Times New Roman" w:cs="Times New Roman"/>
          <w:sz w:val="24"/>
          <w:szCs w:val="24"/>
        </w:rPr>
        <w:t xml:space="preserve">istniał </w:t>
      </w:r>
      <w:r w:rsidRPr="007F28C1">
        <w:rPr>
          <w:rFonts w:ascii="Times New Roman" w:hAnsi="Times New Roman" w:cs="Times New Roman"/>
          <w:sz w:val="24"/>
          <w:szCs w:val="24"/>
        </w:rPr>
        <w:t>obowiąz</w:t>
      </w:r>
      <w:r w:rsidR="00F0595A" w:rsidRPr="007F28C1">
        <w:rPr>
          <w:rFonts w:ascii="Times New Roman" w:hAnsi="Times New Roman" w:cs="Times New Roman"/>
          <w:sz w:val="24"/>
          <w:szCs w:val="24"/>
        </w:rPr>
        <w:t>e</w:t>
      </w:r>
      <w:r w:rsidRPr="007F28C1">
        <w:rPr>
          <w:rFonts w:ascii="Times New Roman" w:hAnsi="Times New Roman" w:cs="Times New Roman"/>
          <w:sz w:val="24"/>
          <w:szCs w:val="24"/>
        </w:rPr>
        <w:t>k usta</w:t>
      </w:r>
      <w:r w:rsidR="00F0595A" w:rsidRPr="007F28C1">
        <w:rPr>
          <w:rFonts w:ascii="Times New Roman" w:hAnsi="Times New Roman" w:cs="Times New Roman"/>
          <w:sz w:val="24"/>
          <w:szCs w:val="24"/>
        </w:rPr>
        <w:t>no</w:t>
      </w:r>
      <w:r w:rsidRPr="007F28C1">
        <w:rPr>
          <w:rFonts w:ascii="Times New Roman" w:hAnsi="Times New Roman" w:cs="Times New Roman"/>
          <w:sz w:val="24"/>
          <w:szCs w:val="24"/>
        </w:rPr>
        <w:t>wi</w:t>
      </w:r>
      <w:r w:rsidR="00F0595A" w:rsidRPr="007F28C1">
        <w:rPr>
          <w:rFonts w:ascii="Times New Roman" w:hAnsi="Times New Roman" w:cs="Times New Roman"/>
          <w:sz w:val="24"/>
          <w:szCs w:val="24"/>
        </w:rPr>
        <w:t>e</w:t>
      </w:r>
      <w:r w:rsidRPr="007F28C1">
        <w:rPr>
          <w:rFonts w:ascii="Times New Roman" w:hAnsi="Times New Roman" w:cs="Times New Roman"/>
          <w:sz w:val="24"/>
          <w:szCs w:val="24"/>
        </w:rPr>
        <w:t xml:space="preserve">nia zabezpieczenia roszczeń mogących powstać wskutek wykonywania działalności objętej koncesją. Ustawą z dnia 22 kwietnia 2005 r. o zmianie ustawy </w:t>
      </w:r>
      <w:r w:rsidR="008A3158"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Prawo geologiczne i górnicze </w:t>
      </w:r>
      <w:r w:rsidRPr="007F28C1">
        <w:rPr>
          <w:rFonts w:ascii="Times New Roman" w:hAnsi="Times New Roman" w:cs="Times New Roman"/>
          <w:sz w:val="24"/>
          <w:szCs w:val="24"/>
        </w:rPr>
        <w:lastRenderedPageBreak/>
        <w:t xml:space="preserve">oraz ustawy o odpadach (Dz. U. poz. 758) został wprowadzony przepis, zgodnie z którym w koncesji na działalność w zakresie składowania odpadów w górotworze, w tym w podziemnych wyrobiskach górniczych, </w:t>
      </w:r>
      <w:r w:rsidR="0073595D" w:rsidRPr="007F28C1">
        <w:rPr>
          <w:rFonts w:ascii="Times New Roman" w:hAnsi="Times New Roman" w:cs="Times New Roman"/>
          <w:sz w:val="24"/>
          <w:szCs w:val="24"/>
        </w:rPr>
        <w:t>stało się</w:t>
      </w:r>
      <w:r w:rsidR="00F0595A" w:rsidRPr="007F28C1">
        <w:rPr>
          <w:rFonts w:ascii="Times New Roman" w:hAnsi="Times New Roman" w:cs="Times New Roman"/>
          <w:sz w:val="24"/>
          <w:szCs w:val="24"/>
        </w:rPr>
        <w:t xml:space="preserve"> obowiązkowe </w:t>
      </w:r>
      <w:r w:rsidRPr="007F28C1">
        <w:rPr>
          <w:rFonts w:ascii="Times New Roman" w:hAnsi="Times New Roman" w:cs="Times New Roman"/>
          <w:sz w:val="24"/>
          <w:szCs w:val="24"/>
        </w:rPr>
        <w:t xml:space="preserve">ustalenie formy i wielkości zabezpieczenia roszczeń, mogących powstać wskutek wykonywania działalności. Również w obecnie obowiązującym (od 1 stycznia 2012 r.) P.g.g., zgodnie z art. 28, koncesji na podziemne składowanie odpadów udziela się pod warunkiem ustanowienia zabezpieczenia roszczeń mogących powstać wskutek wykonywania takiej działalności. </w:t>
      </w:r>
      <w:r w:rsidR="00F0595A" w:rsidRPr="007F28C1">
        <w:rPr>
          <w:rFonts w:ascii="Times New Roman" w:hAnsi="Times New Roman" w:cs="Times New Roman"/>
          <w:sz w:val="24"/>
          <w:szCs w:val="24"/>
        </w:rPr>
        <w:t xml:space="preserve">Należy zauważyć, że </w:t>
      </w:r>
      <w:r w:rsidRPr="007F28C1">
        <w:rPr>
          <w:rFonts w:ascii="Times New Roman" w:hAnsi="Times New Roman" w:cs="Times New Roman"/>
          <w:sz w:val="24"/>
          <w:szCs w:val="24"/>
        </w:rPr>
        <w:t xml:space="preserve">zgodnie z art. 201 P.g.g. składowanie odpadów w górotworze, w tym w podziemnych wyrobiskach górniczych, </w:t>
      </w:r>
      <w:r w:rsidR="00F0595A" w:rsidRPr="007F28C1">
        <w:rPr>
          <w:rFonts w:ascii="Times New Roman" w:hAnsi="Times New Roman" w:cs="Times New Roman"/>
          <w:sz w:val="24"/>
          <w:szCs w:val="24"/>
        </w:rPr>
        <w:t xml:space="preserve">regulowane </w:t>
      </w:r>
      <w:r w:rsidRPr="007F28C1">
        <w:rPr>
          <w:rFonts w:ascii="Times New Roman" w:hAnsi="Times New Roman" w:cs="Times New Roman"/>
          <w:sz w:val="24"/>
          <w:szCs w:val="24"/>
        </w:rPr>
        <w:t>przepisa</w:t>
      </w:r>
      <w:r w:rsidR="00F0595A" w:rsidRPr="007F28C1">
        <w:rPr>
          <w:rFonts w:ascii="Times New Roman" w:hAnsi="Times New Roman" w:cs="Times New Roman"/>
          <w:sz w:val="24"/>
          <w:szCs w:val="24"/>
        </w:rPr>
        <w:t>mi ustawy – Prawo geologiczne i</w:t>
      </w:r>
      <w:r w:rsidR="00705A7E" w:rsidRPr="007F28C1">
        <w:rPr>
          <w:rFonts w:ascii="Times New Roman" w:hAnsi="Times New Roman" w:cs="Times New Roman"/>
          <w:sz w:val="24"/>
          <w:szCs w:val="24"/>
        </w:rPr>
        <w:t> </w:t>
      </w:r>
      <w:r w:rsidR="00F0595A" w:rsidRPr="007F28C1">
        <w:rPr>
          <w:rFonts w:ascii="Times New Roman" w:hAnsi="Times New Roman" w:cs="Times New Roman"/>
          <w:sz w:val="24"/>
          <w:szCs w:val="24"/>
        </w:rPr>
        <w:t>górnicze z 1994 r.</w:t>
      </w:r>
      <w:r w:rsidRPr="007F28C1">
        <w:rPr>
          <w:rFonts w:ascii="Times New Roman" w:hAnsi="Times New Roman" w:cs="Times New Roman"/>
          <w:sz w:val="24"/>
          <w:szCs w:val="24"/>
        </w:rPr>
        <w:t>,</w:t>
      </w:r>
      <w:r w:rsidR="00F0595A" w:rsidRPr="007F28C1">
        <w:rPr>
          <w:rFonts w:ascii="Times New Roman" w:hAnsi="Times New Roman" w:cs="Times New Roman"/>
          <w:sz w:val="24"/>
          <w:szCs w:val="24"/>
        </w:rPr>
        <w:t xml:space="preserve"> od dnia wejścia w życie w dniu 1 stycznia 2012 r. P.g.g.</w:t>
      </w:r>
      <w:r w:rsidRPr="007F28C1">
        <w:rPr>
          <w:rFonts w:ascii="Times New Roman" w:hAnsi="Times New Roman" w:cs="Times New Roman"/>
          <w:sz w:val="24"/>
          <w:szCs w:val="24"/>
        </w:rPr>
        <w:t xml:space="preserve"> stało się podziemnym składowaniem odpadów w rozumieniu </w:t>
      </w:r>
      <w:r w:rsidR="00F0595A" w:rsidRPr="007F28C1">
        <w:rPr>
          <w:rFonts w:ascii="Times New Roman" w:hAnsi="Times New Roman" w:cs="Times New Roman"/>
          <w:sz w:val="24"/>
          <w:szCs w:val="24"/>
        </w:rPr>
        <w:t>P.g.g. Ponadto</w:t>
      </w:r>
      <w:r w:rsidRPr="007F28C1">
        <w:rPr>
          <w:rFonts w:ascii="Times New Roman" w:hAnsi="Times New Roman" w:cs="Times New Roman"/>
          <w:sz w:val="24"/>
          <w:szCs w:val="24"/>
        </w:rPr>
        <w:t xml:space="preserve"> zgodnie z art. 205 ust. 1 P.g.g. koncesje udzielone na podstawie dotychczasowych przepisów stały się koncesjami w rozumieniu </w:t>
      </w:r>
      <w:r w:rsidR="00952A38" w:rsidRPr="007F28C1">
        <w:rPr>
          <w:rFonts w:ascii="Times New Roman" w:hAnsi="Times New Roman" w:cs="Times New Roman"/>
          <w:sz w:val="24"/>
          <w:szCs w:val="24"/>
        </w:rPr>
        <w:t xml:space="preserve">P.g.g. Jednocześnie </w:t>
      </w:r>
      <w:r w:rsidRPr="007F28C1">
        <w:rPr>
          <w:rFonts w:ascii="Times New Roman" w:hAnsi="Times New Roman" w:cs="Times New Roman"/>
          <w:sz w:val="24"/>
          <w:szCs w:val="24"/>
        </w:rPr>
        <w:t xml:space="preserve">przepisy </w:t>
      </w:r>
      <w:r w:rsidR="00952A38" w:rsidRPr="007F28C1">
        <w:rPr>
          <w:rFonts w:ascii="Times New Roman" w:hAnsi="Times New Roman" w:cs="Times New Roman"/>
          <w:sz w:val="24"/>
          <w:szCs w:val="24"/>
        </w:rPr>
        <w:t xml:space="preserve">przejściowe P.g.g. </w:t>
      </w:r>
      <w:r w:rsidRPr="007F28C1">
        <w:rPr>
          <w:rFonts w:ascii="Times New Roman" w:hAnsi="Times New Roman" w:cs="Times New Roman"/>
          <w:sz w:val="24"/>
          <w:szCs w:val="24"/>
        </w:rPr>
        <w:t xml:space="preserve">nie przewidywały konieczności </w:t>
      </w:r>
      <w:r w:rsidR="003D216E" w:rsidRPr="007F28C1">
        <w:rPr>
          <w:rFonts w:ascii="Times New Roman" w:hAnsi="Times New Roman" w:cs="Times New Roman"/>
          <w:sz w:val="24"/>
          <w:szCs w:val="24"/>
        </w:rPr>
        <w:t xml:space="preserve">obowiązkowego </w:t>
      </w:r>
      <w:r w:rsidRPr="007F28C1">
        <w:rPr>
          <w:rFonts w:ascii="Times New Roman" w:hAnsi="Times New Roman" w:cs="Times New Roman"/>
          <w:sz w:val="24"/>
          <w:szCs w:val="24"/>
        </w:rPr>
        <w:t xml:space="preserve">ustanowienia </w:t>
      </w:r>
      <w:r w:rsidR="003D216E" w:rsidRPr="007F28C1">
        <w:rPr>
          <w:rFonts w:ascii="Times New Roman" w:hAnsi="Times New Roman" w:cs="Times New Roman"/>
          <w:sz w:val="24"/>
          <w:szCs w:val="24"/>
        </w:rPr>
        <w:t xml:space="preserve">zabezpieczenia roszczeń </w:t>
      </w:r>
      <w:r w:rsidRPr="007F28C1">
        <w:rPr>
          <w:rFonts w:ascii="Times New Roman" w:hAnsi="Times New Roman" w:cs="Times New Roman"/>
          <w:sz w:val="24"/>
          <w:szCs w:val="24"/>
        </w:rPr>
        <w:t>w koncesjach</w:t>
      </w:r>
      <w:r w:rsidR="00952A38" w:rsidRPr="007F28C1">
        <w:rPr>
          <w:rFonts w:ascii="Times New Roman" w:hAnsi="Times New Roman" w:cs="Times New Roman"/>
          <w:sz w:val="24"/>
          <w:szCs w:val="24"/>
        </w:rPr>
        <w:t xml:space="preserve"> wydanych na podstawie przepisów sprzed 22 kwietnia 2005 r.</w:t>
      </w:r>
    </w:p>
    <w:p w14:paraId="698F436B" w14:textId="4FE69D56" w:rsidR="006051F4" w:rsidRPr="007F28C1" w:rsidRDefault="006051F4"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Mając na względzie wynikający obecnie z P.g.g. obowiązek ustanowienia zabezpieczenia roszczeń dla koncesji na podziemne składowanie odpadów, a także interes publiczny związany w szczególności z ochroną środowiska, uzasadnione jest w art. 32 projektu wprowadzenie konieczności dostosowania z urzędu przez organ koncesyjny koncesji na podziemne składowanie odpadów udzielonych przed dniem wejścia w życie ustawy, dla których </w:t>
      </w:r>
      <w:r w:rsidR="00952A38" w:rsidRPr="007F28C1">
        <w:rPr>
          <w:rFonts w:ascii="Times New Roman" w:hAnsi="Times New Roman" w:cs="Times New Roman"/>
          <w:sz w:val="24"/>
          <w:szCs w:val="24"/>
        </w:rPr>
        <w:t xml:space="preserve">do tej pory </w:t>
      </w:r>
      <w:r w:rsidRPr="007F28C1">
        <w:rPr>
          <w:rFonts w:ascii="Times New Roman" w:hAnsi="Times New Roman" w:cs="Times New Roman"/>
          <w:sz w:val="24"/>
          <w:szCs w:val="24"/>
        </w:rPr>
        <w:t>nie ustanowiono zabezpieczenia roszczeń mogących powstać wskutek wykonywania takiej działalności, o którym mowa w art. 28 P.g.g.</w:t>
      </w:r>
    </w:p>
    <w:p w14:paraId="0AF945E4" w14:textId="05D9395D" w:rsidR="001B56AE" w:rsidRPr="007F28C1" w:rsidRDefault="00614CA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Regulacja ta w pewnym stopniu ingeruje w prawa nabyte przedsiębiorców, którzy uzyskali koncesje na podziemne składowanie odpadów na podstawie </w:t>
      </w:r>
      <w:r w:rsidR="00EE6C56" w:rsidRPr="007F28C1">
        <w:rPr>
          <w:rFonts w:ascii="Times New Roman" w:hAnsi="Times New Roman" w:cs="Times New Roman"/>
          <w:sz w:val="24"/>
          <w:szCs w:val="24"/>
        </w:rPr>
        <w:t xml:space="preserve">przepisów </w:t>
      </w:r>
      <w:r w:rsidRPr="007F28C1">
        <w:rPr>
          <w:rFonts w:ascii="Times New Roman" w:hAnsi="Times New Roman" w:cs="Times New Roman"/>
          <w:sz w:val="24"/>
          <w:szCs w:val="24"/>
        </w:rPr>
        <w:t>ustawy – Prawo geologiczne i górnicze</w:t>
      </w:r>
      <w:r w:rsidR="006C12FC" w:rsidRPr="007F28C1">
        <w:rPr>
          <w:rFonts w:ascii="Times New Roman" w:hAnsi="Times New Roman" w:cs="Times New Roman"/>
          <w:sz w:val="24"/>
          <w:szCs w:val="24"/>
        </w:rPr>
        <w:t xml:space="preserve"> z 1994 r.,</w:t>
      </w:r>
      <w:r w:rsidRPr="007F28C1">
        <w:rPr>
          <w:rFonts w:ascii="Times New Roman" w:hAnsi="Times New Roman" w:cs="Times New Roman"/>
          <w:sz w:val="24"/>
          <w:szCs w:val="24"/>
        </w:rPr>
        <w:t xml:space="preserve"> obowiązując</w:t>
      </w:r>
      <w:r w:rsidR="00EE6C56" w:rsidRPr="007F28C1">
        <w:rPr>
          <w:rFonts w:ascii="Times New Roman" w:hAnsi="Times New Roman" w:cs="Times New Roman"/>
          <w:sz w:val="24"/>
          <w:szCs w:val="24"/>
        </w:rPr>
        <w:t>ych</w:t>
      </w:r>
      <w:r w:rsidRPr="007F28C1">
        <w:rPr>
          <w:rFonts w:ascii="Times New Roman" w:hAnsi="Times New Roman" w:cs="Times New Roman"/>
          <w:sz w:val="24"/>
          <w:szCs w:val="24"/>
        </w:rPr>
        <w:t xml:space="preserve"> do </w:t>
      </w:r>
      <w:r w:rsidR="00F4316B" w:rsidRPr="007F28C1">
        <w:rPr>
          <w:rFonts w:ascii="Times New Roman" w:hAnsi="Times New Roman" w:cs="Times New Roman"/>
          <w:sz w:val="24"/>
          <w:szCs w:val="24"/>
        </w:rPr>
        <w:t xml:space="preserve">dnia </w:t>
      </w:r>
      <w:r w:rsidR="00EE6C56" w:rsidRPr="007F28C1">
        <w:rPr>
          <w:rFonts w:ascii="Times New Roman" w:hAnsi="Times New Roman" w:cs="Times New Roman"/>
          <w:sz w:val="24"/>
          <w:szCs w:val="24"/>
        </w:rPr>
        <w:t>2</w:t>
      </w:r>
      <w:r w:rsidRPr="007F28C1">
        <w:rPr>
          <w:rFonts w:ascii="Times New Roman" w:hAnsi="Times New Roman" w:cs="Times New Roman"/>
          <w:sz w:val="24"/>
          <w:szCs w:val="24"/>
        </w:rPr>
        <w:t xml:space="preserve">1 </w:t>
      </w:r>
      <w:r w:rsidR="00EE6C56" w:rsidRPr="007F28C1">
        <w:rPr>
          <w:rFonts w:ascii="Times New Roman" w:hAnsi="Times New Roman" w:cs="Times New Roman"/>
          <w:sz w:val="24"/>
          <w:szCs w:val="24"/>
        </w:rPr>
        <w:t>kwietni</w:t>
      </w:r>
      <w:r w:rsidRPr="007F28C1">
        <w:rPr>
          <w:rFonts w:ascii="Times New Roman" w:hAnsi="Times New Roman" w:cs="Times New Roman"/>
          <w:sz w:val="24"/>
          <w:szCs w:val="24"/>
        </w:rPr>
        <w:t>a 20</w:t>
      </w:r>
      <w:r w:rsidR="00EE6C56" w:rsidRPr="007F28C1">
        <w:rPr>
          <w:rFonts w:ascii="Times New Roman" w:hAnsi="Times New Roman" w:cs="Times New Roman"/>
          <w:sz w:val="24"/>
          <w:szCs w:val="24"/>
        </w:rPr>
        <w:t>05</w:t>
      </w:r>
      <w:r w:rsidRPr="007F28C1">
        <w:rPr>
          <w:rFonts w:ascii="Times New Roman" w:hAnsi="Times New Roman" w:cs="Times New Roman"/>
          <w:sz w:val="24"/>
          <w:szCs w:val="24"/>
        </w:rPr>
        <w:t xml:space="preserve"> r.</w:t>
      </w:r>
      <w:r w:rsidR="00382C56" w:rsidRPr="007F28C1">
        <w:rPr>
          <w:rFonts w:ascii="Times New Roman" w:hAnsi="Times New Roman" w:cs="Times New Roman"/>
          <w:sz w:val="24"/>
          <w:szCs w:val="24"/>
        </w:rPr>
        <w:t>,</w:t>
      </w:r>
      <w:r w:rsidRPr="007F28C1">
        <w:rPr>
          <w:rFonts w:ascii="Times New Roman" w:hAnsi="Times New Roman" w:cs="Times New Roman"/>
          <w:sz w:val="24"/>
          <w:szCs w:val="24"/>
        </w:rPr>
        <w:t xml:space="preserve"> któr</w:t>
      </w:r>
      <w:r w:rsidR="00EE6C56" w:rsidRPr="007F28C1">
        <w:rPr>
          <w:rFonts w:ascii="Times New Roman" w:hAnsi="Times New Roman" w:cs="Times New Roman"/>
          <w:sz w:val="24"/>
          <w:szCs w:val="24"/>
        </w:rPr>
        <w:t>e</w:t>
      </w:r>
      <w:r w:rsidRPr="007F28C1">
        <w:rPr>
          <w:rFonts w:ascii="Times New Roman" w:hAnsi="Times New Roman" w:cs="Times New Roman"/>
          <w:sz w:val="24"/>
          <w:szCs w:val="24"/>
        </w:rPr>
        <w:t xml:space="preserve"> nie przewidywał</w:t>
      </w:r>
      <w:r w:rsidR="00EE6C56" w:rsidRPr="007F28C1">
        <w:rPr>
          <w:rFonts w:ascii="Times New Roman" w:hAnsi="Times New Roman" w:cs="Times New Roman"/>
          <w:sz w:val="24"/>
          <w:szCs w:val="24"/>
        </w:rPr>
        <w:t>y</w:t>
      </w:r>
      <w:r w:rsidRPr="007F28C1">
        <w:rPr>
          <w:rFonts w:ascii="Times New Roman" w:hAnsi="Times New Roman" w:cs="Times New Roman"/>
          <w:sz w:val="24"/>
          <w:szCs w:val="24"/>
        </w:rPr>
        <w:t xml:space="preserve"> </w:t>
      </w:r>
      <w:r w:rsidR="00382C56" w:rsidRPr="007F28C1">
        <w:rPr>
          <w:rFonts w:ascii="Times New Roman" w:hAnsi="Times New Roman" w:cs="Times New Roman"/>
          <w:sz w:val="24"/>
          <w:szCs w:val="24"/>
        </w:rPr>
        <w:t>konieczności ustanowienia zabezpieczenia</w:t>
      </w:r>
      <w:r w:rsidR="006C12FC" w:rsidRPr="007F28C1">
        <w:rPr>
          <w:rFonts w:ascii="Times New Roman" w:hAnsi="Times New Roman" w:cs="Times New Roman"/>
          <w:sz w:val="24"/>
          <w:szCs w:val="24"/>
        </w:rPr>
        <w:t xml:space="preserve"> roszczeń mogących powstać wskutek wykonywania działalności objętej koncesją</w:t>
      </w:r>
      <w:r w:rsidR="00382C56" w:rsidRPr="007F28C1">
        <w:rPr>
          <w:rFonts w:ascii="Times New Roman" w:hAnsi="Times New Roman" w:cs="Times New Roman"/>
          <w:sz w:val="24"/>
          <w:szCs w:val="24"/>
        </w:rPr>
        <w:t>. Projektodawca</w:t>
      </w:r>
      <w:r w:rsidR="00497F98">
        <w:rPr>
          <w:rFonts w:ascii="Times New Roman" w:hAnsi="Times New Roman" w:cs="Times New Roman"/>
          <w:sz w:val="24"/>
          <w:szCs w:val="24"/>
        </w:rPr>
        <w:t>,</w:t>
      </w:r>
      <w:r w:rsidR="00382C56" w:rsidRPr="007F28C1">
        <w:rPr>
          <w:rFonts w:ascii="Times New Roman" w:hAnsi="Times New Roman" w:cs="Times New Roman"/>
          <w:sz w:val="24"/>
          <w:szCs w:val="24"/>
        </w:rPr>
        <w:t xml:space="preserve"> rozważając jednak z jednej strony interes przedsiębiorców prowadzących działalność w zakresie podziemnego składowania odpadów, z drugiej natomiast ważny interes publiczny związany z ochroną środowiska, uznał, że </w:t>
      </w:r>
      <w:r w:rsidR="00F4316B" w:rsidRPr="007F28C1">
        <w:rPr>
          <w:rFonts w:ascii="Times New Roman" w:hAnsi="Times New Roman" w:cs="Times New Roman"/>
          <w:sz w:val="24"/>
          <w:szCs w:val="24"/>
        </w:rPr>
        <w:t xml:space="preserve">interes publiczny ma w tym przypadku przeważające i </w:t>
      </w:r>
      <w:r w:rsidR="003F7879" w:rsidRPr="007F28C1">
        <w:rPr>
          <w:rFonts w:ascii="Times New Roman" w:hAnsi="Times New Roman" w:cs="Times New Roman"/>
          <w:sz w:val="24"/>
          <w:szCs w:val="24"/>
        </w:rPr>
        <w:t>decydując</w:t>
      </w:r>
      <w:r w:rsidR="00F4316B" w:rsidRPr="007F28C1">
        <w:rPr>
          <w:rFonts w:ascii="Times New Roman" w:hAnsi="Times New Roman" w:cs="Times New Roman"/>
          <w:sz w:val="24"/>
          <w:szCs w:val="24"/>
        </w:rPr>
        <w:t>e znaczenie</w:t>
      </w:r>
      <w:r w:rsidR="003F7879" w:rsidRPr="007F28C1">
        <w:rPr>
          <w:rFonts w:ascii="Times New Roman" w:hAnsi="Times New Roman" w:cs="Times New Roman"/>
          <w:sz w:val="24"/>
          <w:szCs w:val="24"/>
        </w:rPr>
        <w:t>. Kierując się t</w:t>
      </w:r>
      <w:r w:rsidR="006C12FC" w:rsidRPr="007F28C1">
        <w:rPr>
          <w:rFonts w:ascii="Times New Roman" w:hAnsi="Times New Roman" w:cs="Times New Roman"/>
          <w:sz w:val="24"/>
          <w:szCs w:val="24"/>
        </w:rPr>
        <w:t>ym</w:t>
      </w:r>
      <w:r w:rsidR="003F7879" w:rsidRPr="007F28C1">
        <w:rPr>
          <w:rFonts w:ascii="Times New Roman" w:hAnsi="Times New Roman" w:cs="Times New Roman"/>
          <w:sz w:val="24"/>
          <w:szCs w:val="24"/>
        </w:rPr>
        <w:t xml:space="preserve"> </w:t>
      </w:r>
      <w:r w:rsidR="006C12FC" w:rsidRPr="007F28C1">
        <w:rPr>
          <w:rFonts w:ascii="Times New Roman" w:hAnsi="Times New Roman" w:cs="Times New Roman"/>
          <w:sz w:val="24"/>
          <w:szCs w:val="24"/>
        </w:rPr>
        <w:t>przeświadczeniem</w:t>
      </w:r>
      <w:r w:rsidR="003F7879" w:rsidRPr="007F28C1">
        <w:rPr>
          <w:rFonts w:ascii="Times New Roman" w:hAnsi="Times New Roman" w:cs="Times New Roman"/>
          <w:sz w:val="24"/>
          <w:szCs w:val="24"/>
        </w:rPr>
        <w:t xml:space="preserve"> projektodawca uznał, że</w:t>
      </w:r>
      <w:r w:rsidR="00F4316B" w:rsidRPr="007F28C1">
        <w:rPr>
          <w:rFonts w:ascii="Times New Roman" w:hAnsi="Times New Roman" w:cs="Times New Roman"/>
          <w:sz w:val="24"/>
          <w:szCs w:val="24"/>
        </w:rPr>
        <w:t xml:space="preserve"> </w:t>
      </w:r>
      <w:r w:rsidR="00382C56" w:rsidRPr="007F28C1">
        <w:rPr>
          <w:rFonts w:ascii="Times New Roman" w:hAnsi="Times New Roman" w:cs="Times New Roman"/>
          <w:sz w:val="24"/>
          <w:szCs w:val="24"/>
        </w:rPr>
        <w:t>koncesje te powinny</w:t>
      </w:r>
      <w:r w:rsidR="00F4316B" w:rsidRPr="007F28C1">
        <w:rPr>
          <w:rFonts w:ascii="Times New Roman" w:hAnsi="Times New Roman" w:cs="Times New Roman"/>
          <w:sz w:val="24"/>
          <w:szCs w:val="24"/>
        </w:rPr>
        <w:t xml:space="preserve"> zostać dostosowane do wymogów prawa obowiązującego od dnia </w:t>
      </w:r>
      <w:r w:rsidR="006C12FC" w:rsidRPr="007F28C1">
        <w:rPr>
          <w:rFonts w:ascii="Times New Roman" w:hAnsi="Times New Roman" w:cs="Times New Roman"/>
          <w:sz w:val="24"/>
          <w:szCs w:val="24"/>
        </w:rPr>
        <w:t>22</w:t>
      </w:r>
      <w:r w:rsidR="00F4316B" w:rsidRPr="007F28C1">
        <w:rPr>
          <w:rFonts w:ascii="Times New Roman" w:hAnsi="Times New Roman" w:cs="Times New Roman"/>
          <w:sz w:val="24"/>
          <w:szCs w:val="24"/>
        </w:rPr>
        <w:t xml:space="preserve"> </w:t>
      </w:r>
      <w:r w:rsidR="006C12FC" w:rsidRPr="007F28C1">
        <w:rPr>
          <w:rFonts w:ascii="Times New Roman" w:hAnsi="Times New Roman" w:cs="Times New Roman"/>
          <w:sz w:val="24"/>
          <w:szCs w:val="24"/>
        </w:rPr>
        <w:t>kwietn</w:t>
      </w:r>
      <w:r w:rsidR="00F4316B" w:rsidRPr="007F28C1">
        <w:rPr>
          <w:rFonts w:ascii="Times New Roman" w:hAnsi="Times New Roman" w:cs="Times New Roman"/>
          <w:sz w:val="24"/>
          <w:szCs w:val="24"/>
        </w:rPr>
        <w:t>ia 20</w:t>
      </w:r>
      <w:r w:rsidR="006C12FC" w:rsidRPr="007F28C1">
        <w:rPr>
          <w:rFonts w:ascii="Times New Roman" w:hAnsi="Times New Roman" w:cs="Times New Roman"/>
          <w:sz w:val="24"/>
          <w:szCs w:val="24"/>
        </w:rPr>
        <w:t>05</w:t>
      </w:r>
      <w:r w:rsidR="00F4316B" w:rsidRPr="007F28C1">
        <w:rPr>
          <w:rFonts w:ascii="Times New Roman" w:hAnsi="Times New Roman" w:cs="Times New Roman"/>
          <w:sz w:val="24"/>
          <w:szCs w:val="24"/>
        </w:rPr>
        <w:t xml:space="preserve"> r., nakładającego na przedsiębiorcę obowiązek ustanowienia zabezpieczenia roszczeń mogących powstać wskutek wykonywania </w:t>
      </w:r>
      <w:r w:rsidR="00F4316B" w:rsidRPr="007F28C1">
        <w:rPr>
          <w:rFonts w:ascii="Times New Roman" w:hAnsi="Times New Roman" w:cs="Times New Roman"/>
          <w:sz w:val="24"/>
          <w:szCs w:val="24"/>
        </w:rPr>
        <w:lastRenderedPageBreak/>
        <w:t xml:space="preserve">działalności w zakresie podziemnego składowania odpadów. Ponadto w ocenie projektodawcy, niezależnie od </w:t>
      </w:r>
      <w:r w:rsidR="003F7879" w:rsidRPr="007F28C1">
        <w:rPr>
          <w:rFonts w:ascii="Times New Roman" w:hAnsi="Times New Roman" w:cs="Times New Roman"/>
          <w:sz w:val="24"/>
          <w:szCs w:val="24"/>
        </w:rPr>
        <w:t xml:space="preserve">prymatu </w:t>
      </w:r>
      <w:r w:rsidR="00F4316B" w:rsidRPr="007F28C1">
        <w:rPr>
          <w:rFonts w:ascii="Times New Roman" w:hAnsi="Times New Roman" w:cs="Times New Roman"/>
          <w:sz w:val="24"/>
          <w:szCs w:val="24"/>
        </w:rPr>
        <w:t>opisanego wyżej ważnego interesu publicznego związanego z ochroną środowiska, za przyjęciem takiej regulacji przemawia również zasada równego traktowania przedsiębiorców wykonujących tak</w:t>
      </w:r>
      <w:r w:rsidR="003F7879" w:rsidRPr="007F28C1">
        <w:rPr>
          <w:rFonts w:ascii="Times New Roman" w:hAnsi="Times New Roman" w:cs="Times New Roman"/>
          <w:sz w:val="24"/>
          <w:szCs w:val="24"/>
        </w:rPr>
        <w:t>ą</w:t>
      </w:r>
      <w:r w:rsidR="00F4316B" w:rsidRPr="007F28C1">
        <w:rPr>
          <w:rFonts w:ascii="Times New Roman" w:hAnsi="Times New Roman" w:cs="Times New Roman"/>
          <w:sz w:val="24"/>
          <w:szCs w:val="24"/>
        </w:rPr>
        <w:t xml:space="preserve"> samą działalność gospodarczą. </w:t>
      </w:r>
      <w:r w:rsidR="00497F98">
        <w:rPr>
          <w:rFonts w:ascii="Times New Roman" w:hAnsi="Times New Roman" w:cs="Times New Roman"/>
          <w:sz w:val="24"/>
          <w:szCs w:val="24"/>
        </w:rPr>
        <w:t>Obecnie</w:t>
      </w:r>
      <w:r w:rsidR="003F7879" w:rsidRPr="007F28C1">
        <w:rPr>
          <w:rFonts w:ascii="Times New Roman" w:hAnsi="Times New Roman" w:cs="Times New Roman"/>
          <w:sz w:val="24"/>
          <w:szCs w:val="24"/>
        </w:rPr>
        <w:t xml:space="preserve"> przedsiębiorcy, którzy uzyskali koncesje na składowani</w:t>
      </w:r>
      <w:r w:rsidR="00497F98">
        <w:rPr>
          <w:rFonts w:ascii="Times New Roman" w:hAnsi="Times New Roman" w:cs="Times New Roman"/>
          <w:sz w:val="24"/>
          <w:szCs w:val="24"/>
        </w:rPr>
        <w:t>e</w:t>
      </w:r>
      <w:r w:rsidR="003F7879" w:rsidRPr="007F28C1">
        <w:rPr>
          <w:rFonts w:ascii="Times New Roman" w:hAnsi="Times New Roman" w:cs="Times New Roman"/>
          <w:sz w:val="24"/>
          <w:szCs w:val="24"/>
        </w:rPr>
        <w:t xml:space="preserve"> odpadów przed 21</w:t>
      </w:r>
      <w:r w:rsidR="00EE6C56" w:rsidRPr="007F28C1">
        <w:rPr>
          <w:rFonts w:ascii="Times New Roman" w:hAnsi="Times New Roman" w:cs="Times New Roman"/>
          <w:sz w:val="24"/>
          <w:szCs w:val="24"/>
        </w:rPr>
        <w:t xml:space="preserve"> kwietnia </w:t>
      </w:r>
      <w:r w:rsidR="003F7879" w:rsidRPr="007F28C1">
        <w:rPr>
          <w:rFonts w:ascii="Times New Roman" w:hAnsi="Times New Roman" w:cs="Times New Roman"/>
          <w:sz w:val="24"/>
          <w:szCs w:val="24"/>
        </w:rPr>
        <w:t>2</w:t>
      </w:r>
      <w:r w:rsidR="00EE6C56" w:rsidRPr="007F28C1">
        <w:rPr>
          <w:rFonts w:ascii="Times New Roman" w:hAnsi="Times New Roman" w:cs="Times New Roman"/>
          <w:sz w:val="24"/>
          <w:szCs w:val="24"/>
        </w:rPr>
        <w:t>005</w:t>
      </w:r>
      <w:r w:rsidR="003F7879" w:rsidRPr="007F28C1">
        <w:rPr>
          <w:rFonts w:ascii="Times New Roman" w:hAnsi="Times New Roman" w:cs="Times New Roman"/>
          <w:sz w:val="24"/>
          <w:szCs w:val="24"/>
        </w:rPr>
        <w:t xml:space="preserve"> r., korzystają z pozycji uprzywilejowanej, choć działalność przez nich prowadzona nie różni się ani zakresem, ani ewentualnymi negatywnymi skutkami dla środowiska od działalności w zakresie podziemnego składowania odpadów wykonywanej na podstawie koncesji uzyskanej </w:t>
      </w:r>
      <w:r w:rsidR="006C12FC" w:rsidRPr="007F28C1">
        <w:rPr>
          <w:rFonts w:ascii="Times New Roman" w:hAnsi="Times New Roman" w:cs="Times New Roman"/>
          <w:sz w:val="24"/>
          <w:szCs w:val="24"/>
        </w:rPr>
        <w:t>p</w:t>
      </w:r>
      <w:r w:rsidR="003F7879" w:rsidRPr="007F28C1">
        <w:rPr>
          <w:rFonts w:ascii="Times New Roman" w:hAnsi="Times New Roman" w:cs="Times New Roman"/>
          <w:sz w:val="24"/>
          <w:szCs w:val="24"/>
        </w:rPr>
        <w:t>o 22</w:t>
      </w:r>
      <w:r w:rsidR="00EE6C56" w:rsidRPr="007F28C1">
        <w:rPr>
          <w:rFonts w:ascii="Times New Roman" w:hAnsi="Times New Roman" w:cs="Times New Roman"/>
          <w:sz w:val="24"/>
          <w:szCs w:val="24"/>
        </w:rPr>
        <w:t xml:space="preserve"> kwietnia 2005</w:t>
      </w:r>
      <w:r w:rsidR="003F7879" w:rsidRPr="007F28C1">
        <w:rPr>
          <w:rFonts w:ascii="Times New Roman" w:hAnsi="Times New Roman" w:cs="Times New Roman"/>
          <w:sz w:val="24"/>
          <w:szCs w:val="24"/>
        </w:rPr>
        <w:t xml:space="preserve"> r. W ocenie projektodawcy sytuacja prawna obu tych grup przedsiębiorców powinna zostać zrównana, a skutek ten zostanie osiągnięty dzięki projektowanym przepisom dostosowującym.</w:t>
      </w:r>
    </w:p>
    <w:p w14:paraId="3964C9C1" w14:textId="58B3A89C" w:rsidR="00547905" w:rsidRPr="007F28C1" w:rsidRDefault="00547905" w:rsidP="007F28C1">
      <w:pPr>
        <w:pStyle w:val="Akapitzlist"/>
        <w:numPr>
          <w:ilvl w:val="0"/>
          <w:numId w:val="14"/>
        </w:numPr>
        <w:tabs>
          <w:tab w:val="left" w:pos="567"/>
        </w:tabs>
        <w:spacing w:before="240" w:after="0" w:line="360" w:lineRule="auto"/>
        <w:jc w:val="both"/>
        <w:rPr>
          <w:rFonts w:ascii="Times New Roman" w:hAnsi="Times New Roman" w:cs="Times New Roman"/>
          <w:b/>
          <w:bCs/>
          <w:sz w:val="24"/>
          <w:szCs w:val="24"/>
        </w:rPr>
      </w:pPr>
      <w:r w:rsidRPr="007F28C1">
        <w:rPr>
          <w:rFonts w:ascii="Times New Roman" w:eastAsia="Times New Roman" w:hAnsi="Times New Roman" w:cs="Times New Roman"/>
          <w:b/>
          <w:bCs/>
          <w:sz w:val="24"/>
          <w:szCs w:val="24"/>
          <w:lang w:eastAsia="pl-PL"/>
        </w:rPr>
        <w:t>Usprawnienie działalności organów nadzoru górniczego</w:t>
      </w:r>
    </w:p>
    <w:p w14:paraId="6A9CBBF7" w14:textId="253B6B06" w:rsidR="00547905" w:rsidRPr="007F28C1" w:rsidRDefault="00547905" w:rsidP="007F28C1">
      <w:pPr>
        <w:numPr>
          <w:ilvl w:val="0"/>
          <w:numId w:val="8"/>
        </w:numPr>
        <w:spacing w:before="240" w:after="0" w:line="360" w:lineRule="auto"/>
        <w:ind w:left="574" w:hanging="532"/>
        <w:jc w:val="both"/>
        <w:rPr>
          <w:rFonts w:ascii="Times New Roman" w:hAnsi="Times New Roman" w:cs="Times New Roman"/>
          <w:b/>
          <w:bCs/>
          <w:sz w:val="24"/>
          <w:szCs w:val="24"/>
        </w:rPr>
      </w:pPr>
      <w:r w:rsidRPr="007F28C1">
        <w:rPr>
          <w:rFonts w:ascii="Times New Roman" w:hAnsi="Times New Roman" w:cs="Times New Roman"/>
          <w:b/>
          <w:bCs/>
          <w:sz w:val="24"/>
          <w:szCs w:val="24"/>
        </w:rPr>
        <w:t>Udział organów nadzoru górniczego w udzielaniu i stwierdzaniu wygaśnięcia koncesji udzielanych przez starostę</w:t>
      </w:r>
    </w:p>
    <w:p w14:paraId="6CEA4CC2" w14:textId="49BB9198" w:rsidR="006D10F8" w:rsidRPr="007F28C1" w:rsidRDefault="00325028" w:rsidP="007F28C1">
      <w:pPr>
        <w:spacing w:before="120" w:after="0" w:line="360" w:lineRule="auto"/>
        <w:jc w:val="both"/>
        <w:rPr>
          <w:rFonts w:ascii="Times New Roman" w:eastAsia="Times New Roman" w:hAnsi="Times New Roman" w:cs="Times New Roman"/>
          <w:sz w:val="24"/>
          <w:szCs w:val="24"/>
          <w:lang w:eastAsia="pl-PL"/>
        </w:rPr>
      </w:pPr>
      <w:bookmarkStart w:id="10" w:name="_Hlk68020543"/>
      <w:r w:rsidRPr="007F28C1">
        <w:rPr>
          <w:rFonts w:ascii="Times New Roman" w:hAnsi="Times New Roman" w:cs="Times New Roman"/>
          <w:sz w:val="24"/>
          <w:szCs w:val="24"/>
        </w:rPr>
        <w:t>Stosownie do art. 32 ust. 5</w:t>
      </w:r>
      <w:r w:rsidR="006D17C7" w:rsidRPr="007F28C1">
        <w:rPr>
          <w:rFonts w:ascii="Times New Roman" w:hAnsi="Times New Roman" w:cs="Times New Roman"/>
          <w:sz w:val="24"/>
          <w:szCs w:val="24"/>
        </w:rPr>
        <w:t xml:space="preserve"> </w:t>
      </w:r>
      <w:r w:rsidR="00181A90" w:rsidRPr="007F28C1">
        <w:rPr>
          <w:rFonts w:ascii="Times New Roman" w:hAnsi="Times New Roman" w:cs="Times New Roman"/>
          <w:sz w:val="24"/>
          <w:szCs w:val="24"/>
        </w:rPr>
        <w:t>P.g.g.</w:t>
      </w:r>
      <w:r w:rsidRPr="007F28C1">
        <w:rPr>
          <w:rFonts w:ascii="Times New Roman" w:hAnsi="Times New Roman" w:cs="Times New Roman"/>
          <w:sz w:val="24"/>
          <w:szCs w:val="24"/>
        </w:rPr>
        <w:t xml:space="preserve">, koncesja udzielana przez starostę określa sposób prowadzenia ruchu zakładu górniczego, uwzględniający wymagania określone w art. 108 ust. 2 </w:t>
      </w:r>
      <w:r w:rsidR="00181A90" w:rsidRPr="007F28C1">
        <w:rPr>
          <w:rFonts w:ascii="Times New Roman" w:hAnsi="Times New Roman" w:cs="Times New Roman"/>
          <w:sz w:val="24"/>
          <w:szCs w:val="24"/>
        </w:rPr>
        <w:t>P.g.g</w:t>
      </w:r>
      <w:r w:rsidR="005A47DB"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sposób likwidacji zakładu górniczego, uwzględniający obowiązki określone w art. 129 ust. 1 </w:t>
      </w:r>
      <w:r w:rsidR="00181A90" w:rsidRPr="007F28C1">
        <w:rPr>
          <w:rFonts w:ascii="Times New Roman" w:hAnsi="Times New Roman" w:cs="Times New Roman"/>
          <w:sz w:val="24"/>
          <w:szCs w:val="24"/>
        </w:rPr>
        <w:t>P.g.g</w:t>
      </w:r>
      <w:r w:rsidR="009355D1" w:rsidRPr="007F28C1">
        <w:rPr>
          <w:rFonts w:ascii="Times New Roman" w:hAnsi="Times New Roman" w:cs="Times New Roman"/>
          <w:sz w:val="24"/>
          <w:szCs w:val="24"/>
        </w:rPr>
        <w:t>.</w:t>
      </w:r>
      <w:r w:rsidRPr="007F28C1">
        <w:rPr>
          <w:rFonts w:ascii="Times New Roman" w:hAnsi="Times New Roman" w:cs="Times New Roman"/>
          <w:sz w:val="24"/>
          <w:szCs w:val="24"/>
        </w:rPr>
        <w:t xml:space="preserve"> </w:t>
      </w:r>
      <w:r w:rsidR="006D10F8" w:rsidRPr="007F28C1">
        <w:rPr>
          <w:rFonts w:ascii="Times New Roman" w:hAnsi="Times New Roman" w:cs="Times New Roman"/>
          <w:sz w:val="24"/>
          <w:szCs w:val="24"/>
        </w:rPr>
        <w:t xml:space="preserve">W praktyce okazuje się, że sposób </w:t>
      </w:r>
      <w:r w:rsidRPr="007F28C1">
        <w:rPr>
          <w:rFonts w:ascii="Times New Roman" w:hAnsi="Times New Roman" w:cs="Times New Roman"/>
          <w:sz w:val="24"/>
          <w:szCs w:val="24"/>
        </w:rPr>
        <w:t xml:space="preserve">prowadzenia ruchu zakładu górniczego jest </w:t>
      </w:r>
      <w:r w:rsidR="006D10F8" w:rsidRPr="007F28C1">
        <w:rPr>
          <w:rFonts w:ascii="Times New Roman" w:hAnsi="Times New Roman" w:cs="Times New Roman"/>
          <w:sz w:val="24"/>
          <w:szCs w:val="24"/>
        </w:rPr>
        <w:t xml:space="preserve">w tych koncesjach </w:t>
      </w:r>
      <w:r w:rsidRPr="007F28C1">
        <w:rPr>
          <w:rFonts w:ascii="Times New Roman" w:hAnsi="Times New Roman" w:cs="Times New Roman"/>
          <w:sz w:val="24"/>
          <w:szCs w:val="24"/>
        </w:rPr>
        <w:t xml:space="preserve">często określany </w:t>
      </w:r>
      <w:r w:rsidR="006D10F8" w:rsidRPr="007F28C1">
        <w:rPr>
          <w:rFonts w:ascii="Times New Roman" w:hAnsi="Times New Roman" w:cs="Times New Roman"/>
          <w:sz w:val="24"/>
          <w:szCs w:val="24"/>
        </w:rPr>
        <w:t>bez uwzględnienia obowiązku prowadzenia racjonalnej gospodarki złożami kopalin</w:t>
      </w:r>
      <w:r w:rsidRPr="007F28C1">
        <w:rPr>
          <w:rFonts w:ascii="Times New Roman" w:hAnsi="Times New Roman" w:cs="Times New Roman"/>
          <w:sz w:val="24"/>
          <w:szCs w:val="24"/>
        </w:rPr>
        <w:t>, ochrony sąsiadujących złóż kopalin oraz zachowania bezpieczeństwa powszechnego, ludzi i</w:t>
      </w:r>
      <w:r w:rsidR="006D10F8" w:rsidRPr="007F28C1">
        <w:rPr>
          <w:rFonts w:ascii="Times New Roman" w:hAnsi="Times New Roman" w:cs="Times New Roman"/>
          <w:sz w:val="24"/>
          <w:szCs w:val="24"/>
        </w:rPr>
        <w:t> </w:t>
      </w:r>
      <w:r w:rsidRPr="007F28C1">
        <w:rPr>
          <w:rFonts w:ascii="Times New Roman" w:hAnsi="Times New Roman" w:cs="Times New Roman"/>
          <w:sz w:val="24"/>
          <w:szCs w:val="24"/>
        </w:rPr>
        <w:t>środowiska. W</w:t>
      </w:r>
      <w:r w:rsidR="00FA551A" w:rsidRPr="007F28C1">
        <w:rPr>
          <w:rFonts w:ascii="Times New Roman" w:hAnsi="Times New Roman" w:cs="Times New Roman"/>
          <w:sz w:val="24"/>
          <w:szCs w:val="24"/>
        </w:rPr>
        <w:t> </w:t>
      </w:r>
      <w:r w:rsidR="006D10F8" w:rsidRPr="007F28C1">
        <w:rPr>
          <w:rFonts w:ascii="Times New Roman" w:hAnsi="Times New Roman" w:cs="Times New Roman"/>
          <w:sz w:val="24"/>
          <w:szCs w:val="24"/>
        </w:rPr>
        <w:t xml:space="preserve">urzędach obsługujących starostę </w:t>
      </w:r>
      <w:r w:rsidRPr="007F28C1">
        <w:rPr>
          <w:rFonts w:ascii="Times New Roman" w:hAnsi="Times New Roman" w:cs="Times New Roman"/>
          <w:sz w:val="24"/>
          <w:szCs w:val="24"/>
        </w:rPr>
        <w:t xml:space="preserve">często brakuje </w:t>
      </w:r>
      <w:r w:rsidR="006D10F8" w:rsidRPr="007F28C1">
        <w:rPr>
          <w:rFonts w:ascii="Times New Roman" w:hAnsi="Times New Roman" w:cs="Times New Roman"/>
          <w:sz w:val="24"/>
          <w:szCs w:val="24"/>
        </w:rPr>
        <w:t xml:space="preserve">pracowników </w:t>
      </w:r>
      <w:r w:rsidRPr="007F28C1">
        <w:rPr>
          <w:rFonts w:ascii="Times New Roman" w:hAnsi="Times New Roman" w:cs="Times New Roman"/>
          <w:sz w:val="24"/>
          <w:szCs w:val="24"/>
        </w:rPr>
        <w:t>posiadających odpowiednie kompetencje do określenia warunków realizacji procesu wydobycia kopaliny ze złoża z</w:t>
      </w:r>
      <w:r w:rsidR="00B56807" w:rsidRPr="007F28C1">
        <w:rPr>
          <w:rFonts w:ascii="Times New Roman" w:hAnsi="Times New Roman" w:cs="Times New Roman"/>
          <w:sz w:val="24"/>
          <w:szCs w:val="24"/>
        </w:rPr>
        <w:t> </w:t>
      </w:r>
      <w:r w:rsidRPr="007F28C1">
        <w:rPr>
          <w:rFonts w:ascii="Times New Roman" w:hAnsi="Times New Roman" w:cs="Times New Roman"/>
          <w:sz w:val="24"/>
          <w:szCs w:val="24"/>
        </w:rPr>
        <w:t xml:space="preserve">uwzględnieniem </w:t>
      </w:r>
      <w:r w:rsidR="006D10F8" w:rsidRPr="007F28C1">
        <w:rPr>
          <w:rFonts w:ascii="Times New Roman" w:hAnsi="Times New Roman" w:cs="Times New Roman"/>
          <w:sz w:val="24"/>
          <w:szCs w:val="24"/>
        </w:rPr>
        <w:t>tych</w:t>
      </w:r>
      <w:r w:rsidRPr="007F28C1">
        <w:rPr>
          <w:rFonts w:ascii="Times New Roman" w:hAnsi="Times New Roman" w:cs="Times New Roman"/>
          <w:sz w:val="24"/>
          <w:szCs w:val="24"/>
        </w:rPr>
        <w:t xml:space="preserve"> elementów. </w:t>
      </w:r>
    </w:p>
    <w:p w14:paraId="4E33D066" w14:textId="295C75DF"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Koncesje udzielane przez starostów dotyczą głównie piasków i żwirów, stanowiących surowce wykorzystywane w budownictwie. Teoretycznie skala działalności objętej taką koncesją jest niewielka, jednak ze względu na dużą </w:t>
      </w:r>
      <w:r w:rsidR="000B2371" w:rsidRPr="007F28C1">
        <w:rPr>
          <w:rFonts w:ascii="Times New Roman" w:hAnsi="Times New Roman" w:cs="Times New Roman"/>
          <w:sz w:val="24"/>
          <w:szCs w:val="24"/>
        </w:rPr>
        <w:t xml:space="preserve">liczbę </w:t>
      </w:r>
      <w:r w:rsidRPr="007F28C1">
        <w:rPr>
          <w:rFonts w:ascii="Times New Roman" w:hAnsi="Times New Roman" w:cs="Times New Roman"/>
          <w:sz w:val="24"/>
          <w:szCs w:val="24"/>
        </w:rPr>
        <w:t xml:space="preserve">koncesji tego rodzaju, realna ilość kopalin wydobywanych na podstawie koncesji udzielanych przez starostów jest znaczna. W tej sytuacji należy zadbać o racjonalne gospodarowanie również tymi kopalinami, szczególnie ze względu na rosnący popyt na te kopaliny jako surowce budowlane, czego znakiem jest też wzrost liczby tzw. </w:t>
      </w:r>
      <w:r w:rsidR="00E0536C" w:rsidRPr="007F28C1">
        <w:rPr>
          <w:rFonts w:ascii="Times New Roman" w:hAnsi="Times New Roman" w:cs="Times New Roman"/>
          <w:sz w:val="24"/>
          <w:szCs w:val="24"/>
        </w:rPr>
        <w:t xml:space="preserve">nielegalnych </w:t>
      </w:r>
      <w:r w:rsidRPr="007F28C1">
        <w:rPr>
          <w:rFonts w:ascii="Times New Roman" w:hAnsi="Times New Roman" w:cs="Times New Roman"/>
          <w:sz w:val="24"/>
          <w:szCs w:val="24"/>
        </w:rPr>
        <w:t>eksploatacji. Udostępnienie i wydobywanie zasobów złoża należy projektować w sposób umożliwiający zagospodarowanie w przyszłości części złoża nieobjętej zagospodarowaniem</w:t>
      </w:r>
      <w:r w:rsidR="00E0536C" w:rsidRPr="007F28C1">
        <w:rPr>
          <w:rFonts w:ascii="Times New Roman" w:hAnsi="Times New Roman" w:cs="Times New Roman"/>
          <w:sz w:val="24"/>
          <w:szCs w:val="24"/>
        </w:rPr>
        <w:t xml:space="preserve">, a także umożliwiający </w:t>
      </w:r>
      <w:r w:rsidRPr="007F28C1">
        <w:rPr>
          <w:rFonts w:ascii="Times New Roman" w:hAnsi="Times New Roman" w:cs="Times New Roman"/>
          <w:sz w:val="24"/>
          <w:szCs w:val="24"/>
        </w:rPr>
        <w:t xml:space="preserve">zagospodarowanie zasobów złóż występujących </w:t>
      </w:r>
      <w:r w:rsidRPr="007F28C1">
        <w:rPr>
          <w:rFonts w:ascii="Times New Roman" w:hAnsi="Times New Roman" w:cs="Times New Roman"/>
          <w:sz w:val="24"/>
          <w:szCs w:val="24"/>
        </w:rPr>
        <w:lastRenderedPageBreak/>
        <w:t xml:space="preserve">w jego sąsiedztwie. </w:t>
      </w:r>
      <w:r w:rsidR="00E0536C" w:rsidRPr="007F28C1">
        <w:rPr>
          <w:rFonts w:ascii="Times New Roman" w:hAnsi="Times New Roman" w:cs="Times New Roman"/>
          <w:sz w:val="24"/>
          <w:szCs w:val="24"/>
        </w:rPr>
        <w:t xml:space="preserve">Należy również przeciwdziałać praktykom zmierzającym do </w:t>
      </w:r>
      <w:r w:rsidRPr="007F28C1">
        <w:rPr>
          <w:rFonts w:ascii="Times New Roman" w:hAnsi="Times New Roman" w:cs="Times New Roman"/>
          <w:sz w:val="24"/>
          <w:szCs w:val="24"/>
        </w:rPr>
        <w:t xml:space="preserve">obejścia prawa, </w:t>
      </w:r>
      <w:r w:rsidR="00E0536C" w:rsidRPr="007F28C1">
        <w:rPr>
          <w:rFonts w:ascii="Times New Roman" w:hAnsi="Times New Roman" w:cs="Times New Roman"/>
          <w:sz w:val="24"/>
          <w:szCs w:val="24"/>
        </w:rPr>
        <w:t xml:space="preserve">polegającym </w:t>
      </w:r>
      <w:r w:rsidRPr="007F28C1">
        <w:rPr>
          <w:rFonts w:ascii="Times New Roman" w:hAnsi="Times New Roman" w:cs="Times New Roman"/>
          <w:sz w:val="24"/>
          <w:szCs w:val="24"/>
        </w:rPr>
        <w:t>na</w:t>
      </w:r>
      <w:r w:rsidR="00E0536C" w:rsidRPr="007F28C1">
        <w:rPr>
          <w:rFonts w:ascii="Times New Roman" w:hAnsi="Times New Roman" w:cs="Times New Roman"/>
          <w:sz w:val="24"/>
          <w:szCs w:val="24"/>
        </w:rPr>
        <w:t xml:space="preserve"> sztucznym</w:t>
      </w:r>
      <w:r w:rsidRPr="007F28C1">
        <w:rPr>
          <w:rFonts w:ascii="Times New Roman" w:hAnsi="Times New Roman" w:cs="Times New Roman"/>
          <w:sz w:val="24"/>
          <w:szCs w:val="24"/>
        </w:rPr>
        <w:t xml:space="preserve"> „dzieleniu” złoża, w wyniku czego wniosek koncesyjny dotyczy tylko części złoża o wielkości uzasadniającej wskazanie starosty jako organu koncesyjnego, dzięki czemu wydobycie kopaliny podlega łagodniejszym rygorom, wynikającym wyłącznie </w:t>
      </w:r>
      <w:r w:rsidR="005F563D" w:rsidRPr="007F28C1">
        <w:rPr>
          <w:rFonts w:ascii="Times New Roman" w:hAnsi="Times New Roman" w:cs="Times New Roman"/>
          <w:sz w:val="24"/>
          <w:szCs w:val="24"/>
        </w:rPr>
        <w:t>z </w:t>
      </w:r>
      <w:r w:rsidRPr="007F28C1">
        <w:rPr>
          <w:rFonts w:ascii="Times New Roman" w:hAnsi="Times New Roman" w:cs="Times New Roman"/>
          <w:sz w:val="24"/>
          <w:szCs w:val="24"/>
        </w:rPr>
        <w:t>koncesji starosty.</w:t>
      </w:r>
    </w:p>
    <w:p w14:paraId="1F23591D" w14:textId="4547372C" w:rsidR="0049242F" w:rsidRPr="007F28C1" w:rsidRDefault="0049242F"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Zmiana w art. 23 ust. 3</w:t>
      </w:r>
      <w:r w:rsidRPr="007F28C1">
        <w:rPr>
          <w:rFonts w:ascii="Times New Roman" w:hAnsi="Times New Roman" w:cs="Times New Roman"/>
          <w:bCs/>
          <w:sz w:val="24"/>
          <w:szCs w:val="24"/>
        </w:rPr>
        <w:t xml:space="preserve"> </w:t>
      </w:r>
      <w:r w:rsidR="00181A90" w:rsidRPr="007F28C1">
        <w:rPr>
          <w:rFonts w:ascii="Times New Roman" w:hAnsi="Times New Roman" w:cs="Times New Roman"/>
          <w:sz w:val="24"/>
          <w:szCs w:val="24"/>
        </w:rPr>
        <w:t>P.g.g.</w:t>
      </w:r>
      <w:r w:rsidR="005F563D" w:rsidRPr="007F28C1">
        <w:rPr>
          <w:rFonts w:ascii="Times New Roman" w:hAnsi="Times New Roman" w:cs="Times New Roman"/>
          <w:sz w:val="24"/>
          <w:szCs w:val="24"/>
        </w:rPr>
        <w:t>,</w:t>
      </w:r>
      <w:r w:rsidRPr="007F28C1">
        <w:rPr>
          <w:rFonts w:ascii="Times New Roman" w:eastAsia="Times New Roman" w:hAnsi="Times New Roman" w:cs="Times New Roman"/>
          <w:sz w:val="24"/>
          <w:szCs w:val="24"/>
          <w:lang w:eastAsia="pl-PL"/>
        </w:rPr>
        <w:t xml:space="preserve"> przez </w:t>
      </w:r>
      <w:r w:rsidRPr="007F28C1">
        <w:rPr>
          <w:rFonts w:ascii="Times New Roman" w:hAnsi="Times New Roman" w:cs="Times New Roman"/>
          <w:sz w:val="24"/>
          <w:szCs w:val="24"/>
        </w:rPr>
        <w:t xml:space="preserve">włączenie organów nadzoru górniczego w proces udzielenia koncesji przez starostę w formie </w:t>
      </w:r>
      <w:r w:rsidR="002B5E39" w:rsidRPr="007F28C1">
        <w:rPr>
          <w:rFonts w:ascii="Times New Roman" w:hAnsi="Times New Roman" w:cs="Times New Roman"/>
          <w:sz w:val="24"/>
          <w:szCs w:val="24"/>
        </w:rPr>
        <w:t xml:space="preserve">opiniowania </w:t>
      </w:r>
      <w:r w:rsidRPr="007F28C1">
        <w:rPr>
          <w:rFonts w:ascii="Times New Roman" w:hAnsi="Times New Roman" w:cs="Times New Roman"/>
          <w:sz w:val="24"/>
          <w:szCs w:val="24"/>
        </w:rPr>
        <w:t>koncesji</w:t>
      </w:r>
      <w:r w:rsidR="005F563D" w:rsidRPr="007F28C1">
        <w:rPr>
          <w:rFonts w:ascii="Times New Roman" w:hAnsi="Times New Roman" w:cs="Times New Roman"/>
          <w:sz w:val="24"/>
          <w:szCs w:val="24"/>
        </w:rPr>
        <w:t>,</w:t>
      </w:r>
      <w:r w:rsidR="002D4B53"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zapewni prawidłowe określenie w takiej koncesji sposobu prowadzenia ruchu zakładu górniczego, uwzględniającego wymagania określone w art. 108 ust. 2 </w:t>
      </w:r>
      <w:r w:rsidR="00181A90" w:rsidRPr="007F28C1">
        <w:rPr>
          <w:rFonts w:ascii="Times New Roman" w:hAnsi="Times New Roman" w:cs="Times New Roman"/>
          <w:sz w:val="24"/>
          <w:szCs w:val="24"/>
        </w:rPr>
        <w:t>P.g.g.</w:t>
      </w:r>
      <w:r w:rsidRPr="007F28C1">
        <w:rPr>
          <w:rFonts w:ascii="Times New Roman" w:hAnsi="Times New Roman" w:cs="Times New Roman"/>
          <w:sz w:val="24"/>
          <w:szCs w:val="24"/>
        </w:rPr>
        <w:t>, oraz sposobu likwidacji zakładu górniczego, uwzględniającego obowiązki określone w art. 129 ust. 1</w:t>
      </w:r>
      <w:r w:rsidR="005B7604" w:rsidRPr="007F28C1">
        <w:rPr>
          <w:rFonts w:ascii="Times New Roman" w:hAnsi="Times New Roman" w:cs="Times New Roman"/>
          <w:sz w:val="24"/>
          <w:szCs w:val="24"/>
        </w:rPr>
        <w:t xml:space="preserve"> </w:t>
      </w:r>
      <w:r w:rsidR="00181A90" w:rsidRPr="007F28C1">
        <w:rPr>
          <w:rFonts w:ascii="Times New Roman" w:hAnsi="Times New Roman" w:cs="Times New Roman"/>
          <w:sz w:val="24"/>
          <w:szCs w:val="24"/>
        </w:rPr>
        <w:t>P.g.g</w:t>
      </w:r>
      <w:r w:rsidRPr="007F28C1">
        <w:rPr>
          <w:rFonts w:ascii="Times New Roman" w:hAnsi="Times New Roman" w:cs="Times New Roman"/>
          <w:sz w:val="24"/>
          <w:szCs w:val="24"/>
        </w:rPr>
        <w:t>. Powyższe będzie służyło również realizacji racjonalnej gospodarki złożami kopalin, ochrony sąsiadujących złóż kopalin oraz zachowania bezpieczeństwa powszechnego, ludzi i</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środowiska. </w:t>
      </w:r>
    </w:p>
    <w:p w14:paraId="34CEC6E7" w14:textId="144C8860" w:rsidR="00325028" w:rsidRPr="007F28C1" w:rsidRDefault="0032502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 art. 39 ust. 2 </w:t>
      </w:r>
      <w:r w:rsidR="00181A90" w:rsidRPr="007F28C1">
        <w:rPr>
          <w:rFonts w:ascii="Times New Roman" w:hAnsi="Times New Roman" w:cs="Times New Roman"/>
          <w:sz w:val="24"/>
          <w:szCs w:val="24"/>
        </w:rPr>
        <w:t>P.g.g.</w:t>
      </w:r>
      <w:r w:rsidRPr="007F28C1">
        <w:rPr>
          <w:rFonts w:ascii="Times New Roman" w:hAnsi="Times New Roman" w:cs="Times New Roman"/>
          <w:sz w:val="24"/>
          <w:szCs w:val="24"/>
        </w:rPr>
        <w:t xml:space="preserve"> wynika, że w planie ruchu likwidowanego zakładu górniczego ustala się zakres i</w:t>
      </w:r>
      <w:r w:rsidR="00B56807" w:rsidRPr="007F28C1">
        <w:rPr>
          <w:rFonts w:ascii="Times New Roman" w:hAnsi="Times New Roman" w:cs="Times New Roman"/>
          <w:sz w:val="24"/>
          <w:szCs w:val="24"/>
        </w:rPr>
        <w:t> </w:t>
      </w:r>
      <w:r w:rsidRPr="007F28C1">
        <w:rPr>
          <w:rFonts w:ascii="Times New Roman" w:hAnsi="Times New Roman" w:cs="Times New Roman"/>
          <w:sz w:val="24"/>
          <w:szCs w:val="24"/>
        </w:rPr>
        <w:t>sposób wykonania obowiązków dotyczących ochrony środowiska i likwidacji zakładu górniczego. Jednakże jeżeli nie stosuje się przepisów o planach ruchu zakładu górniczego, zakres i</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sposób wykonania obowiązków określonych w powołanym przepisie ustala organ koncesyjny</w:t>
      </w:r>
      <w:r w:rsidR="002D4B53" w:rsidRPr="007F28C1">
        <w:rPr>
          <w:rFonts w:ascii="Times New Roman" w:hAnsi="Times New Roman" w:cs="Times New Roman"/>
          <w:sz w:val="24"/>
          <w:szCs w:val="24"/>
        </w:rPr>
        <w:t xml:space="preserve"> (w tym starosta)</w:t>
      </w:r>
      <w:r w:rsidRPr="007F28C1">
        <w:rPr>
          <w:rFonts w:ascii="Times New Roman" w:hAnsi="Times New Roman" w:cs="Times New Roman"/>
          <w:sz w:val="24"/>
          <w:szCs w:val="24"/>
        </w:rPr>
        <w:t xml:space="preserve"> w</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 xml:space="preserve">decyzji stwierdzającej wygaśnięcie koncesji, po uzgodnieniu z wójtem (burmistrzem, prezydentem miasta), który </w:t>
      </w:r>
      <w:r w:rsidR="00E0536C" w:rsidRPr="007F28C1">
        <w:rPr>
          <w:rFonts w:ascii="Times New Roman" w:hAnsi="Times New Roman" w:cs="Times New Roman"/>
          <w:sz w:val="24"/>
          <w:szCs w:val="24"/>
        </w:rPr>
        <w:t>może nie mieć odpowiedniej wiedzy i doświadczenia</w:t>
      </w:r>
      <w:r w:rsidR="00E0536C" w:rsidRPr="007F28C1" w:rsidDel="00E0536C">
        <w:rPr>
          <w:rFonts w:ascii="Times New Roman" w:hAnsi="Times New Roman" w:cs="Times New Roman"/>
          <w:sz w:val="24"/>
          <w:szCs w:val="24"/>
        </w:rPr>
        <w:t xml:space="preserve"> </w:t>
      </w:r>
      <w:r w:rsidRPr="007F28C1">
        <w:rPr>
          <w:rFonts w:ascii="Times New Roman" w:hAnsi="Times New Roman" w:cs="Times New Roman"/>
          <w:sz w:val="24"/>
          <w:szCs w:val="24"/>
        </w:rPr>
        <w:t>do oceny prawidłowości wymagań w zakresie likwidacji zakładu górniczego. Należy podkreślić, że likwidacja zakładu górniczego wiąże się z szeregiem obowiązków, w szczególności dotyczących zabezpieczenia lub zlikwidowania wyrobisk górniczych oraz urządzeń, instalacji i</w:t>
      </w:r>
      <w:r w:rsidR="00E0536C" w:rsidRPr="007F28C1">
        <w:rPr>
          <w:rFonts w:ascii="Times New Roman" w:hAnsi="Times New Roman" w:cs="Times New Roman"/>
          <w:sz w:val="24"/>
          <w:szCs w:val="24"/>
        </w:rPr>
        <w:t> </w:t>
      </w:r>
      <w:r w:rsidRPr="007F28C1">
        <w:rPr>
          <w:rFonts w:ascii="Times New Roman" w:hAnsi="Times New Roman" w:cs="Times New Roman"/>
          <w:sz w:val="24"/>
          <w:szCs w:val="24"/>
        </w:rPr>
        <w:t xml:space="preserve">obiektów zakładu górniczego, przedsięwzięcia niezbędnych środków chroniących sąsiednie złoża kopalin, przedsięwzięcia niezbędnych środków chroniących wyrobiska sąsiednich zakładów górniczych, </w:t>
      </w:r>
      <w:r w:rsidR="005A47DB" w:rsidRPr="007F28C1">
        <w:rPr>
          <w:rFonts w:ascii="Times New Roman" w:hAnsi="Times New Roman" w:cs="Times New Roman"/>
          <w:sz w:val="24"/>
          <w:szCs w:val="24"/>
        </w:rPr>
        <w:t xml:space="preserve">a także </w:t>
      </w:r>
      <w:r w:rsidRPr="007F28C1">
        <w:rPr>
          <w:rFonts w:ascii="Times New Roman" w:hAnsi="Times New Roman" w:cs="Times New Roman"/>
          <w:sz w:val="24"/>
          <w:szCs w:val="24"/>
        </w:rPr>
        <w:t>przedsięwzięcia niezbędnych środków w celu ochrony środowiska oraz rekultywacji gruntów po działalności górniczej.</w:t>
      </w:r>
    </w:p>
    <w:p w14:paraId="71D6DC3A" w14:textId="581C7105" w:rsidR="00B95FBA" w:rsidRPr="007F28C1" w:rsidRDefault="00B95FBA" w:rsidP="007F28C1">
      <w:pPr>
        <w:spacing w:before="120" w:after="0" w:line="360" w:lineRule="auto"/>
        <w:jc w:val="both"/>
        <w:rPr>
          <w:rFonts w:ascii="Times New Roman" w:hAnsi="Times New Roman" w:cs="Times New Roman"/>
          <w:bCs/>
          <w:sz w:val="24"/>
          <w:szCs w:val="24"/>
        </w:rPr>
      </w:pPr>
      <w:r w:rsidRPr="007F28C1">
        <w:rPr>
          <w:rFonts w:ascii="Times New Roman" w:hAnsi="Times New Roman" w:cs="Times New Roman"/>
          <w:sz w:val="24"/>
          <w:szCs w:val="24"/>
        </w:rPr>
        <w:t xml:space="preserve">Zmiana w art. 39 ust. </w:t>
      </w:r>
      <w:r w:rsidR="002A5E09" w:rsidRPr="007F28C1">
        <w:rPr>
          <w:rFonts w:ascii="Times New Roman" w:hAnsi="Times New Roman" w:cs="Times New Roman"/>
          <w:sz w:val="24"/>
          <w:szCs w:val="24"/>
        </w:rPr>
        <w:t xml:space="preserve">2 </w:t>
      </w:r>
      <w:r w:rsidRPr="007F28C1">
        <w:rPr>
          <w:rFonts w:ascii="Times New Roman" w:eastAsia="Times New Roman" w:hAnsi="Times New Roman" w:cs="Times New Roman"/>
          <w:sz w:val="24"/>
          <w:szCs w:val="24"/>
          <w:lang w:eastAsia="pl-PL"/>
        </w:rPr>
        <w:t>P</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005F563D"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t>
      </w:r>
      <w:r w:rsidRPr="007F28C1">
        <w:rPr>
          <w:rFonts w:ascii="Times New Roman" w:hAnsi="Times New Roman" w:cs="Times New Roman"/>
          <w:sz w:val="24"/>
          <w:szCs w:val="24"/>
        </w:rPr>
        <w:t>przez włączenie organów nadzoru górniczego w proces uzgadniania decyzji o wygaszeniu koncesji udzielanych przez starostę</w:t>
      </w:r>
      <w:r w:rsidR="00E0536C"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zapewni organom nadzoru górniczego wpływ na zakres i sposób wykonania </w:t>
      </w:r>
      <w:r w:rsidR="005A47DB" w:rsidRPr="007F28C1">
        <w:rPr>
          <w:rFonts w:ascii="Times New Roman" w:hAnsi="Times New Roman" w:cs="Times New Roman"/>
          <w:sz w:val="24"/>
          <w:szCs w:val="24"/>
        </w:rPr>
        <w:t xml:space="preserve">ww. </w:t>
      </w:r>
      <w:r w:rsidRPr="007F28C1">
        <w:rPr>
          <w:rFonts w:ascii="Times New Roman" w:hAnsi="Times New Roman" w:cs="Times New Roman"/>
          <w:sz w:val="24"/>
          <w:szCs w:val="24"/>
        </w:rPr>
        <w:t>obowiązków</w:t>
      </w:r>
      <w:r w:rsidR="005A47DB" w:rsidRPr="007F28C1">
        <w:rPr>
          <w:rFonts w:ascii="Times New Roman" w:hAnsi="Times New Roman" w:cs="Times New Roman"/>
          <w:sz w:val="24"/>
          <w:szCs w:val="24"/>
        </w:rPr>
        <w:t xml:space="preserve"> związanych z likwidacją zakładu górniczego.</w:t>
      </w:r>
    </w:p>
    <w:p w14:paraId="1C43053A" w14:textId="797A5E07" w:rsidR="007A5D2C" w:rsidRPr="007F28C1" w:rsidRDefault="007A5D2C"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Zgodnie z art. 86</w:t>
      </w:r>
      <w:r w:rsidR="005B7604"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P</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do robót geologicznych służących poszukiwaniu i rozpoznawaniu złóż kopalin oraz poszukiwaniu i rozpoznawaniu kompleksu podziemnego składowania dwutlenku </w:t>
      </w:r>
      <w:r w:rsidRPr="007F28C1">
        <w:rPr>
          <w:rFonts w:ascii="Times New Roman" w:eastAsia="Times New Roman" w:hAnsi="Times New Roman" w:cs="Times New Roman"/>
          <w:sz w:val="24"/>
          <w:szCs w:val="24"/>
          <w:lang w:eastAsia="pl-PL"/>
        </w:rPr>
        <w:lastRenderedPageBreak/>
        <w:t>węgla, a</w:t>
      </w:r>
      <w:r w:rsidR="00E0536C"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także robót geologicznych służących innym celom wykonywanych z użyciem środków strzałowych albo wykonywanych na głębokości większej niż 100 m</w:t>
      </w:r>
      <w:r w:rsidR="00AF35BD">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albo wykonywanych na obszarze górniczym utworzonym w celu wykonywania działalności metodą robót podziemnych albo metodą otworów wiertniczych stosuje się odpowiednio przepisy dotyczące zakładu górniczego i jego ruchu oraz</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ratownictwa górniczego. Do wykonywania tej działalności służy zakład, nie zakład górniczy. </w:t>
      </w:r>
      <w:r w:rsidR="0049242F" w:rsidRPr="007F28C1">
        <w:rPr>
          <w:rFonts w:ascii="Times New Roman" w:eastAsia="Times New Roman" w:hAnsi="Times New Roman" w:cs="Times New Roman"/>
          <w:sz w:val="24"/>
          <w:szCs w:val="24"/>
          <w:lang w:eastAsia="pl-PL"/>
        </w:rPr>
        <w:t>Zmiana w</w:t>
      </w:r>
      <w:bookmarkStart w:id="11" w:name="_Hlk68020844"/>
      <w:bookmarkEnd w:id="10"/>
      <w:r w:rsidRPr="007F28C1">
        <w:rPr>
          <w:rFonts w:ascii="Times New Roman" w:eastAsia="Times New Roman" w:hAnsi="Times New Roman" w:cs="Times New Roman"/>
          <w:sz w:val="24"/>
          <w:szCs w:val="24"/>
          <w:lang w:eastAsia="pl-PL"/>
        </w:rPr>
        <w:t> </w:t>
      </w:r>
      <w:r w:rsidR="00686670" w:rsidRPr="007F28C1">
        <w:rPr>
          <w:rFonts w:ascii="Times New Roman" w:eastAsia="Times New Roman" w:hAnsi="Times New Roman" w:cs="Times New Roman"/>
          <w:sz w:val="24"/>
          <w:szCs w:val="24"/>
          <w:lang w:eastAsia="pl-PL"/>
        </w:rPr>
        <w:t>art. 39 ust.</w:t>
      </w:r>
      <w:r w:rsidRPr="007F28C1">
        <w:rPr>
          <w:rFonts w:ascii="Times New Roman" w:eastAsia="Times New Roman" w:hAnsi="Times New Roman" w:cs="Times New Roman"/>
          <w:sz w:val="24"/>
          <w:szCs w:val="24"/>
          <w:lang w:eastAsia="pl-PL"/>
        </w:rPr>
        <w:t xml:space="preserve"> 1 i </w:t>
      </w:r>
      <w:r w:rsidR="00686670" w:rsidRPr="007F28C1">
        <w:rPr>
          <w:rFonts w:ascii="Times New Roman" w:eastAsia="Times New Roman" w:hAnsi="Times New Roman" w:cs="Times New Roman"/>
          <w:sz w:val="24"/>
          <w:szCs w:val="24"/>
          <w:lang w:eastAsia="pl-PL"/>
        </w:rPr>
        <w:t xml:space="preserve">2 </w:t>
      </w:r>
      <w:r w:rsidR="00E36415" w:rsidRPr="007F28C1">
        <w:rPr>
          <w:rFonts w:ascii="Times New Roman" w:eastAsia="Times New Roman" w:hAnsi="Times New Roman" w:cs="Times New Roman"/>
          <w:sz w:val="24"/>
          <w:szCs w:val="24"/>
          <w:lang w:eastAsia="pl-PL"/>
        </w:rPr>
        <w:t>P</w:t>
      </w:r>
      <w:r w:rsidR="00A90D15"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0049242F" w:rsidRPr="007F28C1">
        <w:rPr>
          <w:rFonts w:ascii="Times New Roman" w:eastAsia="Times New Roman" w:hAnsi="Times New Roman" w:cs="Times New Roman"/>
          <w:sz w:val="24"/>
          <w:szCs w:val="24"/>
          <w:lang w:eastAsia="pl-PL"/>
        </w:rPr>
        <w:t xml:space="preserve"> ma na celu usunięcie wątpliwości interpretacyjnych i doprecyzowanie, że obowiązk</w:t>
      </w:r>
      <w:r w:rsidR="00D80312" w:rsidRPr="007F28C1">
        <w:rPr>
          <w:rFonts w:ascii="Times New Roman" w:eastAsia="Times New Roman" w:hAnsi="Times New Roman" w:cs="Times New Roman"/>
          <w:sz w:val="24"/>
          <w:szCs w:val="24"/>
          <w:lang w:eastAsia="pl-PL"/>
        </w:rPr>
        <w:t>i</w:t>
      </w:r>
      <w:r w:rsidR="0049242F" w:rsidRPr="007F28C1">
        <w:rPr>
          <w:rFonts w:ascii="Times New Roman" w:eastAsia="Times New Roman" w:hAnsi="Times New Roman" w:cs="Times New Roman"/>
          <w:sz w:val="24"/>
          <w:szCs w:val="24"/>
          <w:lang w:eastAsia="pl-PL"/>
        </w:rPr>
        <w:t xml:space="preserve"> dotychczasowego przedsiębiorcy dotyczą zarówno likwidacji zakładu górniczego (ustalane w planie ruchu likwidowanego zakładu górniczego), jak i zakładu (ustalane w planie ruchu zakładu wykonującego roboty geologiczne</w:t>
      </w:r>
      <w:r w:rsidRPr="007F28C1">
        <w:rPr>
          <w:rFonts w:ascii="Times New Roman" w:eastAsia="Times New Roman" w:hAnsi="Times New Roman" w:cs="Times New Roman"/>
          <w:sz w:val="24"/>
          <w:szCs w:val="24"/>
          <w:lang w:eastAsia="pl-PL"/>
        </w:rPr>
        <w:t xml:space="preserve">). </w:t>
      </w:r>
    </w:p>
    <w:bookmarkEnd w:id="11"/>
    <w:p w14:paraId="3DFA8AEF" w14:textId="2BB54C65" w:rsidR="001F616F" w:rsidRPr="007F28C1" w:rsidRDefault="001F616F"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W aktualnym stanie prawnym, stosownie do art. 26 ust. 3 </w:t>
      </w:r>
      <w:r w:rsidR="00A90D15" w:rsidRPr="007F28C1">
        <w:rPr>
          <w:rFonts w:ascii="Times New Roman" w:hAnsi="Times New Roman" w:cs="Times New Roman"/>
          <w:sz w:val="24"/>
          <w:szCs w:val="24"/>
        </w:rPr>
        <w:t>P.g.g.</w:t>
      </w:r>
      <w:r w:rsidR="005F563D" w:rsidRPr="007F28C1">
        <w:rPr>
          <w:rFonts w:ascii="Times New Roman" w:hAnsi="Times New Roman" w:cs="Times New Roman"/>
          <w:sz w:val="24"/>
          <w:szCs w:val="24"/>
        </w:rPr>
        <w:t>,</w:t>
      </w:r>
      <w:r w:rsidRPr="007F28C1">
        <w:rPr>
          <w:rFonts w:ascii="Times New Roman" w:eastAsia="Times New Roman" w:hAnsi="Times New Roman" w:cs="Times New Roman"/>
          <w:sz w:val="24"/>
          <w:szCs w:val="24"/>
          <w:lang w:eastAsia="pl-PL"/>
        </w:rPr>
        <w:t xml:space="preserve"> do wniosku o udzielenie koncesji na</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wydobywanie kopalin ze złóż (z wyłączeniem koncesji udzielanych przez starostę) dołącza się projekt zagospodarowania złoża, określający wymagania w zakresie racjonalnej gospodarki złożem kopaliny, w szczególności przez kompleksowe i racjonalne wykorzystanie kopaliny głównej i kopalin towarzyszących, oraz technologii eksploatacji zapewniającej ograniczenie ujemnych wpływów na środowisko. </w:t>
      </w:r>
      <w:r w:rsidR="007D1BD6" w:rsidRPr="007F28C1">
        <w:rPr>
          <w:rFonts w:ascii="Times New Roman" w:eastAsia="Times New Roman" w:hAnsi="Times New Roman" w:cs="Times New Roman"/>
          <w:sz w:val="24"/>
          <w:szCs w:val="24"/>
          <w:lang w:eastAsia="pl-PL"/>
        </w:rPr>
        <w:t>Zgodnie z obecnym brzmieniem art. 26 ust. 3a P.g.g. p</w:t>
      </w:r>
      <w:r w:rsidRPr="007F28C1">
        <w:rPr>
          <w:rFonts w:ascii="Times New Roman" w:eastAsia="Times New Roman" w:hAnsi="Times New Roman" w:cs="Times New Roman"/>
          <w:sz w:val="24"/>
          <w:szCs w:val="24"/>
          <w:lang w:eastAsia="pl-PL"/>
        </w:rPr>
        <w:t>rojekt zagospodarowania złoża dotyczący złóż kopalin określonych w art. 10 ust. 1 P</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A90D15"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z wyłączeniem złóż węglowodorów, podlega zaopiniowaniu przez organ nadzoru górniczego</w:t>
      </w:r>
      <w:r w:rsidR="007D1BD6" w:rsidRPr="007F28C1">
        <w:rPr>
          <w:rFonts w:ascii="Times New Roman" w:eastAsia="Times New Roman" w:hAnsi="Times New Roman" w:cs="Times New Roman"/>
          <w:sz w:val="24"/>
          <w:szCs w:val="24"/>
          <w:lang w:eastAsia="pl-PL"/>
        </w:rPr>
        <w:t xml:space="preserve">. To na wnioskodawcy spoczywa obowiązek uzyskania opinii organu nadzoru górniczego i dołączenia </w:t>
      </w:r>
      <w:r w:rsidR="005F563D" w:rsidRPr="007F28C1">
        <w:rPr>
          <w:rFonts w:ascii="Times New Roman" w:eastAsia="Times New Roman" w:hAnsi="Times New Roman" w:cs="Times New Roman"/>
          <w:sz w:val="24"/>
          <w:szCs w:val="24"/>
          <w:lang w:eastAsia="pl-PL"/>
        </w:rPr>
        <w:t xml:space="preserve">jej </w:t>
      </w:r>
      <w:r w:rsidR="007D1BD6" w:rsidRPr="007F28C1">
        <w:rPr>
          <w:rFonts w:ascii="Times New Roman" w:eastAsia="Times New Roman" w:hAnsi="Times New Roman" w:cs="Times New Roman"/>
          <w:sz w:val="24"/>
          <w:szCs w:val="24"/>
          <w:lang w:eastAsia="pl-PL"/>
        </w:rPr>
        <w:t xml:space="preserve">do wniosku o udzielenie koncesji na wydobywanie kopalin ze złóż. Projektowana zmiana art. 23 P.g.g., polegająca na dodaniu </w:t>
      </w:r>
      <w:r w:rsidR="00EA2B02" w:rsidRPr="007F28C1">
        <w:rPr>
          <w:rFonts w:ascii="Times New Roman" w:eastAsia="Times New Roman" w:hAnsi="Times New Roman" w:cs="Times New Roman"/>
          <w:sz w:val="24"/>
          <w:szCs w:val="24"/>
          <w:lang w:eastAsia="pl-PL"/>
        </w:rPr>
        <w:t>w tym artykule ust</w:t>
      </w:r>
      <w:r w:rsidR="003D079C">
        <w:rPr>
          <w:rFonts w:ascii="Times New Roman" w:eastAsia="Times New Roman" w:hAnsi="Times New Roman" w:cs="Times New Roman"/>
          <w:sz w:val="24"/>
          <w:szCs w:val="24"/>
          <w:lang w:eastAsia="pl-PL"/>
        </w:rPr>
        <w:t>.</w:t>
      </w:r>
      <w:r w:rsidR="00EA2B02" w:rsidRPr="007F28C1">
        <w:rPr>
          <w:rFonts w:ascii="Times New Roman" w:eastAsia="Times New Roman" w:hAnsi="Times New Roman" w:cs="Times New Roman"/>
          <w:sz w:val="24"/>
          <w:szCs w:val="24"/>
          <w:lang w:eastAsia="pl-PL"/>
        </w:rPr>
        <w:t xml:space="preserve"> 2b, przenos</w:t>
      </w:r>
      <w:r w:rsidR="006871FB" w:rsidRPr="007F28C1">
        <w:rPr>
          <w:rFonts w:ascii="Times New Roman" w:eastAsia="Times New Roman" w:hAnsi="Times New Roman" w:cs="Times New Roman"/>
          <w:sz w:val="24"/>
          <w:szCs w:val="24"/>
          <w:lang w:eastAsia="pl-PL"/>
        </w:rPr>
        <w:t>i</w:t>
      </w:r>
      <w:r w:rsidR="00EA2B02" w:rsidRPr="007F28C1">
        <w:rPr>
          <w:rFonts w:ascii="Times New Roman" w:eastAsia="Times New Roman" w:hAnsi="Times New Roman" w:cs="Times New Roman"/>
          <w:sz w:val="24"/>
          <w:szCs w:val="24"/>
          <w:lang w:eastAsia="pl-PL"/>
        </w:rPr>
        <w:t xml:space="preserve"> na organ koncesyjny ciężar uzyskania opinii organu nadzoru górniczego w zakresie dotyczącym projektu zagospod</w:t>
      </w:r>
      <w:r w:rsidR="006A4C1B" w:rsidRPr="007F28C1">
        <w:rPr>
          <w:rFonts w:ascii="Times New Roman" w:eastAsia="Times New Roman" w:hAnsi="Times New Roman" w:cs="Times New Roman"/>
          <w:sz w:val="24"/>
          <w:szCs w:val="24"/>
          <w:lang w:eastAsia="pl-PL"/>
        </w:rPr>
        <w:t>a</w:t>
      </w:r>
      <w:r w:rsidR="00EA2B02" w:rsidRPr="007F28C1">
        <w:rPr>
          <w:rFonts w:ascii="Times New Roman" w:eastAsia="Times New Roman" w:hAnsi="Times New Roman" w:cs="Times New Roman"/>
          <w:sz w:val="24"/>
          <w:szCs w:val="24"/>
          <w:lang w:eastAsia="pl-PL"/>
        </w:rPr>
        <w:t>rowania złoża</w:t>
      </w:r>
      <w:r w:rsidR="006A4C1B" w:rsidRPr="007F28C1">
        <w:rPr>
          <w:rFonts w:ascii="Times New Roman" w:eastAsia="Times New Roman" w:hAnsi="Times New Roman" w:cs="Times New Roman"/>
          <w:sz w:val="24"/>
          <w:szCs w:val="24"/>
          <w:lang w:eastAsia="pl-PL"/>
        </w:rPr>
        <w:t xml:space="preserve">. Jednocześnie, ponieważ projektowany </w:t>
      </w:r>
      <w:r w:rsidR="008C1CD2" w:rsidRPr="007F28C1">
        <w:rPr>
          <w:rFonts w:ascii="Times New Roman" w:eastAsia="Times New Roman" w:hAnsi="Times New Roman" w:cs="Times New Roman"/>
          <w:sz w:val="24"/>
          <w:szCs w:val="24"/>
          <w:lang w:eastAsia="pl-PL"/>
        </w:rPr>
        <w:t>art. 23 ust. 2b P.g.g.</w:t>
      </w:r>
      <w:r w:rsidR="006A4C1B" w:rsidRPr="007F28C1">
        <w:rPr>
          <w:rFonts w:ascii="Times New Roman" w:eastAsia="Times New Roman" w:hAnsi="Times New Roman" w:cs="Times New Roman"/>
          <w:sz w:val="24"/>
          <w:szCs w:val="24"/>
          <w:lang w:eastAsia="pl-PL"/>
        </w:rPr>
        <w:t xml:space="preserve"> </w:t>
      </w:r>
      <w:r w:rsidR="006871FB" w:rsidRPr="007F28C1">
        <w:rPr>
          <w:rFonts w:ascii="Times New Roman" w:eastAsia="Times New Roman" w:hAnsi="Times New Roman" w:cs="Times New Roman"/>
          <w:sz w:val="24"/>
          <w:szCs w:val="24"/>
          <w:lang w:eastAsia="pl-PL"/>
        </w:rPr>
        <w:t xml:space="preserve">(w przeciwieństwie do uchylanego w projekcie art. 26 ust. 3a P.g.g.) </w:t>
      </w:r>
      <w:r w:rsidR="006A4C1B" w:rsidRPr="007F28C1">
        <w:rPr>
          <w:rFonts w:ascii="Times New Roman" w:eastAsia="Times New Roman" w:hAnsi="Times New Roman" w:cs="Times New Roman"/>
          <w:sz w:val="24"/>
          <w:szCs w:val="24"/>
          <w:lang w:eastAsia="pl-PL"/>
        </w:rPr>
        <w:t xml:space="preserve">nie jest ograniczony wyłącznie do kopalin, o których mowa w art. 10 ust. 1 P.g.g. (z wyłączeniem złóż węglowodorów), </w:t>
      </w:r>
      <w:r w:rsidR="006871FB" w:rsidRPr="007F28C1">
        <w:rPr>
          <w:rFonts w:ascii="Times New Roman" w:eastAsia="Times New Roman" w:hAnsi="Times New Roman" w:cs="Times New Roman"/>
          <w:sz w:val="24"/>
          <w:szCs w:val="24"/>
          <w:lang w:eastAsia="pl-PL"/>
        </w:rPr>
        <w:t xml:space="preserve">regulacja ta </w:t>
      </w:r>
      <w:r w:rsidR="006A4C1B" w:rsidRPr="007F28C1">
        <w:rPr>
          <w:rFonts w:ascii="Times New Roman" w:eastAsia="Times New Roman" w:hAnsi="Times New Roman" w:cs="Times New Roman"/>
          <w:sz w:val="24"/>
          <w:szCs w:val="24"/>
          <w:lang w:eastAsia="pl-PL"/>
        </w:rPr>
        <w:t xml:space="preserve">daje </w:t>
      </w:r>
      <w:r w:rsidRPr="007F28C1">
        <w:rPr>
          <w:rFonts w:ascii="Times New Roman" w:eastAsia="Times New Roman" w:hAnsi="Times New Roman" w:cs="Times New Roman"/>
          <w:sz w:val="24"/>
          <w:szCs w:val="24"/>
          <w:lang w:eastAsia="pl-PL"/>
        </w:rPr>
        <w:t xml:space="preserve">organom nadzoru górniczego </w:t>
      </w:r>
      <w:r w:rsidR="006A4C1B" w:rsidRPr="007F28C1">
        <w:rPr>
          <w:rFonts w:ascii="Times New Roman" w:eastAsia="Times New Roman" w:hAnsi="Times New Roman" w:cs="Times New Roman"/>
          <w:sz w:val="24"/>
          <w:szCs w:val="24"/>
          <w:lang w:eastAsia="pl-PL"/>
        </w:rPr>
        <w:t xml:space="preserve">kompetencję również w zakresie </w:t>
      </w:r>
      <w:r w:rsidRPr="007F28C1">
        <w:rPr>
          <w:rFonts w:ascii="Times New Roman" w:eastAsia="Times New Roman" w:hAnsi="Times New Roman" w:cs="Times New Roman"/>
          <w:sz w:val="24"/>
          <w:szCs w:val="24"/>
          <w:lang w:eastAsia="pl-PL"/>
        </w:rPr>
        <w:t xml:space="preserve">opiniowania projektów zagospodarowania złoża dotyczących </w:t>
      </w:r>
      <w:r w:rsidR="0014364E" w:rsidRPr="007F28C1">
        <w:rPr>
          <w:rFonts w:ascii="Times New Roman" w:eastAsia="Times New Roman" w:hAnsi="Times New Roman" w:cs="Times New Roman"/>
          <w:sz w:val="24"/>
          <w:szCs w:val="24"/>
          <w:lang w:eastAsia="pl-PL"/>
        </w:rPr>
        <w:t xml:space="preserve">złóż, o których mowa w art. 10 ust. 2 P.g.g., to jest </w:t>
      </w:r>
      <w:r w:rsidR="006871FB" w:rsidRPr="007F28C1">
        <w:rPr>
          <w:rFonts w:ascii="Times New Roman" w:eastAsia="Times New Roman" w:hAnsi="Times New Roman" w:cs="Times New Roman"/>
          <w:sz w:val="24"/>
          <w:szCs w:val="24"/>
          <w:lang w:eastAsia="pl-PL"/>
        </w:rPr>
        <w:t>z</w:t>
      </w:r>
      <w:r w:rsidRPr="007F28C1">
        <w:rPr>
          <w:rFonts w:ascii="Times New Roman" w:eastAsia="Times New Roman" w:hAnsi="Times New Roman" w:cs="Times New Roman"/>
          <w:sz w:val="24"/>
          <w:szCs w:val="24"/>
          <w:lang w:eastAsia="pl-PL"/>
        </w:rPr>
        <w:t>łóż wód leczniczych, wód termalnych i solanek.</w:t>
      </w:r>
    </w:p>
    <w:p w14:paraId="4CE534D0" w14:textId="17812986" w:rsidR="004307ED" w:rsidRPr="007F28C1" w:rsidRDefault="004307ED" w:rsidP="007F28C1">
      <w:pPr>
        <w:keepNext/>
        <w:numPr>
          <w:ilvl w:val="0"/>
          <w:numId w:val="8"/>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Kwalifikacje górnicze</w:t>
      </w:r>
    </w:p>
    <w:p w14:paraId="4284D783" w14:textId="449992F7" w:rsidR="000D2020" w:rsidRPr="007F28C1" w:rsidRDefault="000D2020" w:rsidP="007F28C1">
      <w:pPr>
        <w:keepNext/>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Projektowane </w:t>
      </w:r>
      <w:r w:rsidR="00A90D15" w:rsidRPr="007F28C1">
        <w:rPr>
          <w:rFonts w:ascii="Times New Roman" w:hAnsi="Times New Roman" w:cs="Times New Roman"/>
          <w:sz w:val="24"/>
          <w:szCs w:val="24"/>
        </w:rPr>
        <w:t xml:space="preserve">zmiany </w:t>
      </w:r>
      <w:r w:rsidR="00596F9A" w:rsidRPr="007F28C1">
        <w:rPr>
          <w:rFonts w:ascii="Times New Roman" w:eastAsia="Times New Roman" w:hAnsi="Times New Roman" w:cs="Times New Roman"/>
          <w:sz w:val="24"/>
          <w:szCs w:val="24"/>
          <w:lang w:eastAsia="pl-PL"/>
        </w:rPr>
        <w:t xml:space="preserve">art. 53, art. 54, </w:t>
      </w:r>
      <w:r w:rsidR="00803E44" w:rsidRPr="007F28C1">
        <w:rPr>
          <w:rFonts w:ascii="Times New Roman" w:eastAsia="Times New Roman" w:hAnsi="Times New Roman" w:cs="Times New Roman"/>
          <w:sz w:val="24"/>
          <w:szCs w:val="24"/>
          <w:lang w:eastAsia="pl-PL"/>
        </w:rPr>
        <w:t xml:space="preserve">art. 55, </w:t>
      </w:r>
      <w:r w:rsidR="00596F9A" w:rsidRPr="007F28C1">
        <w:rPr>
          <w:rFonts w:ascii="Times New Roman" w:eastAsia="Times New Roman" w:hAnsi="Times New Roman" w:cs="Times New Roman"/>
          <w:sz w:val="24"/>
          <w:szCs w:val="24"/>
          <w:lang w:eastAsia="pl-PL"/>
        </w:rPr>
        <w:t>art. 57, art. 58, art. 60,</w:t>
      </w:r>
      <w:r w:rsidR="00803E44" w:rsidRPr="007F28C1">
        <w:rPr>
          <w:rFonts w:ascii="Times New Roman" w:eastAsia="Times New Roman" w:hAnsi="Times New Roman" w:cs="Times New Roman"/>
          <w:sz w:val="24"/>
          <w:szCs w:val="24"/>
          <w:lang w:eastAsia="pl-PL"/>
        </w:rPr>
        <w:t xml:space="preserve"> art. 61</w:t>
      </w:r>
      <w:r w:rsidR="002D4B53" w:rsidRPr="007F28C1">
        <w:rPr>
          <w:rFonts w:ascii="Times New Roman" w:eastAsia="Times New Roman" w:hAnsi="Times New Roman" w:cs="Times New Roman"/>
          <w:sz w:val="24"/>
          <w:szCs w:val="24"/>
          <w:lang w:eastAsia="pl-PL"/>
        </w:rPr>
        <w:t xml:space="preserve"> oraz</w:t>
      </w:r>
      <w:r w:rsidR="00596F9A" w:rsidRPr="007F28C1">
        <w:rPr>
          <w:rFonts w:ascii="Times New Roman" w:eastAsia="Times New Roman" w:hAnsi="Times New Roman" w:cs="Times New Roman"/>
          <w:sz w:val="24"/>
          <w:szCs w:val="24"/>
          <w:lang w:eastAsia="pl-PL"/>
        </w:rPr>
        <w:t xml:space="preserve"> art. 69a </w:t>
      </w:r>
      <w:r w:rsidR="00A90D15" w:rsidRPr="007F28C1">
        <w:rPr>
          <w:rFonts w:ascii="Times New Roman" w:hAnsi="Times New Roman" w:cs="Times New Roman"/>
          <w:sz w:val="24"/>
          <w:szCs w:val="24"/>
        </w:rPr>
        <w:t>P.g.g.</w:t>
      </w:r>
      <w:r w:rsidR="00596F9A" w:rsidRPr="007F28C1">
        <w:rPr>
          <w:rFonts w:ascii="Times New Roman" w:eastAsia="Times New Roman" w:hAnsi="Times New Roman" w:cs="Times New Roman"/>
          <w:bCs/>
          <w:sz w:val="24"/>
          <w:szCs w:val="24"/>
          <w:lang w:eastAsia="pl-PL"/>
        </w:rPr>
        <w:t xml:space="preserve"> </w:t>
      </w:r>
      <w:r w:rsidRPr="007F28C1">
        <w:rPr>
          <w:rFonts w:ascii="Times New Roman" w:hAnsi="Times New Roman" w:cs="Times New Roman"/>
          <w:sz w:val="24"/>
          <w:szCs w:val="24"/>
        </w:rPr>
        <w:t>przewidują zmiany w systemie kwalifikacji górniczych, obejmujących kwalifikacje do</w:t>
      </w:r>
      <w:r w:rsidR="00531BA9" w:rsidRPr="007F28C1">
        <w:rPr>
          <w:rFonts w:ascii="Times New Roman" w:hAnsi="Times New Roman" w:cs="Times New Roman"/>
          <w:sz w:val="24"/>
          <w:szCs w:val="24"/>
        </w:rPr>
        <w:t> </w:t>
      </w:r>
      <w:r w:rsidRPr="007F28C1">
        <w:rPr>
          <w:rFonts w:ascii="Times New Roman" w:hAnsi="Times New Roman" w:cs="Times New Roman"/>
          <w:sz w:val="24"/>
          <w:szCs w:val="24"/>
        </w:rPr>
        <w:t>wykonywania czynności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kierownictwie (tj. w kierownictwie ruchu lub w kierownictwie </w:t>
      </w:r>
      <w:r w:rsidRPr="007F28C1">
        <w:rPr>
          <w:rFonts w:ascii="Times New Roman" w:hAnsi="Times New Roman" w:cs="Times New Roman"/>
          <w:sz w:val="24"/>
          <w:szCs w:val="24"/>
        </w:rPr>
        <w:lastRenderedPageBreak/>
        <w:t>działu ruchu) lub w dozorze (tj.</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dozorze lub w wyższym dozorze) ruchu zakładu górniczego lub zakładu. Zmiany te opierają się na następujących założeniach:</w:t>
      </w:r>
    </w:p>
    <w:p w14:paraId="7D4CA137" w14:textId="03FA2867" w:rsidR="000D2020" w:rsidRPr="007F28C1" w:rsidRDefault="000D2020" w:rsidP="007F28C1">
      <w:pPr>
        <w:pStyle w:val="Akapitzlist"/>
        <w:numPr>
          <w:ilvl w:val="0"/>
          <w:numId w:val="1"/>
        </w:numPr>
        <w:spacing w:before="120" w:after="0" w:line="360" w:lineRule="auto"/>
        <w:ind w:left="397"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osoby wykonujące czynności w kierownictwie lub dozorze ruchu zakładu górniczego albo zakładu są obowiązane</w:t>
      </w:r>
      <w:r w:rsidR="005F563D" w:rsidRPr="007F28C1">
        <w:rPr>
          <w:rFonts w:ascii="Times New Roman" w:hAnsi="Times New Roman" w:cs="Times New Roman"/>
          <w:sz w:val="24"/>
          <w:szCs w:val="24"/>
        </w:rPr>
        <w:t xml:space="preserve"> do</w:t>
      </w:r>
      <w:r w:rsidRPr="007F28C1">
        <w:rPr>
          <w:rFonts w:ascii="Times New Roman" w:hAnsi="Times New Roman" w:cs="Times New Roman"/>
          <w:sz w:val="24"/>
          <w:szCs w:val="24"/>
        </w:rPr>
        <w:t xml:space="preserve"> posiada</w:t>
      </w:r>
      <w:r w:rsidR="005F563D" w:rsidRPr="007F28C1">
        <w:rPr>
          <w:rFonts w:ascii="Times New Roman" w:hAnsi="Times New Roman" w:cs="Times New Roman"/>
          <w:sz w:val="24"/>
          <w:szCs w:val="24"/>
        </w:rPr>
        <w:t>nia</w:t>
      </w:r>
      <w:r w:rsidRPr="007F28C1">
        <w:rPr>
          <w:rFonts w:ascii="Times New Roman" w:hAnsi="Times New Roman" w:cs="Times New Roman"/>
          <w:sz w:val="24"/>
          <w:szCs w:val="24"/>
        </w:rPr>
        <w:t xml:space="preserve"> kwalifikacj</w:t>
      </w:r>
      <w:r w:rsidR="005F563D" w:rsidRPr="007F28C1">
        <w:rPr>
          <w:rFonts w:ascii="Times New Roman" w:hAnsi="Times New Roman" w:cs="Times New Roman"/>
          <w:sz w:val="24"/>
          <w:szCs w:val="24"/>
        </w:rPr>
        <w:t>i</w:t>
      </w:r>
      <w:r w:rsidRPr="007F28C1">
        <w:rPr>
          <w:rFonts w:ascii="Times New Roman" w:hAnsi="Times New Roman" w:cs="Times New Roman"/>
          <w:sz w:val="24"/>
          <w:szCs w:val="24"/>
        </w:rPr>
        <w:t xml:space="preserve"> określon</w:t>
      </w:r>
      <w:r w:rsidR="005F563D" w:rsidRPr="007F28C1">
        <w:rPr>
          <w:rFonts w:ascii="Times New Roman" w:hAnsi="Times New Roman" w:cs="Times New Roman"/>
          <w:sz w:val="24"/>
          <w:szCs w:val="24"/>
        </w:rPr>
        <w:t>ych</w:t>
      </w:r>
      <w:r w:rsidRPr="007F28C1">
        <w:rPr>
          <w:rFonts w:ascii="Times New Roman" w:hAnsi="Times New Roman" w:cs="Times New Roman"/>
          <w:sz w:val="24"/>
          <w:szCs w:val="24"/>
        </w:rPr>
        <w:t xml:space="preserve"> </w:t>
      </w:r>
      <w:r w:rsidR="007A5D2C" w:rsidRPr="007F28C1">
        <w:rPr>
          <w:rFonts w:ascii="Times New Roman" w:hAnsi="Times New Roman" w:cs="Times New Roman"/>
          <w:sz w:val="24"/>
          <w:szCs w:val="24"/>
        </w:rPr>
        <w:t xml:space="preserve">w </w:t>
      </w:r>
      <w:r w:rsidR="00E36415" w:rsidRPr="007F28C1">
        <w:rPr>
          <w:rFonts w:ascii="Times New Roman" w:hAnsi="Times New Roman" w:cs="Times New Roman"/>
          <w:sz w:val="24"/>
          <w:szCs w:val="24"/>
        </w:rPr>
        <w:t>P</w:t>
      </w:r>
      <w:r w:rsidR="00A90D15"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A90D15"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A90D15" w:rsidRPr="007F28C1">
        <w:rPr>
          <w:rFonts w:ascii="Times New Roman" w:hAnsi="Times New Roman" w:cs="Times New Roman"/>
          <w:sz w:val="24"/>
          <w:szCs w:val="24"/>
        </w:rPr>
        <w:t>.</w:t>
      </w:r>
      <w:r w:rsidR="005F563D" w:rsidRPr="007F28C1">
        <w:rPr>
          <w:rFonts w:ascii="Times New Roman" w:hAnsi="Times New Roman" w:cs="Times New Roman"/>
          <w:sz w:val="24"/>
          <w:szCs w:val="24"/>
        </w:rPr>
        <w:t>;</w:t>
      </w:r>
    </w:p>
    <w:p w14:paraId="7FD1B902" w14:textId="2EECB0D0" w:rsidR="000D2020" w:rsidRPr="007F28C1" w:rsidRDefault="000D2020" w:rsidP="007F28C1">
      <w:pPr>
        <w:pStyle w:val="Akapitzlist"/>
        <w:numPr>
          <w:ilvl w:val="0"/>
          <w:numId w:val="1"/>
        </w:numPr>
        <w:spacing w:before="120" w:after="0" w:line="360" w:lineRule="auto"/>
        <w:ind w:left="397"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wykonywanie ww. czynności wymaga stwierdzenia posiadania kwalifikacji do wykonywania tych czynności w drodze świadectwa wydanego przez organ nadzoru górniczego</w:t>
      </w:r>
      <w:r w:rsidR="005F563D" w:rsidRPr="007F28C1">
        <w:rPr>
          <w:rFonts w:ascii="Times New Roman" w:hAnsi="Times New Roman" w:cs="Times New Roman"/>
          <w:sz w:val="24"/>
          <w:szCs w:val="24"/>
        </w:rPr>
        <w:t>;</w:t>
      </w:r>
    </w:p>
    <w:p w14:paraId="2BB36FA6" w14:textId="4947FAA5" w:rsidR="000D2020" w:rsidRPr="007F28C1" w:rsidRDefault="000D2020" w:rsidP="007F28C1">
      <w:pPr>
        <w:pStyle w:val="Akapitzlist"/>
        <w:numPr>
          <w:ilvl w:val="0"/>
          <w:numId w:val="1"/>
        </w:numPr>
        <w:spacing w:before="120" w:after="0" w:line="360" w:lineRule="auto"/>
        <w:ind w:left="397"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nazwy działów ruchu i specjalności w dozorze ruchu zakładu górniczego lub zakładu są</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 xml:space="preserve">określone enumeratywnie w </w:t>
      </w:r>
      <w:r w:rsidR="00E36415" w:rsidRPr="007F28C1">
        <w:rPr>
          <w:rFonts w:ascii="Times New Roman" w:hAnsi="Times New Roman" w:cs="Times New Roman"/>
          <w:sz w:val="24"/>
          <w:szCs w:val="24"/>
        </w:rPr>
        <w:t>P</w:t>
      </w:r>
      <w:r w:rsidR="00A90D15"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A90D15"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A90D15" w:rsidRPr="007F28C1">
        <w:rPr>
          <w:rFonts w:ascii="Times New Roman" w:hAnsi="Times New Roman" w:cs="Times New Roman"/>
          <w:sz w:val="24"/>
          <w:szCs w:val="24"/>
        </w:rPr>
        <w:t>.</w:t>
      </w:r>
      <w:r w:rsidRPr="007F28C1">
        <w:rPr>
          <w:rFonts w:ascii="Times New Roman" w:hAnsi="Times New Roman" w:cs="Times New Roman"/>
          <w:sz w:val="24"/>
          <w:szCs w:val="24"/>
        </w:rPr>
        <w:t xml:space="preserve"> i </w:t>
      </w:r>
      <w:r w:rsidR="005F563D" w:rsidRPr="007F28C1">
        <w:rPr>
          <w:rFonts w:ascii="Times New Roman" w:hAnsi="Times New Roman" w:cs="Times New Roman"/>
          <w:sz w:val="24"/>
          <w:szCs w:val="24"/>
        </w:rPr>
        <w:t xml:space="preserve">w </w:t>
      </w:r>
      <w:r w:rsidRPr="007F28C1">
        <w:rPr>
          <w:rFonts w:ascii="Times New Roman" w:hAnsi="Times New Roman" w:cs="Times New Roman"/>
          <w:sz w:val="24"/>
          <w:szCs w:val="24"/>
        </w:rPr>
        <w:t>rozporządzeni</w:t>
      </w:r>
      <w:r w:rsidR="008E2B89" w:rsidRPr="007F28C1">
        <w:rPr>
          <w:rFonts w:ascii="Times New Roman" w:hAnsi="Times New Roman" w:cs="Times New Roman"/>
          <w:sz w:val="24"/>
          <w:szCs w:val="24"/>
        </w:rPr>
        <w:t>u</w:t>
      </w:r>
      <w:r w:rsidRPr="007F28C1">
        <w:rPr>
          <w:rFonts w:ascii="Times New Roman" w:hAnsi="Times New Roman" w:cs="Times New Roman"/>
          <w:sz w:val="24"/>
          <w:szCs w:val="24"/>
        </w:rPr>
        <w:t xml:space="preserve"> w sprawie kwalifikacji w</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zakresie górnictwa i ratownictwa górniczego</w:t>
      </w:r>
      <w:r w:rsidR="005F563D" w:rsidRPr="007F28C1">
        <w:rPr>
          <w:rFonts w:ascii="Times New Roman" w:hAnsi="Times New Roman" w:cs="Times New Roman"/>
          <w:sz w:val="24"/>
          <w:szCs w:val="24"/>
        </w:rPr>
        <w:t>;</w:t>
      </w:r>
    </w:p>
    <w:p w14:paraId="1DCEF8C4" w14:textId="654083B3" w:rsidR="000D2020" w:rsidRPr="007F28C1" w:rsidRDefault="000D2020" w:rsidP="007F28C1">
      <w:pPr>
        <w:pStyle w:val="Akapitzlist"/>
        <w:numPr>
          <w:ilvl w:val="0"/>
          <w:numId w:val="1"/>
        </w:numPr>
        <w:spacing w:before="120" w:after="0" w:line="360" w:lineRule="auto"/>
        <w:ind w:left="397" w:hanging="397"/>
        <w:contextualSpacing w:val="0"/>
        <w:jc w:val="both"/>
        <w:rPr>
          <w:rFonts w:ascii="Times New Roman" w:hAnsi="Times New Roman" w:cs="Times New Roman"/>
          <w:sz w:val="24"/>
          <w:szCs w:val="24"/>
        </w:rPr>
      </w:pPr>
      <w:r w:rsidRPr="007F28C1">
        <w:rPr>
          <w:rFonts w:ascii="Times New Roman" w:hAnsi="Times New Roman" w:cs="Times New Roman"/>
          <w:sz w:val="24"/>
          <w:szCs w:val="24"/>
        </w:rPr>
        <w:t>organ nadzoru górniczego może uznać za właściwą praktykę wykonywaną w dziale ruchu lub</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specjalności technicznej w zakładzie górniczym wydobywającym kopaliny daną metodą </w:t>
      </w:r>
      <w:r w:rsidR="00DA0B51">
        <w:rPr>
          <w:rFonts w:ascii="Times New Roman" w:hAnsi="Times New Roman" w:cs="Times New Roman"/>
          <w:sz w:val="24"/>
          <w:szCs w:val="24"/>
        </w:rPr>
        <w:t>na</w:t>
      </w:r>
      <w:r w:rsidR="00DA0B51" w:rsidRPr="007F28C1">
        <w:rPr>
          <w:rFonts w:ascii="Times New Roman" w:hAnsi="Times New Roman" w:cs="Times New Roman"/>
          <w:sz w:val="24"/>
          <w:szCs w:val="24"/>
        </w:rPr>
        <w:t xml:space="preserve"> </w:t>
      </w:r>
      <w:r w:rsidRPr="007F28C1">
        <w:rPr>
          <w:rFonts w:ascii="Times New Roman" w:hAnsi="Times New Roman" w:cs="Times New Roman"/>
          <w:sz w:val="24"/>
          <w:szCs w:val="24"/>
        </w:rPr>
        <w:t>potrzeb</w:t>
      </w:r>
      <w:r w:rsidR="00DA0B51">
        <w:rPr>
          <w:rFonts w:ascii="Times New Roman" w:hAnsi="Times New Roman" w:cs="Times New Roman"/>
          <w:sz w:val="24"/>
          <w:szCs w:val="24"/>
        </w:rPr>
        <w:t>y</w:t>
      </w:r>
      <w:r w:rsidRPr="007F28C1">
        <w:rPr>
          <w:rFonts w:ascii="Times New Roman" w:hAnsi="Times New Roman" w:cs="Times New Roman"/>
          <w:sz w:val="24"/>
          <w:szCs w:val="24"/>
        </w:rPr>
        <w:t xml:space="preserve"> stwierdzenia kwalifikacji do wykonywania czynności w zakładzie górniczym wydobywającym kopaliny inną metodą</w:t>
      </w:r>
      <w:r w:rsidR="007A5D2C" w:rsidRPr="007F28C1">
        <w:rPr>
          <w:rFonts w:ascii="Times New Roman" w:hAnsi="Times New Roman" w:cs="Times New Roman"/>
          <w:sz w:val="24"/>
          <w:szCs w:val="24"/>
        </w:rPr>
        <w:t>.</w:t>
      </w:r>
    </w:p>
    <w:p w14:paraId="5B1BD04C" w14:textId="057019FE"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 aktualnym stanie prawnym osoby wykonujące czynności</w:t>
      </w:r>
      <w:r w:rsidR="00656E74"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kierownika i zastępcy kierownika ruchu oraz kierownika i zastępcy kierownika działu ruchu </w:t>
      </w:r>
      <w:r w:rsidR="001D3DA3" w:rsidRPr="007F28C1">
        <w:rPr>
          <w:rFonts w:ascii="Times New Roman" w:hAnsi="Times New Roman" w:cs="Times New Roman"/>
          <w:sz w:val="24"/>
          <w:szCs w:val="24"/>
        </w:rPr>
        <w:t xml:space="preserve">oraz </w:t>
      </w:r>
      <w:r w:rsidRPr="007F28C1">
        <w:rPr>
          <w:rFonts w:ascii="Times New Roman" w:hAnsi="Times New Roman" w:cs="Times New Roman"/>
          <w:sz w:val="24"/>
          <w:szCs w:val="24"/>
        </w:rPr>
        <w:t xml:space="preserve">w wyższym dozorze ruchu </w:t>
      </w:r>
      <w:r w:rsidR="008B7575" w:rsidRPr="007F28C1">
        <w:rPr>
          <w:rFonts w:ascii="Times New Roman" w:hAnsi="Times New Roman" w:cs="Times New Roman"/>
          <w:sz w:val="24"/>
          <w:szCs w:val="24"/>
        </w:rPr>
        <w:t>s</w:t>
      </w:r>
      <w:r w:rsidRPr="007F28C1">
        <w:rPr>
          <w:rFonts w:ascii="Times New Roman" w:hAnsi="Times New Roman" w:cs="Times New Roman"/>
          <w:sz w:val="24"/>
          <w:szCs w:val="24"/>
        </w:rPr>
        <w:t xml:space="preserve">ą obowiązane </w:t>
      </w:r>
      <w:r w:rsidR="005F563D" w:rsidRPr="007F28C1">
        <w:rPr>
          <w:rFonts w:ascii="Times New Roman" w:hAnsi="Times New Roman" w:cs="Times New Roman"/>
          <w:sz w:val="24"/>
          <w:szCs w:val="24"/>
        </w:rPr>
        <w:t xml:space="preserve">do </w:t>
      </w:r>
      <w:r w:rsidRPr="007F28C1">
        <w:rPr>
          <w:rFonts w:ascii="Times New Roman" w:hAnsi="Times New Roman" w:cs="Times New Roman"/>
          <w:sz w:val="24"/>
          <w:szCs w:val="24"/>
        </w:rPr>
        <w:t>posiada</w:t>
      </w:r>
      <w:r w:rsidR="005F563D" w:rsidRPr="007F28C1">
        <w:rPr>
          <w:rFonts w:ascii="Times New Roman" w:hAnsi="Times New Roman" w:cs="Times New Roman"/>
          <w:sz w:val="24"/>
          <w:szCs w:val="24"/>
        </w:rPr>
        <w:t>nia</w:t>
      </w:r>
      <w:r w:rsidRPr="007F28C1">
        <w:rPr>
          <w:rFonts w:ascii="Times New Roman" w:hAnsi="Times New Roman" w:cs="Times New Roman"/>
          <w:sz w:val="24"/>
          <w:szCs w:val="24"/>
        </w:rPr>
        <w:t xml:space="preserve"> kwalifikacj</w:t>
      </w:r>
      <w:r w:rsidR="005F563D" w:rsidRPr="007F28C1">
        <w:rPr>
          <w:rFonts w:ascii="Times New Roman" w:hAnsi="Times New Roman" w:cs="Times New Roman"/>
          <w:sz w:val="24"/>
          <w:szCs w:val="24"/>
        </w:rPr>
        <w:t>i</w:t>
      </w:r>
      <w:r w:rsidRPr="007F28C1">
        <w:rPr>
          <w:rFonts w:ascii="Times New Roman" w:hAnsi="Times New Roman" w:cs="Times New Roman"/>
          <w:sz w:val="24"/>
          <w:szCs w:val="24"/>
        </w:rPr>
        <w:t xml:space="preserve"> określon</w:t>
      </w:r>
      <w:r w:rsidR="005F563D" w:rsidRPr="007F28C1">
        <w:rPr>
          <w:rFonts w:ascii="Times New Roman" w:hAnsi="Times New Roman" w:cs="Times New Roman"/>
          <w:sz w:val="24"/>
          <w:szCs w:val="24"/>
        </w:rPr>
        <w:t>ych</w:t>
      </w:r>
      <w:r w:rsidRPr="007F28C1">
        <w:rPr>
          <w:rFonts w:ascii="Times New Roman" w:hAnsi="Times New Roman" w:cs="Times New Roman"/>
          <w:sz w:val="24"/>
          <w:szCs w:val="24"/>
        </w:rPr>
        <w:t xml:space="preserve"> </w:t>
      </w:r>
      <w:r w:rsidR="00F71D7B" w:rsidRPr="007F28C1">
        <w:rPr>
          <w:rFonts w:ascii="Times New Roman" w:hAnsi="Times New Roman" w:cs="Times New Roman"/>
          <w:sz w:val="24"/>
          <w:szCs w:val="24"/>
        </w:rPr>
        <w:t xml:space="preserve">w </w:t>
      </w:r>
      <w:r w:rsidR="00E36415" w:rsidRPr="007F28C1">
        <w:rPr>
          <w:rFonts w:ascii="Times New Roman" w:hAnsi="Times New Roman" w:cs="Times New Roman"/>
          <w:sz w:val="24"/>
          <w:szCs w:val="24"/>
        </w:rPr>
        <w:t>P</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F71D7B" w:rsidRPr="007F28C1">
        <w:rPr>
          <w:rFonts w:ascii="Times New Roman" w:hAnsi="Times New Roman" w:cs="Times New Roman"/>
          <w:sz w:val="24"/>
          <w:szCs w:val="24"/>
        </w:rPr>
        <w:t>.</w:t>
      </w:r>
      <w:r w:rsidRPr="007F28C1">
        <w:rPr>
          <w:rFonts w:ascii="Times New Roman" w:hAnsi="Times New Roman" w:cs="Times New Roman"/>
          <w:sz w:val="24"/>
          <w:szCs w:val="24"/>
        </w:rPr>
        <w:t xml:space="preserve"> (art. 53 ust. 1</w:t>
      </w:r>
      <w:r w:rsidR="00453B61" w:rsidRPr="007F28C1">
        <w:rPr>
          <w:rFonts w:ascii="Times New Roman" w:eastAsia="Times New Roman" w:hAnsi="Times New Roman" w:cs="Times New Roman"/>
          <w:bCs/>
          <w:sz w:val="24"/>
          <w:szCs w:val="24"/>
          <w:lang w:eastAsia="pl-PL"/>
        </w:rPr>
        <w:t xml:space="preserve"> </w:t>
      </w:r>
      <w:r w:rsidR="00E36415" w:rsidRPr="007F28C1">
        <w:rPr>
          <w:rFonts w:ascii="Times New Roman" w:hAnsi="Times New Roman" w:cs="Times New Roman"/>
          <w:sz w:val="24"/>
          <w:szCs w:val="24"/>
        </w:rPr>
        <w:t>P</w:t>
      </w:r>
      <w:r w:rsidR="001D3DA3"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D3DA3"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D3DA3" w:rsidRPr="007F28C1">
        <w:rPr>
          <w:rFonts w:ascii="Times New Roman" w:hAnsi="Times New Roman" w:cs="Times New Roman"/>
          <w:sz w:val="24"/>
          <w:szCs w:val="24"/>
        </w:rPr>
        <w:t>.</w:t>
      </w:r>
      <w:r w:rsidRPr="007F28C1">
        <w:rPr>
          <w:rFonts w:ascii="Times New Roman" w:hAnsi="Times New Roman" w:cs="Times New Roman"/>
          <w:sz w:val="24"/>
          <w:szCs w:val="24"/>
        </w:rPr>
        <w:t>).</w:t>
      </w:r>
      <w:r w:rsidR="00F71D7B" w:rsidRPr="007F28C1">
        <w:rPr>
          <w:rFonts w:ascii="Times New Roman" w:hAnsi="Times New Roman" w:cs="Times New Roman"/>
          <w:sz w:val="24"/>
          <w:szCs w:val="24"/>
        </w:rPr>
        <w:t xml:space="preserve"> </w:t>
      </w:r>
      <w:r w:rsidRPr="007F28C1">
        <w:rPr>
          <w:rFonts w:ascii="Times New Roman" w:hAnsi="Times New Roman" w:cs="Times New Roman"/>
          <w:sz w:val="24"/>
          <w:szCs w:val="24"/>
        </w:rPr>
        <w:t>Natomiast osoby wykonujące czynności</w:t>
      </w:r>
      <w:r w:rsidR="001D3DA3" w:rsidRPr="007F28C1">
        <w:rPr>
          <w:rFonts w:ascii="Times New Roman" w:hAnsi="Times New Roman" w:cs="Times New Roman"/>
          <w:sz w:val="24"/>
          <w:szCs w:val="24"/>
        </w:rPr>
        <w:t xml:space="preserve"> niewymienione w art. 53 ust. 1 pkt 2 i 3 P.g.g.</w:t>
      </w:r>
      <w:r w:rsidR="00F71D7B" w:rsidRPr="007F28C1">
        <w:rPr>
          <w:rFonts w:ascii="Times New Roman" w:hAnsi="Times New Roman" w:cs="Times New Roman"/>
          <w:sz w:val="24"/>
          <w:szCs w:val="24"/>
        </w:rPr>
        <w:t xml:space="preserve"> </w:t>
      </w:r>
      <w:r w:rsidRPr="007F28C1">
        <w:rPr>
          <w:rFonts w:ascii="Times New Roman" w:hAnsi="Times New Roman" w:cs="Times New Roman"/>
          <w:sz w:val="24"/>
          <w:szCs w:val="24"/>
        </w:rPr>
        <w:t>w wyższym dozorze ruchu</w:t>
      </w:r>
      <w:r w:rsidR="00656E74" w:rsidRPr="007F28C1">
        <w:rPr>
          <w:rFonts w:ascii="Times New Roman" w:hAnsi="Times New Roman" w:cs="Times New Roman"/>
          <w:sz w:val="24"/>
          <w:szCs w:val="24"/>
        </w:rPr>
        <w:t xml:space="preserve"> </w:t>
      </w:r>
      <w:r w:rsidR="001D3DA3" w:rsidRPr="007F28C1">
        <w:rPr>
          <w:rFonts w:ascii="Times New Roman" w:hAnsi="Times New Roman" w:cs="Times New Roman"/>
          <w:sz w:val="24"/>
          <w:szCs w:val="24"/>
        </w:rPr>
        <w:t xml:space="preserve">oraz </w:t>
      </w:r>
      <w:r w:rsidRPr="007F28C1">
        <w:rPr>
          <w:rFonts w:ascii="Times New Roman" w:hAnsi="Times New Roman" w:cs="Times New Roman"/>
          <w:sz w:val="24"/>
          <w:szCs w:val="24"/>
        </w:rPr>
        <w:t>w dozorze ruchu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zakładach górniczych lub zakładach innych niż podziemne zakłady górnicze</w:t>
      </w:r>
      <w:r w:rsidR="008B7575"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są obowiązane </w:t>
      </w:r>
      <w:r w:rsidR="005F563D" w:rsidRPr="007F28C1">
        <w:rPr>
          <w:rFonts w:ascii="Times New Roman" w:hAnsi="Times New Roman" w:cs="Times New Roman"/>
          <w:sz w:val="24"/>
          <w:szCs w:val="24"/>
        </w:rPr>
        <w:t xml:space="preserve">do </w:t>
      </w:r>
      <w:r w:rsidRPr="007F28C1">
        <w:rPr>
          <w:rFonts w:ascii="Times New Roman" w:hAnsi="Times New Roman" w:cs="Times New Roman"/>
          <w:sz w:val="24"/>
          <w:szCs w:val="24"/>
        </w:rPr>
        <w:t>posiada</w:t>
      </w:r>
      <w:r w:rsidR="005F563D" w:rsidRPr="007F28C1">
        <w:rPr>
          <w:rFonts w:ascii="Times New Roman" w:hAnsi="Times New Roman" w:cs="Times New Roman"/>
          <w:sz w:val="24"/>
          <w:szCs w:val="24"/>
        </w:rPr>
        <w:t>nia</w:t>
      </w:r>
      <w:r w:rsidRPr="007F28C1">
        <w:rPr>
          <w:rFonts w:ascii="Times New Roman" w:hAnsi="Times New Roman" w:cs="Times New Roman"/>
          <w:sz w:val="24"/>
          <w:szCs w:val="24"/>
        </w:rPr>
        <w:t xml:space="preserve"> określane</w:t>
      </w:r>
      <w:r w:rsidR="005F563D" w:rsidRPr="007F28C1">
        <w:rPr>
          <w:rFonts w:ascii="Times New Roman" w:hAnsi="Times New Roman" w:cs="Times New Roman"/>
          <w:sz w:val="24"/>
          <w:szCs w:val="24"/>
        </w:rPr>
        <w:t>go</w:t>
      </w:r>
      <w:r w:rsidRPr="007F28C1">
        <w:rPr>
          <w:rFonts w:ascii="Times New Roman" w:hAnsi="Times New Roman" w:cs="Times New Roman"/>
          <w:sz w:val="24"/>
          <w:szCs w:val="24"/>
        </w:rPr>
        <w:t xml:space="preserve"> przez pracodawcę przygotowani</w:t>
      </w:r>
      <w:r w:rsidR="005F563D" w:rsidRPr="007F28C1">
        <w:rPr>
          <w:rFonts w:ascii="Times New Roman" w:hAnsi="Times New Roman" w:cs="Times New Roman"/>
          <w:sz w:val="24"/>
          <w:szCs w:val="24"/>
        </w:rPr>
        <w:t>a</w:t>
      </w:r>
      <w:r w:rsidRPr="007F28C1">
        <w:rPr>
          <w:rFonts w:ascii="Times New Roman" w:hAnsi="Times New Roman" w:cs="Times New Roman"/>
          <w:sz w:val="24"/>
          <w:szCs w:val="24"/>
        </w:rPr>
        <w:t xml:space="preserve"> zawodowe</w:t>
      </w:r>
      <w:r w:rsidR="005F563D" w:rsidRPr="007F28C1">
        <w:rPr>
          <w:rFonts w:ascii="Times New Roman" w:hAnsi="Times New Roman" w:cs="Times New Roman"/>
          <w:sz w:val="24"/>
          <w:szCs w:val="24"/>
        </w:rPr>
        <w:t>go</w:t>
      </w:r>
      <w:r w:rsidRPr="007F28C1">
        <w:rPr>
          <w:rFonts w:ascii="Times New Roman" w:hAnsi="Times New Roman" w:cs="Times New Roman"/>
          <w:sz w:val="24"/>
          <w:szCs w:val="24"/>
        </w:rPr>
        <w:t xml:space="preserve"> i doświadczeni</w:t>
      </w:r>
      <w:r w:rsidR="005F563D" w:rsidRPr="007F28C1">
        <w:rPr>
          <w:rFonts w:ascii="Times New Roman" w:hAnsi="Times New Roman" w:cs="Times New Roman"/>
          <w:sz w:val="24"/>
          <w:szCs w:val="24"/>
        </w:rPr>
        <w:t>a</w:t>
      </w:r>
      <w:r w:rsidRPr="007F28C1">
        <w:rPr>
          <w:rFonts w:ascii="Times New Roman" w:hAnsi="Times New Roman" w:cs="Times New Roman"/>
          <w:sz w:val="24"/>
          <w:szCs w:val="24"/>
        </w:rPr>
        <w:t xml:space="preserve"> zawodowe</w:t>
      </w:r>
      <w:r w:rsidR="005F563D" w:rsidRPr="007F28C1">
        <w:rPr>
          <w:rFonts w:ascii="Times New Roman" w:hAnsi="Times New Roman" w:cs="Times New Roman"/>
          <w:sz w:val="24"/>
          <w:szCs w:val="24"/>
        </w:rPr>
        <w:t>go</w:t>
      </w:r>
      <w:r w:rsidRPr="007F28C1">
        <w:rPr>
          <w:rFonts w:ascii="Times New Roman" w:hAnsi="Times New Roman" w:cs="Times New Roman"/>
          <w:sz w:val="24"/>
          <w:szCs w:val="24"/>
        </w:rPr>
        <w:t xml:space="preserve"> do wykonywania tych czynności (art. 53 ust. 2</w:t>
      </w:r>
      <w:r w:rsidR="00453B61" w:rsidRPr="007F28C1">
        <w:rPr>
          <w:rFonts w:ascii="Times New Roman" w:hAnsi="Times New Roman" w:cs="Times New Roman"/>
          <w:sz w:val="24"/>
          <w:szCs w:val="24"/>
        </w:rPr>
        <w:t xml:space="preserve">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w:t>
      </w:r>
    </w:p>
    <w:p w14:paraId="5512CF05" w14:textId="77094F07"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Jednocześnie w art. 58 ust. 1 i 2</w:t>
      </w:r>
      <w:r w:rsidR="005B7604" w:rsidRPr="007F28C1">
        <w:rPr>
          <w:rFonts w:ascii="Times New Roman" w:hAnsi="Times New Roman" w:cs="Times New Roman"/>
          <w:sz w:val="24"/>
          <w:szCs w:val="24"/>
        </w:rPr>
        <w:t xml:space="preserve"> </w:t>
      </w:r>
      <w:r w:rsidR="001F3CDB" w:rsidRPr="007F28C1">
        <w:rPr>
          <w:rFonts w:ascii="Times New Roman" w:hAnsi="Times New Roman" w:cs="Times New Roman"/>
          <w:sz w:val="24"/>
          <w:szCs w:val="24"/>
        </w:rPr>
        <w:t>P.g.g.</w:t>
      </w:r>
      <w:r w:rsidR="001F3CDB" w:rsidRPr="007F28C1">
        <w:rPr>
          <w:rFonts w:ascii="Times New Roman" w:hAnsi="Times New Roman" w:cs="Times New Roman"/>
          <w:bCs/>
          <w:sz w:val="24"/>
          <w:szCs w:val="24"/>
        </w:rPr>
        <w:t xml:space="preserve"> </w:t>
      </w:r>
      <w:r w:rsidRPr="007F28C1">
        <w:rPr>
          <w:rFonts w:ascii="Times New Roman" w:hAnsi="Times New Roman" w:cs="Times New Roman"/>
          <w:sz w:val="24"/>
          <w:szCs w:val="24"/>
        </w:rPr>
        <w:t xml:space="preserve">wskazano czynności w kierownictwie i w dozorze ruchu zakładu górniczego lub zakładu, których wykonywanie wymaga stwierdzenia kwalifikacji w drodze świadectwa organu nadzoru górniczego. Stosownie do art. 58 ust. 7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 xml:space="preserve"> powierzenie wykonywania czynności niewymienionych w art. 58 ust. 1 i 2</w:t>
      </w:r>
      <w:r w:rsidR="00760016" w:rsidRPr="007F28C1">
        <w:rPr>
          <w:rFonts w:ascii="Times New Roman" w:hAnsi="Times New Roman" w:cs="Times New Roman"/>
          <w:sz w:val="24"/>
          <w:szCs w:val="24"/>
        </w:rPr>
        <w:t xml:space="preserve"> </w:t>
      </w:r>
      <w:r w:rsidR="001F3CDB" w:rsidRPr="007F28C1">
        <w:rPr>
          <w:rFonts w:ascii="Times New Roman" w:hAnsi="Times New Roman" w:cs="Times New Roman"/>
          <w:sz w:val="24"/>
          <w:szCs w:val="24"/>
        </w:rPr>
        <w:t>P.g.g.</w:t>
      </w:r>
      <w:r w:rsidR="001F3CDB" w:rsidRPr="007F28C1">
        <w:rPr>
          <w:rFonts w:ascii="Times New Roman" w:hAnsi="Times New Roman" w:cs="Times New Roman"/>
          <w:bCs/>
          <w:sz w:val="24"/>
          <w:szCs w:val="24"/>
        </w:rPr>
        <w:t xml:space="preserve"> </w:t>
      </w:r>
      <w:r w:rsidRPr="007F28C1">
        <w:rPr>
          <w:rFonts w:ascii="Times New Roman" w:hAnsi="Times New Roman" w:cs="Times New Roman"/>
          <w:sz w:val="24"/>
          <w:szCs w:val="24"/>
        </w:rPr>
        <w:t>następuje po sprawdzeniu przez pracodawcę spełniania wymagań określonych przez samego pracodawcę na podstawie art. 53 ust.</w:t>
      </w:r>
      <w:r w:rsidR="00760016" w:rsidRPr="007F28C1">
        <w:rPr>
          <w:rFonts w:ascii="Times New Roman" w:hAnsi="Times New Roman" w:cs="Times New Roman"/>
          <w:sz w:val="24"/>
          <w:szCs w:val="24"/>
        </w:rPr>
        <w:t> </w:t>
      </w:r>
      <w:r w:rsidRPr="007F28C1">
        <w:rPr>
          <w:rFonts w:ascii="Times New Roman" w:hAnsi="Times New Roman" w:cs="Times New Roman"/>
          <w:sz w:val="24"/>
          <w:szCs w:val="24"/>
        </w:rPr>
        <w:t>2</w:t>
      </w:r>
      <w:r w:rsidR="00760016" w:rsidRPr="007F28C1">
        <w:rPr>
          <w:rFonts w:ascii="Times New Roman" w:hAnsi="Times New Roman" w:cs="Times New Roman"/>
          <w:sz w:val="24"/>
          <w:szCs w:val="24"/>
        </w:rPr>
        <w:t xml:space="preserve"> </w:t>
      </w:r>
      <w:r w:rsidR="001F3CDB" w:rsidRPr="007F28C1">
        <w:rPr>
          <w:rFonts w:ascii="Times New Roman" w:hAnsi="Times New Roman" w:cs="Times New Roman"/>
          <w:sz w:val="24"/>
          <w:szCs w:val="24"/>
        </w:rPr>
        <w:t>P.g.g.</w:t>
      </w:r>
      <w:r w:rsidR="005B7604" w:rsidRPr="007F28C1">
        <w:rPr>
          <w:rFonts w:ascii="Times New Roman" w:hAnsi="Times New Roman" w:cs="Times New Roman"/>
          <w:bCs/>
          <w:sz w:val="24"/>
          <w:szCs w:val="24"/>
        </w:rPr>
        <w:t xml:space="preserve"> </w:t>
      </w:r>
      <w:r w:rsidRPr="007F28C1">
        <w:rPr>
          <w:rFonts w:ascii="Times New Roman" w:hAnsi="Times New Roman" w:cs="Times New Roman"/>
          <w:sz w:val="24"/>
          <w:szCs w:val="24"/>
        </w:rPr>
        <w:t>albo wymagań określonych w</w:t>
      </w:r>
      <w:r w:rsidR="00760016" w:rsidRPr="007F28C1">
        <w:rPr>
          <w:rFonts w:ascii="Times New Roman" w:hAnsi="Times New Roman" w:cs="Times New Roman"/>
          <w:sz w:val="24"/>
          <w:szCs w:val="24"/>
        </w:rPr>
        <w:t xml:space="preserve"> </w:t>
      </w:r>
      <w:r w:rsidR="001F3CDB" w:rsidRPr="007F28C1">
        <w:rPr>
          <w:rFonts w:ascii="Times New Roman" w:hAnsi="Times New Roman" w:cs="Times New Roman"/>
          <w:sz w:val="24"/>
          <w:szCs w:val="24"/>
        </w:rPr>
        <w:t xml:space="preserve">P.g.g. </w:t>
      </w:r>
      <w:r w:rsidRPr="007F28C1">
        <w:rPr>
          <w:rFonts w:ascii="Times New Roman" w:hAnsi="Times New Roman" w:cs="Times New Roman"/>
          <w:sz w:val="24"/>
          <w:szCs w:val="24"/>
        </w:rPr>
        <w:t xml:space="preserve">(tj. wymagań w zakresie przygotowania zawodowego i doświadczenia zawodowego określonych w art. 54 i </w:t>
      </w:r>
      <w:r w:rsidR="005F563D" w:rsidRPr="007F28C1">
        <w:rPr>
          <w:rFonts w:ascii="Times New Roman" w:hAnsi="Times New Roman" w:cs="Times New Roman"/>
          <w:sz w:val="24"/>
          <w:szCs w:val="24"/>
        </w:rPr>
        <w:t xml:space="preserve">art. </w:t>
      </w:r>
      <w:r w:rsidRPr="007F28C1">
        <w:rPr>
          <w:rFonts w:ascii="Times New Roman" w:hAnsi="Times New Roman" w:cs="Times New Roman"/>
          <w:sz w:val="24"/>
          <w:szCs w:val="24"/>
        </w:rPr>
        <w:t xml:space="preserve">55 </w:t>
      </w:r>
      <w:r w:rsidR="001F3CDB" w:rsidRPr="007F28C1">
        <w:rPr>
          <w:rFonts w:ascii="Times New Roman" w:hAnsi="Times New Roman" w:cs="Times New Roman"/>
          <w:sz w:val="24"/>
          <w:szCs w:val="24"/>
        </w:rPr>
        <w:t>P.g.g.</w:t>
      </w:r>
      <w:r w:rsidR="001F3CDB" w:rsidRPr="007F28C1">
        <w:rPr>
          <w:rFonts w:ascii="Times New Roman" w:hAnsi="Times New Roman" w:cs="Times New Roman"/>
          <w:bCs/>
          <w:sz w:val="24"/>
          <w:szCs w:val="24"/>
        </w:rPr>
        <w:t xml:space="preserve"> </w:t>
      </w:r>
      <w:r w:rsidRPr="007F28C1">
        <w:rPr>
          <w:rFonts w:ascii="Times New Roman" w:hAnsi="Times New Roman" w:cs="Times New Roman"/>
          <w:sz w:val="24"/>
          <w:szCs w:val="24"/>
        </w:rPr>
        <w:t>oraz</w:t>
      </w:r>
      <w:r w:rsidR="00300004" w:rsidRPr="007F28C1">
        <w:rPr>
          <w:rFonts w:ascii="Times New Roman" w:hAnsi="Times New Roman" w:cs="Times New Roman"/>
          <w:sz w:val="24"/>
          <w:szCs w:val="24"/>
        </w:rPr>
        <w:t xml:space="preserve"> w przepisach</w:t>
      </w:r>
      <w:r w:rsidRPr="007F28C1">
        <w:rPr>
          <w:rFonts w:ascii="Times New Roman" w:hAnsi="Times New Roman" w:cs="Times New Roman"/>
          <w:sz w:val="24"/>
          <w:szCs w:val="24"/>
        </w:rPr>
        <w:t xml:space="preserve"> </w:t>
      </w:r>
      <w:r w:rsidR="00300004" w:rsidRPr="007F28C1">
        <w:rPr>
          <w:rFonts w:ascii="Times New Roman" w:hAnsi="Times New Roman" w:cs="Times New Roman"/>
          <w:sz w:val="24"/>
          <w:szCs w:val="24"/>
        </w:rPr>
        <w:t>rozporządzenia Ministra Środowiska z dnia 2 sierpnia 2016 r. w sprawie kwalifikacji w zakresie górnictwa i ratownictwa górniczeg</w:t>
      </w:r>
      <w:r w:rsidR="00300004" w:rsidRPr="007F28C1">
        <w:rPr>
          <w:rFonts w:ascii="Times New Roman" w:hAnsi="Times New Roman" w:cs="Times New Roman"/>
          <w:iCs/>
          <w:sz w:val="24"/>
          <w:szCs w:val="24"/>
        </w:rPr>
        <w:t>o</w:t>
      </w:r>
      <w:r w:rsidR="00300004" w:rsidRPr="007F28C1">
        <w:rPr>
          <w:rFonts w:ascii="Times New Roman" w:hAnsi="Times New Roman" w:cs="Times New Roman"/>
          <w:sz w:val="24"/>
          <w:szCs w:val="24"/>
        </w:rPr>
        <w:t xml:space="preserve"> (Dz. U. poz. 1229) </w:t>
      </w:r>
      <w:r w:rsidRPr="007F28C1">
        <w:rPr>
          <w:rFonts w:ascii="Times New Roman" w:hAnsi="Times New Roman" w:cs="Times New Roman"/>
          <w:sz w:val="24"/>
          <w:szCs w:val="24"/>
        </w:rPr>
        <w:t xml:space="preserve">dla osób wykonujących </w:t>
      </w:r>
      <w:r w:rsidRPr="007F28C1">
        <w:rPr>
          <w:rFonts w:ascii="Times New Roman" w:hAnsi="Times New Roman" w:cs="Times New Roman"/>
          <w:sz w:val="24"/>
          <w:szCs w:val="24"/>
        </w:rPr>
        <w:lastRenderedPageBreak/>
        <w:t>czynności w</w:t>
      </w:r>
      <w:r w:rsidR="00760016" w:rsidRPr="007F28C1">
        <w:rPr>
          <w:rFonts w:ascii="Times New Roman" w:hAnsi="Times New Roman" w:cs="Times New Roman"/>
          <w:sz w:val="24"/>
          <w:szCs w:val="24"/>
        </w:rPr>
        <w:t> </w:t>
      </w:r>
      <w:r w:rsidRPr="007F28C1">
        <w:rPr>
          <w:rFonts w:ascii="Times New Roman" w:hAnsi="Times New Roman" w:cs="Times New Roman"/>
          <w:sz w:val="24"/>
          <w:szCs w:val="24"/>
        </w:rPr>
        <w:t>kierownictwie działu lub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wyższym dozorze ruchu zakładu górniczego lub zakładu, innych niż wymienione w art. 53 ust. 2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w art. 58 ust. 1 i 2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w:t>
      </w:r>
    </w:p>
    <w:p w14:paraId="4D9CE3BC" w14:textId="0C5E109F"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Taki stan prawny obowiązuje od dnia wejścia w życie art. 17 ustawy z dnia 5 sierpnia 2015 r</w:t>
      </w:r>
      <w:r w:rsidRPr="007F28C1">
        <w:rPr>
          <w:rFonts w:ascii="Times New Roman" w:hAnsi="Times New Roman" w:cs="Times New Roman"/>
          <w:iCs/>
          <w:sz w:val="24"/>
          <w:szCs w:val="24"/>
        </w:rPr>
        <w:t xml:space="preserve">. </w:t>
      </w:r>
      <w:r w:rsidRPr="007F28C1">
        <w:rPr>
          <w:rFonts w:ascii="Times New Roman" w:hAnsi="Times New Roman" w:cs="Times New Roman"/>
          <w:sz w:val="24"/>
          <w:szCs w:val="24"/>
        </w:rPr>
        <w:t xml:space="preserve">o zmianie ustaw regulujących warunki dostępu do wykonywania niektórych zawodów (Dz. U. poz. 1505), tj. od dnia 31 marca 2016 r. Należy jednocześnie wskazać, że już od dnia wejścia w życie </w:t>
      </w:r>
      <w:r w:rsidR="00E36415" w:rsidRPr="007F28C1">
        <w:rPr>
          <w:rFonts w:ascii="Times New Roman" w:hAnsi="Times New Roman" w:cs="Times New Roman"/>
          <w:sz w:val="24"/>
          <w:szCs w:val="24"/>
        </w:rPr>
        <w:t>P</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F71D7B" w:rsidRPr="007F28C1">
        <w:rPr>
          <w:rFonts w:ascii="Times New Roman" w:hAnsi="Times New Roman" w:cs="Times New Roman"/>
          <w:sz w:val="24"/>
          <w:szCs w:val="24"/>
        </w:rPr>
        <w:t>.</w:t>
      </w:r>
      <w:r w:rsidRPr="007F28C1">
        <w:rPr>
          <w:rFonts w:ascii="Times New Roman" w:hAnsi="Times New Roman" w:cs="Times New Roman"/>
          <w:sz w:val="24"/>
          <w:szCs w:val="24"/>
        </w:rPr>
        <w:t>, tj.</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od</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 xml:space="preserve">dnia 1 stycznia 2012 r., tylko osoby dozoru w podziemnych zakładach górniczych </w:t>
      </w:r>
      <w:r w:rsidR="00582FCB" w:rsidRPr="007F28C1">
        <w:rPr>
          <w:rFonts w:ascii="Times New Roman" w:hAnsi="Times New Roman" w:cs="Times New Roman"/>
          <w:sz w:val="24"/>
          <w:szCs w:val="24"/>
        </w:rPr>
        <w:t>są</w:t>
      </w:r>
      <w:r w:rsidRPr="007F28C1">
        <w:rPr>
          <w:rFonts w:ascii="Times New Roman" w:hAnsi="Times New Roman" w:cs="Times New Roman"/>
          <w:sz w:val="24"/>
          <w:szCs w:val="24"/>
        </w:rPr>
        <w:t xml:space="preserve"> obowiązane</w:t>
      </w:r>
      <w:r w:rsidR="005C6763" w:rsidRPr="007F28C1">
        <w:rPr>
          <w:rFonts w:ascii="Times New Roman" w:hAnsi="Times New Roman" w:cs="Times New Roman"/>
          <w:sz w:val="24"/>
          <w:szCs w:val="24"/>
        </w:rPr>
        <w:t xml:space="preserve"> do</w:t>
      </w:r>
      <w:r w:rsidRPr="007F28C1">
        <w:rPr>
          <w:rFonts w:ascii="Times New Roman" w:hAnsi="Times New Roman" w:cs="Times New Roman"/>
          <w:sz w:val="24"/>
          <w:szCs w:val="24"/>
        </w:rPr>
        <w:t xml:space="preserve"> posiada</w:t>
      </w:r>
      <w:r w:rsidR="005C6763" w:rsidRPr="007F28C1">
        <w:rPr>
          <w:rFonts w:ascii="Times New Roman" w:hAnsi="Times New Roman" w:cs="Times New Roman"/>
          <w:sz w:val="24"/>
          <w:szCs w:val="24"/>
        </w:rPr>
        <w:t>nia</w:t>
      </w:r>
      <w:r w:rsidRPr="007F28C1">
        <w:rPr>
          <w:rFonts w:ascii="Times New Roman" w:hAnsi="Times New Roman" w:cs="Times New Roman"/>
          <w:sz w:val="24"/>
          <w:szCs w:val="24"/>
        </w:rPr>
        <w:t xml:space="preserve"> kwalifikacj</w:t>
      </w:r>
      <w:r w:rsidR="005C6763" w:rsidRPr="007F28C1">
        <w:rPr>
          <w:rFonts w:ascii="Times New Roman" w:hAnsi="Times New Roman" w:cs="Times New Roman"/>
          <w:sz w:val="24"/>
          <w:szCs w:val="24"/>
        </w:rPr>
        <w:t>i</w:t>
      </w:r>
      <w:r w:rsidRPr="007F28C1">
        <w:rPr>
          <w:rFonts w:ascii="Times New Roman" w:hAnsi="Times New Roman" w:cs="Times New Roman"/>
          <w:sz w:val="24"/>
          <w:szCs w:val="24"/>
        </w:rPr>
        <w:t xml:space="preserve"> określon</w:t>
      </w:r>
      <w:r w:rsidR="005C6763" w:rsidRPr="007F28C1">
        <w:rPr>
          <w:rFonts w:ascii="Times New Roman" w:hAnsi="Times New Roman" w:cs="Times New Roman"/>
          <w:sz w:val="24"/>
          <w:szCs w:val="24"/>
        </w:rPr>
        <w:t>ych</w:t>
      </w:r>
      <w:r w:rsidRPr="007F28C1">
        <w:rPr>
          <w:rFonts w:ascii="Times New Roman" w:hAnsi="Times New Roman" w:cs="Times New Roman"/>
          <w:sz w:val="24"/>
          <w:szCs w:val="24"/>
        </w:rPr>
        <w:t xml:space="preserve"> </w:t>
      </w:r>
      <w:r w:rsidR="00453B61" w:rsidRPr="007F28C1">
        <w:rPr>
          <w:rFonts w:ascii="Times New Roman" w:hAnsi="Times New Roman" w:cs="Times New Roman"/>
          <w:sz w:val="24"/>
          <w:szCs w:val="24"/>
        </w:rPr>
        <w:t xml:space="preserve">w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 natomiast dla pozostałych osób dozoru ruchu w</w:t>
      </w:r>
      <w:r w:rsidR="00760016" w:rsidRPr="007F28C1">
        <w:rPr>
          <w:rFonts w:ascii="Times New Roman" w:hAnsi="Times New Roman" w:cs="Times New Roman"/>
          <w:sz w:val="24"/>
          <w:szCs w:val="24"/>
        </w:rPr>
        <w:t> </w:t>
      </w:r>
      <w:r w:rsidRPr="007F28C1">
        <w:rPr>
          <w:rFonts w:ascii="Times New Roman" w:hAnsi="Times New Roman" w:cs="Times New Roman"/>
          <w:sz w:val="24"/>
          <w:szCs w:val="24"/>
        </w:rPr>
        <w:t xml:space="preserve">zakładach górniczych lub zakładach to przedsiębiorca albo podmiot, który uzyskał inną niż koncesja decyzję stanowiącą podstawę wykonywania działalności określonej </w:t>
      </w:r>
      <w:r w:rsidR="00453B61" w:rsidRPr="007F28C1">
        <w:rPr>
          <w:rFonts w:ascii="Times New Roman" w:hAnsi="Times New Roman" w:cs="Times New Roman"/>
          <w:sz w:val="24"/>
          <w:szCs w:val="24"/>
        </w:rPr>
        <w:t xml:space="preserve">w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 określa</w:t>
      </w:r>
      <w:r w:rsidR="00582FCB" w:rsidRPr="007F28C1">
        <w:rPr>
          <w:rFonts w:ascii="Times New Roman" w:hAnsi="Times New Roman" w:cs="Times New Roman"/>
          <w:sz w:val="24"/>
          <w:szCs w:val="24"/>
        </w:rPr>
        <w:t>ją</w:t>
      </w:r>
      <w:r w:rsidRPr="007F28C1">
        <w:rPr>
          <w:rFonts w:ascii="Times New Roman" w:hAnsi="Times New Roman" w:cs="Times New Roman"/>
          <w:sz w:val="24"/>
          <w:szCs w:val="24"/>
        </w:rPr>
        <w:t xml:space="preserve"> przygotowanie zawodowe i doświadczenie zawodowe (rozwiązanie to nie dotyczyło osób wyższego dozoru ruchu). Regulacja ta</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stanowiła pierwszą „fazę” deregulacji górniczych zawodów regulowanych.</w:t>
      </w:r>
    </w:p>
    <w:p w14:paraId="16D972E0" w14:textId="3B29BA0D"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Doświadczenia organów nadzoru górniczego wskazują, że rozwiązania w zakresie kwalifikacji górniczych, będące następstwem opisanej wyżej deregulacji, nie sprawdziły się w praktyce.</w:t>
      </w:r>
    </w:p>
    <w:p w14:paraId="2F18AB1B" w14:textId="4AD35DF6"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Pracodawcy, mając na względzie konieczność zapewnienia prowadzenia ruchu zakładu górniczego lub</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zakładu zgodnie z przepisami prawa oraz z zasadami techniki górniczej, co wynika z art. 105 ust. 1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 xml:space="preserve">, powinni określić wymogi dotyczące przygotowania zawodowego i doświadczenia zawodowego na poziomie zapewniającym bezpieczne prowadzenie ruchu zakładu górniczego przez osoby dozoru ruchu. Jednocześnie osoby dozoru ruchu powinny rozumieć i umieć stosować w praktyce w ruchu zakładu górniczego </w:t>
      </w:r>
      <w:r w:rsidR="00600CAD" w:rsidRPr="007F28C1">
        <w:rPr>
          <w:rFonts w:ascii="Times New Roman" w:hAnsi="Times New Roman" w:cs="Times New Roman"/>
          <w:sz w:val="24"/>
          <w:szCs w:val="24"/>
        </w:rPr>
        <w:t xml:space="preserve">albo zakładu </w:t>
      </w:r>
      <w:r w:rsidRPr="007F28C1">
        <w:rPr>
          <w:rFonts w:ascii="Times New Roman" w:hAnsi="Times New Roman" w:cs="Times New Roman"/>
          <w:sz w:val="24"/>
          <w:szCs w:val="24"/>
        </w:rPr>
        <w:t>przepisy prawa oraz zasady techniki górniczej. Natomiast w</w:t>
      </w:r>
      <w:r w:rsidR="00760016" w:rsidRPr="007F28C1">
        <w:rPr>
          <w:rFonts w:ascii="Times New Roman" w:hAnsi="Times New Roman" w:cs="Times New Roman"/>
          <w:sz w:val="24"/>
          <w:szCs w:val="24"/>
        </w:rPr>
        <w:t> </w:t>
      </w:r>
      <w:r w:rsidRPr="007F28C1">
        <w:rPr>
          <w:rFonts w:ascii="Times New Roman" w:hAnsi="Times New Roman" w:cs="Times New Roman"/>
          <w:sz w:val="24"/>
          <w:szCs w:val="24"/>
        </w:rPr>
        <w:t>rzeczywistości część pracodawców w ogóle nie wywiązuje się z obowiązku nałożonego na nich na</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mocy art. 53 ust. 2</w:t>
      </w:r>
      <w:r w:rsidR="005B7604" w:rsidRPr="007F28C1">
        <w:rPr>
          <w:rFonts w:ascii="Times New Roman" w:hAnsi="Times New Roman" w:cs="Times New Roman"/>
          <w:sz w:val="24"/>
          <w:szCs w:val="24"/>
        </w:rPr>
        <w:t xml:space="preserve"> </w:t>
      </w:r>
      <w:r w:rsidR="00E36415" w:rsidRPr="007F28C1">
        <w:rPr>
          <w:rFonts w:ascii="Times New Roman" w:hAnsi="Times New Roman" w:cs="Times New Roman"/>
          <w:sz w:val="24"/>
          <w:szCs w:val="24"/>
        </w:rPr>
        <w:t>P</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1F3CDB" w:rsidRPr="007F28C1">
        <w:rPr>
          <w:rFonts w:ascii="Times New Roman" w:hAnsi="Times New Roman" w:cs="Times New Roman"/>
          <w:sz w:val="24"/>
          <w:szCs w:val="24"/>
        </w:rPr>
        <w:t>.</w:t>
      </w:r>
      <w:r w:rsidRPr="007F28C1">
        <w:rPr>
          <w:rFonts w:ascii="Times New Roman" w:hAnsi="Times New Roman" w:cs="Times New Roman"/>
          <w:sz w:val="24"/>
          <w:szCs w:val="24"/>
        </w:rPr>
        <w:t xml:space="preserve"> albo ustala wymagania</w:t>
      </w:r>
      <w:r w:rsidR="003D2FDE">
        <w:rPr>
          <w:rFonts w:ascii="Times New Roman" w:hAnsi="Times New Roman" w:cs="Times New Roman"/>
          <w:sz w:val="24"/>
          <w:szCs w:val="24"/>
        </w:rPr>
        <w:t>,</w:t>
      </w:r>
      <w:r w:rsidRPr="007F28C1">
        <w:rPr>
          <w:rFonts w:ascii="Times New Roman" w:hAnsi="Times New Roman" w:cs="Times New Roman"/>
          <w:sz w:val="24"/>
          <w:szCs w:val="24"/>
        </w:rPr>
        <w:t xml:space="preserve"> kierując się wyłącznie swoją doraźną potrzebą. Zauważalne jest obniżenie standardów w zakresie określania wymagań dotyczących kwalifikacji dla</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osób dozoru ruchu w zakładach górniczych lub zakładach oraz stosowanie rozszerzającej – korzystnej dla pracodawców – wykładni przepisów </w:t>
      </w:r>
      <w:r w:rsidR="00E36415" w:rsidRPr="007F28C1">
        <w:rPr>
          <w:rFonts w:ascii="Times New Roman" w:hAnsi="Times New Roman" w:cs="Times New Roman"/>
          <w:sz w:val="24"/>
          <w:szCs w:val="24"/>
        </w:rPr>
        <w:t>P</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F71D7B" w:rsidRPr="007F28C1">
        <w:rPr>
          <w:rFonts w:ascii="Times New Roman" w:hAnsi="Times New Roman" w:cs="Times New Roman"/>
          <w:sz w:val="24"/>
          <w:szCs w:val="24"/>
        </w:rPr>
        <w:t>.</w:t>
      </w:r>
      <w:r w:rsidRPr="007F28C1">
        <w:rPr>
          <w:rFonts w:ascii="Times New Roman" w:hAnsi="Times New Roman" w:cs="Times New Roman"/>
          <w:sz w:val="24"/>
          <w:szCs w:val="24"/>
        </w:rPr>
        <w:t xml:space="preserve">, określających wymagania, </w:t>
      </w:r>
      <w:r w:rsidR="003D2FDE">
        <w:rPr>
          <w:rFonts w:ascii="Times New Roman" w:hAnsi="Times New Roman" w:cs="Times New Roman"/>
          <w:sz w:val="24"/>
          <w:szCs w:val="24"/>
        </w:rPr>
        <w:t>na</w:t>
      </w:r>
      <w:r w:rsidR="003D2FDE" w:rsidRPr="007F28C1">
        <w:rPr>
          <w:rFonts w:ascii="Times New Roman" w:hAnsi="Times New Roman" w:cs="Times New Roman"/>
          <w:sz w:val="24"/>
          <w:szCs w:val="24"/>
        </w:rPr>
        <w:t xml:space="preserve"> </w:t>
      </w:r>
      <w:r w:rsidRPr="007F28C1">
        <w:rPr>
          <w:rFonts w:ascii="Times New Roman" w:hAnsi="Times New Roman" w:cs="Times New Roman"/>
          <w:sz w:val="24"/>
          <w:szCs w:val="24"/>
        </w:rPr>
        <w:t>potrzeb</w:t>
      </w:r>
      <w:r w:rsidR="003D2FDE">
        <w:rPr>
          <w:rFonts w:ascii="Times New Roman" w:hAnsi="Times New Roman" w:cs="Times New Roman"/>
          <w:sz w:val="24"/>
          <w:szCs w:val="24"/>
        </w:rPr>
        <w:t>y</w:t>
      </w:r>
      <w:r w:rsidRPr="007F28C1">
        <w:rPr>
          <w:rFonts w:ascii="Times New Roman" w:hAnsi="Times New Roman" w:cs="Times New Roman"/>
          <w:sz w:val="24"/>
          <w:szCs w:val="24"/>
        </w:rPr>
        <w:t xml:space="preserve"> powierzenia wykonywania czynności na podstawie art. 58 ust. 7</w:t>
      </w:r>
      <w:r w:rsidR="00453B61" w:rsidRPr="007F28C1">
        <w:rPr>
          <w:rFonts w:ascii="Times New Roman" w:eastAsia="Times New Roman" w:hAnsi="Times New Roman" w:cs="Times New Roman"/>
          <w:bCs/>
          <w:sz w:val="24"/>
          <w:szCs w:val="24"/>
          <w:lang w:eastAsia="pl-PL"/>
        </w:rPr>
        <w:t xml:space="preserve"> </w:t>
      </w:r>
      <w:r w:rsidR="001F3CDB" w:rsidRPr="007F28C1">
        <w:rPr>
          <w:rFonts w:ascii="Times New Roman" w:hAnsi="Times New Roman" w:cs="Times New Roman"/>
          <w:sz w:val="24"/>
          <w:szCs w:val="24"/>
        </w:rPr>
        <w:t>P.g.g.</w:t>
      </w:r>
    </w:p>
    <w:p w14:paraId="6068F955" w14:textId="29C88D05"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Powodem takiego stanu rzeczy jest często brak wiedzy pracodawcy, jakie przygotowanie zawodowe i doświadczenie zawodowe są potrzebne do wykonywania czynności w dozorze ruchu zakładu górniczego lub zakładu albo jak oceniać przygotowanie zawodowe i doświadczenie zawodowe kandydata na osobę kierownictwa lub dozoru ruchu zakładu górniczego lub zakładu</w:t>
      </w:r>
      <w:r w:rsidR="008A39F1" w:rsidRPr="007F28C1">
        <w:rPr>
          <w:rFonts w:ascii="Times New Roman" w:hAnsi="Times New Roman" w:cs="Times New Roman"/>
          <w:sz w:val="24"/>
          <w:szCs w:val="24"/>
        </w:rPr>
        <w:t>.</w:t>
      </w:r>
      <w:r w:rsidRPr="007F28C1">
        <w:rPr>
          <w:rFonts w:ascii="Times New Roman" w:hAnsi="Times New Roman" w:cs="Times New Roman"/>
          <w:sz w:val="24"/>
          <w:szCs w:val="24"/>
        </w:rPr>
        <w:t xml:space="preserve"> </w:t>
      </w:r>
      <w:r w:rsidR="008A39F1" w:rsidRPr="007F28C1">
        <w:rPr>
          <w:rFonts w:ascii="Times New Roman" w:hAnsi="Times New Roman" w:cs="Times New Roman"/>
          <w:sz w:val="24"/>
          <w:szCs w:val="24"/>
        </w:rPr>
        <w:t xml:space="preserve">Przepisy zawarte w </w:t>
      </w:r>
      <w:r w:rsidR="00E36415" w:rsidRPr="007F28C1">
        <w:rPr>
          <w:rFonts w:ascii="Times New Roman" w:hAnsi="Times New Roman" w:cs="Times New Roman"/>
          <w:sz w:val="24"/>
          <w:szCs w:val="24"/>
        </w:rPr>
        <w:t>P</w:t>
      </w:r>
      <w:r w:rsidR="003A7D2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3A7D28"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w:t>
      </w:r>
      <w:r w:rsidR="008A39F1" w:rsidRPr="007F28C1">
        <w:rPr>
          <w:rFonts w:ascii="Times New Roman" w:hAnsi="Times New Roman" w:cs="Times New Roman"/>
          <w:sz w:val="24"/>
          <w:szCs w:val="24"/>
        </w:rPr>
        <w:t xml:space="preserve">rozporządzeniu </w:t>
      </w:r>
      <w:r w:rsidR="00300004" w:rsidRPr="007F28C1">
        <w:rPr>
          <w:rFonts w:ascii="Times New Roman" w:hAnsi="Times New Roman" w:cs="Times New Roman"/>
          <w:sz w:val="24"/>
          <w:szCs w:val="24"/>
        </w:rPr>
        <w:t xml:space="preserve">Ministra Środowiska z </w:t>
      </w:r>
      <w:r w:rsidR="00300004" w:rsidRPr="007F28C1">
        <w:rPr>
          <w:rFonts w:ascii="Times New Roman" w:hAnsi="Times New Roman" w:cs="Times New Roman"/>
          <w:sz w:val="24"/>
          <w:szCs w:val="24"/>
        </w:rPr>
        <w:lastRenderedPageBreak/>
        <w:t>dnia 2 sierpnia 2016 r. w sprawie kwalifikacji w</w:t>
      </w:r>
      <w:r w:rsidR="00705A7E" w:rsidRPr="007F28C1">
        <w:rPr>
          <w:rFonts w:ascii="Times New Roman" w:hAnsi="Times New Roman" w:cs="Times New Roman"/>
          <w:sz w:val="24"/>
          <w:szCs w:val="24"/>
        </w:rPr>
        <w:t> </w:t>
      </w:r>
      <w:r w:rsidR="00300004" w:rsidRPr="007F28C1">
        <w:rPr>
          <w:rFonts w:ascii="Times New Roman" w:hAnsi="Times New Roman" w:cs="Times New Roman"/>
          <w:sz w:val="24"/>
          <w:szCs w:val="24"/>
        </w:rPr>
        <w:t xml:space="preserve">zakresie górnictwa i ratownictwa górniczego </w:t>
      </w:r>
      <w:r w:rsidRPr="007F28C1">
        <w:rPr>
          <w:rFonts w:ascii="Times New Roman" w:hAnsi="Times New Roman" w:cs="Times New Roman"/>
          <w:sz w:val="24"/>
          <w:szCs w:val="24"/>
        </w:rPr>
        <w:t>nie wymaga</w:t>
      </w:r>
      <w:r w:rsidR="008A39F1" w:rsidRPr="007F28C1">
        <w:rPr>
          <w:rFonts w:ascii="Times New Roman" w:hAnsi="Times New Roman" w:cs="Times New Roman"/>
          <w:sz w:val="24"/>
          <w:szCs w:val="24"/>
        </w:rPr>
        <w:t>ją</w:t>
      </w:r>
      <w:r w:rsidRPr="007F28C1">
        <w:rPr>
          <w:rFonts w:ascii="Times New Roman" w:hAnsi="Times New Roman" w:cs="Times New Roman"/>
          <w:sz w:val="24"/>
          <w:szCs w:val="24"/>
        </w:rPr>
        <w:t xml:space="preserve">, </w:t>
      </w:r>
      <w:r w:rsidR="005C6763" w:rsidRPr="007F28C1">
        <w:rPr>
          <w:rFonts w:ascii="Times New Roman" w:hAnsi="Times New Roman" w:cs="Times New Roman"/>
          <w:sz w:val="24"/>
          <w:szCs w:val="24"/>
        </w:rPr>
        <w:t>a</w:t>
      </w:r>
      <w:r w:rsidRPr="007F28C1">
        <w:rPr>
          <w:rFonts w:ascii="Times New Roman" w:hAnsi="Times New Roman" w:cs="Times New Roman"/>
          <w:sz w:val="24"/>
          <w:szCs w:val="24"/>
        </w:rPr>
        <w:t>by</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pracodawca znał się na prowadzeniu ruchu zakładu górniczego lub zakładu, ale jednocześnie nakłada</w:t>
      </w:r>
      <w:r w:rsidR="00815B67" w:rsidRPr="007F28C1">
        <w:rPr>
          <w:rFonts w:ascii="Times New Roman" w:hAnsi="Times New Roman" w:cs="Times New Roman"/>
          <w:sz w:val="24"/>
          <w:szCs w:val="24"/>
        </w:rPr>
        <w:t>ją</w:t>
      </w:r>
      <w:r w:rsidRPr="007F28C1">
        <w:rPr>
          <w:rFonts w:ascii="Times New Roman" w:hAnsi="Times New Roman" w:cs="Times New Roman"/>
          <w:sz w:val="24"/>
          <w:szCs w:val="24"/>
        </w:rPr>
        <w:t xml:space="preserve"> na takiego pracodawcę obowiązek określenia wymagań dla osób prowadzących ten ruch. Wobec tego pracodawca określa wymagania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zakresie przygotowania zawodowego i doświadczenia zawodowego dla osoby dozoru ruchu zakładu górniczego, jakie wyłącznie jego zdaniem – jako pracodawcy – są niezbędne do</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prawidłowego wykonywania przez tę osobę czynności w ruchu zakładu górniczego. Należy podkreślić, że osoba dozoru ruchu zakładu górniczego kieruje zespołami pracowników</w:t>
      </w:r>
      <w:r w:rsidR="00A331BE"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i nadzoruje ich pracę, a nawet może prowadzić samodzielnie ruch tego zakładu górniczego, wobec czego </w:t>
      </w:r>
      <w:r w:rsidR="005C6763"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istotne określenie właściwych wymagań w zakresie przygotowania zawodowego i doświadczenia zawodowego dla tych osób. Analogiczne problemy pojawiają się przy</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powierzaniu wykonywania czynności na</w:t>
      </w:r>
      <w:r w:rsidR="000F690B" w:rsidRPr="007F28C1">
        <w:rPr>
          <w:rFonts w:ascii="Times New Roman" w:hAnsi="Times New Roman" w:cs="Times New Roman"/>
          <w:sz w:val="24"/>
          <w:szCs w:val="24"/>
        </w:rPr>
        <w:t> </w:t>
      </w:r>
      <w:r w:rsidRPr="007F28C1">
        <w:rPr>
          <w:rFonts w:ascii="Times New Roman" w:hAnsi="Times New Roman" w:cs="Times New Roman"/>
          <w:sz w:val="24"/>
          <w:szCs w:val="24"/>
        </w:rPr>
        <w:t xml:space="preserve">podstawie art. 58 ust. 7 </w:t>
      </w:r>
      <w:r w:rsidR="00E36415" w:rsidRPr="007F28C1">
        <w:rPr>
          <w:rFonts w:ascii="Times New Roman" w:hAnsi="Times New Roman" w:cs="Times New Roman"/>
          <w:sz w:val="24"/>
          <w:szCs w:val="24"/>
        </w:rPr>
        <w:t>P</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F71D7B"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9355D1" w:rsidRPr="007F28C1">
        <w:rPr>
          <w:rFonts w:ascii="Times New Roman" w:hAnsi="Times New Roman" w:cs="Times New Roman"/>
          <w:sz w:val="24"/>
          <w:szCs w:val="24"/>
        </w:rPr>
        <w:t>.</w:t>
      </w:r>
    </w:p>
    <w:p w14:paraId="36321981" w14:textId="75C6635E" w:rsidR="000D2020" w:rsidRPr="007F28C1" w:rsidRDefault="00600CAD"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w:t>
      </w:r>
      <w:r w:rsidR="000D2020" w:rsidRPr="007F28C1">
        <w:rPr>
          <w:rFonts w:ascii="Times New Roman" w:hAnsi="Times New Roman" w:cs="Times New Roman"/>
          <w:sz w:val="24"/>
          <w:szCs w:val="24"/>
        </w:rPr>
        <w:t xml:space="preserve">odczas wykonywania nadzoru i kontroli organy </w:t>
      </w:r>
      <w:r w:rsidRPr="007F28C1">
        <w:rPr>
          <w:rFonts w:ascii="Times New Roman" w:hAnsi="Times New Roman" w:cs="Times New Roman"/>
          <w:sz w:val="24"/>
          <w:szCs w:val="24"/>
        </w:rPr>
        <w:t xml:space="preserve">nadzoru górniczego </w:t>
      </w:r>
      <w:r w:rsidR="000D2020" w:rsidRPr="007F28C1">
        <w:rPr>
          <w:rFonts w:ascii="Times New Roman" w:hAnsi="Times New Roman" w:cs="Times New Roman"/>
          <w:sz w:val="24"/>
          <w:szCs w:val="24"/>
        </w:rPr>
        <w:t>obserwują</w:t>
      </w:r>
      <w:r w:rsidR="006B0F1C">
        <w:rPr>
          <w:rFonts w:ascii="Times New Roman" w:hAnsi="Times New Roman" w:cs="Times New Roman"/>
          <w:sz w:val="24"/>
          <w:szCs w:val="24"/>
        </w:rPr>
        <w:t>,</w:t>
      </w:r>
      <w:r w:rsidR="000D2020" w:rsidRPr="007F28C1">
        <w:rPr>
          <w:rFonts w:ascii="Times New Roman" w:hAnsi="Times New Roman" w:cs="Times New Roman"/>
          <w:sz w:val="24"/>
          <w:szCs w:val="24"/>
        </w:rPr>
        <w:t xml:space="preserve"> jak obniżenie wymagań w zakresie przygotowania zawodowego i doświadczenia zawodowego wpływa na</w:t>
      </w:r>
      <w:r w:rsidR="009F22DA" w:rsidRPr="007F28C1">
        <w:rPr>
          <w:rFonts w:ascii="Times New Roman" w:hAnsi="Times New Roman" w:cs="Times New Roman"/>
          <w:sz w:val="24"/>
          <w:szCs w:val="24"/>
        </w:rPr>
        <w:t> </w:t>
      </w:r>
      <w:r w:rsidR="000D2020" w:rsidRPr="007F28C1">
        <w:rPr>
          <w:rFonts w:ascii="Times New Roman" w:hAnsi="Times New Roman" w:cs="Times New Roman"/>
          <w:sz w:val="24"/>
          <w:szCs w:val="24"/>
        </w:rPr>
        <w:t>pogorszenie jakości pracy w zakładach górniczych i zakładach, co ma bezpośrednie przełożenie na</w:t>
      </w:r>
      <w:r w:rsidR="009F22DA" w:rsidRPr="007F28C1">
        <w:rPr>
          <w:rFonts w:ascii="Times New Roman" w:hAnsi="Times New Roman" w:cs="Times New Roman"/>
          <w:sz w:val="24"/>
          <w:szCs w:val="24"/>
        </w:rPr>
        <w:t> </w:t>
      </w:r>
      <w:r w:rsidR="000D2020" w:rsidRPr="007F28C1">
        <w:rPr>
          <w:rFonts w:ascii="Times New Roman" w:hAnsi="Times New Roman" w:cs="Times New Roman"/>
          <w:sz w:val="24"/>
          <w:szCs w:val="24"/>
        </w:rPr>
        <w:t>bezpieczeństwo ruchu zakładu górniczego i zatrudnionych w nim osób.</w:t>
      </w:r>
    </w:p>
    <w:p w14:paraId="2F66377D" w14:textId="77777777" w:rsidR="00960377"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Należy również wskazać na problemy, jakie napotykają pracownicy w swojej karierze zawodowej podczas zmiany pracodawcy. Każdy pracodawca samodzielnie określa wymagania w zakresie przygotowania zawodowego i doświadczenia zawodowego, a następnie weryfikuje spełnianie tych wymagań. Zmiana pracodawcy powoduje konieczność spełnienia przez pracownika wymagań określonych przez nowego pracodawcę oraz konieczność poddania się ponownie procesowi sprawdzenia spełniania tych wymagań.</w:t>
      </w:r>
    </w:p>
    <w:p w14:paraId="25D0DB81" w14:textId="26E9B74F"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Jeszcze ważniejszym problemem dla pracowników jest brak spójności między wymaganiami określanymi przez pracodawców a wymaganiami określonymi </w:t>
      </w:r>
      <w:r w:rsidR="00483D58" w:rsidRPr="007F28C1">
        <w:rPr>
          <w:rFonts w:ascii="Times New Roman" w:hAnsi="Times New Roman" w:cs="Times New Roman"/>
          <w:sz w:val="24"/>
          <w:szCs w:val="24"/>
        </w:rPr>
        <w:t xml:space="preserve">w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Pr="007F28C1">
        <w:rPr>
          <w:rFonts w:ascii="Times New Roman" w:hAnsi="Times New Roman" w:cs="Times New Roman"/>
          <w:sz w:val="24"/>
          <w:szCs w:val="24"/>
        </w:rPr>
        <w:t>, skutkujący często brakiem możliwości rozwoju zawodowego. Tytułem przykładu – pracownik spełnił wymagania określone przez pracodawcę dla osoby dozoru ruchu w odkrywkowym zakładzie górniczym w</w:t>
      </w:r>
      <w:r w:rsidR="00656D16" w:rsidRPr="007F28C1">
        <w:rPr>
          <w:rFonts w:ascii="Times New Roman" w:hAnsi="Times New Roman" w:cs="Times New Roman"/>
          <w:sz w:val="24"/>
          <w:szCs w:val="24"/>
        </w:rPr>
        <w:t> </w:t>
      </w:r>
      <w:r w:rsidRPr="007F28C1">
        <w:rPr>
          <w:rFonts w:ascii="Times New Roman" w:hAnsi="Times New Roman" w:cs="Times New Roman"/>
          <w:sz w:val="24"/>
          <w:szCs w:val="24"/>
        </w:rPr>
        <w:t>specjalności górniczej, w postaci ukończenia szkoły zawodowej w zakresie górnictwa odkrywkowego i rocznej praktyki w ruchu odkrywkowego zakładu górniczego, w związku z czym pracodawca powierzył mu wykonywanie tych czynności. Po kilku latach pracy pracownik, w celu dalszego rozwoju zawodowego, składa</w:t>
      </w:r>
      <w:r w:rsidR="00F71D7B" w:rsidRPr="007F28C1">
        <w:rPr>
          <w:rFonts w:ascii="Times New Roman" w:hAnsi="Times New Roman" w:cs="Times New Roman"/>
          <w:sz w:val="24"/>
          <w:szCs w:val="24"/>
        </w:rPr>
        <w:t xml:space="preserve"> </w:t>
      </w:r>
      <w:r w:rsidRPr="007F28C1">
        <w:rPr>
          <w:rFonts w:ascii="Times New Roman" w:hAnsi="Times New Roman" w:cs="Times New Roman"/>
          <w:sz w:val="24"/>
          <w:szCs w:val="24"/>
        </w:rPr>
        <w:t>do dyrektora okręgowego urzędu górniczego wniosek o</w:t>
      </w:r>
      <w:r w:rsidR="00754A3E" w:rsidRPr="007F28C1">
        <w:rPr>
          <w:rFonts w:ascii="Times New Roman" w:hAnsi="Times New Roman" w:cs="Times New Roman"/>
          <w:sz w:val="24"/>
          <w:szCs w:val="24"/>
        </w:rPr>
        <w:t> </w:t>
      </w:r>
      <w:r w:rsidRPr="007F28C1">
        <w:rPr>
          <w:rFonts w:ascii="Times New Roman" w:hAnsi="Times New Roman" w:cs="Times New Roman"/>
          <w:sz w:val="24"/>
          <w:szCs w:val="24"/>
        </w:rPr>
        <w:t xml:space="preserve">stwierdzenie </w:t>
      </w:r>
      <w:r w:rsidR="002D5F91" w:rsidRPr="007F28C1">
        <w:rPr>
          <w:rFonts w:ascii="Times New Roman" w:hAnsi="Times New Roman" w:cs="Times New Roman"/>
          <w:sz w:val="24"/>
          <w:szCs w:val="24"/>
        </w:rPr>
        <w:t xml:space="preserve">posiadania </w:t>
      </w:r>
      <w:r w:rsidRPr="007F28C1">
        <w:rPr>
          <w:rFonts w:ascii="Times New Roman" w:hAnsi="Times New Roman" w:cs="Times New Roman"/>
          <w:sz w:val="24"/>
          <w:szCs w:val="24"/>
        </w:rPr>
        <w:t xml:space="preserve">kwalifikacji do wykonywania czynności w wyższym dozorze ruchu w odkrywkowych zakładach górniczych w specjalności górniczej. Podczas swojej dotychczasowej pracy pracownik nabył doświadczenie zawodowe w dozorze </w:t>
      </w:r>
      <w:r w:rsidRPr="007F28C1">
        <w:rPr>
          <w:rFonts w:ascii="Times New Roman" w:hAnsi="Times New Roman" w:cs="Times New Roman"/>
          <w:sz w:val="24"/>
          <w:szCs w:val="24"/>
        </w:rPr>
        <w:lastRenderedPageBreak/>
        <w:t>ruchu w odkrywkowym zakładzie górniczym w specjalności górniczej, co stanowi spełnienie wymogu w zakresie doświadczenia zawodowego, określonego w l.p. 1 w tabeli nr 1 w części B w załączniku nr 1 do rozporządzenia Ministra Środowiska z dnia 2 sierpnia 2016 r. w sprawie kwalifikacji w zakresie górnictwa i ratownictwa górniczego. Jednakże przygotowanie zawodowe pracownika, preferowane przez pracodawcę, nie spełnia wymogu w zakresie przygotowania zawodowego, określonego w ww. przepisie. W związku z powyższym, mimo posiadania odpowiedniego doświadczenia zawodowego, pracownik nie może zostać dopuszczony do egzaminu dla</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stwierdzenia </w:t>
      </w:r>
      <w:r w:rsidR="002D5F91" w:rsidRPr="007F28C1">
        <w:rPr>
          <w:rFonts w:ascii="Times New Roman" w:hAnsi="Times New Roman" w:cs="Times New Roman"/>
          <w:sz w:val="24"/>
          <w:szCs w:val="24"/>
        </w:rPr>
        <w:t xml:space="preserve">posiadania </w:t>
      </w:r>
      <w:r w:rsidRPr="007F28C1">
        <w:rPr>
          <w:rFonts w:ascii="Times New Roman" w:hAnsi="Times New Roman" w:cs="Times New Roman"/>
          <w:sz w:val="24"/>
          <w:szCs w:val="24"/>
        </w:rPr>
        <w:t>kwalifikacji do wykonywania czynności w wyższym dozorze ruchu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odkrywkowym zakładzie górniczym w specjalności górniczej. Opisany stan faktyczny jest stosunkowo prosty, ponieważ pracodawca określił taką samą specjalność w dozorze, jaką dla wyższego dozoru ruchu przewidują przepisy rozporządzenia Ministra Środowiska z dnia 2 sierpnia 2016 r.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sprawie kwalifikacji w zakresie górnictwa i ratownictwa górniczego. W praktyce pracodawcy, korzystając z samodzielności, jaką przyznaje im art. 53 ust. 2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Pr="007F28C1">
        <w:rPr>
          <w:rFonts w:ascii="Times New Roman" w:hAnsi="Times New Roman" w:cs="Times New Roman"/>
          <w:sz w:val="24"/>
          <w:szCs w:val="24"/>
        </w:rPr>
        <w:t>, w związku z potrzebami ruchu prowadzonego przez nich zakładu górniczego, określają bardzo szeroko zakres specjalności osoby dozoru, łącząc w jednej specjalności kilka np. górniczą z mechaniczną i elektryczną. W takim przypadku trudno określić, w jakiej specjalności realnie odbył praktykę kandydat na osobę wyższego dozoru ruchu w odkrywkowych zakładach górniczych, a w konsekwencji może okazać się, że praktyka w ruchu zakładu górniczego nie będzie mogła być wzięta pod uwagę przy ocenie spełniania wymagań, określonych w przepisach</w:t>
      </w:r>
      <w:r w:rsidR="005B7604" w:rsidRPr="007F28C1">
        <w:rPr>
          <w:rFonts w:ascii="Times New Roman" w:hAnsi="Times New Roman" w:cs="Times New Roman"/>
          <w:sz w:val="24"/>
          <w:szCs w:val="24"/>
        </w:rPr>
        <w:t xml:space="preserve"> </w:t>
      </w:r>
      <w:r w:rsidR="00300004" w:rsidRPr="007F28C1">
        <w:rPr>
          <w:rFonts w:ascii="Times New Roman" w:hAnsi="Times New Roman" w:cs="Times New Roman"/>
          <w:sz w:val="24"/>
          <w:szCs w:val="24"/>
        </w:rPr>
        <w:t>rozporządzenia Ministra Środowiska z dnia 2 sierpnia 2016 r. w sprawie kwalifikacji w zakresie górnictwa i ratownictwa górniczego</w:t>
      </w:r>
      <w:r w:rsidRPr="007F28C1">
        <w:rPr>
          <w:rFonts w:ascii="Times New Roman" w:hAnsi="Times New Roman" w:cs="Times New Roman"/>
          <w:sz w:val="24"/>
          <w:szCs w:val="24"/>
        </w:rPr>
        <w:t>.</w:t>
      </w:r>
    </w:p>
    <w:p w14:paraId="5881B3D0" w14:textId="237E7863"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Mając na uwadze powyższe, proponuje się przyjęcie rozwiązania, zgodnie z którym ustawodawca określa kwalifikacje,</w:t>
      </w:r>
      <w:r w:rsidR="002F42CC" w:rsidRPr="007F28C1">
        <w:rPr>
          <w:rFonts w:ascii="Times New Roman" w:hAnsi="Times New Roman" w:cs="Times New Roman"/>
          <w:sz w:val="24"/>
          <w:szCs w:val="24"/>
        </w:rPr>
        <w:t xml:space="preserve"> do posiadania</w:t>
      </w:r>
      <w:r w:rsidRPr="007F28C1">
        <w:rPr>
          <w:rFonts w:ascii="Times New Roman" w:hAnsi="Times New Roman" w:cs="Times New Roman"/>
          <w:sz w:val="24"/>
          <w:szCs w:val="24"/>
        </w:rPr>
        <w:t xml:space="preserve"> jaki</w:t>
      </w:r>
      <w:r w:rsidR="002F42CC" w:rsidRPr="007F28C1">
        <w:rPr>
          <w:rFonts w:ascii="Times New Roman" w:hAnsi="Times New Roman" w:cs="Times New Roman"/>
          <w:sz w:val="24"/>
          <w:szCs w:val="24"/>
        </w:rPr>
        <w:t>ch</w:t>
      </w:r>
      <w:r w:rsidRPr="007F28C1">
        <w:rPr>
          <w:rFonts w:ascii="Times New Roman" w:hAnsi="Times New Roman" w:cs="Times New Roman"/>
          <w:sz w:val="24"/>
          <w:szCs w:val="24"/>
        </w:rPr>
        <w:t xml:space="preserve"> są obowiązane wszystkie osoby wykonujące czynności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ruchu zakładu górniczego lub zakładu, a organy nadzoru górniczego sprawdzają posiadanie tych kwalifikacji. Takie rozwiązanie prawne obowiązywało do dnia 31 grudnia 2011 r. i obowiązuje nadal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odniesieniu do osób kierownictwa i dozoru ruchu zakładu górniczego lub zakładu, wymienionych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art. 58 ust. 1 i 2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9355D1" w:rsidRPr="007F28C1">
        <w:rPr>
          <w:rFonts w:ascii="Times New Roman" w:hAnsi="Times New Roman" w:cs="Times New Roman"/>
          <w:sz w:val="24"/>
          <w:szCs w:val="24"/>
        </w:rPr>
        <w:t>.</w:t>
      </w:r>
    </w:p>
    <w:p w14:paraId="02DC0523" w14:textId="5B4CD7EA"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Zgodnie z proponowanym rozwiązaniem, wymagania w zakresie przygotowania zawodowego i doświadczenia zawodowego będą określone na poziomie zapewniającym prawidłowe wykonywanie czynności w ruchu zakładu górniczego lub zakładu, co wzmocni bezpieczeństwo ruchu. Wymagania w</w:t>
      </w:r>
      <w:r w:rsidR="009F22DA" w:rsidRPr="007F28C1">
        <w:rPr>
          <w:rFonts w:ascii="Times New Roman" w:hAnsi="Times New Roman" w:cs="Times New Roman"/>
          <w:sz w:val="24"/>
          <w:szCs w:val="24"/>
        </w:rPr>
        <w:t> </w:t>
      </w:r>
      <w:r w:rsidRPr="007F28C1">
        <w:rPr>
          <w:rFonts w:ascii="Times New Roman" w:hAnsi="Times New Roman" w:cs="Times New Roman"/>
          <w:sz w:val="24"/>
          <w:szCs w:val="24"/>
        </w:rPr>
        <w:t xml:space="preserve">zakresie przygotowania zawodowego i doświadczenia zawodowego będą określane przez </w:t>
      </w:r>
      <w:r w:rsidR="00FD6843" w:rsidRPr="007F28C1">
        <w:rPr>
          <w:rFonts w:ascii="Times New Roman" w:hAnsi="Times New Roman" w:cs="Times New Roman"/>
          <w:sz w:val="24"/>
          <w:szCs w:val="24"/>
        </w:rPr>
        <w:t xml:space="preserve">ustawodawcę w przepisach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Pr="007F28C1">
        <w:rPr>
          <w:rFonts w:ascii="Times New Roman" w:hAnsi="Times New Roman" w:cs="Times New Roman"/>
          <w:sz w:val="24"/>
          <w:szCs w:val="24"/>
        </w:rPr>
        <w:t xml:space="preserve"> </w:t>
      </w:r>
      <w:r w:rsidR="00FD6843" w:rsidRPr="007F28C1">
        <w:rPr>
          <w:rFonts w:ascii="Times New Roman" w:hAnsi="Times New Roman" w:cs="Times New Roman"/>
          <w:sz w:val="24"/>
          <w:szCs w:val="24"/>
        </w:rPr>
        <w:t xml:space="preserve">i </w:t>
      </w:r>
      <w:r w:rsidRPr="007F28C1">
        <w:rPr>
          <w:rFonts w:ascii="Times New Roman" w:hAnsi="Times New Roman" w:cs="Times New Roman"/>
          <w:sz w:val="24"/>
          <w:szCs w:val="24"/>
        </w:rPr>
        <w:t>w rozporządzeni</w:t>
      </w:r>
      <w:r w:rsidR="00FD6843" w:rsidRPr="007F28C1">
        <w:rPr>
          <w:rFonts w:ascii="Times New Roman" w:hAnsi="Times New Roman" w:cs="Times New Roman"/>
          <w:sz w:val="24"/>
          <w:szCs w:val="24"/>
        </w:rPr>
        <w:t>u</w:t>
      </w:r>
      <w:r w:rsidRPr="007F28C1">
        <w:rPr>
          <w:rFonts w:ascii="Times New Roman" w:hAnsi="Times New Roman" w:cs="Times New Roman"/>
          <w:sz w:val="24"/>
          <w:szCs w:val="24"/>
        </w:rPr>
        <w:t xml:space="preserve"> w sprawie kwalifikacji w zakresie górnictwa i ratownictwa górniczego.</w:t>
      </w:r>
    </w:p>
    <w:p w14:paraId="4DBDC9A2" w14:textId="3DD64DEF" w:rsidR="000D2020" w:rsidRPr="007F28C1" w:rsidRDefault="009702B6"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lastRenderedPageBreak/>
        <w:t>Przekazanie kompetencji w zakresie</w:t>
      </w:r>
      <w:r w:rsidR="000D2020" w:rsidRPr="007F28C1">
        <w:rPr>
          <w:rFonts w:ascii="Times New Roman" w:hAnsi="Times New Roman" w:cs="Times New Roman"/>
          <w:sz w:val="24"/>
          <w:szCs w:val="24"/>
        </w:rPr>
        <w:t xml:space="preserve"> sprawdzenia wymagań organom nadzoru górniczego zapewni stosowanie na terenie całego kraju jednolitej wykładni przepisów</w:t>
      </w:r>
      <w:r w:rsidR="00453B61" w:rsidRPr="007F28C1">
        <w:rPr>
          <w:rFonts w:ascii="Times New Roman" w:hAnsi="Times New Roman" w:cs="Times New Roman"/>
          <w:sz w:val="24"/>
          <w:szCs w:val="24"/>
        </w:rPr>
        <w:t xml:space="preserve">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0D2020" w:rsidRPr="007F28C1">
        <w:rPr>
          <w:rFonts w:ascii="Times New Roman" w:hAnsi="Times New Roman" w:cs="Times New Roman"/>
          <w:sz w:val="24"/>
          <w:szCs w:val="24"/>
        </w:rPr>
        <w:t xml:space="preserve"> dotyczących wymagań w</w:t>
      </w:r>
      <w:r w:rsidR="00AA26A0" w:rsidRPr="007F28C1">
        <w:rPr>
          <w:rFonts w:ascii="Times New Roman" w:hAnsi="Times New Roman" w:cs="Times New Roman"/>
          <w:sz w:val="24"/>
          <w:szCs w:val="24"/>
        </w:rPr>
        <w:t> </w:t>
      </w:r>
      <w:r w:rsidR="000D2020" w:rsidRPr="007F28C1">
        <w:rPr>
          <w:rFonts w:ascii="Times New Roman" w:hAnsi="Times New Roman" w:cs="Times New Roman"/>
          <w:sz w:val="24"/>
          <w:szCs w:val="24"/>
        </w:rPr>
        <w:t xml:space="preserve">zakresie przygotowania zawodowego i doświadczenia zawodowego. W aktualnym stanie prawnym egzamin sprawdzający posiadanie kwalifikacji do wykonywania czynności, o których mowa w art. 58 ust. 1 i 2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0D2020" w:rsidRPr="007F28C1">
        <w:rPr>
          <w:rFonts w:ascii="Times New Roman" w:hAnsi="Times New Roman" w:cs="Times New Roman"/>
          <w:sz w:val="24"/>
          <w:szCs w:val="24"/>
        </w:rPr>
        <w:t>, przeprowadza bezstronna komisja egzaminacyjna, powołana przez organ nadzoru górniczego, w skład której wchodzą kompetentni pracownicy nadzoru górniczego oraz przedstawiciele przedsiębiorców. Organy nadzoru górniczego w komisji egzaminacyjnej reprezentują prawnicy, którzy</w:t>
      </w:r>
      <w:r w:rsidR="00AA26A0" w:rsidRPr="007F28C1">
        <w:rPr>
          <w:rFonts w:ascii="Times New Roman" w:hAnsi="Times New Roman" w:cs="Times New Roman"/>
          <w:sz w:val="24"/>
          <w:szCs w:val="24"/>
        </w:rPr>
        <w:t> </w:t>
      </w:r>
      <w:r w:rsidR="000D2020" w:rsidRPr="007F28C1">
        <w:rPr>
          <w:rFonts w:ascii="Times New Roman" w:hAnsi="Times New Roman" w:cs="Times New Roman"/>
          <w:sz w:val="24"/>
          <w:szCs w:val="24"/>
        </w:rPr>
        <w:t>weryfikują znajomość przepisów prawa stosowanego w ruchu zakładu górniczego lub zakładu, oraz pracownicy inspekcyjno-techniczni, którzy – wraz z przedstawicielami przedsiębiorców wchodzących w skład komisji egzaminacyjnej – badają znajomość zagadnień związanych z</w:t>
      </w:r>
      <w:r w:rsidR="00AA26A0" w:rsidRPr="007F28C1">
        <w:rPr>
          <w:rFonts w:ascii="Times New Roman" w:hAnsi="Times New Roman" w:cs="Times New Roman"/>
          <w:sz w:val="24"/>
          <w:szCs w:val="24"/>
        </w:rPr>
        <w:t> </w:t>
      </w:r>
      <w:r w:rsidR="000D2020" w:rsidRPr="007F28C1">
        <w:rPr>
          <w:rFonts w:ascii="Times New Roman" w:hAnsi="Times New Roman" w:cs="Times New Roman"/>
          <w:sz w:val="24"/>
          <w:szCs w:val="24"/>
        </w:rPr>
        <w:t>prowadzeniem ruchu zakładu górniczego lub zakładu. Taki skład komisji zapewnia możliwość wszechstronnej weryfikacji przygotowania zawodowego i</w:t>
      </w:r>
      <w:r w:rsidR="0023429C" w:rsidRPr="007F28C1">
        <w:rPr>
          <w:rFonts w:ascii="Times New Roman" w:hAnsi="Times New Roman" w:cs="Times New Roman"/>
          <w:sz w:val="24"/>
          <w:szCs w:val="24"/>
        </w:rPr>
        <w:t> </w:t>
      </w:r>
      <w:r w:rsidR="000D2020" w:rsidRPr="007F28C1">
        <w:rPr>
          <w:rFonts w:ascii="Times New Roman" w:hAnsi="Times New Roman" w:cs="Times New Roman"/>
          <w:sz w:val="24"/>
          <w:szCs w:val="24"/>
        </w:rPr>
        <w:t>doświadczenia zawodowego kandydatów na</w:t>
      </w:r>
      <w:r w:rsidR="00AA26A0" w:rsidRPr="007F28C1">
        <w:rPr>
          <w:rFonts w:ascii="Times New Roman" w:hAnsi="Times New Roman" w:cs="Times New Roman"/>
          <w:sz w:val="24"/>
          <w:szCs w:val="24"/>
        </w:rPr>
        <w:t> </w:t>
      </w:r>
      <w:r w:rsidR="000D2020" w:rsidRPr="007F28C1">
        <w:rPr>
          <w:rFonts w:ascii="Times New Roman" w:hAnsi="Times New Roman" w:cs="Times New Roman"/>
          <w:sz w:val="24"/>
          <w:szCs w:val="24"/>
        </w:rPr>
        <w:t xml:space="preserve">osoby wykonujące czynności w kierownictwie i w dozorze ruchu zakładów górniczych lub zakładów. </w:t>
      </w:r>
    </w:p>
    <w:p w14:paraId="04ED355B" w14:textId="0987A03E"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Ten sprawdzony mechanizm egzaminowania </w:t>
      </w:r>
      <w:r w:rsidR="002F42CC" w:rsidRPr="007F28C1">
        <w:rPr>
          <w:rFonts w:ascii="Times New Roman" w:hAnsi="Times New Roman" w:cs="Times New Roman"/>
          <w:sz w:val="24"/>
          <w:szCs w:val="24"/>
        </w:rPr>
        <w:t xml:space="preserve">będzie </w:t>
      </w:r>
      <w:r w:rsidRPr="007F28C1">
        <w:rPr>
          <w:rFonts w:ascii="Times New Roman" w:hAnsi="Times New Roman" w:cs="Times New Roman"/>
          <w:sz w:val="24"/>
          <w:szCs w:val="24"/>
        </w:rPr>
        <w:t>ponownie rozszerzony na wszystkie osoby wykonujące czynności w kierownictwie i w dozorze ruchu zakładów górniczych lub zakładów.</w:t>
      </w:r>
    </w:p>
    <w:p w14:paraId="1B24A4F3" w14:textId="3454A0E9"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Ważnym aspektem proponowanego rozwiązania, tj. określania wymagań w przepisach prawa powszechnie obowiązującego oraz sprawdzania spełniania tych wymagań przez organ administracji państwowej, jest zapewnienie swobody przepływu pracowników między zakładami górniczymi prowadzącymi działalność jedną metodą lub nawet – w przypadku wykonywania podobnych czynności – między zakładami górniczymi prowadzącymi działalność różnymi metodami. Takie rozwiązania będą skutkować uelastycznieniem rynku pracy, co jest szczególnie ważne w sytuacji restrukturyzacji górnictwa.</w:t>
      </w:r>
    </w:p>
    <w:p w14:paraId="67D8BD4A" w14:textId="6F2A2910"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Ponadto proponuje się zwiększenie mobilności pracowników wykonujących czynności w podobnym dziale ruchu lub w podobnej specjalności technicznej między zakładami górniczymi wydobywającymi kopaliny odmiennymi metodami. W aktualnym stanie prawnym, stosownie do art. 55 ust. 2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Pr="007F28C1">
        <w:rPr>
          <w:rFonts w:ascii="Times New Roman" w:hAnsi="Times New Roman" w:cs="Times New Roman"/>
          <w:sz w:val="24"/>
          <w:szCs w:val="24"/>
        </w:rPr>
        <w:t>, praktyką jest wykonywanie czynności w dziale ruchu lub w specjalności technicznej w zakładach górniczych prowadzących działalność tą samą metodą. Jednakże osoby wykonujące czynności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specjalności mechanicznej lub elektrycznej w podziemnych zakładach górniczych z powodzeniem mogłyby wykonywać czynności w ruchu odkrywkowych zakładów górniczych. W związku 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powyższym proponuje się umożliwienie właściwemu organowi nadzoru górniczego uznawania praktyki w ruchu jednego rodzaju </w:t>
      </w:r>
      <w:r w:rsidRPr="007F28C1">
        <w:rPr>
          <w:rFonts w:ascii="Times New Roman" w:hAnsi="Times New Roman" w:cs="Times New Roman"/>
          <w:sz w:val="24"/>
          <w:szCs w:val="24"/>
        </w:rPr>
        <w:lastRenderedPageBreak/>
        <w:t xml:space="preserve">zakładu górniczego </w:t>
      </w:r>
      <w:r w:rsidR="006717EA">
        <w:rPr>
          <w:rFonts w:ascii="Times New Roman" w:hAnsi="Times New Roman" w:cs="Times New Roman"/>
          <w:sz w:val="24"/>
          <w:szCs w:val="24"/>
        </w:rPr>
        <w:t>na</w:t>
      </w:r>
      <w:r w:rsidR="006717EA" w:rsidRPr="007F28C1">
        <w:rPr>
          <w:rFonts w:ascii="Times New Roman" w:hAnsi="Times New Roman" w:cs="Times New Roman"/>
          <w:sz w:val="24"/>
          <w:szCs w:val="24"/>
        </w:rPr>
        <w:t xml:space="preserve"> </w:t>
      </w:r>
      <w:r w:rsidRPr="007F28C1">
        <w:rPr>
          <w:rFonts w:ascii="Times New Roman" w:hAnsi="Times New Roman" w:cs="Times New Roman"/>
          <w:sz w:val="24"/>
          <w:szCs w:val="24"/>
        </w:rPr>
        <w:t>potrzeb</w:t>
      </w:r>
      <w:r w:rsidR="006717EA">
        <w:rPr>
          <w:rFonts w:ascii="Times New Roman" w:hAnsi="Times New Roman" w:cs="Times New Roman"/>
          <w:sz w:val="24"/>
          <w:szCs w:val="24"/>
        </w:rPr>
        <w:t>y</w:t>
      </w:r>
      <w:r w:rsidRPr="007F28C1">
        <w:rPr>
          <w:rFonts w:ascii="Times New Roman" w:hAnsi="Times New Roman" w:cs="Times New Roman"/>
          <w:sz w:val="24"/>
          <w:szCs w:val="24"/>
        </w:rPr>
        <w:t xml:space="preserve"> stwierdzenia kwalifikacji do wykonywania czynności w ruchu innego rodzaju zakładu górniczego.</w:t>
      </w:r>
    </w:p>
    <w:p w14:paraId="00E2B6E0" w14:textId="2BBF1322" w:rsidR="000D2020"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Przyjęto założenie, że przepisy </w:t>
      </w:r>
      <w:r w:rsidR="00E36415" w:rsidRPr="007F28C1">
        <w:rPr>
          <w:rFonts w:ascii="Times New Roman" w:hAnsi="Times New Roman" w:cs="Times New Roman"/>
          <w:sz w:val="24"/>
          <w:szCs w:val="24"/>
        </w:rPr>
        <w:t>P</w:t>
      </w:r>
      <w:r w:rsidR="004D32D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D32D8"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4D32D8"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rozporządzenia</w:t>
      </w:r>
      <w:r w:rsidR="005B7604" w:rsidRPr="007F28C1">
        <w:rPr>
          <w:rFonts w:ascii="Times New Roman" w:hAnsi="Times New Roman" w:cs="Times New Roman"/>
          <w:sz w:val="24"/>
          <w:szCs w:val="24"/>
        </w:rPr>
        <w:t xml:space="preserve"> </w:t>
      </w:r>
      <w:r w:rsidR="00300004" w:rsidRPr="007F28C1">
        <w:rPr>
          <w:rFonts w:ascii="Times New Roman" w:hAnsi="Times New Roman" w:cs="Times New Roman"/>
          <w:sz w:val="24"/>
          <w:szCs w:val="24"/>
        </w:rPr>
        <w:t>określającego szczegółowe wymagania dotyczące</w:t>
      </w:r>
      <w:r w:rsidRPr="007F28C1">
        <w:rPr>
          <w:rFonts w:ascii="Times New Roman" w:hAnsi="Times New Roman" w:cs="Times New Roman"/>
          <w:iCs/>
          <w:sz w:val="24"/>
          <w:szCs w:val="24"/>
        </w:rPr>
        <w:t xml:space="preserve"> </w:t>
      </w:r>
      <w:r w:rsidRPr="007F28C1">
        <w:rPr>
          <w:rFonts w:ascii="Times New Roman" w:hAnsi="Times New Roman" w:cs="Times New Roman"/>
          <w:sz w:val="24"/>
          <w:szCs w:val="24"/>
        </w:rPr>
        <w:t>kwalifikacj</w:t>
      </w:r>
      <w:r w:rsidR="00300004" w:rsidRPr="007F28C1">
        <w:rPr>
          <w:rFonts w:ascii="Times New Roman" w:hAnsi="Times New Roman" w:cs="Times New Roman"/>
          <w:sz w:val="24"/>
          <w:szCs w:val="24"/>
        </w:rPr>
        <w:t>i</w:t>
      </w:r>
      <w:r w:rsidRPr="007F28C1">
        <w:rPr>
          <w:rFonts w:ascii="Times New Roman" w:hAnsi="Times New Roman" w:cs="Times New Roman"/>
          <w:sz w:val="24"/>
          <w:szCs w:val="24"/>
        </w:rPr>
        <w:t xml:space="preserve"> w</w:t>
      </w:r>
      <w:r w:rsidR="0023429C" w:rsidRPr="007F28C1">
        <w:rPr>
          <w:rFonts w:ascii="Times New Roman" w:hAnsi="Times New Roman" w:cs="Times New Roman"/>
          <w:sz w:val="24"/>
          <w:szCs w:val="24"/>
        </w:rPr>
        <w:t> </w:t>
      </w:r>
      <w:r w:rsidRPr="007F28C1">
        <w:rPr>
          <w:rFonts w:ascii="Times New Roman" w:hAnsi="Times New Roman" w:cs="Times New Roman"/>
          <w:sz w:val="24"/>
          <w:szCs w:val="24"/>
        </w:rPr>
        <w:t>zakresie górnictwa i ratownictwa górniczego będą enumeratywnie wyliczały działy ruchu (w przypadku osób wykonujących czynności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kierownictwie działu) oraz specjalności (w</w:t>
      </w:r>
      <w:r w:rsidR="00D978C1" w:rsidRPr="007F28C1">
        <w:rPr>
          <w:rFonts w:ascii="Times New Roman" w:hAnsi="Times New Roman" w:cs="Times New Roman"/>
          <w:sz w:val="24"/>
          <w:szCs w:val="24"/>
        </w:rPr>
        <w:t> </w:t>
      </w:r>
      <w:r w:rsidRPr="007F28C1">
        <w:rPr>
          <w:rFonts w:ascii="Times New Roman" w:hAnsi="Times New Roman" w:cs="Times New Roman"/>
          <w:sz w:val="24"/>
          <w:szCs w:val="24"/>
        </w:rPr>
        <w:t>przypadku osób wykonujących czynności w dozorze ruchu zakładu górniczego lub zakładu), w</w:t>
      </w:r>
      <w:r w:rsidR="00D978C1" w:rsidRPr="007F28C1">
        <w:rPr>
          <w:rFonts w:ascii="Times New Roman" w:hAnsi="Times New Roman" w:cs="Times New Roman"/>
          <w:sz w:val="24"/>
          <w:szCs w:val="24"/>
        </w:rPr>
        <w:t> </w:t>
      </w:r>
      <w:r w:rsidRPr="007F28C1">
        <w:rPr>
          <w:rFonts w:ascii="Times New Roman" w:hAnsi="Times New Roman" w:cs="Times New Roman"/>
          <w:sz w:val="24"/>
          <w:szCs w:val="24"/>
        </w:rPr>
        <w:t xml:space="preserve">jakich będzie można stwierdzić </w:t>
      </w:r>
      <w:r w:rsidR="00F577AC" w:rsidRPr="007F28C1">
        <w:rPr>
          <w:rFonts w:ascii="Times New Roman" w:hAnsi="Times New Roman" w:cs="Times New Roman"/>
          <w:sz w:val="24"/>
          <w:szCs w:val="24"/>
        </w:rPr>
        <w:t xml:space="preserve">posiadanie </w:t>
      </w:r>
      <w:r w:rsidRPr="007F28C1">
        <w:rPr>
          <w:rFonts w:ascii="Times New Roman" w:hAnsi="Times New Roman" w:cs="Times New Roman"/>
          <w:sz w:val="24"/>
          <w:szCs w:val="24"/>
        </w:rPr>
        <w:t>kwalifikacj</w:t>
      </w:r>
      <w:r w:rsidR="00F577AC" w:rsidRPr="007F28C1">
        <w:rPr>
          <w:rFonts w:ascii="Times New Roman" w:hAnsi="Times New Roman" w:cs="Times New Roman"/>
          <w:sz w:val="24"/>
          <w:szCs w:val="24"/>
        </w:rPr>
        <w:t>i</w:t>
      </w:r>
      <w:r w:rsidRPr="007F28C1">
        <w:rPr>
          <w:rFonts w:ascii="Times New Roman" w:hAnsi="Times New Roman" w:cs="Times New Roman"/>
          <w:sz w:val="24"/>
          <w:szCs w:val="24"/>
        </w:rPr>
        <w:t>.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aktualnym stanie prawnym przepisy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rozporządzenia w</w:t>
      </w:r>
      <w:r w:rsidR="009F22DA" w:rsidRPr="007F28C1">
        <w:rPr>
          <w:rFonts w:ascii="Times New Roman" w:hAnsi="Times New Roman" w:cs="Times New Roman"/>
          <w:sz w:val="24"/>
          <w:szCs w:val="24"/>
        </w:rPr>
        <w:t> </w:t>
      </w:r>
      <w:r w:rsidRPr="007F28C1">
        <w:rPr>
          <w:rFonts w:ascii="Times New Roman" w:hAnsi="Times New Roman" w:cs="Times New Roman"/>
          <w:sz w:val="24"/>
          <w:szCs w:val="24"/>
        </w:rPr>
        <w:t>sprawie kwalifikacji w zakresie górnictwa i ratownictwa górniczego określają wymagania dla osób wykonujących czynności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kierownictwie (1) działów wymienionych z nazwy w</w:t>
      </w:r>
      <w:r w:rsidR="00D978C1" w:rsidRPr="007F28C1">
        <w:rPr>
          <w:rFonts w:ascii="Times New Roman" w:hAnsi="Times New Roman" w:cs="Times New Roman"/>
          <w:sz w:val="24"/>
          <w:szCs w:val="24"/>
        </w:rPr>
        <w:t> </w:t>
      </w:r>
      <w:r w:rsidRPr="007F28C1">
        <w:rPr>
          <w:rFonts w:ascii="Times New Roman" w:hAnsi="Times New Roman" w:cs="Times New Roman"/>
          <w:sz w:val="24"/>
          <w:szCs w:val="24"/>
        </w:rPr>
        <w:t>poszczególnych punktach tabel w załącznikach do rozporządzenia Ministra Środowiska z dnia 2 sierpnia 2016 r. w sprawie kwalifikacji w zakresie górnictwa i ratownictwa górniczego oraz (2) działów „niewymienionych w lp. …-…” w tabeli. Analogiczny stan prawny dotyczy określenia specjalności dla osób wykonujących czynności w dozorze ruchu zakładu górniczego lub zakładu, w jakich można uzyskać kwalifikacje. W przypadkach działów lub specjalności „niewymienionych” wymagania są</w:t>
      </w:r>
      <w:r w:rsidR="009F22DA" w:rsidRPr="007F28C1">
        <w:rPr>
          <w:rFonts w:ascii="Times New Roman" w:hAnsi="Times New Roman" w:cs="Times New Roman"/>
          <w:sz w:val="24"/>
          <w:szCs w:val="24"/>
        </w:rPr>
        <w:t> </w:t>
      </w:r>
      <w:r w:rsidRPr="007F28C1">
        <w:rPr>
          <w:rFonts w:ascii="Times New Roman" w:hAnsi="Times New Roman" w:cs="Times New Roman"/>
          <w:sz w:val="24"/>
          <w:szCs w:val="24"/>
        </w:rPr>
        <w:t>określone w sposób ogólny, co miało umożliwić elastyczne powierzanie czynności w kierownictwie działu. Rozwiązanie to nie sprawdziło się w</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praktyce, ponieważ zdarzało się, że pracodawcy łączyli kilka działów i tworzyli dział „niewymieniony” w przepisach rozporządzenia </w:t>
      </w:r>
      <w:r w:rsidR="008E301E" w:rsidRPr="007F28C1">
        <w:rPr>
          <w:rFonts w:ascii="Times New Roman" w:hAnsi="Times New Roman" w:cs="Times New Roman"/>
          <w:sz w:val="24"/>
          <w:szCs w:val="24"/>
        </w:rPr>
        <w:t xml:space="preserve">Ministra Środowiska z dnia 2 sierpnia 2016 r. </w:t>
      </w:r>
      <w:r w:rsidRPr="007F28C1">
        <w:rPr>
          <w:rFonts w:ascii="Times New Roman" w:hAnsi="Times New Roman" w:cs="Times New Roman"/>
          <w:sz w:val="24"/>
          <w:szCs w:val="24"/>
        </w:rPr>
        <w:t>w sprawie kwalifikacji w</w:t>
      </w:r>
      <w:r w:rsidR="00445194" w:rsidRPr="007F28C1">
        <w:rPr>
          <w:rFonts w:ascii="Times New Roman" w:hAnsi="Times New Roman" w:cs="Times New Roman"/>
          <w:sz w:val="24"/>
          <w:szCs w:val="24"/>
        </w:rPr>
        <w:t> </w:t>
      </w:r>
      <w:r w:rsidRPr="007F28C1">
        <w:rPr>
          <w:rFonts w:ascii="Times New Roman" w:hAnsi="Times New Roman" w:cs="Times New Roman"/>
          <w:sz w:val="24"/>
          <w:szCs w:val="24"/>
        </w:rPr>
        <w:t>zakresie górnictwa i</w:t>
      </w:r>
      <w:r w:rsidR="00AA26A0" w:rsidRPr="007F28C1">
        <w:rPr>
          <w:rFonts w:ascii="Times New Roman" w:hAnsi="Times New Roman" w:cs="Times New Roman"/>
          <w:sz w:val="24"/>
          <w:szCs w:val="24"/>
        </w:rPr>
        <w:t> </w:t>
      </w:r>
      <w:r w:rsidRPr="007F28C1">
        <w:rPr>
          <w:rFonts w:ascii="Times New Roman" w:hAnsi="Times New Roman" w:cs="Times New Roman"/>
          <w:sz w:val="24"/>
          <w:szCs w:val="24"/>
        </w:rPr>
        <w:t xml:space="preserve">ratownictwa górniczego, aby ominąć przepisy tego rozporządzenia określające wymagania dla konkretnego działu. W związku z powyższym </w:t>
      </w:r>
      <w:r w:rsidR="00770A5E"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zasadny powrót do sprawdzonych rozwiązań w tym zakresie i stworzenie zamkniętej listy z nazwami działów lub specjalności w ruchu zakładu górniczego lub zakładu.</w:t>
      </w:r>
    </w:p>
    <w:p w14:paraId="73382610" w14:textId="61379CE9" w:rsidR="00445194" w:rsidRPr="007F28C1" w:rsidRDefault="000D2020"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Rozwiązania zaproponowane </w:t>
      </w:r>
      <w:r w:rsidR="007442A5" w:rsidRPr="007F28C1">
        <w:rPr>
          <w:rFonts w:ascii="Times New Roman" w:hAnsi="Times New Roman" w:cs="Times New Roman"/>
          <w:sz w:val="24"/>
          <w:szCs w:val="24"/>
        </w:rPr>
        <w:t xml:space="preserve">w projekcie </w:t>
      </w:r>
      <w:r w:rsidRPr="007F28C1">
        <w:rPr>
          <w:rFonts w:ascii="Times New Roman" w:hAnsi="Times New Roman" w:cs="Times New Roman"/>
          <w:sz w:val="24"/>
          <w:szCs w:val="24"/>
        </w:rPr>
        <w:t>wymagają stworzenia przepisów przejściowych dotyczących możliwości wykonywania w nowym stanie prawnym czynności w kierownictwie lub</w:t>
      </w:r>
      <w:r w:rsidR="009F22DA" w:rsidRPr="007F28C1">
        <w:rPr>
          <w:rFonts w:ascii="Times New Roman" w:hAnsi="Times New Roman" w:cs="Times New Roman"/>
          <w:sz w:val="24"/>
          <w:szCs w:val="24"/>
        </w:rPr>
        <w:t> </w:t>
      </w:r>
      <w:r w:rsidRPr="007F28C1">
        <w:rPr>
          <w:rFonts w:ascii="Times New Roman" w:hAnsi="Times New Roman" w:cs="Times New Roman"/>
          <w:sz w:val="24"/>
          <w:szCs w:val="24"/>
        </w:rPr>
        <w:t>w dozorze ruchu zakładu górniczego lub zakładu, w szczególności powierzonych dotychczas na</w:t>
      </w:r>
      <w:r w:rsidR="009F22DA" w:rsidRPr="007F28C1">
        <w:rPr>
          <w:rFonts w:ascii="Times New Roman" w:hAnsi="Times New Roman" w:cs="Times New Roman"/>
          <w:sz w:val="24"/>
          <w:szCs w:val="24"/>
        </w:rPr>
        <w:t> </w:t>
      </w:r>
      <w:r w:rsidRPr="007F28C1">
        <w:rPr>
          <w:rFonts w:ascii="Times New Roman" w:hAnsi="Times New Roman" w:cs="Times New Roman"/>
          <w:sz w:val="24"/>
          <w:szCs w:val="24"/>
        </w:rPr>
        <w:t xml:space="preserve">podstawie art. 58 ust. 7 </w:t>
      </w:r>
      <w:r w:rsidR="00E36415" w:rsidRPr="007F28C1">
        <w:rPr>
          <w:rFonts w:ascii="Times New Roman" w:hAnsi="Times New Roman" w:cs="Times New Roman"/>
          <w:sz w:val="24"/>
          <w:szCs w:val="24"/>
        </w:rPr>
        <w:t>P</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E36415" w:rsidRPr="007F28C1">
        <w:rPr>
          <w:rFonts w:ascii="Times New Roman" w:hAnsi="Times New Roman" w:cs="Times New Roman"/>
          <w:sz w:val="24"/>
          <w:szCs w:val="24"/>
        </w:rPr>
        <w:t>g</w:t>
      </w:r>
      <w:r w:rsidR="00217EC2" w:rsidRPr="007F28C1">
        <w:rPr>
          <w:rFonts w:ascii="Times New Roman" w:hAnsi="Times New Roman" w:cs="Times New Roman"/>
          <w:sz w:val="24"/>
          <w:szCs w:val="24"/>
        </w:rPr>
        <w:t>.</w:t>
      </w:r>
      <w:r w:rsidR="00C06DE7" w:rsidRPr="007F28C1">
        <w:rPr>
          <w:rFonts w:ascii="Times New Roman" w:hAnsi="Times New Roman" w:cs="Times New Roman"/>
          <w:sz w:val="24"/>
          <w:szCs w:val="24"/>
        </w:rPr>
        <w:t xml:space="preserve">, co zostało </w:t>
      </w:r>
      <w:r w:rsidR="00217EC2" w:rsidRPr="007F28C1">
        <w:rPr>
          <w:rFonts w:ascii="Times New Roman" w:hAnsi="Times New Roman" w:cs="Times New Roman"/>
          <w:sz w:val="24"/>
          <w:szCs w:val="24"/>
        </w:rPr>
        <w:t>uwz</w:t>
      </w:r>
      <w:r w:rsidR="004D32D8" w:rsidRPr="007F28C1">
        <w:rPr>
          <w:rFonts w:ascii="Times New Roman" w:hAnsi="Times New Roman" w:cs="Times New Roman"/>
          <w:sz w:val="24"/>
          <w:szCs w:val="24"/>
        </w:rPr>
        <w:t>g</w:t>
      </w:r>
      <w:r w:rsidR="00217EC2" w:rsidRPr="007F28C1">
        <w:rPr>
          <w:rFonts w:ascii="Times New Roman" w:hAnsi="Times New Roman" w:cs="Times New Roman"/>
          <w:sz w:val="24"/>
          <w:szCs w:val="24"/>
        </w:rPr>
        <w:t>lędnione w projektowanej nowelizacji</w:t>
      </w:r>
      <w:r w:rsidR="009355D1" w:rsidRPr="007F28C1">
        <w:rPr>
          <w:rFonts w:ascii="Times New Roman" w:hAnsi="Times New Roman" w:cs="Times New Roman"/>
          <w:sz w:val="24"/>
          <w:szCs w:val="24"/>
        </w:rPr>
        <w:t>.</w:t>
      </w:r>
      <w:r w:rsidR="003851EF" w:rsidRPr="007F28C1">
        <w:rPr>
          <w:rFonts w:ascii="Times New Roman" w:hAnsi="Times New Roman" w:cs="Times New Roman"/>
          <w:sz w:val="24"/>
          <w:szCs w:val="24"/>
        </w:rPr>
        <w:t xml:space="preserve"> W </w:t>
      </w:r>
      <w:r w:rsidR="00217EC2" w:rsidRPr="007F28C1">
        <w:rPr>
          <w:rFonts w:ascii="Times New Roman" w:hAnsi="Times New Roman" w:cs="Times New Roman"/>
          <w:sz w:val="24"/>
          <w:szCs w:val="24"/>
        </w:rPr>
        <w:t>przepisach przejściowych</w:t>
      </w:r>
      <w:r w:rsidR="003851EF" w:rsidRPr="007F28C1">
        <w:rPr>
          <w:rFonts w:ascii="Times New Roman" w:hAnsi="Times New Roman" w:cs="Times New Roman"/>
          <w:sz w:val="24"/>
          <w:szCs w:val="24"/>
        </w:rPr>
        <w:t xml:space="preserve"> </w:t>
      </w:r>
      <w:r w:rsidR="00217EC2" w:rsidRPr="007F28C1">
        <w:rPr>
          <w:rFonts w:ascii="Times New Roman" w:hAnsi="Times New Roman" w:cs="Times New Roman"/>
          <w:sz w:val="24"/>
          <w:szCs w:val="24"/>
        </w:rPr>
        <w:t>zaprop</w:t>
      </w:r>
      <w:r w:rsidR="004D32D8" w:rsidRPr="007F28C1">
        <w:rPr>
          <w:rFonts w:ascii="Times New Roman" w:hAnsi="Times New Roman" w:cs="Times New Roman"/>
          <w:sz w:val="24"/>
          <w:szCs w:val="24"/>
        </w:rPr>
        <w:t>o</w:t>
      </w:r>
      <w:r w:rsidR="00217EC2" w:rsidRPr="007F28C1">
        <w:rPr>
          <w:rFonts w:ascii="Times New Roman" w:hAnsi="Times New Roman" w:cs="Times New Roman"/>
          <w:sz w:val="24"/>
          <w:szCs w:val="24"/>
        </w:rPr>
        <w:t xml:space="preserve">nowano także </w:t>
      </w:r>
      <w:r w:rsidRPr="007F28C1">
        <w:rPr>
          <w:rFonts w:ascii="Times New Roman" w:hAnsi="Times New Roman" w:cs="Times New Roman"/>
          <w:sz w:val="24"/>
          <w:szCs w:val="24"/>
        </w:rPr>
        <w:t xml:space="preserve">umożliwienie dalszego wykonywania ww. czynności w okresie do 5 lat </w:t>
      </w:r>
      <w:r w:rsidR="00CA1A96" w:rsidRPr="007F28C1">
        <w:rPr>
          <w:rFonts w:ascii="Times New Roman" w:hAnsi="Times New Roman" w:cs="Times New Roman"/>
          <w:sz w:val="24"/>
          <w:szCs w:val="24"/>
        </w:rPr>
        <w:t xml:space="preserve">od </w:t>
      </w:r>
      <w:r w:rsidRPr="007F28C1">
        <w:rPr>
          <w:rFonts w:ascii="Times New Roman" w:hAnsi="Times New Roman" w:cs="Times New Roman"/>
          <w:sz w:val="24"/>
          <w:szCs w:val="24"/>
        </w:rPr>
        <w:t>dnia wejścia w życie projektowanych regulacji. Proponowany termin wynika z okresu, w</w:t>
      </w:r>
      <w:r w:rsidR="003851EF" w:rsidRPr="007F28C1">
        <w:rPr>
          <w:rFonts w:ascii="Times New Roman" w:hAnsi="Times New Roman" w:cs="Times New Roman"/>
          <w:sz w:val="24"/>
          <w:szCs w:val="24"/>
        </w:rPr>
        <w:t> </w:t>
      </w:r>
      <w:r w:rsidRPr="007F28C1">
        <w:rPr>
          <w:rFonts w:ascii="Times New Roman" w:hAnsi="Times New Roman" w:cs="Times New Roman"/>
          <w:sz w:val="24"/>
          <w:szCs w:val="24"/>
        </w:rPr>
        <w:t>jakim można uzyskać przygotowanie zawodowe w postaci ukończenia studiów i uzyskania tytułu inżyniera albo ukończenia technikum i uzyskania tytułu technika, a ponadto uzyskać doświadczenie zawodowe.</w:t>
      </w:r>
    </w:p>
    <w:p w14:paraId="6EE4C285" w14:textId="245726F3" w:rsidR="006046A5" w:rsidRPr="007F28C1" w:rsidRDefault="006046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lastRenderedPageBreak/>
        <w:t>Na podstawie art. 50b</w:t>
      </w:r>
      <w:r w:rsidR="00770A5E" w:rsidRPr="007F28C1">
        <w:rPr>
          <w:rFonts w:ascii="Times New Roman" w:hAnsi="Times New Roman" w:cs="Times New Roman"/>
          <w:sz w:val="24"/>
          <w:szCs w:val="24"/>
        </w:rPr>
        <w:t>–</w:t>
      </w:r>
      <w:r w:rsidRPr="007F28C1">
        <w:rPr>
          <w:rFonts w:ascii="Times New Roman" w:hAnsi="Times New Roman" w:cs="Times New Roman"/>
          <w:sz w:val="24"/>
          <w:szCs w:val="24"/>
        </w:rPr>
        <w:t xml:space="preserve">50d ustawy z dnia 22 grudnia 2015 r. o zasadach uznawania kwalifikacji zawodowych nabytych w państwach członkowskich Unii Europejskiej (Dz. U. z </w:t>
      </w:r>
      <w:r w:rsidR="00770A5E" w:rsidRPr="007F28C1">
        <w:rPr>
          <w:rFonts w:ascii="Times New Roman" w:hAnsi="Times New Roman" w:cs="Times New Roman"/>
          <w:sz w:val="24"/>
          <w:szCs w:val="24"/>
        </w:rPr>
        <w:t xml:space="preserve">2023 </w:t>
      </w:r>
      <w:r w:rsidRPr="007F28C1">
        <w:rPr>
          <w:rFonts w:ascii="Times New Roman" w:hAnsi="Times New Roman" w:cs="Times New Roman"/>
          <w:sz w:val="24"/>
          <w:szCs w:val="24"/>
        </w:rPr>
        <w:t xml:space="preserve">r. poz. </w:t>
      </w:r>
      <w:r w:rsidR="00770A5E" w:rsidRPr="007F28C1">
        <w:rPr>
          <w:rFonts w:ascii="Times New Roman" w:hAnsi="Times New Roman" w:cs="Times New Roman"/>
          <w:sz w:val="24"/>
          <w:szCs w:val="24"/>
        </w:rPr>
        <w:t>334</w:t>
      </w:r>
      <w:r w:rsidRPr="007F28C1">
        <w:rPr>
          <w:rFonts w:ascii="Times New Roman" w:hAnsi="Times New Roman" w:cs="Times New Roman"/>
          <w:sz w:val="24"/>
          <w:szCs w:val="24"/>
        </w:rPr>
        <w:t>) została przeprowadzona ocena zapewniania proporcjonalności, uzasadnionego i niedyskryminującego charakteru przepisów projektu stanowiących przepisy regulacyjne w rozumieniu ww. przepisów.</w:t>
      </w:r>
    </w:p>
    <w:p w14:paraId="59076B6E" w14:textId="26A519F1" w:rsidR="006046A5" w:rsidRPr="007F28C1" w:rsidRDefault="006046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Przeprowadzając ocenę przepisów projektu z zasadą proporcjonalności</w:t>
      </w:r>
      <w:r w:rsidR="002074A0">
        <w:rPr>
          <w:rFonts w:ascii="Times New Roman" w:hAnsi="Times New Roman" w:cs="Times New Roman"/>
          <w:sz w:val="24"/>
          <w:szCs w:val="24"/>
        </w:rPr>
        <w:t>,</w:t>
      </w:r>
      <w:r w:rsidRPr="007F28C1">
        <w:rPr>
          <w:rFonts w:ascii="Times New Roman" w:hAnsi="Times New Roman" w:cs="Times New Roman"/>
          <w:sz w:val="24"/>
          <w:szCs w:val="24"/>
        </w:rPr>
        <w:t xml:space="preserve"> wzięto pod uwagę kryteria oceny, wskazane w art. 50b ust. 3</w:t>
      </w:r>
      <w:r w:rsidR="00770A5E" w:rsidRPr="007F28C1">
        <w:rPr>
          <w:rFonts w:ascii="Times New Roman" w:hAnsi="Times New Roman" w:cs="Times New Roman"/>
          <w:sz w:val="24"/>
          <w:szCs w:val="24"/>
        </w:rPr>
        <w:t>–</w:t>
      </w:r>
      <w:r w:rsidRPr="007F28C1">
        <w:rPr>
          <w:rFonts w:ascii="Times New Roman" w:hAnsi="Times New Roman" w:cs="Times New Roman"/>
          <w:sz w:val="24"/>
          <w:szCs w:val="24"/>
        </w:rPr>
        <w:t xml:space="preserve">6 </w:t>
      </w:r>
      <w:r w:rsidR="00CA3F00" w:rsidRPr="007F28C1">
        <w:rPr>
          <w:rFonts w:ascii="Times New Roman" w:hAnsi="Times New Roman" w:cs="Times New Roman"/>
          <w:sz w:val="24"/>
          <w:szCs w:val="24"/>
        </w:rPr>
        <w:t xml:space="preserve">tej </w:t>
      </w:r>
      <w:r w:rsidRPr="007F28C1">
        <w:rPr>
          <w:rFonts w:ascii="Times New Roman" w:hAnsi="Times New Roman" w:cs="Times New Roman"/>
          <w:sz w:val="24"/>
          <w:szCs w:val="24"/>
        </w:rPr>
        <w:t>ustawy.</w:t>
      </w:r>
    </w:p>
    <w:p w14:paraId="0CB14716" w14:textId="45DD3D50" w:rsidR="006046A5" w:rsidRPr="007F28C1" w:rsidRDefault="006046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Wymagania dotyczące kwalifikacji w zakresie górnictwa i ratownictwa górniczego zostały określone w</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celu służącym interesowi publicznemu w postaci zapewnienia wykonywania czynności w ruchu zakładu górniczego lub zakładu przez osoby posiadające wiedzę i umiejętności niezbędne do prawidłowego i bezpiecznego wykonywania tych czynności, co zapewni bezpieczeństwo i zdrowie osób, jak również utrzymanie bezpieczeństwa powszechnego i środowiska. Nie ma innej możliwości osiągnięcia założonego celu na podstawie obowiązujących przepisów. Przepisy projektu są adekwatne do założonego celu i stanowią kompleksowe rozwiązania w dziedzinie kwalifikacji w zakresie górnictwa i ratownictwa górniczego, realizujące cel służący interesowi publicznemu.</w:t>
      </w:r>
    </w:p>
    <w:p w14:paraId="0800CE98" w14:textId="3F764313" w:rsidR="006046A5" w:rsidRPr="007F28C1" w:rsidRDefault="006046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Zgodnie z projektem, wykonywanie górniczych zawodów regulowanych wymaga posiadania kwalifikacji określonych w przepisach P.g.g., stwierdzonych w trybie określonym P.g.g., ewentualnie uznanych w trybie określonym przepisami </w:t>
      </w:r>
      <w:r w:rsidR="00CA3F00" w:rsidRPr="007F28C1">
        <w:rPr>
          <w:rFonts w:ascii="Times New Roman" w:hAnsi="Times New Roman" w:cs="Times New Roman"/>
          <w:sz w:val="24"/>
          <w:szCs w:val="24"/>
        </w:rPr>
        <w:t>ustawy z dnia 22 grudnia 2015 r. o zasadach uznawania kwalifikacji zawodowych nabytych w państwach członkowskich Unii Europejskiej</w:t>
      </w:r>
      <w:r w:rsidRPr="007F28C1">
        <w:rPr>
          <w:rFonts w:ascii="Times New Roman" w:hAnsi="Times New Roman" w:cs="Times New Roman"/>
          <w:sz w:val="24"/>
          <w:szCs w:val="24"/>
        </w:rPr>
        <w:t xml:space="preserve">. Mając </w:t>
      </w:r>
      <w:r w:rsidR="00042125" w:rsidRPr="007F28C1">
        <w:rPr>
          <w:rFonts w:ascii="Times New Roman" w:hAnsi="Times New Roman" w:cs="Times New Roman"/>
          <w:sz w:val="24"/>
          <w:szCs w:val="24"/>
        </w:rPr>
        <w:t xml:space="preserve">na uwadze </w:t>
      </w:r>
      <w:r w:rsidRPr="007F28C1">
        <w:rPr>
          <w:rFonts w:ascii="Times New Roman" w:hAnsi="Times New Roman" w:cs="Times New Roman"/>
          <w:sz w:val="24"/>
          <w:szCs w:val="24"/>
        </w:rPr>
        <w:t>powyższe oraz fakt, że w przepisach projektu nie określono wymagań ograniczających możliwość uzyskania przygotowania zawodowego (wykształcenia) lub doświadczenia zawodowego (praktyki) do terytorium Rzeczypospolitej Polskiej, określenie tych wymagań nie ogranicza swobodnego przepływu osób i usług w Unii Europejskiej.</w:t>
      </w:r>
    </w:p>
    <w:p w14:paraId="4E7BAD5B" w14:textId="0866A1FF" w:rsidR="006046A5" w:rsidRPr="007F28C1" w:rsidRDefault="006046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Jednocześnie nie ma możliwości zastosowania mniej restrykcyjnych środków dla osiągnięcia ww. celu służącego interesowi publicznemu. Projektowane rozwiązanie z powrotem rozszerza katalog osób objętych obowiązkiem posiadania kwalifikacji określonych P.g.g. na wszystkie osoby wykonujące czynności w kierownictwie i w dozorze ruchu zakładu górniczego lub zakładu. W wyniku deregulacji przeprowadzonej w 2012 r. (z dniem wejścia w życie P.g.g.) i 2015 r. (z dniem wejścia w życie ustawy </w:t>
      </w:r>
      <w:r w:rsidR="00D91275" w:rsidRPr="007F28C1">
        <w:rPr>
          <w:rFonts w:ascii="Times New Roman" w:hAnsi="Times New Roman" w:cs="Times New Roman"/>
          <w:sz w:val="24"/>
          <w:szCs w:val="24"/>
        </w:rPr>
        <w:t>z dnia 5 sierpnia 2015 r</w:t>
      </w:r>
      <w:r w:rsidR="00D91275" w:rsidRPr="007F28C1">
        <w:rPr>
          <w:rFonts w:ascii="Times New Roman" w:hAnsi="Times New Roman" w:cs="Times New Roman"/>
          <w:iCs/>
          <w:sz w:val="24"/>
          <w:szCs w:val="24"/>
        </w:rPr>
        <w:t xml:space="preserve">. </w:t>
      </w:r>
      <w:r w:rsidR="00D91275" w:rsidRPr="007F28C1">
        <w:rPr>
          <w:rFonts w:ascii="Times New Roman" w:hAnsi="Times New Roman" w:cs="Times New Roman"/>
          <w:sz w:val="24"/>
          <w:szCs w:val="24"/>
        </w:rPr>
        <w:t>o zmianie ustaw regulujących warunki dostępu do wykonywania niektórych zawodów</w:t>
      </w:r>
      <w:r w:rsidRPr="007F28C1">
        <w:rPr>
          <w:rFonts w:ascii="Times New Roman" w:hAnsi="Times New Roman" w:cs="Times New Roman"/>
          <w:sz w:val="24"/>
          <w:szCs w:val="24"/>
        </w:rPr>
        <w:t xml:space="preserve">) tylko dla części zawodów górniczych został utrzymany obowiązek posiadania kwalifikacji określonych P.g.g. Skutkiem braku </w:t>
      </w:r>
      <w:r w:rsidRPr="007F28C1">
        <w:rPr>
          <w:rFonts w:ascii="Times New Roman" w:hAnsi="Times New Roman" w:cs="Times New Roman"/>
          <w:sz w:val="24"/>
          <w:szCs w:val="24"/>
        </w:rPr>
        <w:lastRenderedPageBreak/>
        <w:t>posiadania odpowiednich kwalifikacji, w szczególności przez osoby dozoru ruchu, bezpośrednio kierujące i nadzorujące pracami szeregowych pracowników, wzrosła wypadkowość w górnictwie, w szczególności w górnictwie odkrywkowym, co potwierdzają dane zebrane przez Wyższy Urząd Górniczy. Powyższe wskazuje wyraźnie, że brak wymogu posiadania kwalifikacji przez wszystkie osoby kierownictwa i dozoru ruchu zakładu górniczego lub zakładu spowodował wzrost ryzyka dla celu służącego interesowi publicznemu w postaci ochrony bezpieczeństwa osób wykonujących czynności w ruchu zakładu górniczego lub zakładu, bezpieczeństwa ruchu zakładu górniczego lub zakładu, bezpieczeństwa środowiska oraz bezpieczeństwa powszechnego.</w:t>
      </w:r>
    </w:p>
    <w:p w14:paraId="79B64EDA" w14:textId="36F7F7E9" w:rsidR="006046A5" w:rsidRPr="007F28C1" w:rsidRDefault="006046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Projektowane rozwiązanie będzie korzystne dla pracowników zakładów górniczych oraz zakładów, ponieważ dzięki projektowanym zmianom wymagania w zakresie przygotowania zawodowego i</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doświadczenia zawodowego będą określone na poziomie zapewniającym prawidłowe wykonywanie czynności w ruchu zakładu górniczego lub zakładu, co wzmocni bezpieczeństwo tych osób oraz ruchu zakładu górniczego lub zakładu. Wymagania w zakresie przygotowania zawodowego i doświadczenia zawodowego będą określane </w:t>
      </w:r>
      <w:r w:rsidR="009A4AC2" w:rsidRPr="007F28C1">
        <w:rPr>
          <w:rFonts w:ascii="Times New Roman" w:hAnsi="Times New Roman" w:cs="Times New Roman"/>
          <w:sz w:val="24"/>
          <w:szCs w:val="24"/>
        </w:rPr>
        <w:t xml:space="preserve">w powszechnie obowiązujących przepisach rangi ustawowej (P.g.g.) oraz w przepisach wykonawczych wydanych </w:t>
      </w:r>
      <w:r w:rsidRPr="007F28C1">
        <w:rPr>
          <w:rFonts w:ascii="Times New Roman" w:hAnsi="Times New Roman" w:cs="Times New Roman"/>
          <w:sz w:val="24"/>
          <w:szCs w:val="24"/>
        </w:rPr>
        <w:t>przez ministr</w:t>
      </w:r>
      <w:r w:rsidR="00D91275" w:rsidRPr="007F28C1">
        <w:rPr>
          <w:rFonts w:ascii="Times New Roman" w:hAnsi="Times New Roman" w:cs="Times New Roman"/>
          <w:sz w:val="24"/>
          <w:szCs w:val="24"/>
        </w:rPr>
        <w:t>a</w:t>
      </w:r>
      <w:r w:rsidRPr="007F28C1">
        <w:rPr>
          <w:rFonts w:ascii="Times New Roman" w:hAnsi="Times New Roman" w:cs="Times New Roman"/>
          <w:sz w:val="24"/>
          <w:szCs w:val="24"/>
        </w:rPr>
        <w:t xml:space="preserve"> właściw</w:t>
      </w:r>
      <w:r w:rsidR="00D91275" w:rsidRPr="007F28C1">
        <w:rPr>
          <w:rFonts w:ascii="Times New Roman" w:hAnsi="Times New Roman" w:cs="Times New Roman"/>
          <w:sz w:val="24"/>
          <w:szCs w:val="24"/>
        </w:rPr>
        <w:t>ego</w:t>
      </w:r>
      <w:r w:rsidRPr="007F28C1">
        <w:rPr>
          <w:rFonts w:ascii="Times New Roman" w:hAnsi="Times New Roman" w:cs="Times New Roman"/>
          <w:sz w:val="24"/>
          <w:szCs w:val="24"/>
        </w:rPr>
        <w:t xml:space="preserve"> do spraw gospodarki złożami kopalin (w przypadku rozporządzenia w sprawie kwalifikacji w zakresie górnictwa i ratownictwa górniczego, wydawanego na podstawie art. 69a P.g.g.). Wymagania te będą publicznie dostępne (ogłoszone w Dzienniku Ustaw), dzięki czemu wzrośnie świadomość pracowników, jakie wymagania trzeba spełnić, aby móc wykonywać określone czynności w ruchu zakładu górniczego lub zakładu</w:t>
      </w:r>
      <w:r w:rsidR="0041608A">
        <w:rPr>
          <w:rFonts w:ascii="Times New Roman" w:hAnsi="Times New Roman" w:cs="Times New Roman"/>
          <w:sz w:val="24"/>
          <w:szCs w:val="24"/>
        </w:rPr>
        <w:t>,</w:t>
      </w:r>
      <w:r w:rsidRPr="007F28C1">
        <w:rPr>
          <w:rFonts w:ascii="Times New Roman" w:hAnsi="Times New Roman" w:cs="Times New Roman"/>
          <w:sz w:val="24"/>
          <w:szCs w:val="24"/>
        </w:rPr>
        <w:t xml:space="preserve"> i jaką ścieżkę wykształcenia lub praktyki obrać, </w:t>
      </w:r>
      <w:r w:rsidR="00F73174" w:rsidRPr="007F28C1">
        <w:rPr>
          <w:rFonts w:ascii="Times New Roman" w:hAnsi="Times New Roman" w:cs="Times New Roman"/>
          <w:sz w:val="24"/>
          <w:szCs w:val="24"/>
        </w:rPr>
        <w:t>a</w:t>
      </w:r>
      <w:r w:rsidRPr="007F28C1">
        <w:rPr>
          <w:rFonts w:ascii="Times New Roman" w:hAnsi="Times New Roman" w:cs="Times New Roman"/>
          <w:sz w:val="24"/>
          <w:szCs w:val="24"/>
        </w:rPr>
        <w:t>by pokierować swoją karierą zawodową. Wymagania, 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podziałem na rodzaje zakładu górniczego lub zakładu oraz rodzaje wykonywanych czynności, będą jednolite na terenie całego kraju i przejrzyste. Z uwagi na jawność i jednolitość wymagań projektowane rozwiązania będą także korzystne dla pracowników pochodzących z Unii Europejskiej, którzy będą chcieli wykonywać czynności w kierownictwie lub w dozorze ruchu w zakładach górniczych lub zakładach.</w:t>
      </w:r>
    </w:p>
    <w:p w14:paraId="2D8B7FEC" w14:textId="08B4BA19" w:rsidR="006046A5" w:rsidRDefault="006046A5"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 wyniku powyższej oceny projektowanych przepisów regulacyjnych pod kątem realizacji zasady proporcjonalności ustalono, że przepisy te są odpowiednie do osiągnięcia założonego celu służącego interesowi publicznemu i nie wykraczają poza to, co jest konieczne dla osiągnięcia tego celu.</w:t>
      </w:r>
    </w:p>
    <w:p w14:paraId="185408FB" w14:textId="77777777" w:rsidR="0086372D" w:rsidRPr="007F28C1" w:rsidRDefault="0086372D" w:rsidP="007F28C1">
      <w:pPr>
        <w:spacing w:before="120" w:after="0" w:line="360" w:lineRule="auto"/>
        <w:jc w:val="both"/>
        <w:rPr>
          <w:rFonts w:ascii="Times New Roman" w:hAnsi="Times New Roman" w:cs="Times New Roman"/>
          <w:sz w:val="24"/>
          <w:szCs w:val="24"/>
        </w:rPr>
      </w:pPr>
    </w:p>
    <w:p w14:paraId="3E4A1060" w14:textId="5122B253" w:rsidR="004307ED" w:rsidRPr="007F28C1" w:rsidRDefault="004307ED" w:rsidP="007F28C1">
      <w:pPr>
        <w:numPr>
          <w:ilvl w:val="0"/>
          <w:numId w:val="8"/>
        </w:numPr>
        <w:spacing w:before="120" w:after="0" w:line="360" w:lineRule="auto"/>
        <w:ind w:left="434" w:hanging="420"/>
        <w:jc w:val="both"/>
        <w:rPr>
          <w:rFonts w:ascii="Times New Roman" w:hAnsi="Times New Roman" w:cs="Times New Roman"/>
          <w:b/>
          <w:bCs/>
          <w:sz w:val="24"/>
          <w:szCs w:val="24"/>
        </w:rPr>
      </w:pPr>
      <w:r w:rsidRPr="007F28C1">
        <w:rPr>
          <w:rFonts w:ascii="Times New Roman" w:hAnsi="Times New Roman" w:cs="Times New Roman"/>
          <w:b/>
          <w:bCs/>
          <w:sz w:val="24"/>
          <w:szCs w:val="24"/>
        </w:rPr>
        <w:lastRenderedPageBreak/>
        <w:t>Szkolenia w górnictwie</w:t>
      </w:r>
    </w:p>
    <w:p w14:paraId="0B1223A3" w14:textId="2458D345" w:rsidR="006A44A0" w:rsidRPr="007F28C1" w:rsidRDefault="00754A3E"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Zgodnie z</w:t>
      </w:r>
      <w:r w:rsidR="006A44A0" w:rsidRPr="007F28C1">
        <w:rPr>
          <w:rFonts w:ascii="Times New Roman" w:eastAsia="Times New Roman" w:hAnsi="Times New Roman" w:cs="Times New Roman"/>
          <w:sz w:val="24"/>
          <w:szCs w:val="24"/>
          <w:lang w:eastAsia="pl-PL"/>
        </w:rPr>
        <w:t xml:space="preserve"> art. 112 </w:t>
      </w:r>
      <w:r w:rsidR="00883E51" w:rsidRPr="007F28C1">
        <w:rPr>
          <w:rFonts w:ascii="Times New Roman" w:eastAsia="Times New Roman" w:hAnsi="Times New Roman" w:cs="Times New Roman"/>
          <w:sz w:val="24"/>
          <w:szCs w:val="24"/>
          <w:lang w:eastAsia="pl-PL"/>
        </w:rPr>
        <w:t xml:space="preserve">ust. 2 </w:t>
      </w:r>
      <w:r w:rsidR="00E36415" w:rsidRPr="007F28C1">
        <w:rPr>
          <w:rFonts w:ascii="Times New Roman" w:eastAsia="Times New Roman" w:hAnsi="Times New Roman" w:cs="Times New Roman"/>
          <w:sz w:val="24"/>
          <w:szCs w:val="24"/>
          <w:lang w:eastAsia="pl-PL"/>
        </w:rPr>
        <w:t>P</w:t>
      </w:r>
      <w:r w:rsidR="00060D8F"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osoby wykonujące czynności w ruchu zakładu górniczego</w:t>
      </w:r>
      <w:r w:rsidR="006A44A0" w:rsidRPr="007F28C1">
        <w:rPr>
          <w:rFonts w:ascii="Times New Roman" w:eastAsia="Times New Roman" w:hAnsi="Times New Roman" w:cs="Times New Roman"/>
          <w:sz w:val="24"/>
          <w:szCs w:val="24"/>
          <w:lang w:eastAsia="pl-PL"/>
        </w:rPr>
        <w:t xml:space="preserve"> szkoli się w</w:t>
      </w:r>
      <w:r w:rsidRPr="007F28C1">
        <w:rPr>
          <w:rFonts w:ascii="Times New Roman" w:eastAsia="Times New Roman" w:hAnsi="Times New Roman" w:cs="Times New Roman"/>
          <w:sz w:val="24"/>
          <w:szCs w:val="24"/>
          <w:lang w:eastAsia="pl-PL"/>
        </w:rPr>
        <w:t> </w:t>
      </w:r>
      <w:r w:rsidR="006A44A0" w:rsidRPr="007F28C1">
        <w:rPr>
          <w:rFonts w:ascii="Times New Roman" w:eastAsia="Times New Roman" w:hAnsi="Times New Roman" w:cs="Times New Roman"/>
          <w:sz w:val="24"/>
          <w:szCs w:val="24"/>
          <w:lang w:eastAsia="pl-PL"/>
        </w:rPr>
        <w:t>zakresie znajomości przepisów i zasad bezpieczeństwa i higieny pracy, w tym bezpiecznego wykonywania powierzonych im czynności. Osoby te nie mogą być dopuszczone do pracy w ruchu zakładu górniczego, jeżeli nie wykażą się dostateczną znajomością tych przepisów i zasad.</w:t>
      </w:r>
    </w:p>
    <w:p w14:paraId="51EDDCB6" w14:textId="2EFF115E" w:rsidR="006A44A0" w:rsidRPr="007F28C1" w:rsidRDefault="006A44A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Szkolenia organizuje i prowadzi przedsiębiorca lub na jego zlecenie jednostka organizacyjna prowadząca działalność szkoleniową. Ten, kto trudni się szkoleniem osób wykonujących czynności w ruchu zakładu górniczego, jest obowiązany </w:t>
      </w:r>
      <w:r w:rsidR="00F73174" w:rsidRPr="007F28C1">
        <w:rPr>
          <w:rFonts w:ascii="Times New Roman" w:eastAsia="Times New Roman" w:hAnsi="Times New Roman" w:cs="Times New Roman"/>
          <w:sz w:val="24"/>
          <w:szCs w:val="24"/>
          <w:lang w:eastAsia="pl-PL"/>
        </w:rPr>
        <w:t xml:space="preserve">do </w:t>
      </w:r>
      <w:r w:rsidRPr="007F28C1">
        <w:rPr>
          <w:rFonts w:ascii="Times New Roman" w:eastAsia="Times New Roman" w:hAnsi="Times New Roman" w:cs="Times New Roman"/>
          <w:sz w:val="24"/>
          <w:szCs w:val="24"/>
          <w:lang w:eastAsia="pl-PL"/>
        </w:rPr>
        <w:t>posiada</w:t>
      </w:r>
      <w:r w:rsidR="00F73174" w:rsidRPr="007F28C1">
        <w:rPr>
          <w:rFonts w:ascii="Times New Roman" w:eastAsia="Times New Roman" w:hAnsi="Times New Roman" w:cs="Times New Roman"/>
          <w:sz w:val="24"/>
          <w:szCs w:val="24"/>
          <w:lang w:eastAsia="pl-PL"/>
        </w:rPr>
        <w:t>nia</w:t>
      </w:r>
      <w:r w:rsidRPr="007F28C1">
        <w:rPr>
          <w:rFonts w:ascii="Times New Roman" w:eastAsia="Times New Roman" w:hAnsi="Times New Roman" w:cs="Times New Roman"/>
          <w:sz w:val="24"/>
          <w:szCs w:val="24"/>
          <w:lang w:eastAsia="pl-PL"/>
        </w:rPr>
        <w:t xml:space="preserve"> odpowiedni</w:t>
      </w:r>
      <w:r w:rsidR="00F73174" w:rsidRPr="007F28C1">
        <w:rPr>
          <w:rFonts w:ascii="Times New Roman" w:eastAsia="Times New Roman" w:hAnsi="Times New Roman" w:cs="Times New Roman"/>
          <w:sz w:val="24"/>
          <w:szCs w:val="24"/>
          <w:lang w:eastAsia="pl-PL"/>
        </w:rPr>
        <w:t>ej</w:t>
      </w:r>
      <w:r w:rsidRPr="007F28C1">
        <w:rPr>
          <w:rFonts w:ascii="Times New Roman" w:eastAsia="Times New Roman" w:hAnsi="Times New Roman" w:cs="Times New Roman"/>
          <w:sz w:val="24"/>
          <w:szCs w:val="24"/>
          <w:lang w:eastAsia="pl-PL"/>
        </w:rPr>
        <w:t xml:space="preserve"> kadr</w:t>
      </w:r>
      <w:r w:rsidR="00F73174" w:rsidRPr="007F28C1">
        <w:rPr>
          <w:rFonts w:ascii="Times New Roman" w:eastAsia="Times New Roman" w:hAnsi="Times New Roman" w:cs="Times New Roman"/>
          <w:sz w:val="24"/>
          <w:szCs w:val="24"/>
          <w:lang w:eastAsia="pl-PL"/>
        </w:rPr>
        <w:t>y</w:t>
      </w:r>
      <w:r w:rsidRPr="007F28C1">
        <w:rPr>
          <w:rFonts w:ascii="Times New Roman" w:eastAsia="Times New Roman" w:hAnsi="Times New Roman" w:cs="Times New Roman"/>
          <w:sz w:val="24"/>
          <w:szCs w:val="24"/>
          <w:lang w:eastAsia="pl-PL"/>
        </w:rPr>
        <w:t xml:space="preserve"> oraz niezbędn</w:t>
      </w:r>
      <w:r w:rsidR="00F73174" w:rsidRPr="007F28C1">
        <w:rPr>
          <w:rFonts w:ascii="Times New Roman" w:eastAsia="Times New Roman" w:hAnsi="Times New Roman" w:cs="Times New Roman"/>
          <w:sz w:val="24"/>
          <w:szCs w:val="24"/>
          <w:lang w:eastAsia="pl-PL"/>
        </w:rPr>
        <w:t>ych</w:t>
      </w:r>
      <w:r w:rsidRPr="007F28C1">
        <w:rPr>
          <w:rFonts w:ascii="Times New Roman" w:eastAsia="Times New Roman" w:hAnsi="Times New Roman" w:cs="Times New Roman"/>
          <w:sz w:val="24"/>
          <w:szCs w:val="24"/>
          <w:lang w:eastAsia="pl-PL"/>
        </w:rPr>
        <w:t xml:space="preserve"> środk</w:t>
      </w:r>
      <w:r w:rsidR="00F73174" w:rsidRPr="007F28C1">
        <w:rPr>
          <w:rFonts w:ascii="Times New Roman" w:eastAsia="Times New Roman" w:hAnsi="Times New Roman" w:cs="Times New Roman"/>
          <w:sz w:val="24"/>
          <w:szCs w:val="24"/>
          <w:lang w:eastAsia="pl-PL"/>
        </w:rPr>
        <w:t>ów</w:t>
      </w:r>
      <w:r w:rsidRPr="007F28C1">
        <w:rPr>
          <w:rFonts w:ascii="Times New Roman" w:eastAsia="Times New Roman" w:hAnsi="Times New Roman" w:cs="Times New Roman"/>
          <w:sz w:val="24"/>
          <w:szCs w:val="24"/>
          <w:lang w:eastAsia="pl-PL"/>
        </w:rPr>
        <w:t xml:space="preserve"> umożliwiając</w:t>
      </w:r>
      <w:r w:rsidR="00F73174" w:rsidRPr="007F28C1">
        <w:rPr>
          <w:rFonts w:ascii="Times New Roman" w:eastAsia="Times New Roman" w:hAnsi="Times New Roman" w:cs="Times New Roman"/>
          <w:sz w:val="24"/>
          <w:szCs w:val="24"/>
          <w:lang w:eastAsia="pl-PL"/>
        </w:rPr>
        <w:t>ych</w:t>
      </w:r>
      <w:r w:rsidRPr="007F28C1">
        <w:rPr>
          <w:rFonts w:ascii="Times New Roman" w:eastAsia="Times New Roman" w:hAnsi="Times New Roman" w:cs="Times New Roman"/>
          <w:sz w:val="24"/>
          <w:szCs w:val="24"/>
          <w:lang w:eastAsia="pl-PL"/>
        </w:rPr>
        <w:t xml:space="preserve"> właściwe szkolenie.</w:t>
      </w:r>
    </w:p>
    <w:p w14:paraId="2D390A4F" w14:textId="3B7A61D7" w:rsidR="006A44A0" w:rsidRPr="007F28C1" w:rsidRDefault="006A44A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Szkolenie osób wykonujących czynności specjalistyczne w ruchu zakładu górniczego oraz osób kierownictwa i dozoru ruchu podziemnego zakładu górniczego odbywa się na podstawie programów szkolenia zatwierdzanych, w drodze decyzji, przez właściwe organy nadzoru górniczego. Odmowa zatwierdzenia następuje, jeżeli program szkolenia nie zapewnia przekazania osobom szkolonym niezbędnych informacji dotyczących prawidłowego wykonywania czynności specjalistycznych w ruchu zakładu górniczego.</w:t>
      </w:r>
    </w:p>
    <w:p w14:paraId="778CB744" w14:textId="0A4A192B" w:rsidR="009B16C1" w:rsidRPr="007F28C1" w:rsidRDefault="006A44A0" w:rsidP="007F28C1">
      <w:pPr>
        <w:spacing w:before="120" w:after="0" w:line="360" w:lineRule="auto"/>
        <w:jc w:val="both"/>
        <w:rPr>
          <w:rFonts w:ascii="Times New Roman" w:eastAsia="Times New Roman" w:hAnsi="Times New Roman" w:cs="Times New Roman"/>
          <w:sz w:val="24"/>
          <w:szCs w:val="24"/>
          <w:lang w:eastAsia="pl-PL"/>
        </w:rPr>
      </w:pPr>
      <w:bookmarkStart w:id="12" w:name="_Hlk71197629"/>
      <w:r w:rsidRPr="007F28C1">
        <w:rPr>
          <w:rFonts w:ascii="Times New Roman" w:eastAsia="Times New Roman" w:hAnsi="Times New Roman" w:cs="Times New Roman"/>
          <w:sz w:val="24"/>
          <w:szCs w:val="24"/>
          <w:lang w:eastAsia="pl-PL"/>
        </w:rPr>
        <w:t xml:space="preserve">Analiza </w:t>
      </w:r>
      <w:r w:rsidR="00754A3E" w:rsidRPr="007F28C1">
        <w:rPr>
          <w:rFonts w:ascii="Times New Roman" w:eastAsia="Times New Roman" w:hAnsi="Times New Roman" w:cs="Times New Roman"/>
          <w:sz w:val="24"/>
          <w:szCs w:val="24"/>
          <w:lang w:eastAsia="pl-PL"/>
        </w:rPr>
        <w:t xml:space="preserve">dotychczas obowiązujących przepisów dotyczących szkoleń w górnictwie </w:t>
      </w:r>
      <w:r w:rsidR="009B16C1" w:rsidRPr="007F28C1">
        <w:rPr>
          <w:rFonts w:ascii="Times New Roman" w:eastAsia="Times New Roman" w:hAnsi="Times New Roman" w:cs="Times New Roman"/>
          <w:sz w:val="24"/>
          <w:szCs w:val="24"/>
          <w:lang w:eastAsia="pl-PL"/>
        </w:rPr>
        <w:t>prowadz</w:t>
      </w:r>
      <w:r w:rsidR="00060D8F" w:rsidRPr="007F28C1">
        <w:rPr>
          <w:rFonts w:ascii="Times New Roman" w:eastAsia="Times New Roman" w:hAnsi="Times New Roman" w:cs="Times New Roman"/>
          <w:sz w:val="24"/>
          <w:szCs w:val="24"/>
          <w:lang w:eastAsia="pl-PL"/>
        </w:rPr>
        <w:t>i</w:t>
      </w:r>
      <w:r w:rsidR="009B16C1" w:rsidRPr="007F28C1">
        <w:rPr>
          <w:rFonts w:ascii="Times New Roman" w:eastAsia="Times New Roman" w:hAnsi="Times New Roman" w:cs="Times New Roman"/>
          <w:sz w:val="24"/>
          <w:szCs w:val="24"/>
          <w:lang w:eastAsia="pl-PL"/>
        </w:rPr>
        <w:t xml:space="preserve"> do wniosku</w:t>
      </w:r>
      <w:r w:rsidRPr="007F28C1">
        <w:rPr>
          <w:rFonts w:ascii="Times New Roman" w:eastAsia="Times New Roman" w:hAnsi="Times New Roman" w:cs="Times New Roman"/>
          <w:sz w:val="24"/>
          <w:szCs w:val="24"/>
          <w:lang w:eastAsia="pl-PL"/>
        </w:rPr>
        <w:t xml:space="preserve">, że </w:t>
      </w:r>
      <w:r w:rsidR="009B16C1" w:rsidRPr="007F28C1">
        <w:rPr>
          <w:rFonts w:ascii="Times New Roman" w:eastAsia="Times New Roman" w:hAnsi="Times New Roman" w:cs="Times New Roman"/>
          <w:sz w:val="24"/>
          <w:szCs w:val="24"/>
          <w:lang w:eastAsia="pl-PL"/>
        </w:rPr>
        <w:t xml:space="preserve">nie jest zapewniony odpowiedni poziom szkoleń, zarówno w zakresie wiedzy i umiejętności, przekazywanych podczas szkoleń, jak i środków technicznych oraz kadry prowadzącej szkolenia, dlatego też </w:t>
      </w:r>
      <w:r w:rsidR="00F73174" w:rsidRPr="007F28C1">
        <w:rPr>
          <w:rFonts w:ascii="Times New Roman" w:eastAsia="Times New Roman" w:hAnsi="Times New Roman" w:cs="Times New Roman"/>
          <w:sz w:val="24"/>
          <w:szCs w:val="24"/>
          <w:lang w:eastAsia="pl-PL"/>
        </w:rPr>
        <w:t xml:space="preserve">jest </w:t>
      </w:r>
      <w:r w:rsidR="009B16C1" w:rsidRPr="007F28C1">
        <w:rPr>
          <w:rFonts w:ascii="Times New Roman" w:eastAsia="Times New Roman" w:hAnsi="Times New Roman" w:cs="Times New Roman"/>
          <w:sz w:val="24"/>
          <w:szCs w:val="24"/>
          <w:lang w:eastAsia="pl-PL"/>
        </w:rPr>
        <w:t>konieczne wprowadzenie regulacji prawnych gwarantujących wysoki poziom szkolenia, adekwatny do jego celów.</w:t>
      </w:r>
    </w:p>
    <w:bookmarkEnd w:id="12"/>
    <w:p w14:paraId="3030B7A5" w14:textId="13110714" w:rsidR="006A44A0" w:rsidRPr="007F28C1" w:rsidRDefault="006A44A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Stosownie do powołanej wyżej normy art. 112 ust. 4 </w:t>
      </w:r>
      <w:r w:rsidR="00E36415" w:rsidRPr="007F28C1">
        <w:rPr>
          <w:rFonts w:ascii="Times New Roman" w:eastAsia="Times New Roman" w:hAnsi="Times New Roman" w:cs="Times New Roman"/>
          <w:sz w:val="24"/>
          <w:szCs w:val="24"/>
          <w:lang w:eastAsia="pl-PL"/>
        </w:rPr>
        <w:t>P</w:t>
      </w:r>
      <w:r w:rsidR="003A7D28"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3A7D28"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3A7D28"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od podmiotu prowadzącego szkolenia osób wykonujących czynności w ruchu zakładu górniczego </w:t>
      </w:r>
      <w:r w:rsidR="00F73174" w:rsidRPr="007F28C1">
        <w:rPr>
          <w:rFonts w:ascii="Times New Roman" w:eastAsia="Times New Roman" w:hAnsi="Times New Roman" w:cs="Times New Roman"/>
          <w:sz w:val="24"/>
          <w:szCs w:val="24"/>
          <w:lang w:eastAsia="pl-PL"/>
        </w:rPr>
        <w:t xml:space="preserve">jest </w:t>
      </w:r>
      <w:r w:rsidRPr="007F28C1">
        <w:rPr>
          <w:rFonts w:ascii="Times New Roman" w:eastAsia="Times New Roman" w:hAnsi="Times New Roman" w:cs="Times New Roman"/>
          <w:sz w:val="24"/>
          <w:szCs w:val="24"/>
          <w:lang w:eastAsia="pl-PL"/>
        </w:rPr>
        <w:t>wymagane posiadanie „odpowiedniej kadry” oraz „niezbędnych środków”. Z uwagi na trudności w obiektywnej ocenie</w:t>
      </w:r>
      <w:r w:rsidR="002954D7">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czym są „odpowiednia kadra” i „niezbędne środki”, gdyż pojęcia te nie są zdefiniowane w ustawie</w:t>
      </w:r>
      <w:r w:rsidR="00035045" w:rsidRPr="007F28C1">
        <w:rPr>
          <w:rFonts w:ascii="Times New Roman" w:eastAsia="Times New Roman" w:hAnsi="Times New Roman" w:cs="Times New Roman"/>
          <w:sz w:val="24"/>
          <w:szCs w:val="24"/>
          <w:lang w:eastAsia="pl-PL"/>
        </w:rPr>
        <w:t xml:space="preserve"> w </w:t>
      </w:r>
      <w:r w:rsidR="00DA6161" w:rsidRPr="007F28C1">
        <w:rPr>
          <w:rFonts w:ascii="Times New Roman" w:eastAsia="Times New Roman" w:hAnsi="Times New Roman" w:cs="Times New Roman"/>
          <w:sz w:val="24"/>
          <w:szCs w:val="24"/>
          <w:lang w:eastAsia="pl-PL"/>
        </w:rPr>
        <w:t>art. 112 ust. 4 P</w:t>
      </w:r>
      <w:r w:rsidR="00060D8F" w:rsidRPr="007F28C1">
        <w:rPr>
          <w:rFonts w:ascii="Times New Roman" w:eastAsia="Times New Roman" w:hAnsi="Times New Roman" w:cs="Times New Roman"/>
          <w:sz w:val="24"/>
          <w:szCs w:val="24"/>
          <w:lang w:eastAsia="pl-PL"/>
        </w:rPr>
        <w:t>.</w:t>
      </w:r>
      <w:r w:rsidR="00DA6161"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00DA6161"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002954D7">
        <w:rPr>
          <w:rFonts w:ascii="Times New Roman" w:eastAsia="Times New Roman" w:hAnsi="Times New Roman" w:cs="Times New Roman"/>
          <w:sz w:val="24"/>
          <w:szCs w:val="24"/>
          <w:lang w:eastAsia="pl-PL"/>
        </w:rPr>
        <w:t>,</w:t>
      </w:r>
      <w:r w:rsidR="00DA6161"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zdecydowano się na ich wykreślenie z przepisu. Wyżej wymienione określenia uznano za zbędne i</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mogące wprowadzać nieścisłości podczas wykładni przepisu.</w:t>
      </w:r>
    </w:p>
    <w:p w14:paraId="5801FAED" w14:textId="0F494C0E" w:rsidR="006A44A0" w:rsidRPr="007F28C1" w:rsidRDefault="006A44A0" w:rsidP="007F28C1">
      <w:pPr>
        <w:spacing w:before="120" w:after="0" w:line="360" w:lineRule="auto"/>
        <w:jc w:val="both"/>
        <w:rPr>
          <w:rFonts w:ascii="Times New Roman" w:eastAsia="Times New Roman" w:hAnsi="Times New Roman" w:cs="Times New Roman"/>
          <w:bCs/>
          <w:sz w:val="24"/>
          <w:szCs w:val="24"/>
          <w:lang w:eastAsia="pl-PL"/>
        </w:rPr>
      </w:pPr>
      <w:r w:rsidRPr="007F28C1">
        <w:rPr>
          <w:rFonts w:ascii="Times New Roman" w:eastAsia="Times New Roman" w:hAnsi="Times New Roman" w:cs="Times New Roman"/>
          <w:sz w:val="24"/>
          <w:szCs w:val="24"/>
          <w:lang w:eastAsia="pl-PL"/>
        </w:rPr>
        <w:t xml:space="preserve">Ponadto w </w:t>
      </w:r>
      <w:r w:rsidR="00060D8F" w:rsidRPr="007F28C1">
        <w:rPr>
          <w:rFonts w:ascii="Times New Roman" w:eastAsia="Times New Roman" w:hAnsi="Times New Roman" w:cs="Times New Roman"/>
          <w:sz w:val="24"/>
          <w:szCs w:val="24"/>
          <w:lang w:eastAsia="pl-PL"/>
        </w:rPr>
        <w:t xml:space="preserve">dodanym </w:t>
      </w:r>
      <w:r w:rsidR="00596F9A" w:rsidRPr="007F28C1">
        <w:rPr>
          <w:rFonts w:ascii="Times New Roman" w:eastAsia="Times New Roman" w:hAnsi="Times New Roman" w:cs="Times New Roman"/>
          <w:sz w:val="24"/>
          <w:szCs w:val="24"/>
          <w:lang w:eastAsia="pl-PL"/>
        </w:rPr>
        <w:t xml:space="preserve">art. 112 ust. 4a </w:t>
      </w:r>
      <w:r w:rsidR="00E36415" w:rsidRPr="007F28C1">
        <w:rPr>
          <w:rFonts w:ascii="Times New Roman" w:eastAsia="Times New Roman" w:hAnsi="Times New Roman" w:cs="Times New Roman"/>
          <w:sz w:val="24"/>
          <w:szCs w:val="24"/>
          <w:lang w:eastAsia="pl-PL"/>
        </w:rPr>
        <w:t>P</w:t>
      </w:r>
      <w:r w:rsidR="00060D8F"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przewidziano, że kwestia posiadania kadry i</w:t>
      </w:r>
      <w:r w:rsidR="00DA6161"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środków </w:t>
      </w:r>
      <w:r w:rsidR="00A51DC3" w:rsidRPr="007F28C1">
        <w:rPr>
          <w:rFonts w:ascii="Times New Roman" w:eastAsia="Times New Roman" w:hAnsi="Times New Roman" w:cs="Times New Roman"/>
          <w:sz w:val="24"/>
          <w:szCs w:val="24"/>
          <w:lang w:eastAsia="pl-PL"/>
        </w:rPr>
        <w:t xml:space="preserve">zostanie </w:t>
      </w:r>
      <w:r w:rsidRPr="007F28C1">
        <w:rPr>
          <w:rFonts w:ascii="Times New Roman" w:eastAsia="Times New Roman" w:hAnsi="Times New Roman" w:cs="Times New Roman"/>
          <w:sz w:val="24"/>
          <w:szCs w:val="24"/>
          <w:lang w:eastAsia="pl-PL"/>
        </w:rPr>
        <w:t>poddana ocenie organów nadzoru górniczego, które stwierdzają spełnienie warunków</w:t>
      </w:r>
      <w:r w:rsidR="002954D7">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wydając decyzję na wniosek podmiotu trudniącego się szkoleniem.</w:t>
      </w:r>
    </w:p>
    <w:p w14:paraId="5F0430FC" w14:textId="09F77AFF" w:rsidR="006A44A0" w:rsidRPr="007F28C1" w:rsidRDefault="006A44A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lastRenderedPageBreak/>
        <w:t xml:space="preserve">W celu zwiększenia bezpieczeństwa osób wykonujących czynności w ruchu zakładu górniczego w art. 112 </w:t>
      </w:r>
      <w:r w:rsidR="00E36415" w:rsidRPr="007F28C1">
        <w:rPr>
          <w:rFonts w:ascii="Times New Roman" w:eastAsia="Times New Roman" w:hAnsi="Times New Roman" w:cs="Times New Roman"/>
          <w:sz w:val="24"/>
          <w:szCs w:val="24"/>
          <w:lang w:eastAsia="pl-PL"/>
        </w:rPr>
        <w:t>P</w:t>
      </w:r>
      <w:r w:rsidR="00060D8F"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060D8F"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zaproponowano dokonanie następujących zmian:</w:t>
      </w:r>
    </w:p>
    <w:p w14:paraId="3ED81A0D" w14:textId="3564BEB5" w:rsidR="006A44A0" w:rsidRPr="007F28C1" w:rsidRDefault="006A44A0" w:rsidP="007F28C1">
      <w:pPr>
        <w:pStyle w:val="Akapitzlist"/>
        <w:numPr>
          <w:ilvl w:val="0"/>
          <w:numId w:val="2"/>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szkoleniami w formie kursów specjalistycznych objęto szerszy krąg osób kierownictwa i dozoru ruchu </w:t>
      </w:r>
      <w:r w:rsidR="00A51DC3" w:rsidRPr="007F28C1">
        <w:rPr>
          <w:rFonts w:ascii="Times New Roman" w:eastAsia="Times New Roman" w:hAnsi="Times New Roman" w:cs="Times New Roman"/>
          <w:sz w:val="24"/>
          <w:szCs w:val="24"/>
          <w:lang w:eastAsia="pl-PL"/>
        </w:rPr>
        <w:t xml:space="preserve">(art. </w:t>
      </w:r>
      <w:r w:rsidR="008D45F5" w:rsidRPr="007F28C1">
        <w:rPr>
          <w:rFonts w:ascii="Times New Roman" w:eastAsia="Times New Roman" w:hAnsi="Times New Roman" w:cs="Times New Roman"/>
          <w:sz w:val="24"/>
          <w:szCs w:val="24"/>
          <w:lang w:eastAsia="pl-PL"/>
        </w:rPr>
        <w:t xml:space="preserve">112 </w:t>
      </w:r>
      <w:r w:rsidR="00A51DC3" w:rsidRPr="007F28C1">
        <w:rPr>
          <w:rFonts w:ascii="Times New Roman" w:eastAsia="Times New Roman" w:hAnsi="Times New Roman" w:cs="Times New Roman"/>
          <w:sz w:val="24"/>
          <w:szCs w:val="24"/>
          <w:lang w:eastAsia="pl-PL"/>
        </w:rPr>
        <w:t>ust. 5 P.g.g.)</w:t>
      </w:r>
      <w:r w:rsidR="0076404E" w:rsidRPr="007F28C1">
        <w:rPr>
          <w:rFonts w:ascii="Times New Roman" w:eastAsia="Times New Roman" w:hAnsi="Times New Roman" w:cs="Times New Roman"/>
          <w:sz w:val="24"/>
          <w:szCs w:val="24"/>
          <w:lang w:eastAsia="pl-PL"/>
        </w:rPr>
        <w:t>;</w:t>
      </w:r>
    </w:p>
    <w:p w14:paraId="036C2AC9" w14:textId="3E853FD5" w:rsidR="006A44A0" w:rsidRPr="007F28C1" w:rsidRDefault="006A44A0" w:rsidP="007F28C1">
      <w:pPr>
        <w:pStyle w:val="Akapitzlist"/>
        <w:numPr>
          <w:ilvl w:val="0"/>
          <w:numId w:val="2"/>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programy szkoleń powinny uwzględniać zagrożenia występujące w ruchu zakładu górniczego </w:t>
      </w:r>
      <w:r w:rsidR="00A51DC3" w:rsidRPr="007F28C1">
        <w:rPr>
          <w:rFonts w:ascii="Times New Roman" w:eastAsia="Times New Roman" w:hAnsi="Times New Roman" w:cs="Times New Roman"/>
          <w:sz w:val="24"/>
          <w:szCs w:val="24"/>
          <w:lang w:eastAsia="pl-PL"/>
        </w:rPr>
        <w:t>(art. 112 ust. 6 P.g.g.)</w:t>
      </w:r>
      <w:r w:rsidR="0076404E" w:rsidRPr="007F28C1">
        <w:rPr>
          <w:rFonts w:ascii="Times New Roman" w:eastAsia="Times New Roman" w:hAnsi="Times New Roman" w:cs="Times New Roman"/>
          <w:sz w:val="24"/>
          <w:szCs w:val="24"/>
          <w:lang w:eastAsia="pl-PL"/>
        </w:rPr>
        <w:t>;</w:t>
      </w:r>
    </w:p>
    <w:p w14:paraId="67B20E20" w14:textId="27E086F7" w:rsidR="006A44A0" w:rsidRPr="007F28C1" w:rsidRDefault="006A44A0" w:rsidP="007F28C1">
      <w:pPr>
        <w:pStyle w:val="Akapitzlist"/>
        <w:numPr>
          <w:ilvl w:val="0"/>
          <w:numId w:val="2"/>
        </w:numPr>
        <w:spacing w:before="120" w:after="0" w:line="360" w:lineRule="auto"/>
        <w:ind w:left="397" w:hanging="397"/>
        <w:contextualSpacing w:val="0"/>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aby zapewnić kontrolę nad programami szkoleń, mającymi wpływ na bezpieczeństwo w górnictwie, programy szkoleń będą zatwierdzane</w:t>
      </w:r>
      <w:r w:rsidR="0076404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 drodze decyzji</w:t>
      </w:r>
      <w:r w:rsidR="0076404E"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przez organy nadzoru górniczego</w:t>
      </w:r>
      <w:r w:rsidR="00A51DC3" w:rsidRPr="007F28C1">
        <w:rPr>
          <w:rFonts w:ascii="Times New Roman" w:eastAsia="Times New Roman" w:hAnsi="Times New Roman" w:cs="Times New Roman"/>
          <w:sz w:val="24"/>
          <w:szCs w:val="24"/>
          <w:lang w:eastAsia="pl-PL"/>
        </w:rPr>
        <w:t xml:space="preserve"> (art. 112 ust. 7 i 8 P.g.g.)</w:t>
      </w:r>
      <w:r w:rsidR="00DA6161" w:rsidRPr="007F28C1">
        <w:rPr>
          <w:rFonts w:ascii="Times New Roman" w:eastAsia="Times New Roman" w:hAnsi="Times New Roman" w:cs="Times New Roman"/>
          <w:sz w:val="24"/>
          <w:szCs w:val="24"/>
          <w:lang w:eastAsia="pl-PL"/>
        </w:rPr>
        <w:t>.</w:t>
      </w:r>
    </w:p>
    <w:p w14:paraId="34D4C8CD" w14:textId="587D922B" w:rsidR="006A44A0" w:rsidRPr="007F28C1" w:rsidRDefault="006A44A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Konsekwencją ustanowienia nowego obowiązku jest dodanie </w:t>
      </w:r>
      <w:r w:rsidR="00DA6161" w:rsidRPr="007F28C1">
        <w:rPr>
          <w:rFonts w:ascii="Times New Roman" w:eastAsia="Times New Roman" w:hAnsi="Times New Roman" w:cs="Times New Roman"/>
          <w:sz w:val="24"/>
          <w:szCs w:val="24"/>
          <w:lang w:eastAsia="pl-PL"/>
        </w:rPr>
        <w:t>art. 183a P</w:t>
      </w:r>
      <w:r w:rsidR="00582216" w:rsidRPr="007F28C1">
        <w:rPr>
          <w:rFonts w:ascii="Times New Roman" w:eastAsia="Times New Roman" w:hAnsi="Times New Roman" w:cs="Times New Roman"/>
          <w:sz w:val="24"/>
          <w:szCs w:val="24"/>
          <w:lang w:eastAsia="pl-PL"/>
        </w:rPr>
        <w:t>.</w:t>
      </w:r>
      <w:r w:rsidR="00DA6161" w:rsidRPr="007F28C1">
        <w:rPr>
          <w:rFonts w:ascii="Times New Roman" w:eastAsia="Times New Roman" w:hAnsi="Times New Roman" w:cs="Times New Roman"/>
          <w:sz w:val="24"/>
          <w:szCs w:val="24"/>
          <w:lang w:eastAsia="pl-PL"/>
        </w:rPr>
        <w:t>g</w:t>
      </w:r>
      <w:r w:rsidR="00582216" w:rsidRPr="007F28C1">
        <w:rPr>
          <w:rFonts w:ascii="Times New Roman" w:eastAsia="Times New Roman" w:hAnsi="Times New Roman" w:cs="Times New Roman"/>
          <w:sz w:val="24"/>
          <w:szCs w:val="24"/>
          <w:lang w:eastAsia="pl-PL"/>
        </w:rPr>
        <w:t>.</w:t>
      </w:r>
      <w:r w:rsidR="00DA6161" w:rsidRPr="007F28C1">
        <w:rPr>
          <w:rFonts w:ascii="Times New Roman" w:eastAsia="Times New Roman" w:hAnsi="Times New Roman" w:cs="Times New Roman"/>
          <w:sz w:val="24"/>
          <w:szCs w:val="24"/>
          <w:lang w:eastAsia="pl-PL"/>
        </w:rPr>
        <w:t>g</w:t>
      </w:r>
      <w:r w:rsidR="00582216"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tj. przepisu karnego do</w:t>
      </w:r>
      <w:r w:rsidR="00AA26A0"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naruszenia obowiązków, określonych w projektowanym art. 112 </w:t>
      </w:r>
      <w:r w:rsidR="00E36415" w:rsidRPr="007F28C1">
        <w:rPr>
          <w:rFonts w:ascii="Times New Roman" w:eastAsia="Times New Roman" w:hAnsi="Times New Roman" w:cs="Times New Roman"/>
          <w:sz w:val="24"/>
          <w:szCs w:val="24"/>
          <w:lang w:eastAsia="pl-PL"/>
        </w:rPr>
        <w:t>P</w:t>
      </w:r>
      <w:r w:rsidR="003A7D28"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3A7D28"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9355D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Przepis ten ma na celu zapobieganie prowadzeniu szkoleń przez podmioty do tego nieprzygotowane, tj.</w:t>
      </w:r>
      <w:r w:rsidR="00A174F7"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 xml:space="preserve">prowadzące szkolenia bez decyzji dyrektora okręgowego urzędu górniczego stwierdzającej posiadanie kadry oraz środków umożliwiających prowadzenie szkoleń lub zatwierdzającej program szkolenia. Sankcja </w:t>
      </w:r>
      <w:r w:rsidR="00A51DC3" w:rsidRPr="007F28C1">
        <w:rPr>
          <w:rFonts w:ascii="Times New Roman" w:eastAsia="Times New Roman" w:hAnsi="Times New Roman" w:cs="Times New Roman"/>
          <w:sz w:val="24"/>
          <w:szCs w:val="24"/>
          <w:lang w:eastAsia="pl-PL"/>
        </w:rPr>
        <w:t>będzie</w:t>
      </w:r>
      <w:r w:rsidRPr="007F28C1">
        <w:rPr>
          <w:rFonts w:ascii="Times New Roman" w:eastAsia="Times New Roman" w:hAnsi="Times New Roman" w:cs="Times New Roman"/>
          <w:sz w:val="24"/>
          <w:szCs w:val="24"/>
          <w:lang w:eastAsia="pl-PL"/>
        </w:rPr>
        <w:t xml:space="preserve"> nakładana w drodze mandatu karnego – m.in. w związku z kontrolą podmiotów prowadzących działalność szkoleniową w górnictwie.</w:t>
      </w:r>
    </w:p>
    <w:p w14:paraId="286A7BCE" w14:textId="76364E2B" w:rsidR="004307ED" w:rsidRPr="007F28C1" w:rsidRDefault="006A44A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 xml:space="preserve">W związku z projektowaną zmianą stanu prawnego w </w:t>
      </w:r>
      <w:r w:rsidR="00582216" w:rsidRPr="007F28C1">
        <w:rPr>
          <w:rFonts w:ascii="Times New Roman" w:eastAsia="Times New Roman" w:hAnsi="Times New Roman" w:cs="Times New Roman"/>
          <w:sz w:val="24"/>
          <w:szCs w:val="24"/>
          <w:lang w:eastAsia="pl-PL"/>
        </w:rPr>
        <w:t>przepisach przejściowych</w:t>
      </w:r>
      <w:r w:rsidR="00035045"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ujęto obowiązek dostosowania działalności w zakresie prowadzenia szkoleń górniczych do znowelizowanego art. 112 </w:t>
      </w:r>
      <w:r w:rsidR="00E36415" w:rsidRPr="007F28C1">
        <w:rPr>
          <w:rFonts w:ascii="Times New Roman" w:eastAsia="Times New Roman" w:hAnsi="Times New Roman" w:cs="Times New Roman"/>
          <w:sz w:val="24"/>
          <w:szCs w:val="24"/>
          <w:lang w:eastAsia="pl-PL"/>
        </w:rPr>
        <w:t>P</w:t>
      </w:r>
      <w:r w:rsidR="00582216"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82216" w:rsidRPr="007F28C1">
        <w:rPr>
          <w:rFonts w:ascii="Times New Roman" w:eastAsia="Times New Roman" w:hAnsi="Times New Roman" w:cs="Times New Roman"/>
          <w:sz w:val="24"/>
          <w:szCs w:val="24"/>
          <w:lang w:eastAsia="pl-PL"/>
        </w:rPr>
        <w:t>.</w:t>
      </w:r>
      <w:r w:rsidR="00E36415" w:rsidRPr="007F28C1">
        <w:rPr>
          <w:rFonts w:ascii="Times New Roman" w:eastAsia="Times New Roman" w:hAnsi="Times New Roman" w:cs="Times New Roman"/>
          <w:sz w:val="24"/>
          <w:szCs w:val="24"/>
          <w:lang w:eastAsia="pl-PL"/>
        </w:rPr>
        <w:t>g</w:t>
      </w:r>
      <w:r w:rsidR="00582216"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 terminie roku od dnia wejścia w życie nowelizacji, w szczególności w zakresie konieczności dostosowania programu szkoleń do nowych wymagań w postaci obowiązku uwzględniania zagrożeń, występujących w ruchu zakładu górniczego lub zakładu</w:t>
      </w:r>
      <w:r w:rsidR="002465A6">
        <w:rPr>
          <w:rFonts w:ascii="Times New Roman" w:eastAsia="Times New Roman" w:hAnsi="Times New Roman" w:cs="Times New Roman"/>
          <w:sz w:val="24"/>
          <w:szCs w:val="24"/>
          <w:lang w:eastAsia="pl-PL"/>
        </w:rPr>
        <w:t>,</w:t>
      </w:r>
      <w:r w:rsidR="00035045" w:rsidRPr="007F28C1">
        <w:rPr>
          <w:rFonts w:ascii="Times New Roman" w:eastAsia="Times New Roman" w:hAnsi="Times New Roman" w:cs="Times New Roman"/>
          <w:sz w:val="24"/>
          <w:szCs w:val="24"/>
          <w:lang w:eastAsia="pl-PL"/>
        </w:rPr>
        <w:t xml:space="preserve"> </w:t>
      </w:r>
      <w:r w:rsidR="00582216" w:rsidRPr="007F28C1">
        <w:rPr>
          <w:rFonts w:ascii="Times New Roman" w:eastAsia="Times New Roman" w:hAnsi="Times New Roman" w:cs="Times New Roman"/>
          <w:sz w:val="24"/>
          <w:szCs w:val="24"/>
          <w:lang w:eastAsia="pl-PL"/>
        </w:rPr>
        <w:t>oraz</w:t>
      </w:r>
      <w:r w:rsidR="00035045"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wskazano wpływ projektowanych regulacji na toczące się postępowania w sprawie zatwierdzenia programów szkoleń.</w:t>
      </w:r>
    </w:p>
    <w:p w14:paraId="005425D2" w14:textId="3B200048" w:rsidR="004307ED" w:rsidRPr="007F28C1" w:rsidRDefault="004307ED" w:rsidP="007F28C1">
      <w:pPr>
        <w:numPr>
          <w:ilvl w:val="0"/>
          <w:numId w:val="8"/>
        </w:numPr>
        <w:spacing w:before="240" w:after="0" w:line="360" w:lineRule="auto"/>
        <w:ind w:left="397" w:hanging="397"/>
        <w:jc w:val="both"/>
        <w:rPr>
          <w:rFonts w:ascii="Times New Roman" w:hAnsi="Times New Roman" w:cs="Times New Roman"/>
          <w:b/>
          <w:bCs/>
          <w:sz w:val="24"/>
          <w:szCs w:val="24"/>
          <w:u w:val="single"/>
        </w:rPr>
      </w:pPr>
      <w:r w:rsidRPr="007F28C1">
        <w:rPr>
          <w:rFonts w:ascii="Times New Roman" w:hAnsi="Times New Roman" w:cs="Times New Roman"/>
          <w:b/>
          <w:bCs/>
          <w:sz w:val="24"/>
          <w:szCs w:val="24"/>
        </w:rPr>
        <w:t>Nadzór i kontrola wykonywane przez organy nadzoru górniczego</w:t>
      </w:r>
    </w:p>
    <w:p w14:paraId="4509E6E0" w14:textId="0C44292D" w:rsidR="00DF013F" w:rsidRPr="007F28C1" w:rsidRDefault="00DF013F" w:rsidP="007F28C1">
      <w:pPr>
        <w:pStyle w:val="Bodytext20"/>
        <w:shd w:val="clear" w:color="auto" w:fill="auto"/>
        <w:spacing w:before="120" w:after="0" w:line="360" w:lineRule="auto"/>
        <w:ind w:firstLine="0"/>
        <w:jc w:val="both"/>
        <w:rPr>
          <w:color w:val="auto"/>
        </w:rPr>
      </w:pPr>
      <w:r w:rsidRPr="007F28C1">
        <w:rPr>
          <w:color w:val="auto"/>
        </w:rPr>
        <w:t xml:space="preserve">W projektowanym </w:t>
      </w:r>
      <w:r w:rsidR="007F18B6" w:rsidRPr="007F28C1">
        <w:rPr>
          <w:color w:val="auto"/>
        </w:rPr>
        <w:t xml:space="preserve">art. 175a </w:t>
      </w:r>
      <w:r w:rsidR="00E36415" w:rsidRPr="007F28C1">
        <w:rPr>
          <w:color w:val="auto"/>
        </w:rPr>
        <w:t>P</w:t>
      </w:r>
      <w:r w:rsidR="00582216" w:rsidRPr="007F28C1">
        <w:rPr>
          <w:color w:val="auto"/>
        </w:rPr>
        <w:t>.</w:t>
      </w:r>
      <w:r w:rsidR="00E36415" w:rsidRPr="007F28C1">
        <w:rPr>
          <w:color w:val="auto"/>
        </w:rPr>
        <w:t>g</w:t>
      </w:r>
      <w:r w:rsidR="00582216" w:rsidRPr="007F28C1">
        <w:rPr>
          <w:color w:val="auto"/>
        </w:rPr>
        <w:t>.</w:t>
      </w:r>
      <w:r w:rsidR="00E36415" w:rsidRPr="007F28C1">
        <w:rPr>
          <w:color w:val="auto"/>
        </w:rPr>
        <w:t>g</w:t>
      </w:r>
      <w:r w:rsidR="00582216" w:rsidRPr="007F28C1">
        <w:rPr>
          <w:color w:val="auto"/>
        </w:rPr>
        <w:t>.</w:t>
      </w:r>
      <w:r w:rsidRPr="007F28C1">
        <w:rPr>
          <w:color w:val="auto"/>
        </w:rPr>
        <w:t xml:space="preserve"> przewidziano karę pieniężną za</w:t>
      </w:r>
      <w:r w:rsidR="007F18B6" w:rsidRPr="007F28C1">
        <w:rPr>
          <w:color w:val="auto"/>
        </w:rPr>
        <w:t> </w:t>
      </w:r>
      <w:r w:rsidRPr="007F28C1">
        <w:rPr>
          <w:color w:val="auto"/>
        </w:rPr>
        <w:t>uniemożliwianie wykonywania nadzoru i kontroli upoważnionym pracownikom organów nadzoru górniczego albo utrudnianie im</w:t>
      </w:r>
      <w:r w:rsidR="009F22DA" w:rsidRPr="007F28C1">
        <w:rPr>
          <w:color w:val="auto"/>
        </w:rPr>
        <w:t> </w:t>
      </w:r>
      <w:r w:rsidRPr="007F28C1">
        <w:rPr>
          <w:color w:val="auto"/>
        </w:rPr>
        <w:t>przeprowadzania kontroli.</w:t>
      </w:r>
    </w:p>
    <w:p w14:paraId="1630B6F8" w14:textId="6FE010C8" w:rsidR="007F18B6" w:rsidRPr="007F28C1" w:rsidRDefault="007F18B6" w:rsidP="007F28C1">
      <w:pPr>
        <w:pStyle w:val="Bodytext20"/>
        <w:shd w:val="clear" w:color="auto" w:fill="auto"/>
        <w:spacing w:before="120" w:after="0" w:line="360" w:lineRule="auto"/>
        <w:ind w:firstLine="0"/>
        <w:jc w:val="both"/>
        <w:rPr>
          <w:color w:val="auto"/>
        </w:rPr>
      </w:pPr>
      <w:r w:rsidRPr="007F28C1">
        <w:rPr>
          <w:color w:val="auto"/>
        </w:rPr>
        <w:t xml:space="preserve">Kary pieniężne, o których mowa w </w:t>
      </w:r>
      <w:r w:rsidR="00A520BD" w:rsidRPr="007F28C1">
        <w:rPr>
          <w:color w:val="auto"/>
        </w:rPr>
        <w:t>d</w:t>
      </w:r>
      <w:r w:rsidRPr="007F28C1">
        <w:rPr>
          <w:color w:val="auto"/>
        </w:rPr>
        <w:t>ziale X P</w:t>
      </w:r>
      <w:r w:rsidR="00582216" w:rsidRPr="007F28C1">
        <w:rPr>
          <w:color w:val="auto"/>
        </w:rPr>
        <w:t>.</w:t>
      </w:r>
      <w:r w:rsidRPr="007F28C1">
        <w:rPr>
          <w:color w:val="auto"/>
        </w:rPr>
        <w:t>g</w:t>
      </w:r>
      <w:r w:rsidR="00582216" w:rsidRPr="007F28C1">
        <w:rPr>
          <w:color w:val="auto"/>
        </w:rPr>
        <w:t>.</w:t>
      </w:r>
      <w:r w:rsidRPr="007F28C1">
        <w:rPr>
          <w:color w:val="auto"/>
        </w:rPr>
        <w:t>g</w:t>
      </w:r>
      <w:r w:rsidR="00582216" w:rsidRPr="007F28C1">
        <w:rPr>
          <w:color w:val="auto"/>
        </w:rPr>
        <w:t>.</w:t>
      </w:r>
      <w:r w:rsidRPr="007F28C1">
        <w:rPr>
          <w:color w:val="auto"/>
        </w:rPr>
        <w:t xml:space="preserve">, stanowią karę administracyjną wymierzaną w przypadku działania podmiotu naruszającego obowiązujące przepisy </w:t>
      </w:r>
      <w:r w:rsidR="004071FB" w:rsidRPr="007F28C1">
        <w:rPr>
          <w:color w:val="auto"/>
        </w:rPr>
        <w:t>ustawy</w:t>
      </w:r>
      <w:r w:rsidRPr="007F28C1">
        <w:rPr>
          <w:color w:val="auto"/>
        </w:rPr>
        <w:t xml:space="preserve">, zagrożone sankcją administracyjną. Odpowiedzialność ta jest niezależna od odpowiedzialności karnej, której podstawę stanowią przepisy zawarte w dziale XI </w:t>
      </w:r>
      <w:r w:rsidR="00582216" w:rsidRPr="007F28C1">
        <w:rPr>
          <w:color w:val="auto"/>
        </w:rPr>
        <w:t>P.g.g</w:t>
      </w:r>
      <w:r w:rsidRPr="007F28C1">
        <w:rPr>
          <w:color w:val="auto"/>
        </w:rPr>
        <w:t xml:space="preserve">. Kary pieniężne w szczególności </w:t>
      </w:r>
      <w:r w:rsidRPr="007F28C1">
        <w:rPr>
          <w:color w:val="auto"/>
        </w:rPr>
        <w:lastRenderedPageBreak/>
        <w:t>nie są grzywnami w</w:t>
      </w:r>
      <w:r w:rsidR="0025547B" w:rsidRPr="007F28C1">
        <w:rPr>
          <w:color w:val="auto"/>
        </w:rPr>
        <w:t> </w:t>
      </w:r>
      <w:r w:rsidRPr="007F28C1">
        <w:rPr>
          <w:color w:val="auto"/>
        </w:rPr>
        <w:t>rozumieniu przepisów prawa karnego, jak również nie stanowią środków egzekucyjnych w</w:t>
      </w:r>
      <w:r w:rsidR="0025547B" w:rsidRPr="007F28C1">
        <w:rPr>
          <w:color w:val="auto"/>
        </w:rPr>
        <w:t> </w:t>
      </w:r>
      <w:r w:rsidRPr="007F28C1">
        <w:rPr>
          <w:color w:val="auto"/>
        </w:rPr>
        <w:t>rozumieniu przepisów o postępowaniu egzekucyjnym w administracji.</w:t>
      </w:r>
    </w:p>
    <w:p w14:paraId="2E16A171" w14:textId="1C61B70B" w:rsidR="00DF013F" w:rsidRPr="007F28C1" w:rsidRDefault="00DF013F" w:rsidP="007F28C1">
      <w:pPr>
        <w:pStyle w:val="Bodytext20"/>
        <w:shd w:val="clear" w:color="auto" w:fill="auto"/>
        <w:spacing w:before="120" w:after="0" w:line="360" w:lineRule="auto"/>
        <w:ind w:firstLine="0"/>
        <w:jc w:val="both"/>
        <w:rPr>
          <w:color w:val="auto"/>
        </w:rPr>
      </w:pPr>
      <w:r w:rsidRPr="007F28C1">
        <w:rPr>
          <w:color w:val="auto"/>
        </w:rPr>
        <w:t>Wysokość kary pieniężnej została określona od 1000 zł do 50 000 zł, przy czym podlega ona miarkowaniu ze względu na wagę i okoliczności popełnienia deliktu.</w:t>
      </w:r>
      <w:r w:rsidR="007F18B6" w:rsidRPr="007F28C1">
        <w:rPr>
          <w:color w:val="auto"/>
        </w:rPr>
        <w:t xml:space="preserve"> </w:t>
      </w:r>
      <w:r w:rsidRPr="007F28C1">
        <w:rPr>
          <w:color w:val="auto"/>
        </w:rPr>
        <w:t>Kary pieniężne, o których mowa w art. 175a</w:t>
      </w:r>
      <w:r w:rsidR="00453B61" w:rsidRPr="007F28C1">
        <w:rPr>
          <w:bCs/>
        </w:rPr>
        <w:t xml:space="preserve"> </w:t>
      </w:r>
      <w:r w:rsidR="00E36415" w:rsidRPr="007F28C1">
        <w:rPr>
          <w:color w:val="auto"/>
        </w:rPr>
        <w:t>P</w:t>
      </w:r>
      <w:r w:rsidR="007208B7" w:rsidRPr="007F28C1">
        <w:rPr>
          <w:color w:val="auto"/>
        </w:rPr>
        <w:t>.</w:t>
      </w:r>
      <w:r w:rsidR="00E36415" w:rsidRPr="007F28C1">
        <w:rPr>
          <w:color w:val="auto"/>
        </w:rPr>
        <w:t>g</w:t>
      </w:r>
      <w:r w:rsidR="007208B7" w:rsidRPr="007F28C1">
        <w:rPr>
          <w:color w:val="auto"/>
        </w:rPr>
        <w:t>.</w:t>
      </w:r>
      <w:r w:rsidR="00E36415" w:rsidRPr="007F28C1">
        <w:rPr>
          <w:color w:val="auto"/>
        </w:rPr>
        <w:t>g</w:t>
      </w:r>
      <w:r w:rsidR="007208B7" w:rsidRPr="007F28C1">
        <w:rPr>
          <w:color w:val="auto"/>
        </w:rPr>
        <w:t>.</w:t>
      </w:r>
      <w:r w:rsidRPr="007F28C1">
        <w:rPr>
          <w:color w:val="auto"/>
        </w:rPr>
        <w:t xml:space="preserve">, </w:t>
      </w:r>
      <w:r w:rsidR="0076404E" w:rsidRPr="007F28C1">
        <w:rPr>
          <w:color w:val="auto"/>
        </w:rPr>
        <w:t xml:space="preserve">będzie </w:t>
      </w:r>
      <w:r w:rsidRPr="007F28C1">
        <w:rPr>
          <w:color w:val="auto"/>
        </w:rPr>
        <w:t>wymierza</w:t>
      </w:r>
      <w:r w:rsidR="007208B7" w:rsidRPr="007F28C1">
        <w:rPr>
          <w:color w:val="auto"/>
        </w:rPr>
        <w:t>ć</w:t>
      </w:r>
      <w:r w:rsidRPr="007F28C1">
        <w:rPr>
          <w:color w:val="auto"/>
        </w:rPr>
        <w:t>, w drodze decyzji, właściwy organ nadzoru górniczego, tj. Prezes Wyższego Urzędu Górniczego</w:t>
      </w:r>
      <w:r w:rsidR="007F18B6" w:rsidRPr="007F28C1">
        <w:rPr>
          <w:color w:val="auto"/>
        </w:rPr>
        <w:t xml:space="preserve"> lub</w:t>
      </w:r>
      <w:r w:rsidRPr="007F28C1">
        <w:rPr>
          <w:color w:val="auto"/>
        </w:rPr>
        <w:t xml:space="preserve"> dyrektor okręgowego urzędu górniczego. Powyższe rozwiązanie pozwoli działać każdemu organowi nadzoru górniczego, którego działalność została utrudniona lub uniemożliwiona. Kwoty ściągnięte z tytułu kar pieniężnych, o których mowa w art. 175a </w:t>
      </w:r>
      <w:r w:rsidR="00E36415" w:rsidRPr="007F28C1">
        <w:rPr>
          <w:color w:val="auto"/>
        </w:rPr>
        <w:t>P</w:t>
      </w:r>
      <w:r w:rsidR="007208B7" w:rsidRPr="007F28C1">
        <w:rPr>
          <w:color w:val="auto"/>
        </w:rPr>
        <w:t>.</w:t>
      </w:r>
      <w:r w:rsidR="00E36415" w:rsidRPr="007F28C1">
        <w:rPr>
          <w:color w:val="auto"/>
        </w:rPr>
        <w:t>g</w:t>
      </w:r>
      <w:r w:rsidR="007208B7" w:rsidRPr="007F28C1">
        <w:rPr>
          <w:color w:val="auto"/>
        </w:rPr>
        <w:t>.</w:t>
      </w:r>
      <w:r w:rsidR="00E36415" w:rsidRPr="007F28C1">
        <w:rPr>
          <w:color w:val="auto"/>
        </w:rPr>
        <w:t>g</w:t>
      </w:r>
      <w:r w:rsidR="007208B7" w:rsidRPr="007F28C1">
        <w:rPr>
          <w:color w:val="auto"/>
        </w:rPr>
        <w:t>.</w:t>
      </w:r>
      <w:r w:rsidRPr="007F28C1">
        <w:rPr>
          <w:color w:val="auto"/>
        </w:rPr>
        <w:t>, będą stanowić dochód budżetu państwa.</w:t>
      </w:r>
    </w:p>
    <w:p w14:paraId="353C4524" w14:textId="2BE2CAB8" w:rsidR="00DF013F" w:rsidRPr="007F28C1" w:rsidRDefault="00DF013F" w:rsidP="007F28C1">
      <w:pPr>
        <w:pStyle w:val="Bodytext20"/>
        <w:shd w:val="clear" w:color="auto" w:fill="auto"/>
        <w:spacing w:before="120" w:after="0" w:line="360" w:lineRule="auto"/>
        <w:ind w:firstLine="0"/>
        <w:jc w:val="both"/>
        <w:rPr>
          <w:color w:val="auto"/>
        </w:rPr>
      </w:pPr>
      <w:r w:rsidRPr="007F28C1">
        <w:rPr>
          <w:color w:val="auto"/>
        </w:rPr>
        <w:t>Projektowany przepis art. 175a</w:t>
      </w:r>
      <w:r w:rsidR="00453B61" w:rsidRPr="007F28C1">
        <w:rPr>
          <w:color w:val="auto"/>
        </w:rPr>
        <w:t xml:space="preserve"> </w:t>
      </w:r>
      <w:r w:rsidR="00E36415" w:rsidRPr="007F28C1">
        <w:rPr>
          <w:color w:val="auto"/>
        </w:rPr>
        <w:t>P</w:t>
      </w:r>
      <w:r w:rsidR="007208B7" w:rsidRPr="007F28C1">
        <w:rPr>
          <w:color w:val="auto"/>
        </w:rPr>
        <w:t>.</w:t>
      </w:r>
      <w:r w:rsidR="00E36415" w:rsidRPr="007F28C1">
        <w:rPr>
          <w:color w:val="auto"/>
        </w:rPr>
        <w:t>g</w:t>
      </w:r>
      <w:r w:rsidR="007208B7" w:rsidRPr="007F28C1">
        <w:rPr>
          <w:color w:val="auto"/>
        </w:rPr>
        <w:t>.</w:t>
      </w:r>
      <w:r w:rsidR="00E36415" w:rsidRPr="007F28C1">
        <w:rPr>
          <w:color w:val="auto"/>
        </w:rPr>
        <w:t>g</w:t>
      </w:r>
      <w:r w:rsidR="007208B7" w:rsidRPr="007F28C1">
        <w:rPr>
          <w:color w:val="auto"/>
        </w:rPr>
        <w:t>.</w:t>
      </w:r>
      <w:r w:rsidRPr="007F28C1">
        <w:rPr>
          <w:color w:val="auto"/>
        </w:rPr>
        <w:t xml:space="preserve"> jest niezbędny, gdyż </w:t>
      </w:r>
      <w:r w:rsidR="004071FB" w:rsidRPr="007F28C1">
        <w:rPr>
          <w:color w:val="auto"/>
        </w:rPr>
        <w:t xml:space="preserve">podczas wykonywania zadań </w:t>
      </w:r>
      <w:r w:rsidRPr="007F28C1">
        <w:rPr>
          <w:color w:val="auto"/>
        </w:rPr>
        <w:t>pracownicy organów nadzoru górniczego</w:t>
      </w:r>
      <w:r w:rsidR="004071FB" w:rsidRPr="007F28C1">
        <w:rPr>
          <w:rFonts w:eastAsiaTheme="minorHAnsi"/>
          <w:color w:val="auto"/>
          <w:lang w:eastAsia="en-US" w:bidi="ar-SA"/>
        </w:rPr>
        <w:t xml:space="preserve"> </w:t>
      </w:r>
      <w:r w:rsidR="004071FB" w:rsidRPr="007F28C1">
        <w:rPr>
          <w:color w:val="auto"/>
        </w:rPr>
        <w:t>napotykają</w:t>
      </w:r>
      <w:r w:rsidRPr="007F28C1">
        <w:rPr>
          <w:color w:val="auto"/>
        </w:rPr>
        <w:t xml:space="preserve"> często </w:t>
      </w:r>
      <w:r w:rsidR="009E4B65" w:rsidRPr="007F28C1">
        <w:rPr>
          <w:color w:val="auto"/>
        </w:rPr>
        <w:t xml:space="preserve">działania utrudniające, a nawet uniemożliwiające </w:t>
      </w:r>
      <w:r w:rsidRPr="007F28C1">
        <w:rPr>
          <w:color w:val="auto"/>
        </w:rPr>
        <w:t>i</w:t>
      </w:r>
      <w:r w:rsidR="00A520BD" w:rsidRPr="007F28C1">
        <w:rPr>
          <w:color w:val="auto"/>
        </w:rPr>
        <w:t>m</w:t>
      </w:r>
      <w:r w:rsidRPr="007F28C1">
        <w:rPr>
          <w:color w:val="auto"/>
        </w:rPr>
        <w:t xml:space="preserve"> przeprowadzenie nadzoru i kontroli. </w:t>
      </w:r>
      <w:r w:rsidR="009E4B65" w:rsidRPr="007F28C1">
        <w:rPr>
          <w:color w:val="auto"/>
        </w:rPr>
        <w:t>W szczególności ma to miejsce podczas prowadzenia postępowań dotyczących tzw. nielegalnej eksploatacji kopalin.</w:t>
      </w:r>
      <w:r w:rsidR="009E4B65" w:rsidRPr="007F28C1" w:rsidDel="009E4B65">
        <w:rPr>
          <w:color w:val="auto"/>
        </w:rPr>
        <w:t xml:space="preserve"> </w:t>
      </w:r>
      <w:r w:rsidR="009E4B65" w:rsidRPr="007F28C1">
        <w:rPr>
          <w:color w:val="auto"/>
        </w:rPr>
        <w:t xml:space="preserve">Jednocześnie organom nadzoru górniczego brakuje skutecznego narzędzia, dzięki któremu mogłyby ukarać podmiot prowadzący takie działania, dlatego </w:t>
      </w:r>
      <w:r w:rsidR="0076404E" w:rsidRPr="007F28C1">
        <w:rPr>
          <w:color w:val="auto"/>
        </w:rPr>
        <w:t xml:space="preserve">jest </w:t>
      </w:r>
      <w:r w:rsidR="009E4B65" w:rsidRPr="007F28C1">
        <w:rPr>
          <w:color w:val="auto"/>
        </w:rPr>
        <w:t>konieczne wprowadzenie przepisów umożliwiających skuteczniejsze dyscyplinowanie podmiotów utrudniających przeprowadzenie czynności nadzoru i</w:t>
      </w:r>
      <w:r w:rsidR="00AD34C7" w:rsidRPr="007F28C1">
        <w:rPr>
          <w:color w:val="auto"/>
        </w:rPr>
        <w:t> </w:t>
      </w:r>
      <w:r w:rsidR="009E4B65" w:rsidRPr="007F28C1">
        <w:rPr>
          <w:color w:val="auto"/>
        </w:rPr>
        <w:t>kontroli. W</w:t>
      </w:r>
      <w:r w:rsidRPr="007F28C1">
        <w:rPr>
          <w:color w:val="auto"/>
        </w:rPr>
        <w:t xml:space="preserve">prowadzenie kary pieniężnej za delikty wskazane w projektowanym art. 175a </w:t>
      </w:r>
      <w:r w:rsidR="00E36415" w:rsidRPr="007F28C1">
        <w:rPr>
          <w:color w:val="auto"/>
        </w:rPr>
        <w:t>P</w:t>
      </w:r>
      <w:r w:rsidR="007208B7" w:rsidRPr="007F28C1">
        <w:rPr>
          <w:color w:val="auto"/>
        </w:rPr>
        <w:t>.</w:t>
      </w:r>
      <w:r w:rsidR="00E36415" w:rsidRPr="007F28C1">
        <w:rPr>
          <w:color w:val="auto"/>
        </w:rPr>
        <w:t>g</w:t>
      </w:r>
      <w:r w:rsidR="007208B7" w:rsidRPr="007F28C1">
        <w:rPr>
          <w:color w:val="auto"/>
        </w:rPr>
        <w:t>.</w:t>
      </w:r>
      <w:r w:rsidR="00E36415" w:rsidRPr="007F28C1">
        <w:rPr>
          <w:color w:val="auto"/>
        </w:rPr>
        <w:t>g</w:t>
      </w:r>
      <w:r w:rsidR="007208B7" w:rsidRPr="007F28C1">
        <w:rPr>
          <w:color w:val="auto"/>
        </w:rPr>
        <w:t>.</w:t>
      </w:r>
      <w:r w:rsidRPr="007F28C1">
        <w:rPr>
          <w:color w:val="auto"/>
        </w:rPr>
        <w:t xml:space="preserve"> przyczyni się do skuteczniejszej egzekucji przestrzegania przepisów prawa, w szczególności w zakresie bezpieczeństwa zakładu górniczego, jego pracowników, bezpieczeństwa powszechnego lub ochrony środowiska i gospodarki złożem (w tym wydobywania kopalin).</w:t>
      </w:r>
    </w:p>
    <w:p w14:paraId="4A4CAD79" w14:textId="06F470E8"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t xml:space="preserve">Dokonując implementacji dyrektywy Parlamentu Europejskiego i Rady 2013/30/UE z dnia 12 czerwca 2013 r. w sprawie bezpieczeństwa działalności związanej ze złożami ropy naftowej i gazu ziemnego na obszarach morskich </w:t>
      </w:r>
      <w:r w:rsidR="0076404E" w:rsidRPr="007F28C1">
        <w:rPr>
          <w:color w:val="auto"/>
        </w:rPr>
        <w:t xml:space="preserve">oraz zmiany dyrektywy 2004/35/WE </w:t>
      </w:r>
      <w:r w:rsidRPr="007F28C1">
        <w:rPr>
          <w:color w:val="auto"/>
          <w:lang w:val="de-DE" w:eastAsia="de-DE" w:bidi="de-DE"/>
        </w:rPr>
        <w:t xml:space="preserve">(Dz. </w:t>
      </w:r>
      <w:r w:rsidRPr="007F28C1">
        <w:rPr>
          <w:color w:val="auto"/>
        </w:rPr>
        <w:t>Urz. UE L</w:t>
      </w:r>
      <w:r w:rsidR="006F4892" w:rsidRPr="007F28C1">
        <w:rPr>
          <w:color w:val="auto"/>
        </w:rPr>
        <w:t xml:space="preserve"> </w:t>
      </w:r>
      <w:r w:rsidR="0076404E" w:rsidRPr="007F28C1">
        <w:rPr>
          <w:color w:val="auto"/>
        </w:rPr>
        <w:t>178</w:t>
      </w:r>
      <w:r w:rsidRPr="007F28C1">
        <w:rPr>
          <w:color w:val="auto"/>
        </w:rPr>
        <w:t xml:space="preserve"> z </w:t>
      </w:r>
      <w:r w:rsidR="0076404E" w:rsidRPr="007F28C1">
        <w:rPr>
          <w:color w:val="auto"/>
        </w:rPr>
        <w:t>28.06.</w:t>
      </w:r>
      <w:r w:rsidRPr="007F28C1">
        <w:rPr>
          <w:color w:val="auto"/>
        </w:rPr>
        <w:t>2013, str. 66</w:t>
      </w:r>
      <w:r w:rsidR="0076404E" w:rsidRPr="007F28C1">
        <w:rPr>
          <w:color w:val="auto"/>
        </w:rPr>
        <w:t>, z późn. zm.</w:t>
      </w:r>
      <w:r w:rsidRPr="007F28C1">
        <w:rPr>
          <w:color w:val="auto"/>
        </w:rPr>
        <w:t>)</w:t>
      </w:r>
      <w:r w:rsidR="008A3158" w:rsidRPr="007F28C1">
        <w:rPr>
          <w:color w:val="auto"/>
        </w:rPr>
        <w:t>,</w:t>
      </w:r>
      <w:r w:rsidRPr="007F28C1">
        <w:rPr>
          <w:color w:val="auto"/>
        </w:rPr>
        <w:t xml:space="preserve"> prawodawca dodał ust. </w:t>
      </w:r>
      <w:r w:rsidR="00080897">
        <w:rPr>
          <w:color w:val="auto"/>
        </w:rPr>
        <w:t>1</w:t>
      </w:r>
      <w:r w:rsidRPr="007F28C1">
        <w:rPr>
          <w:color w:val="auto"/>
        </w:rPr>
        <w:t xml:space="preserve">a w </w:t>
      </w:r>
      <w:r w:rsidRPr="007F28C1">
        <w:rPr>
          <w:color w:val="auto"/>
          <w:lang w:eastAsia="en-US" w:bidi="en-US"/>
        </w:rPr>
        <w:t xml:space="preserve">art. </w:t>
      </w:r>
      <w:r w:rsidRPr="007F28C1">
        <w:rPr>
          <w:color w:val="auto"/>
        </w:rPr>
        <w:t>174 P</w:t>
      </w:r>
      <w:r w:rsidR="007208B7" w:rsidRPr="007F28C1">
        <w:rPr>
          <w:color w:val="auto"/>
        </w:rPr>
        <w:t>.</w:t>
      </w:r>
      <w:r w:rsidRPr="007F28C1">
        <w:rPr>
          <w:color w:val="auto"/>
        </w:rPr>
        <w:t>g</w:t>
      </w:r>
      <w:r w:rsidR="007208B7" w:rsidRPr="007F28C1">
        <w:rPr>
          <w:color w:val="auto"/>
        </w:rPr>
        <w:t>.</w:t>
      </w:r>
      <w:r w:rsidRPr="007F28C1">
        <w:rPr>
          <w:color w:val="auto"/>
        </w:rPr>
        <w:t>g</w:t>
      </w:r>
      <w:r w:rsidR="007208B7" w:rsidRPr="007F28C1">
        <w:rPr>
          <w:color w:val="auto"/>
        </w:rPr>
        <w:t>.</w:t>
      </w:r>
      <w:r w:rsidRPr="007F28C1">
        <w:rPr>
          <w:color w:val="auto"/>
        </w:rPr>
        <w:t xml:space="preserve">, ustanawiający obowiązek ustalania stanu faktycznego i przyczyn zdarzenia lub wypadku przez właściwy organ nadzoru górniczego oraz niezwłocznego przekazywania tych ustaleń Prezesowi Wyższego Urzędu Górniczego w przypadku wystąpienia poważnego niebezpiecznego zdarzenia lub wypadku śmiertelnego, wypadku ciężkiego albo wypadku zbiorowego w ruchu zakładu górniczego przedsiębiorcy wykonującego działalność polegającą na poszukiwaniu, rozpoznawaniu lub wydobywaniu węglowodorów ze złóż w granicach obszarów morskich </w:t>
      </w:r>
      <w:r w:rsidR="00A520BD" w:rsidRPr="007F28C1">
        <w:rPr>
          <w:color w:val="auto"/>
        </w:rPr>
        <w:t>R</w:t>
      </w:r>
      <w:r w:rsidR="0076404E" w:rsidRPr="007F28C1">
        <w:rPr>
          <w:color w:val="auto"/>
        </w:rPr>
        <w:t xml:space="preserve">zeczypospolitej </w:t>
      </w:r>
      <w:r w:rsidR="00A520BD" w:rsidRPr="007F28C1">
        <w:rPr>
          <w:color w:val="auto"/>
        </w:rPr>
        <w:t>P</w:t>
      </w:r>
      <w:r w:rsidR="0076404E" w:rsidRPr="007F28C1">
        <w:rPr>
          <w:color w:val="auto"/>
        </w:rPr>
        <w:t>olskiej</w:t>
      </w:r>
      <w:r w:rsidRPr="007F28C1">
        <w:rPr>
          <w:color w:val="auto"/>
        </w:rPr>
        <w:t>.</w:t>
      </w:r>
    </w:p>
    <w:p w14:paraId="7AA7CF40" w14:textId="6A9C3757"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lastRenderedPageBreak/>
        <w:t xml:space="preserve">W związku z powyższym </w:t>
      </w:r>
      <w:r w:rsidR="0076404E" w:rsidRPr="007F28C1">
        <w:rPr>
          <w:color w:val="auto"/>
        </w:rPr>
        <w:t xml:space="preserve">jest </w:t>
      </w:r>
      <w:r w:rsidRPr="007F28C1">
        <w:rPr>
          <w:color w:val="auto"/>
        </w:rPr>
        <w:t xml:space="preserve">niezbędne uzupełnienie dyspozycji </w:t>
      </w:r>
      <w:r w:rsidRPr="007F28C1">
        <w:rPr>
          <w:color w:val="auto"/>
          <w:lang w:eastAsia="en-US" w:bidi="en-US"/>
        </w:rPr>
        <w:t xml:space="preserve">art. </w:t>
      </w:r>
      <w:r w:rsidRPr="007F28C1">
        <w:rPr>
          <w:color w:val="auto"/>
        </w:rPr>
        <w:t>174 ust. 3 P</w:t>
      </w:r>
      <w:r w:rsidR="007208B7" w:rsidRPr="007F28C1">
        <w:rPr>
          <w:color w:val="auto"/>
        </w:rPr>
        <w:t>.</w:t>
      </w:r>
      <w:r w:rsidRPr="007F28C1">
        <w:rPr>
          <w:color w:val="auto"/>
        </w:rPr>
        <w:t>g</w:t>
      </w:r>
      <w:r w:rsidR="007208B7" w:rsidRPr="007F28C1">
        <w:rPr>
          <w:color w:val="auto"/>
        </w:rPr>
        <w:t>.</w:t>
      </w:r>
      <w:r w:rsidRPr="007F28C1">
        <w:rPr>
          <w:color w:val="auto"/>
        </w:rPr>
        <w:t>g</w:t>
      </w:r>
      <w:r w:rsidR="007208B7" w:rsidRPr="007F28C1">
        <w:rPr>
          <w:color w:val="auto"/>
        </w:rPr>
        <w:t>.</w:t>
      </w:r>
      <w:r w:rsidRPr="007F28C1">
        <w:rPr>
          <w:color w:val="auto"/>
        </w:rPr>
        <w:t xml:space="preserve"> o czynności wykonywane przez pracowników nadzoru górniczego na podstawie legitymacji służbowej określone również w </w:t>
      </w:r>
      <w:r w:rsidRPr="007F28C1">
        <w:rPr>
          <w:color w:val="auto"/>
          <w:lang w:eastAsia="en-US" w:bidi="en-US"/>
        </w:rPr>
        <w:t xml:space="preserve">art. </w:t>
      </w:r>
      <w:r w:rsidRPr="007F28C1">
        <w:rPr>
          <w:color w:val="auto"/>
        </w:rPr>
        <w:t xml:space="preserve">174 ust. </w:t>
      </w:r>
      <w:r w:rsidR="00E24863">
        <w:rPr>
          <w:color w:val="auto"/>
        </w:rPr>
        <w:t>1</w:t>
      </w:r>
      <w:r w:rsidRPr="007F28C1">
        <w:rPr>
          <w:color w:val="auto"/>
        </w:rPr>
        <w:t>a P</w:t>
      </w:r>
      <w:r w:rsidR="007208B7" w:rsidRPr="007F28C1">
        <w:rPr>
          <w:color w:val="auto"/>
        </w:rPr>
        <w:t>.</w:t>
      </w:r>
      <w:r w:rsidRPr="007F28C1">
        <w:rPr>
          <w:color w:val="auto"/>
        </w:rPr>
        <w:t>g</w:t>
      </w:r>
      <w:r w:rsidR="007208B7" w:rsidRPr="007F28C1">
        <w:rPr>
          <w:color w:val="auto"/>
        </w:rPr>
        <w:t>.</w:t>
      </w:r>
      <w:r w:rsidRPr="007F28C1">
        <w:rPr>
          <w:color w:val="auto"/>
        </w:rPr>
        <w:t>g.</w:t>
      </w:r>
    </w:p>
    <w:p w14:paraId="12C6B15B" w14:textId="2792487E"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t>Przepis</w:t>
      </w:r>
      <w:r w:rsidRPr="007F28C1">
        <w:rPr>
          <w:color w:val="auto"/>
          <w:lang w:eastAsia="en-US" w:bidi="en-US"/>
        </w:rPr>
        <w:t xml:space="preserve"> art. </w:t>
      </w:r>
      <w:r w:rsidRPr="007F28C1">
        <w:rPr>
          <w:color w:val="auto"/>
        </w:rPr>
        <w:t>174 ust. 1 P</w:t>
      </w:r>
      <w:r w:rsidR="007208B7" w:rsidRPr="007F28C1">
        <w:rPr>
          <w:color w:val="auto"/>
        </w:rPr>
        <w:t>.</w:t>
      </w:r>
      <w:r w:rsidRPr="007F28C1">
        <w:rPr>
          <w:color w:val="auto"/>
        </w:rPr>
        <w:t>g</w:t>
      </w:r>
      <w:r w:rsidR="007208B7" w:rsidRPr="007F28C1">
        <w:rPr>
          <w:color w:val="auto"/>
        </w:rPr>
        <w:t>.</w:t>
      </w:r>
      <w:r w:rsidRPr="007F28C1">
        <w:rPr>
          <w:color w:val="auto"/>
        </w:rPr>
        <w:t>g</w:t>
      </w:r>
      <w:r w:rsidR="007208B7" w:rsidRPr="007F28C1">
        <w:rPr>
          <w:color w:val="auto"/>
        </w:rPr>
        <w:t>.</w:t>
      </w:r>
      <w:r w:rsidRPr="007F28C1">
        <w:rPr>
          <w:color w:val="auto"/>
        </w:rPr>
        <w:t xml:space="preserve"> nadaje organom nadzoru górniczego uprawnienie do samodzielnego ustalenia stanu faktycznego i przyczyny zdarzenia, wypadku lub zgonu w przypadku zaistnienia niebezpiecznego zdarzenia, wypadku lub zgonu naturalnego w ruchu zakładu górniczego. Organy nadzoru górniczego wielokrotnie korzystały z tego prawa, w szczególności podczas wystąpienia tzw. katastrof górniczych, np. w KWK „Mysłowice-Wesoła” (2014), KWK „Wujek” Ruch „Śląsk” (2009) lub KWK „Halemba” (2006).</w:t>
      </w:r>
    </w:p>
    <w:p w14:paraId="6B8EA122" w14:textId="0603F441"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t xml:space="preserve">Ocena ustaleń dotyczących stanu faktycznego i przyczyn zdarzenia, wypadku lub zgonu zaistniałych w ruchu zakładu górniczego wymaga odniesienia nie tylko do przepisów obowiązujących w ruchu zakładu górniczego, ale również do zasad techniki górniczej. Należy podkreślić, że w myśl </w:t>
      </w:r>
      <w:r w:rsidRPr="007F28C1">
        <w:rPr>
          <w:color w:val="auto"/>
          <w:lang w:eastAsia="en-US" w:bidi="en-US"/>
        </w:rPr>
        <w:t xml:space="preserve">art. </w:t>
      </w:r>
      <w:r w:rsidRPr="007F28C1">
        <w:rPr>
          <w:color w:val="auto"/>
        </w:rPr>
        <w:t>105 ust. 1 P</w:t>
      </w:r>
      <w:r w:rsidR="00A520BD" w:rsidRPr="007F28C1">
        <w:rPr>
          <w:color w:val="auto"/>
        </w:rPr>
        <w:t>.</w:t>
      </w:r>
      <w:r w:rsidRPr="007F28C1">
        <w:rPr>
          <w:color w:val="auto"/>
        </w:rPr>
        <w:t>g</w:t>
      </w:r>
      <w:r w:rsidR="00A520BD" w:rsidRPr="007F28C1">
        <w:rPr>
          <w:color w:val="auto"/>
        </w:rPr>
        <w:t>.</w:t>
      </w:r>
      <w:r w:rsidRPr="007F28C1">
        <w:rPr>
          <w:color w:val="auto"/>
        </w:rPr>
        <w:t>g</w:t>
      </w:r>
      <w:r w:rsidR="00A520BD" w:rsidRPr="007F28C1">
        <w:rPr>
          <w:color w:val="auto"/>
        </w:rPr>
        <w:t>.</w:t>
      </w:r>
      <w:r w:rsidRPr="007F28C1">
        <w:rPr>
          <w:color w:val="auto"/>
        </w:rPr>
        <w:t xml:space="preserve"> </w:t>
      </w:r>
      <w:r w:rsidRPr="007F28C1">
        <w:rPr>
          <w:rStyle w:val="Bodytext2Italic"/>
          <w:i w:val="0"/>
          <w:iCs w:val="0"/>
          <w:color w:val="auto"/>
        </w:rPr>
        <w:t>ruch zakładu górniczego prowadzi się w sposób zgodny z przepisami prawa, w szczególności na podstawie planu ruchu zakładu górniczego, a także zgodnie z zasadami techniki górniczej</w:t>
      </w:r>
      <w:r w:rsidRPr="007F28C1">
        <w:rPr>
          <w:rStyle w:val="Bodytext2Italic"/>
          <w:i w:val="0"/>
          <w:color w:val="auto"/>
        </w:rPr>
        <w:t>.</w:t>
      </w:r>
      <w:r w:rsidRPr="007F28C1">
        <w:rPr>
          <w:rStyle w:val="Bodytext2Bold"/>
          <w:b w:val="0"/>
          <w:color w:val="auto"/>
        </w:rPr>
        <w:t xml:space="preserve"> </w:t>
      </w:r>
      <w:r w:rsidRPr="007F28C1">
        <w:rPr>
          <w:color w:val="auto"/>
        </w:rPr>
        <w:t>Zasady techniki górniczej nie zostały zdefiniowane w P</w:t>
      </w:r>
      <w:r w:rsidR="007208B7" w:rsidRPr="007F28C1">
        <w:rPr>
          <w:color w:val="auto"/>
        </w:rPr>
        <w:t>.</w:t>
      </w:r>
      <w:r w:rsidRPr="007F28C1">
        <w:rPr>
          <w:color w:val="auto"/>
        </w:rPr>
        <w:t>g</w:t>
      </w:r>
      <w:r w:rsidR="007208B7" w:rsidRPr="007F28C1">
        <w:rPr>
          <w:color w:val="auto"/>
        </w:rPr>
        <w:t>.</w:t>
      </w:r>
      <w:r w:rsidRPr="007F28C1">
        <w:rPr>
          <w:color w:val="auto"/>
        </w:rPr>
        <w:t>g</w:t>
      </w:r>
      <w:r w:rsidR="007208B7" w:rsidRPr="007F28C1">
        <w:rPr>
          <w:color w:val="auto"/>
        </w:rPr>
        <w:t>.</w:t>
      </w:r>
      <w:r w:rsidRPr="007F28C1">
        <w:rPr>
          <w:color w:val="auto"/>
        </w:rPr>
        <w:t xml:space="preserve"> i nie stanowią norm prawnych, lecz są pewnymi regułami wynikającymi z aktualnej wiedzy i doświadczenia, określającymi sposób stosowania procedur i narzędzi przy dokonywaniu określonych czynności w ruchu zakładu górniczego. Zakres i treść tych zasad jest zmienna, ewoluuje wraz z rozwojem wiedzy w danej dziedzinie</w:t>
      </w:r>
      <w:r w:rsidR="000D4FF9" w:rsidRPr="007F28C1">
        <w:rPr>
          <w:color w:val="auto"/>
        </w:rPr>
        <w:t xml:space="preserve"> </w:t>
      </w:r>
      <w:r w:rsidRPr="007F28C1">
        <w:rPr>
          <w:color w:val="auto"/>
        </w:rPr>
        <w:t>i</w:t>
      </w:r>
      <w:r w:rsidR="00705A7E" w:rsidRPr="007F28C1">
        <w:rPr>
          <w:color w:val="auto"/>
        </w:rPr>
        <w:t> </w:t>
      </w:r>
      <w:r w:rsidRPr="007F28C1">
        <w:rPr>
          <w:color w:val="auto"/>
        </w:rPr>
        <w:t xml:space="preserve">przystosowuje się do konkretnych stanów faktycznych. Odesłanie do zasad techniki górniczej ma charakter klauzuli generalnej, a funkcją tego odesłania jest uelastycznienie prawa i umożliwienie dookreślenia sposobu działania w ramach przepisów prawa w zindywidualizowanych okolicznościach. </w:t>
      </w:r>
    </w:p>
    <w:p w14:paraId="59C89494" w14:textId="60BE0773"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t xml:space="preserve">Organy nadzoru górniczego mają kompetencje, w tym wiedzę merytoryczną z zakresu przepisów prawa, znajomość zasad techniki górniczej i praktyczne umiejętności, niezbędne dla ustalenia stanu faktycznego i kompleksowego wyjaśnienia przyczyn i okoliczności zdarzenia, wypadku lub zgonu, zaistniałych w ruchu zakładu górniczego. Ponadto należy podkreślić, że w związku z wykonywaniem bieżącego nadzoru nad ruchem zakładów górniczych organy nadzoru górniczego posiadają bieżące informacje dotyczące poszczególnych elementów konkretnego ruchu zakładu górniczego oraz zależności między tymi elementami, w związku z czym w razie zaistnienia zdarzenia, wypadku lub zgonu w ruchu tego zakładu górniczego organy te są w stanie szybko dokonać realnej oceny stanu faktycznego oraz oceny przyczyn i okoliczności zdarzenia, wypadku lub zgonu w zakładzie górniczym. W konsekwencji działanie organów nadzoru górniczego w ramach badań powypadkowych nie stanowi znaczącego </w:t>
      </w:r>
      <w:r w:rsidRPr="007F28C1">
        <w:rPr>
          <w:color w:val="auto"/>
        </w:rPr>
        <w:lastRenderedPageBreak/>
        <w:t>obciążenia dla ruchu zakładu górniczego. Szybsze przeprowadzanie badań powypadkowych oznacza również szybsze wyeliminowanie ewentualnych nieprawidłowości w ruchu zakładu górniczego, których skutkiem było niebezpieczne zdarzenie lub wypadek, a w konsekwencji szybsze przywrócenie stanu zgodnego z prawem, co ma bezpośrednie przełożenie na bezpieczeństwo ruchu zakładu górniczego oraz osób uczestniczących w ruchu tego zakładu górniczego.</w:t>
      </w:r>
    </w:p>
    <w:p w14:paraId="7EF8DC16" w14:textId="7530BC90"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t>Postępowanie, w ramach którego organy nadzoru górniczego ustalają stan faktyczny i przyczyny zdarzenia, wypadku lub zgonu naturalnego, następuje w ramach nadzoru nad ruchem zakładu górniczego</w:t>
      </w:r>
      <w:r w:rsidRPr="007F28C1">
        <w:rPr>
          <w:rStyle w:val="Bodytext2Italic"/>
          <w:i w:val="0"/>
          <w:color w:val="auto"/>
        </w:rPr>
        <w:t xml:space="preserve">, </w:t>
      </w:r>
      <w:r w:rsidRPr="007F28C1">
        <w:rPr>
          <w:rStyle w:val="Bodytext2Italic"/>
          <w:i w:val="0"/>
          <w:iCs w:val="0"/>
          <w:color w:val="auto"/>
        </w:rPr>
        <w:t xml:space="preserve">a </w:t>
      </w:r>
      <w:r w:rsidRPr="007F28C1">
        <w:rPr>
          <w:color w:val="auto"/>
        </w:rPr>
        <w:t>w toku tych postępowań organy nadzoru górniczego przeprowadzają oględziny miejsca wypadku, zabezpieczają ślady i dowody oraz przesłuchują poszkodowanych oraz świadków, jak również mogą zlecić przeprowadzenie specjalistycznych badań i ekspertyz. Niezależnie od ww. postępowań organy nadzoru górniczego prowadzą czynności wyjaśniające w sprawach o wykroczenia w trybie określonym przepisami ustawy</w:t>
      </w:r>
      <w:r w:rsidR="007208B7" w:rsidRPr="007F28C1">
        <w:rPr>
          <w:color w:val="auto"/>
        </w:rPr>
        <w:t xml:space="preserve"> z dnia 24 sierpnia 2001 r. </w:t>
      </w:r>
      <w:r w:rsidR="00467429" w:rsidRPr="007F28C1">
        <w:rPr>
          <w:color w:val="auto"/>
        </w:rPr>
        <w:t xml:space="preserve">– </w:t>
      </w:r>
      <w:r w:rsidR="007208B7" w:rsidRPr="007F28C1">
        <w:rPr>
          <w:color w:val="auto"/>
        </w:rPr>
        <w:t xml:space="preserve">Kodeks postępowania w sprawach o wykroczenia </w:t>
      </w:r>
      <w:r w:rsidR="00B065A5" w:rsidRPr="007F28C1">
        <w:rPr>
          <w:color w:val="auto"/>
        </w:rPr>
        <w:t>(Dz.</w:t>
      </w:r>
      <w:r w:rsidR="009702B6" w:rsidRPr="007F28C1">
        <w:rPr>
          <w:color w:val="auto"/>
        </w:rPr>
        <w:t xml:space="preserve"> </w:t>
      </w:r>
      <w:r w:rsidR="00B065A5" w:rsidRPr="007F28C1">
        <w:rPr>
          <w:color w:val="auto"/>
        </w:rPr>
        <w:t xml:space="preserve">U. z </w:t>
      </w:r>
      <w:r w:rsidR="001C4A87" w:rsidRPr="007F28C1">
        <w:rPr>
          <w:color w:val="auto"/>
        </w:rPr>
        <w:t xml:space="preserve">2022 </w:t>
      </w:r>
      <w:r w:rsidR="00B065A5" w:rsidRPr="007F28C1">
        <w:rPr>
          <w:color w:val="auto"/>
        </w:rPr>
        <w:t xml:space="preserve">r. poz. </w:t>
      </w:r>
      <w:r w:rsidR="001C4A87" w:rsidRPr="007F28C1">
        <w:rPr>
          <w:color w:val="auto"/>
        </w:rPr>
        <w:t>1124</w:t>
      </w:r>
      <w:r w:rsidR="00B065A5" w:rsidRPr="007F28C1">
        <w:rPr>
          <w:color w:val="auto"/>
        </w:rPr>
        <w:t>)</w:t>
      </w:r>
      <w:r w:rsidR="00467429" w:rsidRPr="007F28C1">
        <w:rPr>
          <w:color w:val="auto"/>
        </w:rPr>
        <w:t>, zwanej</w:t>
      </w:r>
      <w:r w:rsidR="00B065A5" w:rsidRPr="007F28C1">
        <w:rPr>
          <w:color w:val="auto"/>
        </w:rPr>
        <w:t xml:space="preserve"> </w:t>
      </w:r>
      <w:r w:rsidR="007208B7" w:rsidRPr="007F28C1">
        <w:rPr>
          <w:color w:val="auto"/>
        </w:rPr>
        <w:t>dalej „K.p.</w:t>
      </w:r>
      <w:r w:rsidR="009D3BA1" w:rsidRPr="007F28C1">
        <w:rPr>
          <w:color w:val="auto"/>
        </w:rPr>
        <w:t>s.</w:t>
      </w:r>
      <w:r w:rsidR="007208B7" w:rsidRPr="007F28C1">
        <w:rPr>
          <w:color w:val="auto"/>
        </w:rPr>
        <w:t>w.”</w:t>
      </w:r>
      <w:r w:rsidRPr="007F28C1">
        <w:rPr>
          <w:color w:val="auto"/>
        </w:rPr>
        <w:t xml:space="preserve">, z odpowiednim zastosowaniem przepisów ustawy z dnia 6 czerwca 1997 r. </w:t>
      </w:r>
      <w:r w:rsidR="00467429" w:rsidRPr="007F28C1">
        <w:rPr>
          <w:color w:val="auto"/>
        </w:rPr>
        <w:t xml:space="preserve">– </w:t>
      </w:r>
      <w:r w:rsidRPr="007F28C1">
        <w:rPr>
          <w:color w:val="auto"/>
        </w:rPr>
        <w:t>Kodeks postępowania karnego</w:t>
      </w:r>
      <w:r w:rsidR="007C23C6" w:rsidRPr="007F28C1">
        <w:rPr>
          <w:color w:val="auto"/>
        </w:rPr>
        <w:t xml:space="preserve"> (Dz. U. z</w:t>
      </w:r>
      <w:r w:rsidR="00902F18" w:rsidRPr="007F28C1">
        <w:rPr>
          <w:color w:val="auto"/>
        </w:rPr>
        <w:t> </w:t>
      </w:r>
      <w:r w:rsidR="001C4A87" w:rsidRPr="007F28C1">
        <w:rPr>
          <w:color w:val="auto"/>
        </w:rPr>
        <w:t xml:space="preserve">2022 </w:t>
      </w:r>
      <w:r w:rsidR="007C23C6" w:rsidRPr="007F28C1">
        <w:rPr>
          <w:color w:val="auto"/>
        </w:rPr>
        <w:t xml:space="preserve">r. poz. </w:t>
      </w:r>
      <w:r w:rsidR="001C4A87" w:rsidRPr="007F28C1">
        <w:rPr>
          <w:color w:val="auto"/>
        </w:rPr>
        <w:t>1375</w:t>
      </w:r>
      <w:r w:rsidR="00467429" w:rsidRPr="007F28C1">
        <w:rPr>
          <w:color w:val="auto"/>
        </w:rPr>
        <w:t>, z późn. zm.</w:t>
      </w:r>
      <w:r w:rsidR="007C23C6" w:rsidRPr="007F28C1">
        <w:rPr>
          <w:color w:val="auto"/>
        </w:rPr>
        <w:t>)</w:t>
      </w:r>
      <w:r w:rsidRPr="007F28C1">
        <w:rPr>
          <w:color w:val="auto"/>
        </w:rPr>
        <w:t>, a</w:t>
      </w:r>
      <w:r w:rsidR="000A2D6A" w:rsidRPr="007F28C1">
        <w:rPr>
          <w:color w:val="auto"/>
        </w:rPr>
        <w:t> </w:t>
      </w:r>
      <w:r w:rsidRPr="007F28C1">
        <w:rPr>
          <w:color w:val="auto"/>
        </w:rPr>
        <w:t>następnie występują do sądu z wnioskiem o ukaranie, działając w charakterze oskarżyciela publicznego. Opisane działania organów nadzoru górniczego w pewnych zakresach pokrywają się z</w:t>
      </w:r>
      <w:r w:rsidR="0025547B" w:rsidRPr="007F28C1">
        <w:rPr>
          <w:color w:val="auto"/>
        </w:rPr>
        <w:t> </w:t>
      </w:r>
      <w:r w:rsidRPr="007F28C1">
        <w:rPr>
          <w:color w:val="auto"/>
        </w:rPr>
        <w:t xml:space="preserve">działaniami organów ścigania, czyli prokuratora i Policji, a ponadto w takich sytuacjach dochodzi również do zdublowania niektórych czynności przeprowadzanych przez te organy (np. przesłuchanie świadków, oględziny, pozyskiwanie opinii biegłych). Jednocześnie należy mieć na uwadze, że pewne czynności często mogą być przeprowadzone tylko przez organy nadzoru górniczego, jak np. oględziny miejsca wypadku pod ziemią. </w:t>
      </w:r>
    </w:p>
    <w:p w14:paraId="2C202E88" w14:textId="4C9ADA0F"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t xml:space="preserve">W świetle powyższego </w:t>
      </w:r>
      <w:r w:rsidR="00467429" w:rsidRPr="007F28C1">
        <w:rPr>
          <w:color w:val="auto"/>
        </w:rPr>
        <w:t xml:space="preserve">jest </w:t>
      </w:r>
      <w:r w:rsidR="007208B7" w:rsidRPr="007F28C1">
        <w:rPr>
          <w:color w:val="auto"/>
        </w:rPr>
        <w:t>zasadn</w:t>
      </w:r>
      <w:r w:rsidR="00467429" w:rsidRPr="007F28C1">
        <w:rPr>
          <w:color w:val="auto"/>
        </w:rPr>
        <w:t>e</w:t>
      </w:r>
      <w:r w:rsidR="007208B7" w:rsidRPr="007F28C1">
        <w:rPr>
          <w:color w:val="auto"/>
        </w:rPr>
        <w:t xml:space="preserve"> wprowadzenie regulacji w</w:t>
      </w:r>
      <w:r w:rsidR="00A51DC3" w:rsidRPr="007F28C1">
        <w:rPr>
          <w:color w:val="auto"/>
        </w:rPr>
        <w:t xml:space="preserve"> </w:t>
      </w:r>
      <w:r w:rsidRPr="007F28C1">
        <w:rPr>
          <w:color w:val="auto"/>
        </w:rPr>
        <w:t>art. 174 ust. 4</w:t>
      </w:r>
      <w:r w:rsidR="00900599" w:rsidRPr="007F28C1">
        <w:rPr>
          <w:color w:val="auto"/>
        </w:rPr>
        <w:t xml:space="preserve"> i</w:t>
      </w:r>
      <w:r w:rsidR="00455391">
        <w:rPr>
          <w:color w:val="auto"/>
        </w:rPr>
        <w:t xml:space="preserve"> </w:t>
      </w:r>
      <w:r w:rsidR="00BD5E21" w:rsidRPr="007F28C1">
        <w:rPr>
          <w:color w:val="auto"/>
        </w:rPr>
        <w:t>5</w:t>
      </w:r>
      <w:r w:rsidR="00A51DC3" w:rsidRPr="007F28C1">
        <w:rPr>
          <w:color w:val="auto"/>
        </w:rPr>
        <w:t xml:space="preserve"> P.g.g.</w:t>
      </w:r>
      <w:r w:rsidRPr="007F28C1">
        <w:rPr>
          <w:color w:val="auto"/>
        </w:rPr>
        <w:t>, które pozwolą organom nadzoru górniczego realizować czynności w toku badań powypadkowych jako czynności w</w:t>
      </w:r>
      <w:r w:rsidR="0025547B" w:rsidRPr="007F28C1">
        <w:rPr>
          <w:color w:val="auto"/>
        </w:rPr>
        <w:t> </w:t>
      </w:r>
      <w:r w:rsidRPr="007F28C1">
        <w:rPr>
          <w:color w:val="auto"/>
        </w:rPr>
        <w:t>postępowaniu karnym, a ponadto pozwolą wykorzystać tak zebrane materiały w toku postępowań prowadzonych na podstawie P</w:t>
      </w:r>
      <w:r w:rsidR="007208B7" w:rsidRPr="007F28C1">
        <w:rPr>
          <w:color w:val="auto"/>
        </w:rPr>
        <w:t>.</w:t>
      </w:r>
      <w:r w:rsidRPr="007F28C1">
        <w:rPr>
          <w:color w:val="auto"/>
        </w:rPr>
        <w:t>g</w:t>
      </w:r>
      <w:r w:rsidR="007208B7" w:rsidRPr="007F28C1">
        <w:rPr>
          <w:color w:val="auto"/>
        </w:rPr>
        <w:t>.</w:t>
      </w:r>
      <w:r w:rsidRPr="007F28C1">
        <w:rPr>
          <w:color w:val="auto"/>
        </w:rPr>
        <w:t>g.</w:t>
      </w:r>
    </w:p>
    <w:p w14:paraId="69A5D8AB" w14:textId="5605E8A8" w:rsidR="00AD34C7" w:rsidRPr="007F28C1" w:rsidRDefault="00AD34C7" w:rsidP="007F28C1">
      <w:pPr>
        <w:pStyle w:val="Bodytext20"/>
        <w:shd w:val="clear" w:color="auto" w:fill="auto"/>
        <w:spacing w:before="120" w:after="0" w:line="360" w:lineRule="auto"/>
        <w:ind w:firstLine="0"/>
        <w:jc w:val="both"/>
        <w:rPr>
          <w:color w:val="auto"/>
        </w:rPr>
      </w:pPr>
      <w:r w:rsidRPr="007F28C1">
        <w:rPr>
          <w:color w:val="auto"/>
        </w:rPr>
        <w:t>Projektowane zmiany przewidują m.in. umożliwienie organom prowadzącym śledztwo lub dochodzenie powierzeni</w:t>
      </w:r>
      <w:r w:rsidR="00830387">
        <w:rPr>
          <w:color w:val="auto"/>
        </w:rPr>
        <w:t>e</w:t>
      </w:r>
      <w:r w:rsidRPr="007F28C1">
        <w:rPr>
          <w:color w:val="auto"/>
        </w:rPr>
        <w:t xml:space="preserve"> organom nadzoru górniczego dokonania poszczególnych czynności tego postępowania, w sprawach o przestępstwo przeciwko bezpieczeństwu powszechnemu związanemu z ruchem zakładu górniczego lub zakładu, przeciwko bezpieczeństwu pracy w zakładzie górniczym lub zakładzie oraz przeciwko życiu i zdrowiu pracowników zakładu górniczego lub zakładu związanemu z funkcjonowaniem zakładu górniczego lub zakładu. </w:t>
      </w:r>
      <w:r w:rsidRPr="007F28C1">
        <w:rPr>
          <w:color w:val="auto"/>
        </w:rPr>
        <w:lastRenderedPageBreak/>
        <w:t>Pozwoli to na pełne wykorzystanie wiedzy i doświadczenia tych organów i uzyskanie pełnej informacji na temat okoliczności stanu faktycznego. Jednocześnie należy wskazać, że w toku śledztwa, dotyczącego ww. zagadnień, podczas dokonywania powierzonych czynności organ nadzoru górniczego może uzyskać wiedzę, która będzie przydatna dla</w:t>
      </w:r>
      <w:r w:rsidR="0025547B" w:rsidRPr="007F28C1">
        <w:rPr>
          <w:color w:val="auto"/>
        </w:rPr>
        <w:t> </w:t>
      </w:r>
      <w:r w:rsidRPr="007F28C1">
        <w:rPr>
          <w:color w:val="auto"/>
        </w:rPr>
        <w:t>podjęcia rozstrzygnięcia w sprawie prowadzonej przez ten organ na podstawie P</w:t>
      </w:r>
      <w:r w:rsidR="007208B7" w:rsidRPr="007F28C1">
        <w:rPr>
          <w:color w:val="auto"/>
        </w:rPr>
        <w:t>.</w:t>
      </w:r>
      <w:r w:rsidRPr="007F28C1">
        <w:rPr>
          <w:color w:val="auto"/>
        </w:rPr>
        <w:t>g</w:t>
      </w:r>
      <w:r w:rsidR="007208B7" w:rsidRPr="007F28C1">
        <w:rPr>
          <w:color w:val="auto"/>
        </w:rPr>
        <w:t>.</w:t>
      </w:r>
      <w:r w:rsidRPr="007F28C1">
        <w:rPr>
          <w:color w:val="auto"/>
        </w:rPr>
        <w:t>g. Wobec powyższego w projektowanych zmianach ujęto propozycję przepisu, umożliwiającego wykorzystanie tej wiedzy w toku wspomnianych postępowań. Dowody, zebrane w ramach badań powypadkowych, będą mogły być wykorzystywane w ramach postępowań administracyjnych, karnych lub wykroczeniowych, wszczętych w związku z ustaleniami dotyczącymi stanu faktycznego i przyczyn zdarzenia, wypadku lub zgonu naturalnego.</w:t>
      </w:r>
    </w:p>
    <w:p w14:paraId="29B27B86" w14:textId="55B793BC" w:rsidR="004307ED" w:rsidRPr="007F28C1" w:rsidRDefault="00CC6255" w:rsidP="007F28C1">
      <w:pPr>
        <w:numPr>
          <w:ilvl w:val="0"/>
          <w:numId w:val="8"/>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N</w:t>
      </w:r>
      <w:r w:rsidR="004307ED" w:rsidRPr="007F28C1">
        <w:rPr>
          <w:rFonts w:ascii="Times New Roman" w:hAnsi="Times New Roman" w:cs="Times New Roman"/>
          <w:b/>
          <w:bCs/>
          <w:sz w:val="24"/>
          <w:szCs w:val="24"/>
        </w:rPr>
        <w:t>ielegalna eksploatacja</w:t>
      </w:r>
    </w:p>
    <w:p w14:paraId="0E98573E" w14:textId="3BBB5397" w:rsidR="00D6737A" w:rsidRPr="007F28C1" w:rsidRDefault="00D6737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Dla podmiotów wykonujących działalność regulowaną przepisami P</w:t>
      </w:r>
      <w:r w:rsidR="00152FCB" w:rsidRPr="007F28C1">
        <w:rPr>
          <w:rFonts w:ascii="Times New Roman" w:hAnsi="Times New Roman" w:cs="Times New Roman"/>
          <w:sz w:val="24"/>
          <w:szCs w:val="24"/>
        </w:rPr>
        <w:t>.</w:t>
      </w:r>
      <w:r w:rsidRPr="007F28C1">
        <w:rPr>
          <w:rFonts w:ascii="Times New Roman" w:hAnsi="Times New Roman" w:cs="Times New Roman"/>
          <w:sz w:val="24"/>
          <w:szCs w:val="24"/>
        </w:rPr>
        <w:t>g</w:t>
      </w:r>
      <w:r w:rsidR="00152FCB" w:rsidRPr="007F28C1">
        <w:rPr>
          <w:rFonts w:ascii="Times New Roman" w:hAnsi="Times New Roman" w:cs="Times New Roman"/>
          <w:sz w:val="24"/>
          <w:szCs w:val="24"/>
        </w:rPr>
        <w:t>.</w:t>
      </w:r>
      <w:r w:rsidRPr="007F28C1">
        <w:rPr>
          <w:rFonts w:ascii="Times New Roman" w:hAnsi="Times New Roman" w:cs="Times New Roman"/>
          <w:sz w:val="24"/>
          <w:szCs w:val="24"/>
        </w:rPr>
        <w:t>g</w:t>
      </w:r>
      <w:r w:rsidR="00152FCB" w:rsidRPr="007F28C1">
        <w:rPr>
          <w:rFonts w:ascii="Times New Roman" w:hAnsi="Times New Roman" w:cs="Times New Roman"/>
          <w:sz w:val="24"/>
          <w:szCs w:val="24"/>
        </w:rPr>
        <w:t>.</w:t>
      </w:r>
      <w:r w:rsidRPr="007F28C1">
        <w:rPr>
          <w:rFonts w:ascii="Times New Roman" w:hAnsi="Times New Roman" w:cs="Times New Roman"/>
          <w:sz w:val="24"/>
          <w:szCs w:val="24"/>
        </w:rPr>
        <w:t xml:space="preserve"> bez wymaganej koncesji albo bez zatwierdzonego albo podlegającego zgłoszeniu projektu robót geologicznych (art. 140 ust. 1 P</w:t>
      </w:r>
      <w:r w:rsidR="007208B7" w:rsidRPr="007F28C1">
        <w:rPr>
          <w:rFonts w:ascii="Times New Roman" w:hAnsi="Times New Roman" w:cs="Times New Roman"/>
          <w:sz w:val="24"/>
          <w:szCs w:val="24"/>
        </w:rPr>
        <w:t>.</w:t>
      </w:r>
      <w:r w:rsidRPr="007F28C1">
        <w:rPr>
          <w:rFonts w:ascii="Times New Roman" w:hAnsi="Times New Roman" w:cs="Times New Roman"/>
          <w:sz w:val="24"/>
          <w:szCs w:val="24"/>
        </w:rPr>
        <w:t>g</w:t>
      </w:r>
      <w:r w:rsidR="007208B7" w:rsidRPr="007F28C1">
        <w:rPr>
          <w:rFonts w:ascii="Times New Roman" w:hAnsi="Times New Roman" w:cs="Times New Roman"/>
          <w:sz w:val="24"/>
          <w:szCs w:val="24"/>
        </w:rPr>
        <w:t>.</w:t>
      </w:r>
      <w:r w:rsidRPr="007F28C1">
        <w:rPr>
          <w:rFonts w:ascii="Times New Roman" w:hAnsi="Times New Roman" w:cs="Times New Roman"/>
          <w:sz w:val="24"/>
          <w:szCs w:val="24"/>
        </w:rPr>
        <w:t>g</w:t>
      </w:r>
      <w:r w:rsidR="007208B7" w:rsidRPr="007F28C1">
        <w:rPr>
          <w:rFonts w:ascii="Times New Roman" w:hAnsi="Times New Roman" w:cs="Times New Roman"/>
          <w:sz w:val="24"/>
          <w:szCs w:val="24"/>
        </w:rPr>
        <w:t>.</w:t>
      </w:r>
      <w:r w:rsidRPr="007F28C1">
        <w:rPr>
          <w:rFonts w:ascii="Times New Roman" w:hAnsi="Times New Roman" w:cs="Times New Roman"/>
          <w:sz w:val="24"/>
          <w:szCs w:val="24"/>
        </w:rPr>
        <w:t>) lub naruszających wymagania określone w art. 4 ust. 1 i 2 P</w:t>
      </w:r>
      <w:r w:rsidR="007208B7" w:rsidRPr="007F28C1">
        <w:rPr>
          <w:rFonts w:ascii="Times New Roman" w:hAnsi="Times New Roman" w:cs="Times New Roman"/>
          <w:sz w:val="24"/>
          <w:szCs w:val="24"/>
        </w:rPr>
        <w:t>.</w:t>
      </w:r>
      <w:r w:rsidRPr="007F28C1">
        <w:rPr>
          <w:rFonts w:ascii="Times New Roman" w:hAnsi="Times New Roman" w:cs="Times New Roman"/>
          <w:sz w:val="24"/>
          <w:szCs w:val="24"/>
        </w:rPr>
        <w:t>g</w:t>
      </w:r>
      <w:r w:rsidR="007208B7" w:rsidRPr="007F28C1">
        <w:rPr>
          <w:rFonts w:ascii="Times New Roman" w:hAnsi="Times New Roman" w:cs="Times New Roman"/>
          <w:sz w:val="24"/>
          <w:szCs w:val="24"/>
        </w:rPr>
        <w:t>.</w:t>
      </w:r>
      <w:r w:rsidRPr="007F28C1">
        <w:rPr>
          <w:rFonts w:ascii="Times New Roman" w:hAnsi="Times New Roman" w:cs="Times New Roman"/>
          <w:sz w:val="24"/>
          <w:szCs w:val="24"/>
        </w:rPr>
        <w:t>g</w:t>
      </w:r>
      <w:r w:rsidR="007208B7" w:rsidRPr="007F28C1">
        <w:rPr>
          <w:rFonts w:ascii="Times New Roman" w:hAnsi="Times New Roman" w:cs="Times New Roman"/>
          <w:sz w:val="24"/>
          <w:szCs w:val="24"/>
        </w:rPr>
        <w:t>.</w:t>
      </w:r>
      <w:r w:rsidRPr="007F28C1">
        <w:rPr>
          <w:rFonts w:ascii="Times New Roman" w:hAnsi="Times New Roman" w:cs="Times New Roman"/>
          <w:sz w:val="24"/>
          <w:szCs w:val="24"/>
        </w:rPr>
        <w:t xml:space="preserve">, zwaną dalej „nielegalną eksploatacją”, </w:t>
      </w:r>
      <w:r w:rsidR="00D026DB"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ustalana opłata podwyższona. Doświadczenia organów nadzoru górniczego związane z prowadzeniem postępowań w sprawie ustalania tej opłaty wskazują, że brakuje narzędzi zapewniających sprawne i efektywne przeprowadzenie postępowania. W szczególności:</w:t>
      </w:r>
    </w:p>
    <w:p w14:paraId="0557A84A" w14:textId="1C359156" w:rsidR="00D6737A" w:rsidRPr="007F28C1" w:rsidRDefault="00D6737A" w:rsidP="007F28C1">
      <w:pPr>
        <w:pStyle w:val="Akapitzlist"/>
        <w:numPr>
          <w:ilvl w:val="1"/>
          <w:numId w:val="3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sz w:val="24"/>
          <w:szCs w:val="24"/>
        </w:rPr>
        <w:t>brakuje możliwości nałożenia wspólnej opłaty podwyższonej kilku podmiotom prowadzącym wspólnie nielegalną eksploatację;</w:t>
      </w:r>
    </w:p>
    <w:p w14:paraId="0EDFCC4B" w14:textId="1C82AA8A" w:rsidR="00D6737A" w:rsidRPr="007F28C1" w:rsidRDefault="00CC6255" w:rsidP="007F28C1">
      <w:pPr>
        <w:pStyle w:val="Akapitzlist"/>
        <w:numPr>
          <w:ilvl w:val="1"/>
          <w:numId w:val="3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sz w:val="24"/>
          <w:szCs w:val="24"/>
        </w:rPr>
        <w:t xml:space="preserve">5-letni </w:t>
      </w:r>
      <w:r w:rsidR="00D6737A" w:rsidRPr="007F28C1">
        <w:rPr>
          <w:rFonts w:ascii="Times New Roman" w:hAnsi="Times New Roman" w:cs="Times New Roman"/>
          <w:sz w:val="24"/>
          <w:szCs w:val="24"/>
        </w:rPr>
        <w:t xml:space="preserve">termin </w:t>
      </w:r>
      <w:r w:rsidR="00D026DB" w:rsidRPr="007F28C1">
        <w:rPr>
          <w:rFonts w:ascii="Times New Roman" w:hAnsi="Times New Roman" w:cs="Times New Roman"/>
          <w:sz w:val="24"/>
          <w:szCs w:val="24"/>
        </w:rPr>
        <w:t xml:space="preserve">na </w:t>
      </w:r>
      <w:r w:rsidR="00D6737A" w:rsidRPr="007F28C1">
        <w:rPr>
          <w:rFonts w:ascii="Times New Roman" w:hAnsi="Times New Roman" w:cs="Times New Roman"/>
          <w:sz w:val="24"/>
          <w:szCs w:val="24"/>
        </w:rPr>
        <w:t>przeprowadzeni</w:t>
      </w:r>
      <w:r w:rsidR="00D026DB" w:rsidRPr="007F28C1">
        <w:rPr>
          <w:rFonts w:ascii="Times New Roman" w:hAnsi="Times New Roman" w:cs="Times New Roman"/>
          <w:sz w:val="24"/>
          <w:szCs w:val="24"/>
        </w:rPr>
        <w:t>e</w:t>
      </w:r>
      <w:r w:rsidR="00D6737A" w:rsidRPr="007F28C1">
        <w:rPr>
          <w:rFonts w:ascii="Times New Roman" w:hAnsi="Times New Roman" w:cs="Times New Roman"/>
          <w:sz w:val="24"/>
          <w:szCs w:val="24"/>
        </w:rPr>
        <w:t xml:space="preserve"> postępowania, wynikający z art. 143 ust. 1 P</w:t>
      </w:r>
      <w:r w:rsidR="007208B7" w:rsidRPr="007F28C1">
        <w:rPr>
          <w:rFonts w:ascii="Times New Roman" w:hAnsi="Times New Roman" w:cs="Times New Roman"/>
          <w:sz w:val="24"/>
          <w:szCs w:val="24"/>
        </w:rPr>
        <w:t>.</w:t>
      </w:r>
      <w:r w:rsidR="00D6737A" w:rsidRPr="007F28C1">
        <w:rPr>
          <w:rFonts w:ascii="Times New Roman" w:hAnsi="Times New Roman" w:cs="Times New Roman"/>
          <w:sz w:val="24"/>
          <w:szCs w:val="24"/>
        </w:rPr>
        <w:t>g</w:t>
      </w:r>
      <w:r w:rsidR="007208B7" w:rsidRPr="007F28C1">
        <w:rPr>
          <w:rFonts w:ascii="Times New Roman" w:hAnsi="Times New Roman" w:cs="Times New Roman"/>
          <w:sz w:val="24"/>
          <w:szCs w:val="24"/>
        </w:rPr>
        <w:t>.</w:t>
      </w:r>
      <w:r w:rsidR="00D6737A" w:rsidRPr="007F28C1">
        <w:rPr>
          <w:rFonts w:ascii="Times New Roman" w:hAnsi="Times New Roman" w:cs="Times New Roman"/>
          <w:sz w:val="24"/>
          <w:szCs w:val="24"/>
        </w:rPr>
        <w:t>g</w:t>
      </w:r>
      <w:r w:rsidR="007208B7" w:rsidRPr="007F28C1">
        <w:rPr>
          <w:rFonts w:ascii="Times New Roman" w:hAnsi="Times New Roman" w:cs="Times New Roman"/>
          <w:sz w:val="24"/>
          <w:szCs w:val="24"/>
        </w:rPr>
        <w:t>.</w:t>
      </w:r>
      <w:r w:rsidR="00D6737A" w:rsidRPr="007F28C1">
        <w:rPr>
          <w:rFonts w:ascii="Times New Roman" w:hAnsi="Times New Roman" w:cs="Times New Roman"/>
          <w:sz w:val="24"/>
          <w:szCs w:val="24"/>
        </w:rPr>
        <w:t>, jest często zbyt krótki dla osiągnięcia celu postępowania w postaci uzyskania prawomocnej decyzji ustalającej opłatę podwyższoną</w:t>
      </w:r>
      <w:r w:rsidR="00E05D3D" w:rsidRPr="007F28C1">
        <w:rPr>
          <w:rFonts w:ascii="Times New Roman" w:hAnsi="Times New Roman" w:cs="Times New Roman"/>
          <w:sz w:val="24"/>
          <w:szCs w:val="24"/>
        </w:rPr>
        <w:t xml:space="preserve"> albo dodatkową</w:t>
      </w:r>
      <w:r w:rsidR="00D6737A" w:rsidRPr="007F28C1">
        <w:rPr>
          <w:rFonts w:ascii="Times New Roman" w:hAnsi="Times New Roman" w:cs="Times New Roman"/>
          <w:sz w:val="24"/>
          <w:szCs w:val="24"/>
        </w:rPr>
        <w:t>;</w:t>
      </w:r>
    </w:p>
    <w:p w14:paraId="3AAD0F92" w14:textId="740C3ECD" w:rsidR="00D6737A" w:rsidRPr="007F28C1" w:rsidRDefault="00D6737A" w:rsidP="007F28C1">
      <w:pPr>
        <w:pStyle w:val="Akapitzlist"/>
        <w:numPr>
          <w:ilvl w:val="1"/>
          <w:numId w:val="33"/>
        </w:numPr>
        <w:spacing w:before="120" w:after="0" w:line="360" w:lineRule="auto"/>
        <w:ind w:left="397" w:hanging="397"/>
        <w:jc w:val="both"/>
        <w:rPr>
          <w:rFonts w:ascii="Times New Roman" w:hAnsi="Times New Roman" w:cs="Times New Roman"/>
          <w:sz w:val="24"/>
          <w:szCs w:val="24"/>
        </w:rPr>
      </w:pPr>
      <w:r w:rsidRPr="007F28C1">
        <w:rPr>
          <w:rFonts w:ascii="Times New Roman" w:hAnsi="Times New Roman" w:cs="Times New Roman"/>
          <w:sz w:val="24"/>
          <w:szCs w:val="24"/>
        </w:rPr>
        <w:t>brakuje możliwości zebrania dowodów w postaci ustalenia przez organ nadzoru górniczego właściciela pojazdu wywożącego wydobytą nielegalnie kopalinę.</w:t>
      </w:r>
    </w:p>
    <w:p w14:paraId="520A0DC2" w14:textId="6FFC0E9A" w:rsidR="00561E27" w:rsidRPr="007F28C1" w:rsidRDefault="00561E27"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Stosownie do art. 4 ust. 3 P</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w przypadku naruszenia wymagań określonych w art. 4 ust. 1 i 2 P</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właściwy organ nadzoru górniczego, w drodze decyzji, ustala prowadzącemu taką działalność opłatę podwyższoną, o której mowa w art. 140 ust. 3 pkt 3 P</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g. Powołany przepis stanowi, że opłatę podwyższoną za wydobywanie kopalin ustala się w wysokości czterdziestokrotnej stawki opłaty eksploatacyjnej dla danego rodzaju kopaliny pomnożonej przez ilość wydobytej bez koncesji kopaliny. Jednakże powstały wątpliwości interpretacyjne co do stosowania zasad dotyczących naliczania opłaty podwyższonej podczas prowadzenia </w:t>
      </w:r>
      <w:r w:rsidRPr="007F28C1">
        <w:rPr>
          <w:rFonts w:ascii="Times New Roman" w:eastAsia="Times New Roman" w:hAnsi="Times New Roman" w:cs="Times New Roman"/>
          <w:sz w:val="24"/>
          <w:szCs w:val="24"/>
          <w:lang w:eastAsia="pl-PL"/>
        </w:rPr>
        <w:lastRenderedPageBreak/>
        <w:t>postępowań w sprawie ustalenia opłaty podwyższonej w przypadkach objętych dyspozycją art. 4 ust. 3 P</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jak i podczas rozpoznawania skarg na decyzje w przedmiocie ustalenia tej opłaty.</w:t>
      </w:r>
      <w:r w:rsidR="00E04F33" w:rsidRPr="007F28C1">
        <w:rPr>
          <w:rFonts w:ascii="Times New Roman" w:eastAsia="Times New Roman" w:hAnsi="Times New Roman" w:cs="Times New Roman"/>
          <w:sz w:val="24"/>
          <w:szCs w:val="24"/>
          <w:lang w:eastAsia="pl-PL"/>
        </w:rPr>
        <w:t xml:space="preserve"> </w:t>
      </w:r>
      <w:r w:rsidRPr="007F28C1">
        <w:rPr>
          <w:rFonts w:ascii="Times New Roman" w:eastAsia="Times New Roman" w:hAnsi="Times New Roman" w:cs="Times New Roman"/>
          <w:sz w:val="24"/>
          <w:szCs w:val="24"/>
          <w:lang w:eastAsia="pl-PL"/>
        </w:rPr>
        <w:t xml:space="preserve">W związku z tymi wątpliwościami interpretacyjnymi przewidziano </w:t>
      </w:r>
      <w:r w:rsidR="000D3E50" w:rsidRPr="007F28C1">
        <w:rPr>
          <w:rFonts w:ascii="Times New Roman" w:eastAsia="Times New Roman" w:hAnsi="Times New Roman" w:cs="Times New Roman"/>
          <w:sz w:val="24"/>
          <w:szCs w:val="24"/>
          <w:lang w:eastAsia="pl-PL"/>
        </w:rPr>
        <w:t xml:space="preserve">w zmienionym </w:t>
      </w:r>
      <w:r w:rsidRPr="007F28C1">
        <w:rPr>
          <w:rFonts w:ascii="Times New Roman" w:eastAsia="Times New Roman" w:hAnsi="Times New Roman" w:cs="Times New Roman"/>
          <w:sz w:val="24"/>
          <w:szCs w:val="24"/>
          <w:lang w:eastAsia="pl-PL"/>
        </w:rPr>
        <w:t>art. 4 ust. 3 P</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odesłanie do norm dotyczących ustalania opłaty podwyższonej, określonych w art. 140–143 P</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g. </w:t>
      </w:r>
    </w:p>
    <w:p w14:paraId="30DF3541" w14:textId="25962EF9" w:rsidR="00D6737A" w:rsidRPr="007F28C1" w:rsidRDefault="00D6737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Projektowana w art. 4 ust. 4 P</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 xml:space="preserve"> oraz w art. 143 </w:t>
      </w:r>
      <w:r w:rsidR="0072790B" w:rsidRPr="007F28C1">
        <w:rPr>
          <w:rFonts w:ascii="Times New Roman" w:hAnsi="Times New Roman" w:cs="Times New Roman"/>
          <w:sz w:val="24"/>
          <w:szCs w:val="24"/>
        </w:rPr>
        <w:t>ust. 2a i 3</w:t>
      </w:r>
      <w:r w:rsidR="005B7604" w:rsidRPr="007F28C1">
        <w:rPr>
          <w:rFonts w:ascii="Times New Roman" w:hAnsi="Times New Roman" w:cs="Times New Roman"/>
          <w:sz w:val="24"/>
          <w:szCs w:val="24"/>
        </w:rPr>
        <w:t xml:space="preserve"> </w:t>
      </w:r>
      <w:r w:rsidRPr="007F28C1">
        <w:rPr>
          <w:rFonts w:ascii="Times New Roman" w:hAnsi="Times New Roman" w:cs="Times New Roman"/>
          <w:sz w:val="24"/>
          <w:szCs w:val="24"/>
        </w:rPr>
        <w:t>P</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 xml:space="preserve"> zmiana przewiduje odpowiedzialność solidarną kilku podmiotów prowadzących działalność wykonywan</w:t>
      </w:r>
      <w:r w:rsidR="00A54FF3" w:rsidRPr="007F28C1">
        <w:rPr>
          <w:rFonts w:ascii="Times New Roman" w:hAnsi="Times New Roman" w:cs="Times New Roman"/>
          <w:sz w:val="24"/>
          <w:szCs w:val="24"/>
        </w:rPr>
        <w:t>ą</w:t>
      </w:r>
      <w:r w:rsidRPr="007F28C1">
        <w:rPr>
          <w:rFonts w:ascii="Times New Roman" w:hAnsi="Times New Roman" w:cs="Times New Roman"/>
          <w:sz w:val="24"/>
          <w:szCs w:val="24"/>
        </w:rPr>
        <w:t xml:space="preserve"> bez wymaganej koncesji albo bez zatwierdzonego lub podlegającego zgłoszeniu projektu robót geologicznych, która – stosownie do</w:t>
      </w:r>
      <w:r w:rsidR="00B65257">
        <w:rPr>
          <w:rFonts w:ascii="Times New Roman" w:hAnsi="Times New Roman" w:cs="Times New Roman"/>
          <w:sz w:val="24"/>
          <w:szCs w:val="24"/>
        </w:rPr>
        <w:t xml:space="preserve"> </w:t>
      </w:r>
      <w:r w:rsidRPr="007F28C1">
        <w:rPr>
          <w:rFonts w:ascii="Times New Roman" w:hAnsi="Times New Roman" w:cs="Times New Roman"/>
          <w:sz w:val="24"/>
          <w:szCs w:val="24"/>
        </w:rPr>
        <w:t>art. 140 ust. 1</w:t>
      </w:r>
      <w:r w:rsidR="00453B61" w:rsidRPr="007F28C1">
        <w:rPr>
          <w:rFonts w:ascii="Times New Roman" w:eastAsia="Times New Roman" w:hAnsi="Times New Roman" w:cs="Times New Roman"/>
          <w:bCs/>
          <w:sz w:val="24"/>
          <w:szCs w:val="24"/>
          <w:lang w:eastAsia="pl-PL"/>
        </w:rPr>
        <w:t xml:space="preserve"> </w:t>
      </w:r>
      <w:r w:rsidRPr="007F28C1">
        <w:rPr>
          <w:rFonts w:ascii="Times New Roman" w:hAnsi="Times New Roman" w:cs="Times New Roman"/>
          <w:sz w:val="24"/>
          <w:szCs w:val="24"/>
        </w:rPr>
        <w:t>P</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 xml:space="preserve"> – podlega opłacie podwyższonej.</w:t>
      </w:r>
    </w:p>
    <w:p w14:paraId="7E0AC08C" w14:textId="5BD52C13" w:rsidR="00D6737A" w:rsidRPr="007F28C1" w:rsidRDefault="00D6737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Nielegalna eksploatacja kopalin, w szczególności piasków i żwirów oraz bursztynu, jest często podejmowana </w:t>
      </w:r>
      <w:r w:rsidR="0072790B" w:rsidRPr="007F28C1">
        <w:rPr>
          <w:rFonts w:ascii="Times New Roman" w:hAnsi="Times New Roman" w:cs="Times New Roman"/>
          <w:sz w:val="24"/>
          <w:szCs w:val="24"/>
        </w:rPr>
        <w:t xml:space="preserve">na jednej nieruchomości </w:t>
      </w:r>
      <w:r w:rsidRPr="007F28C1">
        <w:rPr>
          <w:rFonts w:ascii="Times New Roman" w:hAnsi="Times New Roman" w:cs="Times New Roman"/>
          <w:sz w:val="24"/>
          <w:szCs w:val="24"/>
        </w:rPr>
        <w:t>przez kilka podmiotów. Zgodnie z art. 140 ust. 3 pkt 3 P</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 xml:space="preserve">, organ nadzoru górniczego ustala opłatę podwyższoną </w:t>
      </w:r>
      <w:r w:rsidRPr="007F28C1">
        <w:rPr>
          <w:rFonts w:ascii="Times New Roman" w:hAnsi="Times New Roman" w:cs="Times New Roman"/>
          <w:sz w:val="24"/>
          <w:szCs w:val="24"/>
          <w:shd w:val="clear" w:color="auto" w:fill="FFFFFF"/>
        </w:rPr>
        <w:t>w wysokości czterdziestokrotnej stawki opłaty eksploatacyjnej dla danego rodzaju kopaliny pomnożonej przez ilość wydobytej bez koncesji kopaliny. Ustalenie opłaty podwyższonej dla konkretnych sprawców w przypadku wielości podmiotów, prowadzących nielegalną eksploatacj</w:t>
      </w:r>
      <w:r w:rsidR="00F2238F">
        <w:rPr>
          <w:rFonts w:ascii="Times New Roman" w:hAnsi="Times New Roman" w:cs="Times New Roman"/>
          <w:sz w:val="24"/>
          <w:szCs w:val="24"/>
          <w:shd w:val="clear" w:color="auto" w:fill="FFFFFF"/>
        </w:rPr>
        <w:t>ę</w:t>
      </w:r>
      <w:r w:rsidRPr="007F28C1">
        <w:rPr>
          <w:rFonts w:ascii="Times New Roman" w:hAnsi="Times New Roman" w:cs="Times New Roman"/>
          <w:sz w:val="24"/>
          <w:szCs w:val="24"/>
          <w:shd w:val="clear" w:color="auto" w:fill="FFFFFF"/>
        </w:rPr>
        <w:t xml:space="preserve"> kopalin, wymaga </w:t>
      </w:r>
      <w:r w:rsidRPr="007F28C1">
        <w:rPr>
          <w:rFonts w:ascii="Times New Roman" w:hAnsi="Times New Roman" w:cs="Times New Roman"/>
          <w:sz w:val="24"/>
          <w:szCs w:val="24"/>
        </w:rPr>
        <w:t>ustalenia poszczególnym sprawcom konkretnej ilości wydobytej kopaliny, co jest zasadniczo niemożliwe. Skutkiem jest brak możliwości ustalenia opłaty podwyższonej temu podmiotowi.</w:t>
      </w:r>
    </w:p>
    <w:p w14:paraId="7D89B510" w14:textId="1C08BABB" w:rsidR="00D6737A" w:rsidRPr="007F28C1" w:rsidRDefault="00D6737A" w:rsidP="007F28C1">
      <w:pPr>
        <w:spacing w:before="120" w:after="0" w:line="360" w:lineRule="auto"/>
        <w:jc w:val="both"/>
        <w:rPr>
          <w:rFonts w:ascii="Times New Roman" w:hAnsi="Times New Roman" w:cs="Times New Roman"/>
          <w:sz w:val="24"/>
          <w:szCs w:val="24"/>
          <w:shd w:val="clear" w:color="auto" w:fill="FFFFFF"/>
        </w:rPr>
      </w:pPr>
      <w:r w:rsidRPr="007F28C1">
        <w:rPr>
          <w:rFonts w:ascii="Times New Roman" w:hAnsi="Times New Roman" w:cs="Times New Roman"/>
          <w:sz w:val="24"/>
          <w:szCs w:val="24"/>
          <w:shd w:val="clear" w:color="auto" w:fill="FFFFFF"/>
        </w:rPr>
        <w:t xml:space="preserve">Zgodnie z art. 369 ustawy </w:t>
      </w:r>
      <w:r w:rsidR="00B065A5" w:rsidRPr="007F28C1">
        <w:rPr>
          <w:rFonts w:ascii="Times New Roman" w:hAnsi="Times New Roman" w:cs="Times New Roman"/>
          <w:sz w:val="24"/>
          <w:szCs w:val="24"/>
          <w:shd w:val="clear" w:color="auto" w:fill="FFFFFF"/>
        </w:rPr>
        <w:t xml:space="preserve">z dnia 23 kwietnia 1964 r. </w:t>
      </w:r>
      <w:r w:rsidR="00FE5B31" w:rsidRPr="007F28C1">
        <w:rPr>
          <w:rFonts w:ascii="Times New Roman" w:hAnsi="Times New Roman" w:cs="Times New Roman"/>
          <w:sz w:val="24"/>
          <w:szCs w:val="24"/>
          <w:shd w:val="clear" w:color="auto" w:fill="FFFFFF"/>
        </w:rPr>
        <w:t xml:space="preserve">– </w:t>
      </w:r>
      <w:r w:rsidRPr="007F28C1">
        <w:rPr>
          <w:rFonts w:ascii="Times New Roman" w:hAnsi="Times New Roman" w:cs="Times New Roman"/>
          <w:sz w:val="24"/>
          <w:szCs w:val="24"/>
          <w:shd w:val="clear" w:color="auto" w:fill="FFFFFF"/>
        </w:rPr>
        <w:t xml:space="preserve">Kodeks cywilny </w:t>
      </w:r>
      <w:r w:rsidR="00B065A5" w:rsidRPr="007F28C1">
        <w:rPr>
          <w:rFonts w:ascii="Times New Roman" w:hAnsi="Times New Roman" w:cs="Times New Roman"/>
          <w:sz w:val="24"/>
          <w:szCs w:val="24"/>
          <w:shd w:val="clear" w:color="auto" w:fill="FFFFFF"/>
        </w:rPr>
        <w:t>(Dz.</w:t>
      </w:r>
      <w:r w:rsidR="00FE5B31" w:rsidRPr="007F28C1">
        <w:rPr>
          <w:rFonts w:ascii="Times New Roman" w:hAnsi="Times New Roman" w:cs="Times New Roman"/>
          <w:sz w:val="24"/>
          <w:szCs w:val="24"/>
          <w:shd w:val="clear" w:color="auto" w:fill="FFFFFF"/>
        </w:rPr>
        <w:t xml:space="preserve"> </w:t>
      </w:r>
      <w:r w:rsidR="00B065A5" w:rsidRPr="007F28C1">
        <w:rPr>
          <w:rFonts w:ascii="Times New Roman" w:hAnsi="Times New Roman" w:cs="Times New Roman"/>
          <w:sz w:val="24"/>
          <w:szCs w:val="24"/>
          <w:shd w:val="clear" w:color="auto" w:fill="FFFFFF"/>
        </w:rPr>
        <w:t>U. z 202</w:t>
      </w:r>
      <w:r w:rsidR="003913D3" w:rsidRPr="007F28C1">
        <w:rPr>
          <w:rFonts w:ascii="Times New Roman" w:hAnsi="Times New Roman" w:cs="Times New Roman"/>
          <w:sz w:val="24"/>
          <w:szCs w:val="24"/>
          <w:shd w:val="clear" w:color="auto" w:fill="FFFFFF"/>
        </w:rPr>
        <w:t>2</w:t>
      </w:r>
      <w:r w:rsidR="00B065A5" w:rsidRPr="007F28C1">
        <w:rPr>
          <w:rFonts w:ascii="Times New Roman" w:hAnsi="Times New Roman" w:cs="Times New Roman"/>
          <w:sz w:val="24"/>
          <w:szCs w:val="24"/>
          <w:shd w:val="clear" w:color="auto" w:fill="FFFFFF"/>
        </w:rPr>
        <w:t xml:space="preserve"> r. poz. 1</w:t>
      </w:r>
      <w:r w:rsidR="003913D3" w:rsidRPr="007F28C1">
        <w:rPr>
          <w:rFonts w:ascii="Times New Roman" w:hAnsi="Times New Roman" w:cs="Times New Roman"/>
          <w:sz w:val="24"/>
          <w:szCs w:val="24"/>
          <w:shd w:val="clear" w:color="auto" w:fill="FFFFFF"/>
        </w:rPr>
        <w:t>360</w:t>
      </w:r>
      <w:r w:rsidR="00AE7E69" w:rsidRPr="007F28C1">
        <w:rPr>
          <w:rFonts w:ascii="Times New Roman" w:hAnsi="Times New Roman" w:cs="Times New Roman"/>
          <w:sz w:val="24"/>
          <w:szCs w:val="24"/>
          <w:shd w:val="clear" w:color="auto" w:fill="FFFFFF"/>
        </w:rPr>
        <w:t>,</w:t>
      </w:r>
      <w:r w:rsidR="00B065A5" w:rsidRPr="007F28C1">
        <w:rPr>
          <w:rFonts w:ascii="Times New Roman" w:hAnsi="Times New Roman" w:cs="Times New Roman"/>
          <w:sz w:val="24"/>
          <w:szCs w:val="24"/>
          <w:shd w:val="clear" w:color="auto" w:fill="FFFFFF"/>
        </w:rPr>
        <w:t xml:space="preserve"> </w:t>
      </w:r>
      <w:r w:rsidR="002A6502" w:rsidRPr="007F28C1">
        <w:rPr>
          <w:rFonts w:ascii="Times New Roman" w:hAnsi="Times New Roman" w:cs="Times New Roman"/>
          <w:sz w:val="24"/>
          <w:szCs w:val="24"/>
          <w:shd w:val="clear" w:color="auto" w:fill="FFFFFF"/>
        </w:rPr>
        <w:t>z</w:t>
      </w:r>
      <w:r w:rsidR="00705A7E" w:rsidRPr="007F28C1">
        <w:rPr>
          <w:rFonts w:ascii="Times New Roman" w:hAnsi="Times New Roman" w:cs="Times New Roman"/>
          <w:sz w:val="24"/>
          <w:szCs w:val="24"/>
          <w:shd w:val="clear" w:color="auto" w:fill="FFFFFF"/>
        </w:rPr>
        <w:t> </w:t>
      </w:r>
      <w:r w:rsidR="00DB3C23" w:rsidRPr="007F28C1">
        <w:rPr>
          <w:rFonts w:ascii="Times New Roman" w:hAnsi="Times New Roman" w:cs="Times New Roman"/>
          <w:sz w:val="24"/>
          <w:szCs w:val="24"/>
          <w:shd w:val="clear" w:color="auto" w:fill="FFFFFF"/>
        </w:rPr>
        <w:t>późn.</w:t>
      </w:r>
      <w:r w:rsidR="002A6502" w:rsidRPr="007F28C1">
        <w:rPr>
          <w:rFonts w:ascii="Times New Roman" w:hAnsi="Times New Roman" w:cs="Times New Roman"/>
          <w:sz w:val="24"/>
          <w:szCs w:val="24"/>
          <w:shd w:val="clear" w:color="auto" w:fill="FFFFFF"/>
        </w:rPr>
        <w:t> </w:t>
      </w:r>
      <w:r w:rsidR="00B065A5" w:rsidRPr="007F28C1">
        <w:rPr>
          <w:rFonts w:ascii="Times New Roman" w:hAnsi="Times New Roman" w:cs="Times New Roman"/>
          <w:sz w:val="24"/>
          <w:szCs w:val="24"/>
          <w:shd w:val="clear" w:color="auto" w:fill="FFFFFF"/>
        </w:rPr>
        <w:t>zm.)</w:t>
      </w:r>
      <w:r w:rsidR="00F2238F">
        <w:rPr>
          <w:rFonts w:ascii="Times New Roman" w:hAnsi="Times New Roman" w:cs="Times New Roman"/>
          <w:sz w:val="24"/>
          <w:szCs w:val="24"/>
          <w:shd w:val="clear" w:color="auto" w:fill="FFFFFF"/>
        </w:rPr>
        <w:t>,</w:t>
      </w:r>
      <w:r w:rsidR="00B065A5" w:rsidRPr="007F28C1">
        <w:rPr>
          <w:rFonts w:ascii="Times New Roman" w:hAnsi="Times New Roman" w:cs="Times New Roman"/>
          <w:sz w:val="24"/>
          <w:szCs w:val="24"/>
          <w:shd w:val="clear" w:color="auto" w:fill="FFFFFF"/>
        </w:rPr>
        <w:t xml:space="preserve"> </w:t>
      </w:r>
      <w:r w:rsidRPr="007F28C1">
        <w:rPr>
          <w:rFonts w:ascii="Times New Roman" w:hAnsi="Times New Roman" w:cs="Times New Roman"/>
          <w:sz w:val="24"/>
          <w:szCs w:val="24"/>
          <w:shd w:val="clear" w:color="auto" w:fill="FFFFFF"/>
        </w:rPr>
        <w:t>zobowiązanie jest solidarne, jeżeli to wynika z ustawy lub z czynności prawnej. O istnieniu solidarności bądź o jej braku przesądza zatem ustawa lub wola stron wyrażona w umowie. Innymi słowy solidarności nie domniemywa się, lecz musi ona być ustanowiona w ustawie lub w</w:t>
      </w:r>
      <w:r w:rsidR="00902F18" w:rsidRPr="007F28C1">
        <w:rPr>
          <w:rFonts w:ascii="Times New Roman" w:hAnsi="Times New Roman" w:cs="Times New Roman"/>
          <w:sz w:val="24"/>
          <w:szCs w:val="24"/>
          <w:shd w:val="clear" w:color="auto" w:fill="FFFFFF"/>
        </w:rPr>
        <w:t> </w:t>
      </w:r>
      <w:r w:rsidRPr="007F28C1">
        <w:rPr>
          <w:rFonts w:ascii="Times New Roman" w:hAnsi="Times New Roman" w:cs="Times New Roman"/>
          <w:sz w:val="24"/>
          <w:szCs w:val="24"/>
          <w:shd w:val="clear" w:color="auto" w:fill="FFFFFF"/>
        </w:rPr>
        <w:t xml:space="preserve">umowie. </w:t>
      </w:r>
      <w:r w:rsidRPr="007F28C1">
        <w:rPr>
          <w:rFonts w:ascii="Times New Roman" w:hAnsi="Times New Roman" w:cs="Times New Roman"/>
          <w:iCs/>
          <w:sz w:val="24"/>
          <w:szCs w:val="24"/>
        </w:rPr>
        <w:t>W P</w:t>
      </w:r>
      <w:r w:rsidR="000D3E50" w:rsidRPr="007F28C1">
        <w:rPr>
          <w:rFonts w:ascii="Times New Roman" w:hAnsi="Times New Roman" w:cs="Times New Roman"/>
          <w:iCs/>
          <w:sz w:val="24"/>
          <w:szCs w:val="24"/>
        </w:rPr>
        <w:t>.</w:t>
      </w:r>
      <w:r w:rsidRPr="007F28C1">
        <w:rPr>
          <w:rFonts w:ascii="Times New Roman" w:hAnsi="Times New Roman" w:cs="Times New Roman"/>
          <w:iCs/>
          <w:sz w:val="24"/>
          <w:szCs w:val="24"/>
        </w:rPr>
        <w:t>g</w:t>
      </w:r>
      <w:r w:rsidR="000D3E50" w:rsidRPr="007F28C1">
        <w:rPr>
          <w:rFonts w:ascii="Times New Roman" w:hAnsi="Times New Roman" w:cs="Times New Roman"/>
          <w:iCs/>
          <w:sz w:val="24"/>
          <w:szCs w:val="24"/>
        </w:rPr>
        <w:t>.</w:t>
      </w:r>
      <w:r w:rsidRPr="007F28C1">
        <w:rPr>
          <w:rFonts w:ascii="Times New Roman" w:hAnsi="Times New Roman" w:cs="Times New Roman"/>
          <w:iCs/>
          <w:sz w:val="24"/>
          <w:szCs w:val="24"/>
        </w:rPr>
        <w:t>g</w:t>
      </w:r>
      <w:r w:rsidR="000D3E50" w:rsidRPr="007F28C1">
        <w:rPr>
          <w:rFonts w:ascii="Times New Roman" w:hAnsi="Times New Roman" w:cs="Times New Roman"/>
          <w:iCs/>
          <w:sz w:val="24"/>
          <w:szCs w:val="24"/>
        </w:rPr>
        <w:t>.</w:t>
      </w:r>
      <w:r w:rsidRPr="007F28C1">
        <w:rPr>
          <w:rFonts w:ascii="Times New Roman" w:hAnsi="Times New Roman" w:cs="Times New Roman"/>
          <w:iCs/>
          <w:sz w:val="24"/>
          <w:szCs w:val="24"/>
        </w:rPr>
        <w:t xml:space="preserve"> ustawodawca nie przewidział odpowiedzialności solidarnej za naruszenie przepisów tej ustawy, a art. 143 P</w:t>
      </w:r>
      <w:r w:rsidR="000D3E50" w:rsidRPr="007F28C1">
        <w:rPr>
          <w:rFonts w:ascii="Times New Roman" w:hAnsi="Times New Roman" w:cs="Times New Roman"/>
          <w:iCs/>
          <w:sz w:val="24"/>
          <w:szCs w:val="24"/>
        </w:rPr>
        <w:t>.</w:t>
      </w:r>
      <w:r w:rsidRPr="007F28C1">
        <w:rPr>
          <w:rFonts w:ascii="Times New Roman" w:hAnsi="Times New Roman" w:cs="Times New Roman"/>
          <w:iCs/>
          <w:sz w:val="24"/>
          <w:szCs w:val="24"/>
        </w:rPr>
        <w:t>g</w:t>
      </w:r>
      <w:r w:rsidR="000D3E50" w:rsidRPr="007F28C1">
        <w:rPr>
          <w:rFonts w:ascii="Times New Roman" w:hAnsi="Times New Roman" w:cs="Times New Roman"/>
          <w:iCs/>
          <w:sz w:val="24"/>
          <w:szCs w:val="24"/>
        </w:rPr>
        <w:t>.</w:t>
      </w:r>
      <w:r w:rsidRPr="007F28C1">
        <w:rPr>
          <w:rFonts w:ascii="Times New Roman" w:hAnsi="Times New Roman" w:cs="Times New Roman"/>
          <w:iCs/>
          <w:sz w:val="24"/>
          <w:szCs w:val="24"/>
        </w:rPr>
        <w:t>g</w:t>
      </w:r>
      <w:r w:rsidR="000D3E50" w:rsidRPr="007F28C1">
        <w:rPr>
          <w:rFonts w:ascii="Times New Roman" w:hAnsi="Times New Roman" w:cs="Times New Roman"/>
          <w:iCs/>
          <w:sz w:val="24"/>
          <w:szCs w:val="24"/>
        </w:rPr>
        <w:t>.</w:t>
      </w:r>
      <w:r w:rsidRPr="007F28C1">
        <w:rPr>
          <w:rFonts w:ascii="Times New Roman" w:hAnsi="Times New Roman" w:cs="Times New Roman"/>
          <w:iCs/>
          <w:sz w:val="24"/>
          <w:szCs w:val="24"/>
        </w:rPr>
        <w:t xml:space="preserve"> jednoznacznie wskazuje</w:t>
      </w:r>
      <w:r w:rsidR="00973C75" w:rsidRPr="007F28C1">
        <w:rPr>
          <w:rFonts w:ascii="Times New Roman" w:hAnsi="Times New Roman" w:cs="Times New Roman"/>
          <w:iCs/>
          <w:sz w:val="24"/>
          <w:szCs w:val="24"/>
        </w:rPr>
        <w:t>,</w:t>
      </w:r>
      <w:r w:rsidRPr="007F28C1">
        <w:rPr>
          <w:rFonts w:ascii="Times New Roman" w:hAnsi="Times New Roman" w:cs="Times New Roman"/>
          <w:iCs/>
          <w:sz w:val="24"/>
          <w:szCs w:val="24"/>
        </w:rPr>
        <w:t xml:space="preserve"> kto może być stroną postępowania.</w:t>
      </w:r>
      <w:r w:rsidRPr="007F28C1">
        <w:rPr>
          <w:rFonts w:ascii="Times New Roman" w:hAnsi="Times New Roman" w:cs="Times New Roman"/>
          <w:sz w:val="24"/>
          <w:szCs w:val="24"/>
          <w:shd w:val="clear" w:color="auto" w:fill="FFFFFF"/>
        </w:rPr>
        <w:t xml:space="preserve"> Wobec braku w P</w:t>
      </w:r>
      <w:r w:rsidR="000D3E50" w:rsidRPr="007F28C1">
        <w:rPr>
          <w:rFonts w:ascii="Times New Roman" w:hAnsi="Times New Roman" w:cs="Times New Roman"/>
          <w:sz w:val="24"/>
          <w:szCs w:val="24"/>
          <w:shd w:val="clear" w:color="auto" w:fill="FFFFFF"/>
        </w:rPr>
        <w:t>.</w:t>
      </w:r>
      <w:r w:rsidRPr="007F28C1">
        <w:rPr>
          <w:rFonts w:ascii="Times New Roman" w:hAnsi="Times New Roman" w:cs="Times New Roman"/>
          <w:sz w:val="24"/>
          <w:szCs w:val="24"/>
          <w:shd w:val="clear" w:color="auto" w:fill="FFFFFF"/>
        </w:rPr>
        <w:t>g</w:t>
      </w:r>
      <w:r w:rsidR="000D3E50" w:rsidRPr="007F28C1">
        <w:rPr>
          <w:rFonts w:ascii="Times New Roman" w:hAnsi="Times New Roman" w:cs="Times New Roman"/>
          <w:sz w:val="24"/>
          <w:szCs w:val="24"/>
          <w:shd w:val="clear" w:color="auto" w:fill="FFFFFF"/>
        </w:rPr>
        <w:t>.</w:t>
      </w:r>
      <w:r w:rsidRPr="007F28C1">
        <w:rPr>
          <w:rFonts w:ascii="Times New Roman" w:hAnsi="Times New Roman" w:cs="Times New Roman"/>
          <w:sz w:val="24"/>
          <w:szCs w:val="24"/>
          <w:shd w:val="clear" w:color="auto" w:fill="FFFFFF"/>
        </w:rPr>
        <w:t>g</w:t>
      </w:r>
      <w:r w:rsidR="000D3E50" w:rsidRPr="007F28C1">
        <w:rPr>
          <w:rFonts w:ascii="Times New Roman" w:hAnsi="Times New Roman" w:cs="Times New Roman"/>
          <w:sz w:val="24"/>
          <w:szCs w:val="24"/>
          <w:shd w:val="clear" w:color="auto" w:fill="FFFFFF"/>
        </w:rPr>
        <w:t>.</w:t>
      </w:r>
      <w:r w:rsidRPr="007F28C1">
        <w:rPr>
          <w:rFonts w:ascii="Times New Roman" w:hAnsi="Times New Roman" w:cs="Times New Roman"/>
          <w:sz w:val="24"/>
          <w:szCs w:val="24"/>
          <w:shd w:val="clear" w:color="auto" w:fill="FFFFFF"/>
        </w:rPr>
        <w:t xml:space="preserve"> </w:t>
      </w:r>
      <w:r w:rsidRPr="007F28C1">
        <w:rPr>
          <w:rFonts w:ascii="Times New Roman" w:hAnsi="Times New Roman" w:cs="Times New Roman"/>
          <w:sz w:val="24"/>
          <w:szCs w:val="24"/>
        </w:rPr>
        <w:t>wyraźnej normy zezwalającej organowi nadzoru górniczego na zastosowanie i orzeczenie odpowiedzialności solidarnej (w istocie na zasadzie solidarności biernej), brak możliwości stosowania odpowiedzialności solidarnej wobec podmiotów wydobywających nielegalnie kopalinę.</w:t>
      </w:r>
    </w:p>
    <w:p w14:paraId="26F430E8" w14:textId="436C348F" w:rsidR="00D6737A" w:rsidRPr="007F28C1" w:rsidRDefault="00D6737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Wobec powyższego </w:t>
      </w:r>
      <w:r w:rsidR="006B5245"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zasadn</w:t>
      </w:r>
      <w:r w:rsidR="006B5245" w:rsidRPr="007F28C1">
        <w:rPr>
          <w:rFonts w:ascii="Times New Roman" w:hAnsi="Times New Roman" w:cs="Times New Roman"/>
          <w:sz w:val="24"/>
          <w:szCs w:val="24"/>
        </w:rPr>
        <w:t>e</w:t>
      </w:r>
      <w:r w:rsidRPr="007F28C1">
        <w:rPr>
          <w:rFonts w:ascii="Times New Roman" w:hAnsi="Times New Roman" w:cs="Times New Roman"/>
          <w:sz w:val="24"/>
          <w:szCs w:val="24"/>
        </w:rPr>
        <w:t xml:space="preserve"> wprowadzenie </w:t>
      </w:r>
      <w:r w:rsidR="006B5245" w:rsidRPr="007F28C1">
        <w:rPr>
          <w:rFonts w:ascii="Times New Roman" w:hAnsi="Times New Roman" w:cs="Times New Roman"/>
          <w:sz w:val="24"/>
          <w:szCs w:val="24"/>
        </w:rPr>
        <w:t xml:space="preserve">w </w:t>
      </w:r>
      <w:r w:rsidRPr="007F28C1">
        <w:rPr>
          <w:rFonts w:ascii="Times New Roman" w:hAnsi="Times New Roman" w:cs="Times New Roman"/>
          <w:sz w:val="24"/>
          <w:szCs w:val="24"/>
        </w:rPr>
        <w:t>P</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g</w:t>
      </w:r>
      <w:r w:rsidR="000D3E50" w:rsidRPr="007F28C1">
        <w:rPr>
          <w:rFonts w:ascii="Times New Roman" w:hAnsi="Times New Roman" w:cs="Times New Roman"/>
          <w:sz w:val="24"/>
          <w:szCs w:val="24"/>
        </w:rPr>
        <w:t>.</w:t>
      </w:r>
      <w:r w:rsidRPr="007F28C1">
        <w:rPr>
          <w:rFonts w:ascii="Times New Roman" w:hAnsi="Times New Roman" w:cs="Times New Roman"/>
          <w:sz w:val="24"/>
          <w:szCs w:val="24"/>
        </w:rPr>
        <w:t xml:space="preserve"> przepisu ustalającego solidarną odpowiedzialność kilku podmiotów</w:t>
      </w:r>
      <w:r w:rsidR="0072790B" w:rsidRPr="007F28C1">
        <w:rPr>
          <w:rFonts w:ascii="Times New Roman" w:hAnsi="Times New Roman" w:cs="Times New Roman"/>
          <w:sz w:val="24"/>
          <w:szCs w:val="24"/>
        </w:rPr>
        <w:t xml:space="preserve"> prowadzących działalność wspólnie na jednej nieruchomości</w:t>
      </w:r>
      <w:r w:rsidRPr="007F28C1">
        <w:rPr>
          <w:rFonts w:ascii="Times New Roman" w:hAnsi="Times New Roman" w:cs="Times New Roman"/>
          <w:sz w:val="24"/>
          <w:szCs w:val="24"/>
        </w:rPr>
        <w:t xml:space="preserve">. Należy podkreślić, że prowadzenie działalności podlegającej opłacie podwyższonej przez kilka podmiotów nie należy do odosobnionych przypadków. Ze statystyk </w:t>
      </w:r>
      <w:r w:rsidRPr="007F28C1">
        <w:rPr>
          <w:rFonts w:ascii="Times New Roman" w:hAnsi="Times New Roman" w:cs="Times New Roman"/>
          <w:sz w:val="24"/>
          <w:szCs w:val="24"/>
        </w:rPr>
        <w:lastRenderedPageBreak/>
        <w:t xml:space="preserve">wynika, </w:t>
      </w:r>
      <w:r w:rsidR="00900599" w:rsidRPr="007F28C1">
        <w:rPr>
          <w:rFonts w:ascii="Times New Roman" w:hAnsi="Times New Roman" w:cs="Times New Roman"/>
          <w:sz w:val="24"/>
          <w:szCs w:val="24"/>
        </w:rPr>
        <w:t>że</w:t>
      </w:r>
      <w:r w:rsidRPr="007F28C1">
        <w:rPr>
          <w:rFonts w:ascii="Times New Roman" w:hAnsi="Times New Roman" w:cs="Times New Roman"/>
          <w:sz w:val="24"/>
          <w:szCs w:val="24"/>
        </w:rPr>
        <w:t xml:space="preserve"> w 2016 r. do Prezesa Wyższego Urzędu Górniczego wpłynęły odwołania od trzech decyzji ustalających opłaty podwyższone dwóm lub więcej podmiotom, na łączną kwotę 816 905,40 zł, w 2017 r. od siedmiu decyzji ustalających opłaty podwyższone na łączną kwotę 1 232 510,84 zł, w 2018 r. od dwunastu decyzji ustalających opłaty podwyższone na łączną kwotę 9 122 754,60 zł, w I połowie 2019 r. od sześciu decyzji ustalających opłaty podwyższone na łączną kwotę 2 106 563,60 zł. Mając na uwadze, że zarówno liczba spraw dotyczących prowadzenia działalności podlegającej opłacie podwyższonej przez kilka podmiotów, jak i łączne kwoty opłaty podwyższonej są znaczące, </w:t>
      </w:r>
      <w:r w:rsidR="006B5245"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zasadn</w:t>
      </w:r>
      <w:r w:rsidR="006B5245" w:rsidRPr="007F28C1">
        <w:rPr>
          <w:rFonts w:ascii="Times New Roman" w:hAnsi="Times New Roman" w:cs="Times New Roman"/>
          <w:sz w:val="24"/>
          <w:szCs w:val="24"/>
        </w:rPr>
        <w:t>e</w:t>
      </w:r>
      <w:r w:rsidRPr="007F28C1">
        <w:rPr>
          <w:rFonts w:ascii="Times New Roman" w:hAnsi="Times New Roman" w:cs="Times New Roman"/>
          <w:sz w:val="24"/>
          <w:szCs w:val="24"/>
        </w:rPr>
        <w:t xml:space="preserve"> wprowadzenie ustawowej solidarnej odpowiedzialności. </w:t>
      </w:r>
    </w:p>
    <w:p w14:paraId="0C16EE0A" w14:textId="1EA6120E" w:rsidR="0072790B" w:rsidRPr="007F28C1" w:rsidRDefault="0072790B"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Zmiana </w:t>
      </w:r>
      <w:r w:rsidRPr="007F28C1">
        <w:rPr>
          <w:rFonts w:ascii="Times New Roman" w:eastAsia="Times New Roman" w:hAnsi="Times New Roman" w:cs="Times New Roman"/>
          <w:sz w:val="24"/>
          <w:szCs w:val="24"/>
          <w:lang w:eastAsia="pl-PL"/>
        </w:rPr>
        <w:t>art. 143 ust. 1 P</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0D3E50" w:rsidRPr="007F28C1">
        <w:rPr>
          <w:rFonts w:ascii="Times New Roman" w:eastAsia="Times New Roman" w:hAnsi="Times New Roman" w:cs="Times New Roman"/>
          <w:sz w:val="24"/>
          <w:szCs w:val="24"/>
          <w:lang w:eastAsia="pl-PL"/>
        </w:rPr>
        <w:t>.</w:t>
      </w:r>
      <w:r w:rsidRPr="007F28C1">
        <w:rPr>
          <w:rFonts w:ascii="Times New Roman" w:hAnsi="Times New Roman" w:cs="Times New Roman"/>
          <w:sz w:val="24"/>
          <w:szCs w:val="24"/>
        </w:rPr>
        <w:t xml:space="preserve"> wynika z doświadczeń organów nadzoru górniczego i organów koncesyjnych (administracji geologicznej), dotyczących wpływu postępowań, a zwłaszcza postępowań sądowoadministracyjnych, na możliwość pociągnięcia do odpowiedzialności osób, które wydobywały nielegalnie kopalinę. </w:t>
      </w:r>
    </w:p>
    <w:p w14:paraId="66B6A536" w14:textId="5CF9F7E6" w:rsidR="0072790B" w:rsidRPr="007F28C1" w:rsidRDefault="0072790B" w:rsidP="007F28C1">
      <w:pPr>
        <w:pStyle w:val="Bodytext20"/>
        <w:shd w:val="clear" w:color="auto" w:fill="auto"/>
        <w:spacing w:before="120" w:after="0" w:line="360" w:lineRule="auto"/>
        <w:ind w:firstLine="0"/>
        <w:jc w:val="both"/>
        <w:rPr>
          <w:color w:val="auto"/>
        </w:rPr>
      </w:pPr>
      <w:r w:rsidRPr="007F28C1">
        <w:rPr>
          <w:color w:val="auto"/>
        </w:rPr>
        <w:t xml:space="preserve">Bieg terminu przedawnienia rozpoczyna się od zdarzenia uzasadniającego wydanie decyzji i nałożenie stosownej opłaty. Mając na uwadze, że </w:t>
      </w:r>
      <w:r w:rsidR="006B5245" w:rsidRPr="007F28C1">
        <w:rPr>
          <w:color w:val="auto"/>
        </w:rPr>
        <w:t xml:space="preserve">właściwy </w:t>
      </w:r>
      <w:r w:rsidRPr="007F28C1">
        <w:rPr>
          <w:color w:val="auto"/>
        </w:rPr>
        <w:t xml:space="preserve">organ z reguły późno dowiaduje się o zdarzeniu uzasadniającym wydanie decyzji w sprawie opłaty podwyższonej czy dodatkowej, 5-letni </w:t>
      </w:r>
      <w:r w:rsidR="006B5245" w:rsidRPr="007F28C1">
        <w:rPr>
          <w:color w:val="auto"/>
        </w:rPr>
        <w:t>termin na</w:t>
      </w:r>
      <w:r w:rsidR="00D978C1" w:rsidRPr="007F28C1">
        <w:rPr>
          <w:color w:val="auto"/>
        </w:rPr>
        <w:t> </w:t>
      </w:r>
      <w:r w:rsidRPr="007F28C1">
        <w:rPr>
          <w:color w:val="auto"/>
        </w:rPr>
        <w:t>wydani</w:t>
      </w:r>
      <w:r w:rsidR="006B5245" w:rsidRPr="007F28C1">
        <w:rPr>
          <w:color w:val="auto"/>
        </w:rPr>
        <w:t>e</w:t>
      </w:r>
      <w:r w:rsidRPr="007F28C1">
        <w:rPr>
          <w:color w:val="auto"/>
        </w:rPr>
        <w:t xml:space="preserve"> tej decyzji, przewidziany w </w:t>
      </w:r>
      <w:r w:rsidRPr="007F28C1">
        <w:rPr>
          <w:color w:val="auto"/>
          <w:lang w:eastAsia="en-US" w:bidi="en-US"/>
        </w:rPr>
        <w:t xml:space="preserve">art. </w:t>
      </w:r>
      <w:r w:rsidRPr="007F28C1">
        <w:rPr>
          <w:color w:val="auto"/>
        </w:rPr>
        <w:t>143 ust. 1 P</w:t>
      </w:r>
      <w:r w:rsidR="000D3E50" w:rsidRPr="007F28C1">
        <w:rPr>
          <w:color w:val="auto"/>
        </w:rPr>
        <w:t>.</w:t>
      </w:r>
      <w:r w:rsidRPr="007F28C1">
        <w:rPr>
          <w:color w:val="auto"/>
        </w:rPr>
        <w:t>g</w:t>
      </w:r>
      <w:r w:rsidR="000D3E50" w:rsidRPr="007F28C1">
        <w:rPr>
          <w:color w:val="auto"/>
        </w:rPr>
        <w:t>.</w:t>
      </w:r>
      <w:r w:rsidRPr="007F28C1">
        <w:rPr>
          <w:color w:val="auto"/>
        </w:rPr>
        <w:t>g</w:t>
      </w:r>
      <w:r w:rsidR="000D3E50" w:rsidRPr="007F28C1">
        <w:rPr>
          <w:color w:val="auto"/>
        </w:rPr>
        <w:t>.</w:t>
      </w:r>
      <w:r w:rsidR="006B5245" w:rsidRPr="007F28C1">
        <w:rPr>
          <w:color w:val="auto"/>
        </w:rPr>
        <w:t>,</w:t>
      </w:r>
      <w:r w:rsidRPr="007F28C1">
        <w:rPr>
          <w:color w:val="auto"/>
        </w:rPr>
        <w:t xml:space="preserve"> jest często w praktyce zbyt krótki. Postępowania w sprawach ustalenia opłaty podwyższonej czy dodatkowej wymagają niejednokrotnie przesłuchania wielu świadków, zebrania obszernej dokumentacji oraz konieczności przeprowadzenia wnikliwej analizy, która pozwoli na ustalenie danej opłaty konkretnym podmiotom. Ponadto postępowania sądowoadministracyjne, których zadaniem jest kontrola decyzji kończących ww. postępowania administracyjne</w:t>
      </w:r>
      <w:r w:rsidR="0025547B" w:rsidRPr="007F28C1">
        <w:rPr>
          <w:color w:val="auto"/>
        </w:rPr>
        <w:t>,</w:t>
      </w:r>
      <w:r w:rsidRPr="007F28C1">
        <w:rPr>
          <w:color w:val="auto"/>
        </w:rPr>
        <w:t xml:space="preserve"> trwają często kilka lat. Jeżeli w toku takiego postępowania upłynie bieg 5-letniego terminu, o którym mowa w </w:t>
      </w:r>
      <w:r w:rsidRPr="007F28C1">
        <w:rPr>
          <w:color w:val="auto"/>
          <w:lang w:eastAsia="en-US" w:bidi="en-US"/>
        </w:rPr>
        <w:t xml:space="preserve">art. </w:t>
      </w:r>
      <w:r w:rsidRPr="007F28C1">
        <w:rPr>
          <w:color w:val="auto"/>
        </w:rPr>
        <w:t>143 ust. 1 P</w:t>
      </w:r>
      <w:r w:rsidR="001D3DA3" w:rsidRPr="007F28C1">
        <w:rPr>
          <w:color w:val="auto"/>
        </w:rPr>
        <w:t>.</w:t>
      </w:r>
      <w:r w:rsidRPr="007F28C1">
        <w:rPr>
          <w:color w:val="auto"/>
        </w:rPr>
        <w:t>g</w:t>
      </w:r>
      <w:r w:rsidR="001D3DA3" w:rsidRPr="007F28C1">
        <w:rPr>
          <w:color w:val="auto"/>
        </w:rPr>
        <w:t>.</w:t>
      </w:r>
      <w:r w:rsidRPr="007F28C1">
        <w:rPr>
          <w:color w:val="auto"/>
        </w:rPr>
        <w:t>g</w:t>
      </w:r>
      <w:r w:rsidR="001D3DA3" w:rsidRPr="007F28C1">
        <w:rPr>
          <w:color w:val="auto"/>
        </w:rPr>
        <w:t>.</w:t>
      </w:r>
      <w:r w:rsidR="0091508C" w:rsidRPr="007F28C1">
        <w:rPr>
          <w:color w:val="auto"/>
        </w:rPr>
        <w:t>,</w:t>
      </w:r>
      <w:r w:rsidRPr="007F28C1">
        <w:rPr>
          <w:color w:val="auto"/>
        </w:rPr>
        <w:t xml:space="preserve"> ww. organy tracą możliwość wydania decyzji w przedmiocie ustalenia ww. opłaty i tym samym pociągnięcia do odpowiedzialności osób, które prowadziły nielegalne wydobycie kopaliny.</w:t>
      </w:r>
    </w:p>
    <w:p w14:paraId="07ECEF93" w14:textId="03C99B79" w:rsidR="0072790B" w:rsidRPr="007F28C1" w:rsidRDefault="0072790B" w:rsidP="007F28C1">
      <w:pPr>
        <w:pStyle w:val="Bodytext20"/>
        <w:shd w:val="clear" w:color="auto" w:fill="auto"/>
        <w:spacing w:before="120" w:after="0" w:line="360" w:lineRule="auto"/>
        <w:ind w:firstLine="0"/>
        <w:jc w:val="both"/>
        <w:rPr>
          <w:color w:val="auto"/>
        </w:rPr>
      </w:pPr>
      <w:r w:rsidRPr="007F28C1">
        <w:rPr>
          <w:color w:val="auto"/>
        </w:rPr>
        <w:t xml:space="preserve">Należy podkreślić, że wymierzenie opłaty podwyższonej czy dodatkowej podmiotowi prowadzącemu działalność bez koncesji, bez zatwierdzonego lub podlegającego zgłoszeniu projektu robót geologicznych albo wykonującemu działalność z rażącym naruszeniem warunków określonych w koncesji, w zatwierdzonym albo w podlegającym zgłoszeniu projekcie robót geologicznych, jest efektywnym narzędziem, zabezpieczającym interes państwa przez pozbawienie podmiotów zysku, który uzyskały dzięki nielegalnemu prowadzeniu działalności, przy jednoczesnym zapewnieniu wpływu znaczących kwot do </w:t>
      </w:r>
      <w:r w:rsidRPr="007F28C1">
        <w:rPr>
          <w:color w:val="auto"/>
        </w:rPr>
        <w:lastRenderedPageBreak/>
        <w:t>budżetu jednostek samorządu terytorialnego oraz</w:t>
      </w:r>
      <w:r w:rsidR="006104CB" w:rsidRPr="007F28C1">
        <w:rPr>
          <w:color w:val="auto"/>
        </w:rPr>
        <w:t xml:space="preserve"> </w:t>
      </w:r>
      <w:r w:rsidRPr="007F28C1">
        <w:rPr>
          <w:color w:val="auto"/>
        </w:rPr>
        <w:t>Narodowego Funduszu Ochrony Środowiska i Gospodarki Wodnej</w:t>
      </w:r>
      <w:r w:rsidR="006104CB" w:rsidRPr="007F28C1">
        <w:rPr>
          <w:color w:val="auto"/>
        </w:rPr>
        <w:t xml:space="preserve">, </w:t>
      </w:r>
      <w:r w:rsidR="006B5245" w:rsidRPr="007F28C1">
        <w:rPr>
          <w:color w:val="auto"/>
        </w:rPr>
        <w:t xml:space="preserve">zwanego </w:t>
      </w:r>
      <w:r w:rsidR="006104CB" w:rsidRPr="007F28C1">
        <w:rPr>
          <w:color w:val="auto"/>
        </w:rPr>
        <w:t>dalej „NFOŚiGW”</w:t>
      </w:r>
      <w:r w:rsidRPr="007F28C1">
        <w:rPr>
          <w:color w:val="auto"/>
        </w:rPr>
        <w:t xml:space="preserve">. Możliwość wymierzenia opłaty podwyższonej albo dodatkowej pełni również skutecznie funkcję prewencyjną – brak perspektywy zysku „odstrasza” potencjalnie zainteresowanych prowadzeniem nielegalnej działalności. Mając na uwadze powyższe, </w:t>
      </w:r>
      <w:r w:rsidR="006B5245" w:rsidRPr="007F28C1">
        <w:rPr>
          <w:color w:val="auto"/>
        </w:rPr>
        <w:t xml:space="preserve">jest </w:t>
      </w:r>
      <w:r w:rsidRPr="007F28C1">
        <w:rPr>
          <w:color w:val="auto"/>
        </w:rPr>
        <w:t>zasadn</w:t>
      </w:r>
      <w:r w:rsidR="006B5245" w:rsidRPr="007F28C1">
        <w:rPr>
          <w:color w:val="auto"/>
        </w:rPr>
        <w:t>e</w:t>
      </w:r>
      <w:r w:rsidRPr="007F28C1">
        <w:rPr>
          <w:color w:val="auto"/>
        </w:rPr>
        <w:t xml:space="preserve"> wydłużenie terminu przedawnienia do 10 lat od końca roku, w którym nastąpiło zdarzenie uzasadniające wydanie decyzji</w:t>
      </w:r>
      <w:r w:rsidR="00A8354F" w:rsidRPr="007F28C1">
        <w:rPr>
          <w:color w:val="auto"/>
        </w:rPr>
        <w:t xml:space="preserve"> </w:t>
      </w:r>
      <w:r w:rsidR="00F2330D" w:rsidRPr="007F28C1">
        <w:rPr>
          <w:color w:val="auto"/>
        </w:rPr>
        <w:t>o opłacie dodatkowej lub podwyższonej</w:t>
      </w:r>
      <w:r w:rsidRPr="007F28C1">
        <w:rPr>
          <w:color w:val="auto"/>
        </w:rPr>
        <w:t>.</w:t>
      </w:r>
      <w:r w:rsidR="00F2330D" w:rsidRPr="007F28C1">
        <w:rPr>
          <w:color w:val="auto"/>
        </w:rPr>
        <w:t xml:space="preserve"> Dlatego też </w:t>
      </w:r>
      <w:r w:rsidR="006B5245" w:rsidRPr="007F28C1">
        <w:rPr>
          <w:color w:val="auto"/>
        </w:rPr>
        <w:t xml:space="preserve">został </w:t>
      </w:r>
      <w:r w:rsidR="00F2330D" w:rsidRPr="007F28C1">
        <w:rPr>
          <w:color w:val="auto"/>
        </w:rPr>
        <w:t xml:space="preserve">wprowadzony nowy art. 143 ust. 1a P.g.g. przewidujący dłuższy termin </w:t>
      </w:r>
      <w:r w:rsidR="006B5245" w:rsidRPr="007F28C1">
        <w:rPr>
          <w:color w:val="auto"/>
        </w:rPr>
        <w:t xml:space="preserve">na </w:t>
      </w:r>
      <w:r w:rsidR="00F2330D" w:rsidRPr="007F28C1">
        <w:rPr>
          <w:color w:val="auto"/>
        </w:rPr>
        <w:t>wydani</w:t>
      </w:r>
      <w:r w:rsidR="006B5245" w:rsidRPr="007F28C1">
        <w:rPr>
          <w:color w:val="auto"/>
        </w:rPr>
        <w:t>e</w:t>
      </w:r>
      <w:r w:rsidR="00F2330D" w:rsidRPr="007F28C1">
        <w:rPr>
          <w:color w:val="auto"/>
        </w:rPr>
        <w:t xml:space="preserve"> decyzji, o</w:t>
      </w:r>
      <w:r w:rsidR="00705A7E" w:rsidRPr="007F28C1">
        <w:rPr>
          <w:color w:val="auto"/>
        </w:rPr>
        <w:t> </w:t>
      </w:r>
      <w:r w:rsidR="00F2330D" w:rsidRPr="007F28C1">
        <w:rPr>
          <w:color w:val="auto"/>
        </w:rPr>
        <w:t>których mowa w</w:t>
      </w:r>
      <w:r w:rsidR="0025547B" w:rsidRPr="007F28C1">
        <w:rPr>
          <w:color w:val="auto"/>
        </w:rPr>
        <w:t> </w:t>
      </w:r>
      <w:r w:rsidR="00F2330D" w:rsidRPr="007F28C1">
        <w:rPr>
          <w:color w:val="auto"/>
        </w:rPr>
        <w:t xml:space="preserve">art. 139 i </w:t>
      </w:r>
      <w:r w:rsidR="006B5245" w:rsidRPr="007F28C1">
        <w:rPr>
          <w:color w:val="auto"/>
        </w:rPr>
        <w:t xml:space="preserve">art. </w:t>
      </w:r>
      <w:r w:rsidR="00F2330D" w:rsidRPr="007F28C1">
        <w:rPr>
          <w:color w:val="auto"/>
        </w:rPr>
        <w:t>140 P.g.g.</w:t>
      </w:r>
      <w:r w:rsidRPr="007F28C1">
        <w:rPr>
          <w:color w:val="auto"/>
        </w:rPr>
        <w:t xml:space="preserve"> </w:t>
      </w:r>
      <w:r w:rsidR="00373A17" w:rsidRPr="007F28C1">
        <w:rPr>
          <w:color w:val="auto"/>
        </w:rPr>
        <w:t xml:space="preserve">Zgodnie z </w:t>
      </w:r>
      <w:r w:rsidR="001D3DA3" w:rsidRPr="007F28C1">
        <w:rPr>
          <w:color w:val="auto"/>
        </w:rPr>
        <w:t xml:space="preserve">przepisami przejściowymi </w:t>
      </w:r>
      <w:r w:rsidR="00373A17" w:rsidRPr="007F28C1">
        <w:rPr>
          <w:color w:val="auto"/>
        </w:rPr>
        <w:t>do postępowań wszczętych i</w:t>
      </w:r>
      <w:r w:rsidR="0025547B" w:rsidRPr="007F28C1">
        <w:rPr>
          <w:color w:val="auto"/>
        </w:rPr>
        <w:t> </w:t>
      </w:r>
      <w:r w:rsidR="00373A17" w:rsidRPr="007F28C1">
        <w:rPr>
          <w:color w:val="auto"/>
        </w:rPr>
        <w:t xml:space="preserve">niezakończonych będą miały zastosowanie przepisy dotychczasowe. </w:t>
      </w:r>
    </w:p>
    <w:p w14:paraId="45E7F424" w14:textId="292935C1" w:rsidR="004307ED" w:rsidRPr="007F28C1" w:rsidRDefault="001D3DA3" w:rsidP="007F28C1">
      <w:pPr>
        <w:spacing w:before="120" w:after="0" w:line="360" w:lineRule="auto"/>
        <w:jc w:val="both"/>
        <w:rPr>
          <w:rFonts w:ascii="Times New Roman" w:hAnsi="Times New Roman" w:cs="Times New Roman"/>
          <w:sz w:val="24"/>
          <w:szCs w:val="24"/>
          <w:lang w:eastAsia="pl-PL"/>
        </w:rPr>
      </w:pPr>
      <w:r w:rsidRPr="007F28C1">
        <w:rPr>
          <w:rFonts w:ascii="Times New Roman" w:hAnsi="Times New Roman" w:cs="Times New Roman"/>
          <w:bCs/>
          <w:sz w:val="24"/>
          <w:szCs w:val="24"/>
        </w:rPr>
        <w:t xml:space="preserve">Projektowana nowelizacja </w:t>
      </w:r>
      <w:r w:rsidR="00561E27" w:rsidRPr="007F28C1">
        <w:rPr>
          <w:rFonts w:ascii="Times New Roman" w:hAnsi="Times New Roman" w:cs="Times New Roman"/>
          <w:sz w:val="24"/>
          <w:szCs w:val="24"/>
          <w:lang w:eastAsia="pl-PL"/>
        </w:rPr>
        <w:t>w ustawie z dnia 20 czerwca 1997 r. – Prawo o ruchu drogowym</w:t>
      </w:r>
      <w:r w:rsidR="00080AB3" w:rsidRPr="007F28C1">
        <w:rPr>
          <w:rFonts w:ascii="Times New Roman" w:hAnsi="Times New Roman" w:cs="Times New Roman"/>
          <w:iCs/>
          <w:sz w:val="24"/>
          <w:szCs w:val="24"/>
          <w:lang w:eastAsia="pl-PL"/>
        </w:rPr>
        <w:t xml:space="preserve"> </w:t>
      </w:r>
      <w:r w:rsidR="00B065A5" w:rsidRPr="007F28C1">
        <w:rPr>
          <w:rFonts w:ascii="Times New Roman" w:hAnsi="Times New Roman" w:cs="Times New Roman"/>
          <w:sz w:val="24"/>
          <w:szCs w:val="24"/>
        </w:rPr>
        <w:t>(Dz.</w:t>
      </w:r>
      <w:r w:rsidR="008A3158" w:rsidRPr="007F28C1">
        <w:rPr>
          <w:rFonts w:ascii="Times New Roman" w:hAnsi="Times New Roman" w:cs="Times New Roman"/>
          <w:sz w:val="24"/>
          <w:szCs w:val="24"/>
        </w:rPr>
        <w:t xml:space="preserve"> </w:t>
      </w:r>
      <w:r w:rsidR="00B065A5" w:rsidRPr="007F28C1">
        <w:rPr>
          <w:rFonts w:ascii="Times New Roman" w:hAnsi="Times New Roman" w:cs="Times New Roman"/>
          <w:sz w:val="24"/>
          <w:szCs w:val="24"/>
        </w:rPr>
        <w:t>U. z</w:t>
      </w:r>
      <w:r w:rsidR="0025547B" w:rsidRPr="007F28C1">
        <w:rPr>
          <w:rFonts w:ascii="Times New Roman" w:hAnsi="Times New Roman" w:cs="Times New Roman"/>
          <w:sz w:val="24"/>
          <w:szCs w:val="24"/>
        </w:rPr>
        <w:t> </w:t>
      </w:r>
      <w:r w:rsidR="00B065A5" w:rsidRPr="007F28C1">
        <w:rPr>
          <w:rFonts w:ascii="Times New Roman" w:hAnsi="Times New Roman" w:cs="Times New Roman"/>
          <w:sz w:val="24"/>
          <w:szCs w:val="24"/>
        </w:rPr>
        <w:t>202</w:t>
      </w:r>
      <w:r w:rsidR="003913D3" w:rsidRPr="007F28C1">
        <w:rPr>
          <w:rFonts w:ascii="Times New Roman" w:hAnsi="Times New Roman" w:cs="Times New Roman"/>
          <w:sz w:val="24"/>
          <w:szCs w:val="24"/>
        </w:rPr>
        <w:t>2</w:t>
      </w:r>
      <w:r w:rsidR="00B065A5" w:rsidRPr="007F28C1">
        <w:rPr>
          <w:rFonts w:ascii="Times New Roman" w:hAnsi="Times New Roman" w:cs="Times New Roman"/>
          <w:sz w:val="24"/>
          <w:szCs w:val="24"/>
        </w:rPr>
        <w:t xml:space="preserve"> r. poz. </w:t>
      </w:r>
      <w:r w:rsidR="003913D3" w:rsidRPr="007F28C1">
        <w:rPr>
          <w:rFonts w:ascii="Times New Roman" w:hAnsi="Times New Roman" w:cs="Times New Roman"/>
          <w:sz w:val="24"/>
          <w:szCs w:val="24"/>
        </w:rPr>
        <w:t>988</w:t>
      </w:r>
      <w:r w:rsidR="00B065A5" w:rsidRPr="007F28C1">
        <w:rPr>
          <w:rFonts w:ascii="Times New Roman" w:hAnsi="Times New Roman" w:cs="Times New Roman"/>
          <w:sz w:val="24"/>
          <w:szCs w:val="24"/>
        </w:rPr>
        <w:t>, z</w:t>
      </w:r>
      <w:r w:rsidR="00C00904" w:rsidRPr="007F28C1">
        <w:rPr>
          <w:rFonts w:ascii="Times New Roman" w:hAnsi="Times New Roman" w:cs="Times New Roman"/>
          <w:sz w:val="24"/>
          <w:szCs w:val="24"/>
        </w:rPr>
        <w:t xml:space="preserve"> </w:t>
      </w:r>
      <w:r w:rsidR="00DB3C23" w:rsidRPr="007F28C1">
        <w:rPr>
          <w:rFonts w:ascii="Times New Roman" w:hAnsi="Times New Roman" w:cs="Times New Roman"/>
          <w:sz w:val="24"/>
          <w:szCs w:val="24"/>
        </w:rPr>
        <w:t>późn</w:t>
      </w:r>
      <w:r w:rsidR="00C00904" w:rsidRPr="007F28C1">
        <w:rPr>
          <w:rFonts w:ascii="Times New Roman" w:hAnsi="Times New Roman" w:cs="Times New Roman"/>
          <w:sz w:val="24"/>
          <w:szCs w:val="24"/>
        </w:rPr>
        <w:t>.</w:t>
      </w:r>
      <w:r w:rsidR="00B065A5" w:rsidRPr="007F28C1">
        <w:rPr>
          <w:rFonts w:ascii="Times New Roman" w:hAnsi="Times New Roman" w:cs="Times New Roman"/>
          <w:sz w:val="24"/>
          <w:szCs w:val="24"/>
        </w:rPr>
        <w:t xml:space="preserve"> zm.)</w:t>
      </w:r>
      <w:r w:rsidR="00A51DC3" w:rsidRPr="007F28C1">
        <w:rPr>
          <w:rFonts w:ascii="Times New Roman" w:hAnsi="Times New Roman" w:cs="Times New Roman"/>
          <w:sz w:val="24"/>
          <w:szCs w:val="24"/>
        </w:rPr>
        <w:t xml:space="preserve"> </w:t>
      </w:r>
      <w:r w:rsidR="00A51DC3" w:rsidRPr="007F28C1">
        <w:rPr>
          <w:rFonts w:ascii="Times New Roman" w:hAnsi="Times New Roman" w:cs="Times New Roman"/>
          <w:sz w:val="24"/>
          <w:szCs w:val="24"/>
          <w:lang w:eastAsia="pl-PL"/>
        </w:rPr>
        <w:t xml:space="preserve">uzupełnia katalog </w:t>
      </w:r>
      <w:r w:rsidR="00A51DC3" w:rsidRPr="007F28C1">
        <w:rPr>
          <w:rFonts w:ascii="Times New Roman" w:hAnsi="Times New Roman" w:cs="Times New Roman"/>
          <w:sz w:val="24"/>
          <w:szCs w:val="24"/>
        </w:rPr>
        <w:t>podmiotów,</w:t>
      </w:r>
      <w:r w:rsidR="00A51DC3" w:rsidRPr="007F28C1" w:rsidDel="001D3DA3">
        <w:rPr>
          <w:rFonts w:ascii="Times New Roman" w:hAnsi="Times New Roman" w:cs="Times New Roman"/>
          <w:bCs/>
          <w:sz w:val="24"/>
          <w:szCs w:val="24"/>
        </w:rPr>
        <w:t xml:space="preserve"> </w:t>
      </w:r>
      <w:r w:rsidR="00561E27" w:rsidRPr="007F28C1">
        <w:rPr>
          <w:rFonts w:ascii="Times New Roman" w:hAnsi="Times New Roman" w:cs="Times New Roman"/>
          <w:sz w:val="24"/>
          <w:szCs w:val="24"/>
        </w:rPr>
        <w:t xml:space="preserve">które są uprawnione do uzyskania informacji o pojazdach i ich właścicielach </w:t>
      </w:r>
      <w:r w:rsidR="00561E27" w:rsidRPr="007F28C1">
        <w:rPr>
          <w:rFonts w:ascii="Times New Roman" w:hAnsi="Times New Roman" w:cs="Times New Roman"/>
          <w:sz w:val="24"/>
          <w:szCs w:val="24"/>
          <w:lang w:eastAsia="pl-PL"/>
        </w:rPr>
        <w:t xml:space="preserve">o organy nadzoru górniczego. </w:t>
      </w:r>
      <w:r w:rsidR="00561E27" w:rsidRPr="007F28C1">
        <w:rPr>
          <w:rFonts w:ascii="Times New Roman" w:hAnsi="Times New Roman" w:cs="Times New Roman"/>
          <w:sz w:val="24"/>
          <w:szCs w:val="24"/>
        </w:rPr>
        <w:t>Organy nadzoru górniczego nie są wymienione w tym katalogu podmiotów, t</w:t>
      </w:r>
      <w:r w:rsidR="00561E27" w:rsidRPr="007F28C1">
        <w:rPr>
          <w:rFonts w:ascii="Times New Roman" w:hAnsi="Times New Roman" w:cs="Times New Roman"/>
          <w:sz w:val="24"/>
          <w:szCs w:val="24"/>
          <w:lang w:eastAsia="pl-PL"/>
        </w:rPr>
        <w:t xml:space="preserve">ymczasem wiedza ta jest często niezbędna </w:t>
      </w:r>
      <w:r w:rsidR="00D224DC">
        <w:rPr>
          <w:rFonts w:ascii="Times New Roman" w:hAnsi="Times New Roman" w:cs="Times New Roman"/>
          <w:sz w:val="24"/>
          <w:szCs w:val="24"/>
          <w:lang w:eastAsia="pl-PL"/>
        </w:rPr>
        <w:t>na</w:t>
      </w:r>
      <w:r w:rsidR="00D224DC" w:rsidRPr="007F28C1">
        <w:rPr>
          <w:rFonts w:ascii="Times New Roman" w:hAnsi="Times New Roman" w:cs="Times New Roman"/>
          <w:sz w:val="24"/>
          <w:szCs w:val="24"/>
          <w:lang w:eastAsia="pl-PL"/>
        </w:rPr>
        <w:t xml:space="preserve"> </w:t>
      </w:r>
      <w:r w:rsidR="00561E27" w:rsidRPr="007F28C1">
        <w:rPr>
          <w:rFonts w:ascii="Times New Roman" w:hAnsi="Times New Roman" w:cs="Times New Roman"/>
          <w:sz w:val="24"/>
          <w:szCs w:val="24"/>
          <w:lang w:eastAsia="pl-PL"/>
        </w:rPr>
        <w:t>potrzeb</w:t>
      </w:r>
      <w:r w:rsidR="00D224DC">
        <w:rPr>
          <w:rFonts w:ascii="Times New Roman" w:hAnsi="Times New Roman" w:cs="Times New Roman"/>
          <w:sz w:val="24"/>
          <w:szCs w:val="24"/>
          <w:lang w:eastAsia="pl-PL"/>
        </w:rPr>
        <w:t>y</w:t>
      </w:r>
      <w:r w:rsidR="00561E27" w:rsidRPr="007F28C1">
        <w:rPr>
          <w:rFonts w:ascii="Times New Roman" w:hAnsi="Times New Roman" w:cs="Times New Roman"/>
          <w:sz w:val="24"/>
          <w:szCs w:val="24"/>
          <w:lang w:eastAsia="pl-PL"/>
        </w:rPr>
        <w:t xml:space="preserve"> postępowań w sprawie ustalenia opłaty podwyższonej. W przypadku gdy organ nadzoru górniczego dysponuje dowodami dotyczącymi pojazdu wywożącego urobek z miejsca nielegalnej eksploatacji kopaliny</w:t>
      </w:r>
      <w:r w:rsidR="00D224DC">
        <w:rPr>
          <w:rFonts w:ascii="Times New Roman" w:hAnsi="Times New Roman" w:cs="Times New Roman"/>
          <w:sz w:val="24"/>
          <w:szCs w:val="24"/>
          <w:lang w:eastAsia="pl-PL"/>
        </w:rPr>
        <w:t>,</w:t>
      </w:r>
      <w:r w:rsidR="00561E27" w:rsidRPr="007F28C1">
        <w:rPr>
          <w:rFonts w:ascii="Times New Roman" w:hAnsi="Times New Roman" w:cs="Times New Roman"/>
          <w:sz w:val="24"/>
          <w:szCs w:val="24"/>
          <w:lang w:eastAsia="pl-PL"/>
        </w:rPr>
        <w:t xml:space="preserve"> nie ma możliwości ustalenia właściciela pojazdu i rozszerzenia prowadzonego postępowania na ten podmiot.</w:t>
      </w:r>
    </w:p>
    <w:p w14:paraId="53818EEB" w14:textId="7EAB7B5E" w:rsidR="004307ED" w:rsidRPr="007F28C1" w:rsidRDefault="004307ED" w:rsidP="007F28C1">
      <w:pPr>
        <w:numPr>
          <w:ilvl w:val="0"/>
          <w:numId w:val="8"/>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Uprawnienie organów nadzoru górniczego jako oskarżyciela publicznego</w:t>
      </w:r>
    </w:p>
    <w:p w14:paraId="56A9E363" w14:textId="2D0004DB" w:rsidR="00CE0985" w:rsidRPr="007F28C1" w:rsidRDefault="00CE0985" w:rsidP="007F28C1">
      <w:pPr>
        <w:pStyle w:val="Bodytext20"/>
        <w:shd w:val="clear" w:color="auto" w:fill="auto"/>
        <w:spacing w:before="120" w:after="0" w:line="360" w:lineRule="auto"/>
        <w:ind w:firstLine="0"/>
        <w:jc w:val="both"/>
        <w:rPr>
          <w:color w:val="auto"/>
        </w:rPr>
      </w:pPr>
      <w:r w:rsidRPr="007F28C1">
        <w:rPr>
          <w:color w:val="auto"/>
        </w:rPr>
        <w:t>Art. 189 P</w:t>
      </w:r>
      <w:r w:rsidR="009D3BA1" w:rsidRPr="007F28C1">
        <w:rPr>
          <w:color w:val="auto"/>
        </w:rPr>
        <w:t>.</w:t>
      </w:r>
      <w:r w:rsidRPr="007F28C1">
        <w:rPr>
          <w:color w:val="auto"/>
        </w:rPr>
        <w:t>g</w:t>
      </w:r>
      <w:r w:rsidR="009D3BA1" w:rsidRPr="007F28C1">
        <w:rPr>
          <w:color w:val="auto"/>
        </w:rPr>
        <w:t>.</w:t>
      </w:r>
      <w:r w:rsidRPr="007F28C1">
        <w:rPr>
          <w:color w:val="auto"/>
        </w:rPr>
        <w:t>g</w:t>
      </w:r>
      <w:r w:rsidR="009D3BA1" w:rsidRPr="007F28C1">
        <w:rPr>
          <w:color w:val="auto"/>
        </w:rPr>
        <w:t>.</w:t>
      </w:r>
      <w:r w:rsidRPr="007F28C1">
        <w:rPr>
          <w:color w:val="auto"/>
        </w:rPr>
        <w:t xml:space="preserve"> jest przepisem prawa procesowego stanowiącym, że w sprawach o wykroczenia określone w art. 177</w:t>
      </w:r>
      <w:r w:rsidR="006B5245" w:rsidRPr="007F28C1">
        <w:rPr>
          <w:color w:val="auto"/>
        </w:rPr>
        <w:t>–</w:t>
      </w:r>
      <w:r w:rsidRPr="007F28C1">
        <w:rPr>
          <w:color w:val="auto"/>
        </w:rPr>
        <w:t>188 P</w:t>
      </w:r>
      <w:r w:rsidR="009D3BA1" w:rsidRPr="007F28C1">
        <w:rPr>
          <w:color w:val="auto"/>
        </w:rPr>
        <w:t>.</w:t>
      </w:r>
      <w:r w:rsidRPr="007F28C1">
        <w:rPr>
          <w:color w:val="auto"/>
        </w:rPr>
        <w:t>g</w:t>
      </w:r>
      <w:r w:rsidR="009D3BA1" w:rsidRPr="007F28C1">
        <w:rPr>
          <w:color w:val="auto"/>
        </w:rPr>
        <w:t>.</w:t>
      </w:r>
      <w:r w:rsidRPr="007F28C1">
        <w:rPr>
          <w:color w:val="auto"/>
        </w:rPr>
        <w:t>g</w:t>
      </w:r>
      <w:r w:rsidR="009D3BA1" w:rsidRPr="007F28C1">
        <w:rPr>
          <w:color w:val="auto"/>
        </w:rPr>
        <w:t>.</w:t>
      </w:r>
      <w:r w:rsidRPr="007F28C1">
        <w:rPr>
          <w:color w:val="auto"/>
        </w:rPr>
        <w:t xml:space="preserve"> orzekanie następuje na zasadach i w trybie określony</w:t>
      </w:r>
      <w:r w:rsidR="00D224DC">
        <w:rPr>
          <w:color w:val="auto"/>
        </w:rPr>
        <w:t>ch</w:t>
      </w:r>
      <w:r w:rsidRPr="007F28C1">
        <w:rPr>
          <w:color w:val="auto"/>
        </w:rPr>
        <w:t xml:space="preserve"> w </w:t>
      </w:r>
      <w:r w:rsidR="009D3BA1" w:rsidRPr="007F28C1">
        <w:rPr>
          <w:color w:val="auto"/>
        </w:rPr>
        <w:t>K.p.</w:t>
      </w:r>
      <w:r w:rsidR="00D13E0A" w:rsidRPr="007F28C1">
        <w:rPr>
          <w:color w:val="auto"/>
        </w:rPr>
        <w:t>s.</w:t>
      </w:r>
      <w:r w:rsidR="009D3BA1" w:rsidRPr="007F28C1">
        <w:rPr>
          <w:color w:val="auto"/>
        </w:rPr>
        <w:t>w.</w:t>
      </w:r>
    </w:p>
    <w:p w14:paraId="7576A7B6" w14:textId="13035905" w:rsidR="004D013F" w:rsidRPr="007F28C1" w:rsidRDefault="004D013F" w:rsidP="007F28C1">
      <w:pPr>
        <w:pStyle w:val="Bodytext20"/>
        <w:shd w:val="clear" w:color="auto" w:fill="auto"/>
        <w:spacing w:before="120" w:after="0" w:line="360" w:lineRule="auto"/>
        <w:ind w:firstLine="0"/>
        <w:jc w:val="both"/>
        <w:rPr>
          <w:color w:val="auto"/>
        </w:rPr>
      </w:pPr>
      <w:r w:rsidRPr="007F28C1">
        <w:rPr>
          <w:color w:val="auto"/>
        </w:rPr>
        <w:t>Wykroczenia określone w art. 177–188 P</w:t>
      </w:r>
      <w:r w:rsidR="009D3BA1" w:rsidRPr="007F28C1">
        <w:rPr>
          <w:color w:val="auto"/>
        </w:rPr>
        <w:t>.</w:t>
      </w:r>
      <w:r w:rsidRPr="007F28C1">
        <w:rPr>
          <w:color w:val="auto"/>
        </w:rPr>
        <w:t>g</w:t>
      </w:r>
      <w:r w:rsidR="009D3BA1" w:rsidRPr="007F28C1">
        <w:rPr>
          <w:color w:val="auto"/>
        </w:rPr>
        <w:t>.</w:t>
      </w:r>
      <w:r w:rsidRPr="007F28C1">
        <w:rPr>
          <w:color w:val="auto"/>
        </w:rPr>
        <w:t>g</w:t>
      </w:r>
      <w:r w:rsidR="009D3BA1" w:rsidRPr="007F28C1">
        <w:rPr>
          <w:color w:val="auto"/>
        </w:rPr>
        <w:t>.</w:t>
      </w:r>
      <w:r w:rsidRPr="007F28C1">
        <w:rPr>
          <w:color w:val="auto"/>
        </w:rPr>
        <w:t xml:space="preserve"> są ścigane z oskarżenia publicznego z urzędu, a sądem właściwym do rozpoznawania sprawy jest sąd rejonowy. Zgodnie z art. 17 </w:t>
      </w:r>
      <w:r w:rsidR="00FE273D" w:rsidRPr="007F28C1">
        <w:rPr>
          <w:color w:val="auto"/>
        </w:rPr>
        <w:t>§ 1</w:t>
      </w:r>
      <w:r w:rsidRPr="007F28C1">
        <w:rPr>
          <w:color w:val="auto"/>
        </w:rPr>
        <w:t xml:space="preserve"> K</w:t>
      </w:r>
      <w:r w:rsidR="009D3BA1" w:rsidRPr="007F28C1">
        <w:rPr>
          <w:color w:val="auto"/>
        </w:rPr>
        <w:t>.</w:t>
      </w:r>
      <w:r w:rsidRPr="007F28C1">
        <w:rPr>
          <w:color w:val="auto"/>
        </w:rPr>
        <w:t>p</w:t>
      </w:r>
      <w:r w:rsidR="009D3BA1" w:rsidRPr="007F28C1">
        <w:rPr>
          <w:color w:val="auto"/>
        </w:rPr>
        <w:t>.s.</w:t>
      </w:r>
      <w:r w:rsidRPr="007F28C1">
        <w:rPr>
          <w:color w:val="auto"/>
        </w:rPr>
        <w:t>w</w:t>
      </w:r>
      <w:r w:rsidR="009D3BA1" w:rsidRPr="007F28C1">
        <w:rPr>
          <w:color w:val="auto"/>
        </w:rPr>
        <w:t>.</w:t>
      </w:r>
      <w:r w:rsidRPr="007F28C1">
        <w:rPr>
          <w:color w:val="auto"/>
        </w:rPr>
        <w:t xml:space="preserve"> oskarżycielem publicznym we wszystkich sprawach o wykroczenia jest Policja, chyba że ustawa stanowi inaczej. Organy nadzoru górniczego występują z wnioskami o ukaranie na podstawie art. 17 </w:t>
      </w:r>
      <w:r w:rsidR="00FE273D" w:rsidRPr="007F28C1">
        <w:rPr>
          <w:color w:val="auto"/>
        </w:rPr>
        <w:t xml:space="preserve">§ 3 </w:t>
      </w:r>
      <w:r w:rsidR="009D3BA1" w:rsidRPr="007F28C1">
        <w:rPr>
          <w:color w:val="auto"/>
        </w:rPr>
        <w:t>K.p.s.w</w:t>
      </w:r>
      <w:r w:rsidRPr="007F28C1">
        <w:rPr>
          <w:color w:val="auto"/>
        </w:rPr>
        <w:t xml:space="preserve"> stanowiącego, że „organom administracji rządowej i samorządowej, organom kontroli państwowej i</w:t>
      </w:r>
      <w:r w:rsidR="0025547B" w:rsidRPr="007F28C1">
        <w:rPr>
          <w:color w:val="auto"/>
        </w:rPr>
        <w:t> </w:t>
      </w:r>
      <w:r w:rsidRPr="007F28C1">
        <w:rPr>
          <w:color w:val="auto"/>
        </w:rPr>
        <w:t>kontroli samorządu terytorialnego oraz strażom gminnym (miejskim) uprawnienia oskarżyciela publicznego przysługują tylko wówczas, gdy w zakresie swego działania</w:t>
      </w:r>
      <w:r w:rsidR="006B5245" w:rsidRPr="007F28C1">
        <w:rPr>
          <w:color w:val="auto"/>
        </w:rPr>
        <w:t>,</w:t>
      </w:r>
      <w:r w:rsidRPr="007F28C1">
        <w:rPr>
          <w:color w:val="auto"/>
        </w:rPr>
        <w:t xml:space="preserve"> w tym w trakcie prowadzonych czynności wyjaśniających ujawniły wykroczenia i wystąpiły z wnioskiem o ukaranie.”. Jednakże zdarzają się przypadki, </w:t>
      </w:r>
      <w:r w:rsidR="00597F04">
        <w:rPr>
          <w:color w:val="auto"/>
        </w:rPr>
        <w:t>że</w:t>
      </w:r>
      <w:r w:rsidRPr="007F28C1">
        <w:rPr>
          <w:color w:val="auto"/>
        </w:rPr>
        <w:t xml:space="preserve"> sądy rejonowe kwestionują uprawnienie organów nadzoru górniczego do występowania z </w:t>
      </w:r>
      <w:r w:rsidRPr="007F28C1">
        <w:rPr>
          <w:color w:val="auto"/>
        </w:rPr>
        <w:lastRenderedPageBreak/>
        <w:t>wnioskami o ukaranie, ponieważ przepisy P</w:t>
      </w:r>
      <w:r w:rsidR="009D3BA1" w:rsidRPr="007F28C1">
        <w:rPr>
          <w:color w:val="auto"/>
        </w:rPr>
        <w:t>.</w:t>
      </w:r>
      <w:r w:rsidRPr="007F28C1">
        <w:rPr>
          <w:color w:val="auto"/>
        </w:rPr>
        <w:t>g</w:t>
      </w:r>
      <w:r w:rsidR="009D3BA1" w:rsidRPr="007F28C1">
        <w:rPr>
          <w:color w:val="auto"/>
        </w:rPr>
        <w:t>.</w:t>
      </w:r>
      <w:r w:rsidRPr="007F28C1">
        <w:rPr>
          <w:color w:val="auto"/>
        </w:rPr>
        <w:t>g</w:t>
      </w:r>
      <w:r w:rsidR="009D3BA1" w:rsidRPr="007F28C1">
        <w:rPr>
          <w:color w:val="auto"/>
        </w:rPr>
        <w:t>.</w:t>
      </w:r>
      <w:r w:rsidRPr="007F28C1">
        <w:rPr>
          <w:color w:val="auto"/>
        </w:rPr>
        <w:t xml:space="preserve"> nie formułują odrębnych uprawnień dla tych organów jako oskarżycieli publicznych.</w:t>
      </w:r>
    </w:p>
    <w:p w14:paraId="504A77F5" w14:textId="3E9E5A89" w:rsidR="004D013F" w:rsidRPr="007F28C1" w:rsidRDefault="004D013F" w:rsidP="007F28C1">
      <w:pPr>
        <w:pStyle w:val="Bodytext20"/>
        <w:shd w:val="clear" w:color="auto" w:fill="auto"/>
        <w:spacing w:before="120" w:after="0" w:line="360" w:lineRule="auto"/>
        <w:ind w:firstLine="0"/>
        <w:jc w:val="both"/>
        <w:rPr>
          <w:color w:val="auto"/>
        </w:rPr>
      </w:pPr>
      <w:r w:rsidRPr="007F28C1">
        <w:rPr>
          <w:color w:val="auto"/>
        </w:rPr>
        <w:t>W związku z powyższym</w:t>
      </w:r>
      <w:r w:rsidR="00D13E0A" w:rsidRPr="007F28C1">
        <w:rPr>
          <w:color w:val="auto"/>
        </w:rPr>
        <w:t xml:space="preserve"> </w:t>
      </w:r>
      <w:r w:rsidR="009D3BA1" w:rsidRPr="007F28C1">
        <w:rPr>
          <w:color w:val="auto"/>
        </w:rPr>
        <w:t>dodano przepis</w:t>
      </w:r>
      <w:r w:rsidR="009D3BA1" w:rsidRPr="007F28C1">
        <w:rPr>
          <w:bCs/>
          <w:color w:val="auto"/>
        </w:rPr>
        <w:t xml:space="preserve"> </w:t>
      </w:r>
      <w:r w:rsidRPr="007F28C1">
        <w:rPr>
          <w:color w:val="auto"/>
        </w:rPr>
        <w:t>art. 189a</w:t>
      </w:r>
      <w:r w:rsidR="005B7604" w:rsidRPr="007F28C1">
        <w:t xml:space="preserve"> </w:t>
      </w:r>
      <w:r w:rsidRPr="007F28C1">
        <w:rPr>
          <w:color w:val="auto"/>
        </w:rPr>
        <w:t>P</w:t>
      </w:r>
      <w:r w:rsidR="009D3BA1" w:rsidRPr="007F28C1">
        <w:rPr>
          <w:color w:val="auto"/>
        </w:rPr>
        <w:t>.</w:t>
      </w:r>
      <w:r w:rsidRPr="007F28C1">
        <w:rPr>
          <w:color w:val="auto"/>
        </w:rPr>
        <w:t>g</w:t>
      </w:r>
      <w:r w:rsidR="009D3BA1" w:rsidRPr="007F28C1">
        <w:rPr>
          <w:color w:val="auto"/>
        </w:rPr>
        <w:t>.</w:t>
      </w:r>
      <w:r w:rsidRPr="007F28C1">
        <w:rPr>
          <w:color w:val="auto"/>
        </w:rPr>
        <w:t>g</w:t>
      </w:r>
      <w:r w:rsidR="009D3BA1" w:rsidRPr="007F28C1">
        <w:rPr>
          <w:color w:val="auto"/>
        </w:rPr>
        <w:t>.</w:t>
      </w:r>
      <w:r w:rsidRPr="007F28C1">
        <w:rPr>
          <w:color w:val="auto"/>
        </w:rPr>
        <w:t xml:space="preserve"> przewidujący wprost, że w sprawach o</w:t>
      </w:r>
      <w:r w:rsidR="0025547B" w:rsidRPr="007F28C1">
        <w:rPr>
          <w:color w:val="auto"/>
        </w:rPr>
        <w:t> </w:t>
      </w:r>
      <w:r w:rsidRPr="007F28C1">
        <w:rPr>
          <w:color w:val="auto"/>
        </w:rPr>
        <w:t xml:space="preserve">wykroczenia, o których mowa w dziale XI, organom nadzoru górniczego przysługują uprawnienia oskarżyciela publicznego. Ponadto, ze względu na posiadaną wiedzę specjalistyczną, </w:t>
      </w:r>
      <w:r w:rsidR="006B5245" w:rsidRPr="007F28C1">
        <w:rPr>
          <w:color w:val="auto"/>
        </w:rPr>
        <w:t xml:space="preserve">jest </w:t>
      </w:r>
      <w:r w:rsidRPr="007F28C1">
        <w:rPr>
          <w:color w:val="auto"/>
        </w:rPr>
        <w:t>celow</w:t>
      </w:r>
      <w:r w:rsidR="006B5245" w:rsidRPr="007F28C1">
        <w:rPr>
          <w:color w:val="auto"/>
        </w:rPr>
        <w:t>e</w:t>
      </w:r>
      <w:r w:rsidRPr="007F28C1">
        <w:rPr>
          <w:color w:val="auto"/>
        </w:rPr>
        <w:t xml:space="preserve"> nadanie organom nadzoru górniczego uprawnień oskarżyciela publicznego w sprawach o wykroczenia, o których mowa w dziale XI P</w:t>
      </w:r>
      <w:r w:rsidR="003A7D28" w:rsidRPr="007F28C1">
        <w:rPr>
          <w:color w:val="auto"/>
        </w:rPr>
        <w:t>.</w:t>
      </w:r>
      <w:r w:rsidRPr="007F28C1">
        <w:rPr>
          <w:color w:val="auto"/>
        </w:rPr>
        <w:t>g</w:t>
      </w:r>
      <w:r w:rsidR="003A7D28" w:rsidRPr="007F28C1">
        <w:rPr>
          <w:color w:val="auto"/>
        </w:rPr>
        <w:t>.</w:t>
      </w:r>
      <w:r w:rsidRPr="007F28C1">
        <w:rPr>
          <w:color w:val="auto"/>
        </w:rPr>
        <w:t>g</w:t>
      </w:r>
      <w:r w:rsidR="003A7D28" w:rsidRPr="007F28C1">
        <w:rPr>
          <w:color w:val="auto"/>
        </w:rPr>
        <w:t>.</w:t>
      </w:r>
      <w:r w:rsidRPr="007F28C1">
        <w:rPr>
          <w:color w:val="auto"/>
        </w:rPr>
        <w:t>, także wtedy, gdy wniosek o ukaranie za wykroczenie złożył inny uprawniony oskarżyciel. W wyniku powyższych zmian organy nadzoru górniczego uzyskają ustawowe uprawnienie do występowania w charakterze oskarżyciela publicznego, wyrażone wprost w</w:t>
      </w:r>
      <w:r w:rsidR="005B7604" w:rsidRPr="007F28C1">
        <w:rPr>
          <w:color w:val="auto"/>
        </w:rPr>
        <w:t xml:space="preserve"> </w:t>
      </w:r>
      <w:r w:rsidRPr="007F28C1">
        <w:rPr>
          <w:color w:val="auto"/>
        </w:rPr>
        <w:t>P</w:t>
      </w:r>
      <w:r w:rsidR="009D3BA1" w:rsidRPr="007F28C1">
        <w:rPr>
          <w:color w:val="auto"/>
        </w:rPr>
        <w:t>.</w:t>
      </w:r>
      <w:r w:rsidRPr="007F28C1">
        <w:rPr>
          <w:color w:val="auto"/>
        </w:rPr>
        <w:t>g</w:t>
      </w:r>
      <w:r w:rsidR="009D3BA1" w:rsidRPr="007F28C1">
        <w:rPr>
          <w:color w:val="auto"/>
        </w:rPr>
        <w:t>.</w:t>
      </w:r>
      <w:r w:rsidRPr="007F28C1">
        <w:rPr>
          <w:color w:val="auto"/>
        </w:rPr>
        <w:t>g.</w:t>
      </w:r>
    </w:p>
    <w:p w14:paraId="631BA359" w14:textId="13A8D0D1" w:rsidR="004307ED" w:rsidRPr="007F28C1" w:rsidRDefault="004307ED" w:rsidP="007F28C1">
      <w:pPr>
        <w:numPr>
          <w:ilvl w:val="0"/>
          <w:numId w:val="8"/>
        </w:numPr>
        <w:spacing w:before="240" w:after="0" w:line="360" w:lineRule="auto"/>
        <w:ind w:left="397" w:hanging="397"/>
        <w:jc w:val="both"/>
        <w:rPr>
          <w:rFonts w:ascii="Times New Roman" w:hAnsi="Times New Roman" w:cs="Times New Roman"/>
          <w:b/>
          <w:bCs/>
          <w:sz w:val="24"/>
          <w:szCs w:val="24"/>
        </w:rPr>
      </w:pPr>
      <w:r w:rsidRPr="007F28C1">
        <w:rPr>
          <w:rFonts w:ascii="Times New Roman" w:hAnsi="Times New Roman" w:cs="Times New Roman"/>
          <w:b/>
          <w:bCs/>
          <w:sz w:val="24"/>
          <w:szCs w:val="24"/>
        </w:rPr>
        <w:t>Przepisy karne</w:t>
      </w:r>
    </w:p>
    <w:p w14:paraId="60AAA861" w14:textId="31D14591" w:rsidR="00811440" w:rsidRPr="007F28C1" w:rsidRDefault="0081144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eastAsia="Times New Roman" w:hAnsi="Times New Roman" w:cs="Times New Roman"/>
          <w:sz w:val="24"/>
          <w:szCs w:val="24"/>
          <w:lang w:eastAsia="pl-PL"/>
        </w:rPr>
        <w:t>Ustawą z dnia 5 sierpnia 2015 r. o zmianie ustaw regulujących warunki dostępu do wykonywania niektórych zawodów w art. 6 ust. 1 pkt 17a P</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wprowadzono </w:t>
      </w:r>
      <w:r w:rsidRPr="007F28C1">
        <w:rPr>
          <w:rFonts w:ascii="Times New Roman" w:hAnsi="Times New Roman" w:cs="Times New Roman"/>
          <w:sz w:val="24"/>
          <w:szCs w:val="24"/>
        </w:rPr>
        <w:t>do P</w:t>
      </w:r>
      <w:r w:rsidR="009D3BA1" w:rsidRPr="007F28C1">
        <w:rPr>
          <w:rFonts w:ascii="Times New Roman" w:hAnsi="Times New Roman" w:cs="Times New Roman"/>
          <w:sz w:val="24"/>
          <w:szCs w:val="24"/>
        </w:rPr>
        <w:t>.</w:t>
      </w:r>
      <w:r w:rsidRPr="007F28C1">
        <w:rPr>
          <w:rFonts w:ascii="Times New Roman" w:hAnsi="Times New Roman" w:cs="Times New Roman"/>
          <w:sz w:val="24"/>
          <w:szCs w:val="24"/>
        </w:rPr>
        <w:t>g</w:t>
      </w:r>
      <w:r w:rsidR="009D3BA1" w:rsidRPr="007F28C1">
        <w:rPr>
          <w:rFonts w:ascii="Times New Roman" w:hAnsi="Times New Roman" w:cs="Times New Roman"/>
          <w:sz w:val="24"/>
          <w:szCs w:val="24"/>
        </w:rPr>
        <w:t>.</w:t>
      </w:r>
      <w:r w:rsidRPr="007F28C1">
        <w:rPr>
          <w:rFonts w:ascii="Times New Roman" w:hAnsi="Times New Roman" w:cs="Times New Roman"/>
          <w:sz w:val="24"/>
          <w:szCs w:val="24"/>
        </w:rPr>
        <w:t>g</w:t>
      </w:r>
      <w:r w:rsidR="009D3BA1" w:rsidRPr="007F28C1">
        <w:rPr>
          <w:rFonts w:ascii="Times New Roman" w:hAnsi="Times New Roman" w:cs="Times New Roman"/>
          <w:sz w:val="24"/>
          <w:szCs w:val="24"/>
        </w:rPr>
        <w:t>.</w:t>
      </w:r>
      <w:r w:rsidRPr="007F28C1">
        <w:rPr>
          <w:rFonts w:ascii="Times New Roman" w:hAnsi="Times New Roman" w:cs="Times New Roman"/>
          <w:sz w:val="24"/>
          <w:szCs w:val="24"/>
        </w:rPr>
        <w:t>, obok dotychczasowej definicji zakładu górniczego</w:t>
      </w:r>
      <w:r w:rsidR="006B5245" w:rsidRPr="007F28C1">
        <w:rPr>
          <w:rFonts w:ascii="Times New Roman" w:hAnsi="Times New Roman" w:cs="Times New Roman"/>
          <w:sz w:val="24"/>
          <w:szCs w:val="24"/>
        </w:rPr>
        <w:t>,</w:t>
      </w:r>
      <w:r w:rsidRPr="007F28C1">
        <w:rPr>
          <w:rFonts w:ascii="Times New Roman" w:eastAsia="Times New Roman" w:hAnsi="Times New Roman" w:cs="Times New Roman"/>
          <w:sz w:val="24"/>
          <w:szCs w:val="24"/>
          <w:lang w:eastAsia="pl-PL"/>
        </w:rPr>
        <w:t xml:space="preserve"> definicję zakładu, będącego wyodrębnionym technicznie i organizacyjnie zespołem środków służących bezpośrednio do wykonywania działalności określonej w</w:t>
      </w:r>
      <w:r w:rsidR="0025547B" w:rsidRPr="007F28C1">
        <w:rPr>
          <w:rFonts w:ascii="Times New Roman" w:eastAsia="Times New Roman" w:hAnsi="Times New Roman" w:cs="Times New Roman"/>
          <w:sz w:val="24"/>
          <w:szCs w:val="24"/>
          <w:lang w:eastAsia="pl-PL"/>
        </w:rPr>
        <w:t> </w:t>
      </w:r>
      <w:r w:rsidRPr="007F28C1">
        <w:rPr>
          <w:rFonts w:ascii="Times New Roman" w:eastAsia="Times New Roman" w:hAnsi="Times New Roman" w:cs="Times New Roman"/>
          <w:sz w:val="24"/>
          <w:szCs w:val="24"/>
          <w:lang w:eastAsia="pl-PL"/>
        </w:rPr>
        <w:t>art. 2 ust. 1 P</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xml:space="preserve"> albo art. 86 P</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g</w:t>
      </w:r>
      <w:r w:rsidR="009D3BA1" w:rsidRPr="007F28C1">
        <w:rPr>
          <w:rFonts w:ascii="Times New Roman" w:eastAsia="Times New Roman" w:hAnsi="Times New Roman" w:cs="Times New Roman"/>
          <w:sz w:val="24"/>
          <w:szCs w:val="24"/>
          <w:lang w:eastAsia="pl-PL"/>
        </w:rPr>
        <w:t>.</w:t>
      </w:r>
      <w:r w:rsidRPr="007F28C1">
        <w:rPr>
          <w:rFonts w:ascii="Times New Roman" w:eastAsia="Times New Roman" w:hAnsi="Times New Roman" w:cs="Times New Roman"/>
          <w:sz w:val="24"/>
          <w:szCs w:val="24"/>
          <w:lang w:eastAsia="pl-PL"/>
        </w:rPr>
        <w:t>, w tym wyrobiska górnicze, obiekty budowlane, urządzenia oraz instalacje.</w:t>
      </w:r>
    </w:p>
    <w:p w14:paraId="4172DC59" w14:textId="0BDB4E72" w:rsidR="00981E6A" w:rsidRPr="007F28C1" w:rsidRDefault="00811440" w:rsidP="007F28C1">
      <w:pPr>
        <w:spacing w:before="120" w:after="0" w:line="360" w:lineRule="auto"/>
        <w:jc w:val="both"/>
        <w:rPr>
          <w:rFonts w:ascii="Times New Roman" w:eastAsia="Times New Roman" w:hAnsi="Times New Roman" w:cs="Times New Roman"/>
          <w:sz w:val="24"/>
          <w:szCs w:val="24"/>
          <w:lang w:eastAsia="pl-PL"/>
        </w:rPr>
      </w:pPr>
      <w:r w:rsidRPr="007F28C1">
        <w:rPr>
          <w:rFonts w:ascii="Times New Roman" w:hAnsi="Times New Roman" w:cs="Times New Roman"/>
          <w:sz w:val="24"/>
          <w:szCs w:val="24"/>
        </w:rPr>
        <w:t xml:space="preserve">Konsekwencją tej zmiany powinna być również zmiana przepisów </w:t>
      </w:r>
      <w:r w:rsidR="006B5245" w:rsidRPr="007F28C1">
        <w:rPr>
          <w:rFonts w:ascii="Times New Roman" w:hAnsi="Times New Roman" w:cs="Times New Roman"/>
          <w:sz w:val="24"/>
          <w:szCs w:val="24"/>
        </w:rPr>
        <w:t>d</w:t>
      </w:r>
      <w:r w:rsidRPr="007F28C1">
        <w:rPr>
          <w:rFonts w:ascii="Times New Roman" w:hAnsi="Times New Roman" w:cs="Times New Roman"/>
          <w:sz w:val="24"/>
          <w:szCs w:val="24"/>
        </w:rPr>
        <w:t>ziału XI P</w:t>
      </w:r>
      <w:r w:rsidR="000D4BF2" w:rsidRPr="007F28C1">
        <w:rPr>
          <w:rFonts w:ascii="Times New Roman" w:hAnsi="Times New Roman" w:cs="Times New Roman"/>
          <w:sz w:val="24"/>
          <w:szCs w:val="24"/>
        </w:rPr>
        <w:t>.</w:t>
      </w:r>
      <w:r w:rsidRPr="007F28C1">
        <w:rPr>
          <w:rFonts w:ascii="Times New Roman" w:hAnsi="Times New Roman" w:cs="Times New Roman"/>
          <w:sz w:val="24"/>
          <w:szCs w:val="24"/>
        </w:rPr>
        <w:t>g</w:t>
      </w:r>
      <w:r w:rsidR="000D4BF2" w:rsidRPr="007F28C1">
        <w:rPr>
          <w:rFonts w:ascii="Times New Roman" w:hAnsi="Times New Roman" w:cs="Times New Roman"/>
          <w:sz w:val="24"/>
          <w:szCs w:val="24"/>
        </w:rPr>
        <w:t>.</w:t>
      </w:r>
      <w:r w:rsidRPr="007F28C1">
        <w:rPr>
          <w:rFonts w:ascii="Times New Roman" w:hAnsi="Times New Roman" w:cs="Times New Roman"/>
          <w:sz w:val="24"/>
          <w:szCs w:val="24"/>
        </w:rPr>
        <w:t>g</w:t>
      </w:r>
      <w:r w:rsidR="000D4BF2" w:rsidRPr="007F28C1">
        <w:rPr>
          <w:rFonts w:ascii="Times New Roman" w:hAnsi="Times New Roman" w:cs="Times New Roman"/>
          <w:sz w:val="24"/>
          <w:szCs w:val="24"/>
        </w:rPr>
        <w:t>.</w:t>
      </w:r>
      <w:r w:rsidRPr="007F28C1">
        <w:rPr>
          <w:rFonts w:ascii="Times New Roman" w:hAnsi="Times New Roman" w:cs="Times New Roman"/>
          <w:sz w:val="24"/>
          <w:szCs w:val="24"/>
        </w:rPr>
        <w:t xml:space="preserve"> obejmującego przepisy karne. P</w:t>
      </w:r>
      <w:r w:rsidR="000D4BF2" w:rsidRPr="007F28C1">
        <w:rPr>
          <w:rFonts w:ascii="Times New Roman" w:hAnsi="Times New Roman" w:cs="Times New Roman"/>
          <w:sz w:val="24"/>
          <w:szCs w:val="24"/>
        </w:rPr>
        <w:t>.</w:t>
      </w:r>
      <w:r w:rsidRPr="007F28C1">
        <w:rPr>
          <w:rFonts w:ascii="Times New Roman" w:hAnsi="Times New Roman" w:cs="Times New Roman"/>
          <w:sz w:val="24"/>
          <w:szCs w:val="24"/>
        </w:rPr>
        <w:t>g</w:t>
      </w:r>
      <w:r w:rsidR="000D4BF2" w:rsidRPr="007F28C1">
        <w:rPr>
          <w:rFonts w:ascii="Times New Roman" w:hAnsi="Times New Roman" w:cs="Times New Roman"/>
          <w:sz w:val="24"/>
          <w:szCs w:val="24"/>
        </w:rPr>
        <w:t>.</w:t>
      </w:r>
      <w:r w:rsidRPr="007F28C1">
        <w:rPr>
          <w:rFonts w:ascii="Times New Roman" w:hAnsi="Times New Roman" w:cs="Times New Roman"/>
          <w:sz w:val="24"/>
          <w:szCs w:val="24"/>
        </w:rPr>
        <w:t>g</w:t>
      </w:r>
      <w:r w:rsidR="000D4BF2" w:rsidRPr="007F28C1">
        <w:rPr>
          <w:rFonts w:ascii="Times New Roman" w:hAnsi="Times New Roman" w:cs="Times New Roman"/>
          <w:sz w:val="24"/>
          <w:szCs w:val="24"/>
        </w:rPr>
        <w:t>.</w:t>
      </w:r>
      <w:r w:rsidRPr="007F28C1">
        <w:rPr>
          <w:rFonts w:ascii="Times New Roman" w:hAnsi="Times New Roman" w:cs="Times New Roman"/>
          <w:sz w:val="24"/>
          <w:szCs w:val="24"/>
        </w:rPr>
        <w:t xml:space="preserve"> co do zasady nakłada takie same obowiązki na przedsiębiorcę wykonującego działalność wydobywczą w ramach zakładu górniczego oraz na przedsiębiorcę wykonującego </w:t>
      </w:r>
      <w:r w:rsidR="006B5245" w:rsidRPr="007F28C1">
        <w:rPr>
          <w:rFonts w:ascii="Times New Roman" w:hAnsi="Times New Roman" w:cs="Times New Roman"/>
          <w:sz w:val="24"/>
          <w:szCs w:val="24"/>
        </w:rPr>
        <w:t xml:space="preserve">w </w:t>
      </w:r>
      <w:r w:rsidRPr="007F28C1">
        <w:rPr>
          <w:rFonts w:ascii="Times New Roman" w:hAnsi="Times New Roman" w:cs="Times New Roman"/>
          <w:sz w:val="24"/>
          <w:szCs w:val="24"/>
        </w:rPr>
        <w:t>ramach zakładu działalność, o której mowa w art. 86 P</w:t>
      </w:r>
      <w:r w:rsidR="00D13E0A" w:rsidRPr="007F28C1">
        <w:rPr>
          <w:rFonts w:ascii="Times New Roman" w:hAnsi="Times New Roman" w:cs="Times New Roman"/>
          <w:sz w:val="24"/>
          <w:szCs w:val="24"/>
        </w:rPr>
        <w:t>.</w:t>
      </w:r>
      <w:r w:rsidRPr="007F28C1">
        <w:rPr>
          <w:rFonts w:ascii="Times New Roman" w:hAnsi="Times New Roman" w:cs="Times New Roman"/>
          <w:sz w:val="24"/>
          <w:szCs w:val="24"/>
        </w:rPr>
        <w:t>g</w:t>
      </w:r>
      <w:r w:rsidR="00D13E0A" w:rsidRPr="007F28C1">
        <w:rPr>
          <w:rFonts w:ascii="Times New Roman" w:hAnsi="Times New Roman" w:cs="Times New Roman"/>
          <w:sz w:val="24"/>
          <w:szCs w:val="24"/>
        </w:rPr>
        <w:t>.</w:t>
      </w:r>
      <w:r w:rsidRPr="007F28C1">
        <w:rPr>
          <w:rFonts w:ascii="Times New Roman" w:hAnsi="Times New Roman" w:cs="Times New Roman"/>
          <w:sz w:val="24"/>
          <w:szCs w:val="24"/>
        </w:rPr>
        <w:t>g</w:t>
      </w:r>
      <w:r w:rsidR="00D13E0A" w:rsidRPr="007F28C1">
        <w:rPr>
          <w:rFonts w:ascii="Times New Roman" w:hAnsi="Times New Roman" w:cs="Times New Roman"/>
          <w:sz w:val="24"/>
          <w:szCs w:val="24"/>
        </w:rPr>
        <w:t>.</w:t>
      </w:r>
      <w:r w:rsidRPr="007F28C1">
        <w:rPr>
          <w:rFonts w:ascii="Times New Roman" w:hAnsi="Times New Roman" w:cs="Times New Roman"/>
          <w:sz w:val="24"/>
          <w:szCs w:val="24"/>
        </w:rPr>
        <w:t>, to jest roboty geologiczne służące poszukiwaniu i</w:t>
      </w:r>
      <w:r w:rsidR="0025547B" w:rsidRPr="007F28C1">
        <w:rPr>
          <w:rFonts w:ascii="Times New Roman" w:hAnsi="Times New Roman" w:cs="Times New Roman"/>
          <w:sz w:val="24"/>
          <w:szCs w:val="24"/>
        </w:rPr>
        <w:t> </w:t>
      </w:r>
      <w:r w:rsidRPr="007F28C1">
        <w:rPr>
          <w:rFonts w:ascii="Times New Roman" w:hAnsi="Times New Roman" w:cs="Times New Roman"/>
          <w:sz w:val="24"/>
          <w:szCs w:val="24"/>
        </w:rPr>
        <w:t>rozpoznawaniu złóż kopalin oraz poszukiwaniu i rozpoznawaniu kompleksu podziemnego składowania dwutlenku węgla, a także roboty geologiczne służące innym celom wykonywane z użyciem środków strzałowych albo wykonywane na głębokości większej niż 100 m</w:t>
      </w:r>
      <w:r w:rsidR="006B5245" w:rsidRPr="007F28C1">
        <w:rPr>
          <w:rFonts w:ascii="Times New Roman" w:hAnsi="Times New Roman" w:cs="Times New Roman"/>
          <w:sz w:val="24"/>
          <w:szCs w:val="24"/>
        </w:rPr>
        <w:t>,</w:t>
      </w:r>
      <w:r w:rsidRPr="007F28C1">
        <w:rPr>
          <w:rFonts w:ascii="Times New Roman" w:hAnsi="Times New Roman" w:cs="Times New Roman"/>
          <w:sz w:val="24"/>
          <w:szCs w:val="24"/>
        </w:rPr>
        <w:t xml:space="preserve"> albo wykonywane na</w:t>
      </w:r>
      <w:r w:rsidR="0025547B" w:rsidRPr="007F28C1">
        <w:rPr>
          <w:rFonts w:ascii="Times New Roman" w:hAnsi="Times New Roman" w:cs="Times New Roman"/>
          <w:sz w:val="24"/>
          <w:szCs w:val="24"/>
        </w:rPr>
        <w:t> </w:t>
      </w:r>
      <w:r w:rsidRPr="007F28C1">
        <w:rPr>
          <w:rFonts w:ascii="Times New Roman" w:hAnsi="Times New Roman" w:cs="Times New Roman"/>
          <w:sz w:val="24"/>
          <w:szCs w:val="24"/>
        </w:rPr>
        <w:t>obszarze górniczym utworzonym w celu wykonywania działalności metodą robót podziemnych albo metodą otworów wiertniczych. Z takim samym zakresem obowiązków powinien być skorelowany taki sam zakres odpowiedzialności za niewykonanie tych obowiązków. Art. 86 P</w:t>
      </w:r>
      <w:r w:rsidR="00D13E0A" w:rsidRPr="007F28C1">
        <w:rPr>
          <w:rFonts w:ascii="Times New Roman" w:hAnsi="Times New Roman" w:cs="Times New Roman"/>
          <w:sz w:val="24"/>
          <w:szCs w:val="24"/>
        </w:rPr>
        <w:t>.</w:t>
      </w:r>
      <w:r w:rsidRPr="007F28C1">
        <w:rPr>
          <w:rFonts w:ascii="Times New Roman" w:hAnsi="Times New Roman" w:cs="Times New Roman"/>
          <w:sz w:val="24"/>
          <w:szCs w:val="24"/>
        </w:rPr>
        <w:t>g</w:t>
      </w:r>
      <w:r w:rsidR="00D13E0A" w:rsidRPr="007F28C1">
        <w:rPr>
          <w:rFonts w:ascii="Times New Roman" w:hAnsi="Times New Roman" w:cs="Times New Roman"/>
          <w:sz w:val="24"/>
          <w:szCs w:val="24"/>
        </w:rPr>
        <w:t>.</w:t>
      </w:r>
      <w:r w:rsidRPr="007F28C1">
        <w:rPr>
          <w:rFonts w:ascii="Times New Roman" w:hAnsi="Times New Roman" w:cs="Times New Roman"/>
          <w:sz w:val="24"/>
          <w:szCs w:val="24"/>
        </w:rPr>
        <w:t>g</w:t>
      </w:r>
      <w:r w:rsidR="00D13E0A" w:rsidRPr="007F28C1">
        <w:rPr>
          <w:rFonts w:ascii="Times New Roman" w:hAnsi="Times New Roman" w:cs="Times New Roman"/>
          <w:sz w:val="24"/>
          <w:szCs w:val="24"/>
        </w:rPr>
        <w:t>.</w:t>
      </w:r>
      <w:r w:rsidRPr="007F28C1">
        <w:rPr>
          <w:rFonts w:ascii="Times New Roman" w:hAnsi="Times New Roman" w:cs="Times New Roman"/>
          <w:sz w:val="24"/>
          <w:szCs w:val="24"/>
        </w:rPr>
        <w:t xml:space="preserve"> przewiduje odpowiednie stosowanie do działalności w nim określonej przepisów </w:t>
      </w:r>
      <w:r w:rsidR="00F274D5" w:rsidRPr="007F28C1">
        <w:rPr>
          <w:rFonts w:ascii="Times New Roman" w:hAnsi="Times New Roman" w:cs="Times New Roman"/>
          <w:sz w:val="24"/>
          <w:szCs w:val="24"/>
        </w:rPr>
        <w:t xml:space="preserve">P.g.g. </w:t>
      </w:r>
      <w:r w:rsidRPr="007F28C1">
        <w:rPr>
          <w:rFonts w:ascii="Times New Roman" w:hAnsi="Times New Roman" w:cs="Times New Roman"/>
          <w:sz w:val="24"/>
          <w:szCs w:val="24"/>
        </w:rPr>
        <w:t>dotyczących zakładu górniczego i jego ruchu oraz ratownictwa górniczego, jednak w przypadku przepisów karnych nie ma możliwości posiłkowania się odpowiednim stosowaniem przepisów sankcjonujących naruszenie przepisów P</w:t>
      </w:r>
      <w:r w:rsidR="00BB281F" w:rsidRPr="007F28C1">
        <w:rPr>
          <w:rFonts w:ascii="Times New Roman" w:hAnsi="Times New Roman" w:cs="Times New Roman"/>
          <w:sz w:val="24"/>
          <w:szCs w:val="24"/>
        </w:rPr>
        <w:t>.</w:t>
      </w:r>
      <w:r w:rsidRPr="007F28C1">
        <w:rPr>
          <w:rFonts w:ascii="Times New Roman" w:hAnsi="Times New Roman" w:cs="Times New Roman"/>
          <w:sz w:val="24"/>
          <w:szCs w:val="24"/>
        </w:rPr>
        <w:t>g</w:t>
      </w:r>
      <w:r w:rsidR="00BB281F" w:rsidRPr="007F28C1">
        <w:rPr>
          <w:rFonts w:ascii="Times New Roman" w:hAnsi="Times New Roman" w:cs="Times New Roman"/>
          <w:sz w:val="24"/>
          <w:szCs w:val="24"/>
        </w:rPr>
        <w:t>.</w:t>
      </w:r>
      <w:r w:rsidRPr="007F28C1">
        <w:rPr>
          <w:rFonts w:ascii="Times New Roman" w:hAnsi="Times New Roman" w:cs="Times New Roman"/>
          <w:sz w:val="24"/>
          <w:szCs w:val="24"/>
        </w:rPr>
        <w:t>g</w:t>
      </w:r>
      <w:r w:rsidR="00BB281F" w:rsidRPr="007F28C1">
        <w:rPr>
          <w:rFonts w:ascii="Times New Roman" w:hAnsi="Times New Roman" w:cs="Times New Roman"/>
          <w:sz w:val="24"/>
          <w:szCs w:val="24"/>
        </w:rPr>
        <w:t>.</w:t>
      </w:r>
      <w:r w:rsidRPr="007F28C1">
        <w:rPr>
          <w:rFonts w:ascii="Times New Roman" w:hAnsi="Times New Roman" w:cs="Times New Roman"/>
          <w:sz w:val="24"/>
          <w:szCs w:val="24"/>
        </w:rPr>
        <w:t xml:space="preserve"> odnoszących się do zakładów górniczych do </w:t>
      </w:r>
      <w:r w:rsidRPr="007F28C1">
        <w:rPr>
          <w:rFonts w:ascii="Times New Roman" w:hAnsi="Times New Roman" w:cs="Times New Roman"/>
          <w:sz w:val="24"/>
          <w:szCs w:val="24"/>
        </w:rPr>
        <w:lastRenderedPageBreak/>
        <w:t xml:space="preserve">analogicznych naruszeń w przypadku zakładów. </w:t>
      </w:r>
      <w:r w:rsidRPr="007F28C1">
        <w:rPr>
          <w:rFonts w:ascii="Times New Roman" w:eastAsia="Times New Roman" w:hAnsi="Times New Roman" w:cs="Times New Roman"/>
          <w:sz w:val="24"/>
          <w:szCs w:val="24"/>
          <w:lang w:eastAsia="pl-PL"/>
        </w:rPr>
        <w:t>M</w:t>
      </w:r>
      <w:r w:rsidR="002D6A97" w:rsidRPr="007F28C1">
        <w:rPr>
          <w:rFonts w:ascii="Times New Roman" w:eastAsia="Times New Roman" w:hAnsi="Times New Roman" w:cs="Times New Roman"/>
          <w:sz w:val="24"/>
          <w:szCs w:val="24"/>
          <w:lang w:eastAsia="pl-PL"/>
        </w:rPr>
        <w:t xml:space="preserve">ając na względzie potrzebę usunięcia </w:t>
      </w:r>
      <w:r w:rsidR="00D324E2" w:rsidRPr="007F28C1">
        <w:rPr>
          <w:rFonts w:ascii="Times New Roman" w:eastAsia="Times New Roman" w:hAnsi="Times New Roman" w:cs="Times New Roman"/>
          <w:sz w:val="24"/>
          <w:szCs w:val="24"/>
          <w:lang w:eastAsia="pl-PL"/>
        </w:rPr>
        <w:t xml:space="preserve">tej </w:t>
      </w:r>
      <w:r w:rsidR="002D6A97" w:rsidRPr="007F28C1">
        <w:rPr>
          <w:rFonts w:ascii="Times New Roman" w:eastAsia="Times New Roman" w:hAnsi="Times New Roman" w:cs="Times New Roman"/>
          <w:sz w:val="24"/>
          <w:szCs w:val="24"/>
          <w:lang w:eastAsia="pl-PL"/>
        </w:rPr>
        <w:t xml:space="preserve">luki prawnej w </w:t>
      </w:r>
      <w:r w:rsidR="00233A90" w:rsidRPr="007F28C1">
        <w:rPr>
          <w:rFonts w:ascii="Times New Roman" w:eastAsia="Times New Roman" w:hAnsi="Times New Roman" w:cs="Times New Roman"/>
          <w:sz w:val="24"/>
          <w:szCs w:val="24"/>
          <w:lang w:eastAsia="pl-PL"/>
        </w:rPr>
        <w:t xml:space="preserve">przepisach karnych </w:t>
      </w:r>
      <w:r w:rsidR="002D6A97" w:rsidRPr="007F28C1">
        <w:rPr>
          <w:rFonts w:ascii="Times New Roman" w:eastAsia="Times New Roman" w:hAnsi="Times New Roman" w:cs="Times New Roman"/>
          <w:sz w:val="24"/>
          <w:szCs w:val="24"/>
          <w:lang w:eastAsia="pl-PL"/>
        </w:rPr>
        <w:t>P</w:t>
      </w:r>
      <w:r w:rsidR="00BB281F" w:rsidRPr="007F28C1">
        <w:rPr>
          <w:rFonts w:ascii="Times New Roman" w:eastAsia="Times New Roman" w:hAnsi="Times New Roman" w:cs="Times New Roman"/>
          <w:sz w:val="24"/>
          <w:szCs w:val="24"/>
          <w:lang w:eastAsia="pl-PL"/>
        </w:rPr>
        <w:t>.</w:t>
      </w:r>
      <w:r w:rsidR="002D6A97" w:rsidRPr="007F28C1">
        <w:rPr>
          <w:rFonts w:ascii="Times New Roman" w:eastAsia="Times New Roman" w:hAnsi="Times New Roman" w:cs="Times New Roman"/>
          <w:sz w:val="24"/>
          <w:szCs w:val="24"/>
          <w:lang w:eastAsia="pl-PL"/>
        </w:rPr>
        <w:t>g</w:t>
      </w:r>
      <w:r w:rsidR="00BB281F" w:rsidRPr="007F28C1">
        <w:rPr>
          <w:rFonts w:ascii="Times New Roman" w:eastAsia="Times New Roman" w:hAnsi="Times New Roman" w:cs="Times New Roman"/>
          <w:sz w:val="24"/>
          <w:szCs w:val="24"/>
          <w:lang w:eastAsia="pl-PL"/>
        </w:rPr>
        <w:t>.</w:t>
      </w:r>
      <w:r w:rsidR="002D6A97" w:rsidRPr="007F28C1">
        <w:rPr>
          <w:rFonts w:ascii="Times New Roman" w:eastAsia="Times New Roman" w:hAnsi="Times New Roman" w:cs="Times New Roman"/>
          <w:sz w:val="24"/>
          <w:szCs w:val="24"/>
          <w:lang w:eastAsia="pl-PL"/>
        </w:rPr>
        <w:t>g</w:t>
      </w:r>
      <w:r w:rsidR="00BB281F" w:rsidRPr="007F28C1">
        <w:rPr>
          <w:rFonts w:ascii="Times New Roman" w:eastAsia="Times New Roman" w:hAnsi="Times New Roman" w:cs="Times New Roman"/>
          <w:sz w:val="24"/>
          <w:szCs w:val="24"/>
          <w:lang w:eastAsia="pl-PL"/>
        </w:rPr>
        <w:t>.</w:t>
      </w:r>
      <w:r w:rsidR="002D6A97" w:rsidRPr="007F28C1">
        <w:rPr>
          <w:rFonts w:ascii="Times New Roman" w:eastAsia="Times New Roman" w:hAnsi="Times New Roman" w:cs="Times New Roman"/>
          <w:sz w:val="24"/>
          <w:szCs w:val="24"/>
          <w:lang w:eastAsia="pl-PL"/>
        </w:rPr>
        <w:t xml:space="preserve">, </w:t>
      </w:r>
      <w:r w:rsidR="00D73693" w:rsidRPr="007F28C1">
        <w:rPr>
          <w:rFonts w:ascii="Times New Roman" w:eastAsia="Times New Roman" w:hAnsi="Times New Roman" w:cs="Times New Roman"/>
          <w:sz w:val="24"/>
          <w:szCs w:val="24"/>
          <w:lang w:eastAsia="pl-PL"/>
        </w:rPr>
        <w:t>zmieniono</w:t>
      </w:r>
      <w:r w:rsidR="00D73693" w:rsidRPr="007F28C1">
        <w:rPr>
          <w:rFonts w:ascii="Times New Roman" w:eastAsia="Times New Roman" w:hAnsi="Times New Roman" w:cs="Times New Roman"/>
          <w:bCs/>
          <w:sz w:val="24"/>
          <w:szCs w:val="24"/>
          <w:lang w:eastAsia="pl-PL"/>
        </w:rPr>
        <w:t xml:space="preserve"> </w:t>
      </w:r>
      <w:r w:rsidR="002D6A97" w:rsidRPr="007F28C1">
        <w:rPr>
          <w:rFonts w:ascii="Times New Roman" w:eastAsia="Times New Roman" w:hAnsi="Times New Roman" w:cs="Times New Roman"/>
          <w:sz w:val="24"/>
          <w:szCs w:val="24"/>
          <w:lang w:eastAsia="pl-PL"/>
        </w:rPr>
        <w:t>art. 181</w:t>
      </w:r>
      <w:r w:rsidR="00A87B50">
        <w:rPr>
          <w:rFonts w:ascii="Times New Roman" w:eastAsia="Times New Roman" w:hAnsi="Times New Roman" w:cs="Times New Roman"/>
          <w:sz w:val="24"/>
          <w:szCs w:val="24"/>
          <w:lang w:eastAsia="pl-PL"/>
        </w:rPr>
        <w:t>–</w:t>
      </w:r>
      <w:r w:rsidR="00D73693" w:rsidRPr="007F28C1">
        <w:rPr>
          <w:rFonts w:ascii="Times New Roman" w:eastAsia="Times New Roman" w:hAnsi="Times New Roman" w:cs="Times New Roman"/>
          <w:sz w:val="24"/>
          <w:szCs w:val="24"/>
          <w:lang w:eastAsia="pl-PL"/>
        </w:rPr>
        <w:t>186 P.g.g.</w:t>
      </w:r>
    </w:p>
    <w:p w14:paraId="466B6854" w14:textId="3F764FFA" w:rsidR="00894E6E" w:rsidRPr="007F28C1" w:rsidRDefault="00472D72" w:rsidP="007F28C1">
      <w:pPr>
        <w:pStyle w:val="Akapitzlist"/>
        <w:numPr>
          <w:ilvl w:val="0"/>
          <w:numId w:val="14"/>
        </w:numPr>
        <w:spacing w:before="240" w:after="0" w:line="360" w:lineRule="auto"/>
        <w:ind w:left="397" w:hanging="173"/>
        <w:jc w:val="both"/>
        <w:rPr>
          <w:rFonts w:ascii="Times New Roman" w:eastAsia="Times New Roman" w:hAnsi="Times New Roman" w:cs="Times New Roman"/>
          <w:b/>
          <w:bCs/>
          <w:sz w:val="24"/>
          <w:szCs w:val="24"/>
          <w:lang w:eastAsia="pl-PL"/>
        </w:rPr>
      </w:pPr>
      <w:r w:rsidRPr="007F28C1">
        <w:rPr>
          <w:rFonts w:ascii="Times New Roman" w:hAnsi="Times New Roman" w:cs="Times New Roman"/>
          <w:b/>
          <w:bCs/>
          <w:sz w:val="24"/>
          <w:szCs w:val="24"/>
        </w:rPr>
        <w:t xml:space="preserve">Realizacja zadań przez </w:t>
      </w:r>
      <w:r w:rsidR="00C315FB" w:rsidRPr="007F28C1">
        <w:rPr>
          <w:rFonts w:ascii="Times New Roman" w:hAnsi="Times New Roman" w:cs="Times New Roman"/>
          <w:b/>
          <w:bCs/>
          <w:sz w:val="24"/>
          <w:szCs w:val="24"/>
        </w:rPr>
        <w:t>państwową służbę geologiczną</w:t>
      </w:r>
    </w:p>
    <w:p w14:paraId="3F6B4631" w14:textId="5F15154B" w:rsidR="004A006C" w:rsidRPr="007F28C1" w:rsidRDefault="004A006C" w:rsidP="007F28C1">
      <w:pPr>
        <w:spacing w:before="120" w:after="0" w:line="360" w:lineRule="auto"/>
        <w:jc w:val="both"/>
        <w:rPr>
          <w:rFonts w:ascii="Times New Roman" w:hAnsi="Times New Roman" w:cs="Times New Roman"/>
          <w:bCs/>
          <w:color w:val="000000"/>
          <w:sz w:val="24"/>
          <w:szCs w:val="24"/>
        </w:rPr>
      </w:pPr>
      <w:r w:rsidRPr="007F28C1">
        <w:rPr>
          <w:rFonts w:ascii="Times New Roman" w:hAnsi="Times New Roman" w:cs="Times New Roman"/>
          <w:bCs/>
          <w:color w:val="000000"/>
          <w:sz w:val="24"/>
          <w:szCs w:val="24"/>
        </w:rPr>
        <w:t xml:space="preserve">Kolejnym problemem wymagającym rozwiązania jest funkcjonowanie dwóch bliźniaczych służb </w:t>
      </w:r>
      <w:r w:rsidR="008B6728" w:rsidRPr="007F28C1">
        <w:rPr>
          <w:rFonts w:ascii="Times New Roman" w:hAnsi="Times New Roman" w:cs="Times New Roman"/>
          <w:bCs/>
          <w:color w:val="000000"/>
          <w:sz w:val="24"/>
          <w:szCs w:val="24"/>
        </w:rPr>
        <w:t xml:space="preserve">– </w:t>
      </w:r>
      <w:r w:rsidRPr="007F28C1">
        <w:rPr>
          <w:rFonts w:ascii="Times New Roman" w:hAnsi="Times New Roman" w:cs="Times New Roman"/>
          <w:bCs/>
          <w:color w:val="000000"/>
          <w:sz w:val="24"/>
          <w:szCs w:val="24"/>
        </w:rPr>
        <w:t xml:space="preserve">państwowej służby geologicznej oraz państwowej służby hydrogeologicznej w ramach dwóch różnych działów administracji rządowej (środowisko oraz gospodarka wodna) przypisanych do kompetencji dwóch różnych ministrów. </w:t>
      </w:r>
      <w:r w:rsidR="00B42CD6">
        <w:rPr>
          <w:rFonts w:ascii="Times New Roman" w:hAnsi="Times New Roman" w:cs="Times New Roman"/>
          <w:bCs/>
          <w:color w:val="000000"/>
          <w:sz w:val="24"/>
          <w:szCs w:val="24"/>
        </w:rPr>
        <w:t>N</w:t>
      </w:r>
      <w:r w:rsidR="00B42CD6" w:rsidRPr="007F28C1">
        <w:rPr>
          <w:rFonts w:ascii="Times New Roman" w:hAnsi="Times New Roman" w:cs="Times New Roman"/>
          <w:bCs/>
          <w:color w:val="000000"/>
          <w:sz w:val="24"/>
          <w:szCs w:val="24"/>
        </w:rPr>
        <w:t xml:space="preserve">ależy </w:t>
      </w:r>
      <w:r w:rsidR="00B42CD6">
        <w:rPr>
          <w:rFonts w:ascii="Times New Roman" w:hAnsi="Times New Roman" w:cs="Times New Roman"/>
          <w:bCs/>
          <w:color w:val="000000"/>
          <w:sz w:val="24"/>
          <w:szCs w:val="24"/>
        </w:rPr>
        <w:t>p</w:t>
      </w:r>
      <w:r w:rsidRPr="007F28C1">
        <w:rPr>
          <w:rFonts w:ascii="Times New Roman" w:hAnsi="Times New Roman" w:cs="Times New Roman"/>
          <w:bCs/>
          <w:color w:val="000000"/>
          <w:sz w:val="24"/>
          <w:szCs w:val="24"/>
        </w:rPr>
        <w:t>odkreślić, że obie służby (geologiczn</w:t>
      </w:r>
      <w:r w:rsidR="008B6728" w:rsidRPr="007F28C1">
        <w:rPr>
          <w:rFonts w:ascii="Times New Roman" w:hAnsi="Times New Roman" w:cs="Times New Roman"/>
          <w:bCs/>
          <w:color w:val="000000"/>
          <w:sz w:val="24"/>
          <w:szCs w:val="24"/>
        </w:rPr>
        <w:t>a</w:t>
      </w:r>
      <w:r w:rsidRPr="007F28C1">
        <w:rPr>
          <w:rFonts w:ascii="Times New Roman" w:hAnsi="Times New Roman" w:cs="Times New Roman"/>
          <w:bCs/>
          <w:color w:val="000000"/>
          <w:sz w:val="24"/>
          <w:szCs w:val="24"/>
        </w:rPr>
        <w:t xml:space="preserve"> i hydrogeologiczna) </w:t>
      </w:r>
      <w:r w:rsidR="008B6728" w:rsidRPr="007F28C1">
        <w:rPr>
          <w:rFonts w:ascii="Times New Roman" w:hAnsi="Times New Roman" w:cs="Times New Roman"/>
          <w:bCs/>
          <w:color w:val="000000"/>
          <w:sz w:val="24"/>
          <w:szCs w:val="24"/>
        </w:rPr>
        <w:t xml:space="preserve">są </w:t>
      </w:r>
      <w:r w:rsidRPr="007F28C1">
        <w:rPr>
          <w:rFonts w:ascii="Times New Roman" w:hAnsi="Times New Roman" w:cs="Times New Roman"/>
          <w:bCs/>
          <w:color w:val="000000"/>
          <w:sz w:val="24"/>
          <w:szCs w:val="24"/>
        </w:rPr>
        <w:t>pełnione obecnie przez jeden podmiot</w:t>
      </w:r>
      <w:r w:rsidR="008B6728" w:rsidRPr="007F28C1">
        <w:rPr>
          <w:rFonts w:ascii="Times New Roman" w:hAnsi="Times New Roman" w:cs="Times New Roman"/>
          <w:bCs/>
          <w:color w:val="000000"/>
          <w:sz w:val="24"/>
          <w:szCs w:val="24"/>
        </w:rPr>
        <w:t>, tj.</w:t>
      </w:r>
      <w:r w:rsidRPr="007F28C1">
        <w:rPr>
          <w:rFonts w:ascii="Times New Roman" w:hAnsi="Times New Roman" w:cs="Times New Roman"/>
          <w:bCs/>
          <w:color w:val="000000"/>
          <w:sz w:val="24"/>
          <w:szCs w:val="24"/>
        </w:rPr>
        <w:t xml:space="preserve"> Państwowy Instytut Geologiczny </w:t>
      </w:r>
      <w:r w:rsidR="008B6728" w:rsidRPr="007F28C1">
        <w:rPr>
          <w:rFonts w:ascii="Times New Roman" w:hAnsi="Times New Roman" w:cs="Times New Roman"/>
          <w:bCs/>
          <w:color w:val="000000"/>
          <w:sz w:val="24"/>
          <w:szCs w:val="24"/>
        </w:rPr>
        <w:t xml:space="preserve">– </w:t>
      </w:r>
      <w:r w:rsidRPr="007F28C1">
        <w:rPr>
          <w:rFonts w:ascii="Times New Roman" w:hAnsi="Times New Roman" w:cs="Times New Roman"/>
          <w:bCs/>
          <w:color w:val="000000"/>
          <w:sz w:val="24"/>
          <w:szCs w:val="24"/>
        </w:rPr>
        <w:t>Państwowy Instytut Badawczy (dalej również „PIG-PIB”), natomiast inny jest sposób ich finansowania oraz rozliczania realizacji zadań, co nie sprzyja skuteczności oraz optymalizacji funkcjonowania służb.</w:t>
      </w:r>
    </w:p>
    <w:p w14:paraId="1A7992C5" w14:textId="68BC1C00" w:rsidR="004A006C" w:rsidRPr="007F28C1" w:rsidRDefault="0041013A" w:rsidP="007F28C1">
      <w:pPr>
        <w:spacing w:before="120" w:after="0" w:line="360" w:lineRule="auto"/>
        <w:jc w:val="both"/>
        <w:rPr>
          <w:rFonts w:ascii="Times New Roman" w:hAnsi="Times New Roman" w:cs="Times New Roman"/>
          <w:bCs/>
          <w:color w:val="000000"/>
          <w:sz w:val="24"/>
          <w:szCs w:val="24"/>
        </w:rPr>
      </w:pPr>
      <w:r w:rsidRPr="007F28C1">
        <w:rPr>
          <w:rFonts w:ascii="Times New Roman" w:hAnsi="Times New Roman" w:cs="Times New Roman"/>
          <w:sz w:val="24"/>
          <w:szCs w:val="24"/>
        </w:rPr>
        <w:t>Mając na uwadze powyższe</w:t>
      </w:r>
      <w:r w:rsidR="00201DC0">
        <w:rPr>
          <w:rFonts w:ascii="Times New Roman" w:hAnsi="Times New Roman" w:cs="Times New Roman"/>
          <w:sz w:val="24"/>
          <w:szCs w:val="24"/>
        </w:rPr>
        <w:t>,</w:t>
      </w:r>
      <w:r w:rsidRPr="007F28C1">
        <w:rPr>
          <w:rFonts w:ascii="Times New Roman" w:hAnsi="Times New Roman" w:cs="Times New Roman"/>
          <w:sz w:val="24"/>
          <w:szCs w:val="24"/>
        </w:rPr>
        <w:t xml:space="preserve"> </w:t>
      </w:r>
      <w:r w:rsidR="004A006C" w:rsidRPr="007F28C1">
        <w:rPr>
          <w:rFonts w:ascii="Times New Roman" w:hAnsi="Times New Roman" w:cs="Times New Roman"/>
          <w:sz w:val="24"/>
          <w:szCs w:val="24"/>
        </w:rPr>
        <w:t xml:space="preserve">pojęcie „państwowej służby geologicznej” zostało w projekcie nowelizacji użyte </w:t>
      </w:r>
      <w:r w:rsidR="004A006C" w:rsidRPr="007F28C1">
        <w:rPr>
          <w:rFonts w:ascii="Times New Roman" w:hAnsi="Times New Roman" w:cs="Times New Roman"/>
          <w:i/>
          <w:iCs/>
          <w:sz w:val="24"/>
          <w:szCs w:val="24"/>
        </w:rPr>
        <w:t>sensu largo</w:t>
      </w:r>
      <w:r w:rsidR="004A006C" w:rsidRPr="007F28C1">
        <w:rPr>
          <w:rFonts w:ascii="Times New Roman" w:hAnsi="Times New Roman" w:cs="Times New Roman"/>
          <w:sz w:val="24"/>
          <w:szCs w:val="24"/>
        </w:rPr>
        <w:t xml:space="preserve"> i obejmuje również hydrogeologię, będącą do tej pory odrębną państwową służbą, pełnioną jednak przez ten sam instytut (Państwowy Instytut Geologiczny – Państwowy Instytut Badawczy). W ocenie projektodawcy brak uzasadnienia dla funkcjonowania odrębnej służby hydrogeologicznej w sytuacji, gdy w sensie naukowym i praktycznym jest ona częścią geologii. Realizacja zadań państwa na potrzeby rozpoznawania, bilansowania i ochrony wód podziemnych w celu racjonalnego wykorzystania tych wód przez społeczeństwo oraz gospodarkę, o których mowa w</w:t>
      </w:r>
      <w:r w:rsidR="001C6511" w:rsidRPr="007F28C1">
        <w:rPr>
          <w:rFonts w:ascii="Times New Roman" w:hAnsi="Times New Roman" w:cs="Times New Roman"/>
          <w:sz w:val="24"/>
          <w:szCs w:val="24"/>
        </w:rPr>
        <w:t xml:space="preserve"> P.w.</w:t>
      </w:r>
      <w:r w:rsidR="004A006C" w:rsidRPr="007F28C1">
        <w:rPr>
          <w:rFonts w:ascii="Times New Roman" w:hAnsi="Times New Roman" w:cs="Times New Roman"/>
          <w:sz w:val="24"/>
          <w:szCs w:val="24"/>
        </w:rPr>
        <w:t>, bazuje na badaniach geologicznych i wymaga szerokiej wiedzy z zakresu geologii ze specjalizacją hydrogeologia, stąd też jest uzasadnione włączenie zadań państwowej służby hydrogeologicznej do zadań państwowej służby geologicznej i przypisanie ich jako sprawy działu administracji rządowej –</w:t>
      </w:r>
      <w:r w:rsidRPr="007F28C1">
        <w:rPr>
          <w:rFonts w:ascii="Times New Roman" w:hAnsi="Times New Roman" w:cs="Times New Roman"/>
          <w:sz w:val="24"/>
          <w:szCs w:val="24"/>
        </w:rPr>
        <w:t xml:space="preserve"> środowisko</w:t>
      </w:r>
      <w:r w:rsidR="004A006C" w:rsidRPr="007F28C1">
        <w:rPr>
          <w:rFonts w:ascii="Times New Roman" w:hAnsi="Times New Roman" w:cs="Times New Roman"/>
          <w:sz w:val="24"/>
          <w:szCs w:val="24"/>
        </w:rPr>
        <w:t xml:space="preserve">. Przykładami tak funkcjonującej wspólnej służby dla obu obszarów są wiodące służby geologiczne na </w:t>
      </w:r>
      <w:r w:rsidR="00146A41">
        <w:rPr>
          <w:rFonts w:ascii="Times New Roman" w:hAnsi="Times New Roman" w:cs="Times New Roman"/>
          <w:sz w:val="24"/>
          <w:szCs w:val="24"/>
        </w:rPr>
        <w:t>ś</w:t>
      </w:r>
      <w:r w:rsidR="004A006C" w:rsidRPr="007F28C1">
        <w:rPr>
          <w:rFonts w:ascii="Times New Roman" w:hAnsi="Times New Roman" w:cs="Times New Roman"/>
          <w:sz w:val="24"/>
          <w:szCs w:val="24"/>
        </w:rPr>
        <w:t>wiecie np.: Brytyjska Służba Geologiczna, British Geological Survey (BGS), Francuska Służba Geologiczna, The French Geological Survey (BRGM), Duńska Służba Geologiczna, Geological Survey of Danemark (GEUS), Amerykańska Służba Geologiczna,</w:t>
      </w:r>
      <w:r w:rsidR="008B6728" w:rsidRPr="007F28C1">
        <w:rPr>
          <w:rFonts w:ascii="Times New Roman" w:hAnsi="Times New Roman" w:cs="Times New Roman"/>
          <w:sz w:val="24"/>
          <w:szCs w:val="24"/>
        </w:rPr>
        <w:t xml:space="preserve"> </w:t>
      </w:r>
      <w:r w:rsidR="004A006C" w:rsidRPr="007F28C1">
        <w:rPr>
          <w:rFonts w:ascii="Times New Roman" w:hAnsi="Times New Roman" w:cs="Times New Roman"/>
          <w:sz w:val="24"/>
          <w:szCs w:val="24"/>
        </w:rPr>
        <w:t>United States Geological Survey (USGS).</w:t>
      </w:r>
      <w:r w:rsidR="008B6728" w:rsidRPr="007F28C1">
        <w:rPr>
          <w:rFonts w:ascii="Times New Roman" w:hAnsi="Times New Roman" w:cs="Times New Roman"/>
          <w:sz w:val="24"/>
          <w:szCs w:val="24"/>
        </w:rPr>
        <w:t xml:space="preserve"> </w:t>
      </w:r>
    </w:p>
    <w:p w14:paraId="359933FE" w14:textId="138B0F82" w:rsidR="00894E6E" w:rsidRPr="007F28C1" w:rsidRDefault="00894E6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Projektowana nowelizacja przewiduje także</w:t>
      </w:r>
      <w:r w:rsidR="00B72BC8" w:rsidRPr="007F28C1">
        <w:rPr>
          <w:rFonts w:ascii="Times New Roman" w:hAnsi="Times New Roman" w:cs="Times New Roman"/>
          <w:sz w:val="24"/>
          <w:szCs w:val="24"/>
        </w:rPr>
        <w:t xml:space="preserve"> zmiany</w:t>
      </w:r>
      <w:r w:rsidRPr="007F28C1">
        <w:rPr>
          <w:rFonts w:ascii="Times New Roman" w:hAnsi="Times New Roman" w:cs="Times New Roman"/>
          <w:sz w:val="24"/>
          <w:szCs w:val="24"/>
        </w:rPr>
        <w:t xml:space="preserve"> </w:t>
      </w:r>
      <w:r w:rsidR="00B72BC8" w:rsidRPr="007F28C1">
        <w:rPr>
          <w:rFonts w:ascii="Times New Roman" w:hAnsi="Times New Roman" w:cs="Times New Roman"/>
          <w:sz w:val="24"/>
          <w:szCs w:val="24"/>
        </w:rPr>
        <w:t>dotyczące przepisów P.g.g. regulujących</w:t>
      </w:r>
      <w:r w:rsidRPr="007F28C1">
        <w:rPr>
          <w:rFonts w:ascii="Times New Roman" w:hAnsi="Times New Roman" w:cs="Times New Roman"/>
          <w:sz w:val="24"/>
          <w:szCs w:val="24"/>
        </w:rPr>
        <w:t xml:space="preserve"> działalnoś</w:t>
      </w:r>
      <w:r w:rsidR="00B72BC8" w:rsidRPr="007F28C1">
        <w:rPr>
          <w:rFonts w:ascii="Times New Roman" w:hAnsi="Times New Roman" w:cs="Times New Roman"/>
          <w:sz w:val="24"/>
          <w:szCs w:val="24"/>
        </w:rPr>
        <w:t>ć</w:t>
      </w:r>
      <w:r w:rsidRPr="007F28C1">
        <w:rPr>
          <w:rFonts w:ascii="Times New Roman" w:hAnsi="Times New Roman" w:cs="Times New Roman"/>
          <w:sz w:val="24"/>
          <w:szCs w:val="24"/>
        </w:rPr>
        <w:t xml:space="preserve"> PIG-PIB i realizacj</w:t>
      </w:r>
      <w:r w:rsidR="00171393">
        <w:rPr>
          <w:rFonts w:ascii="Times New Roman" w:hAnsi="Times New Roman" w:cs="Times New Roman"/>
          <w:sz w:val="24"/>
          <w:szCs w:val="24"/>
        </w:rPr>
        <w:t>ę</w:t>
      </w:r>
      <w:r w:rsidRPr="007F28C1">
        <w:rPr>
          <w:rFonts w:ascii="Times New Roman" w:hAnsi="Times New Roman" w:cs="Times New Roman"/>
          <w:sz w:val="24"/>
          <w:szCs w:val="24"/>
        </w:rPr>
        <w:t xml:space="preserve"> przez niego zadań PSG</w:t>
      </w:r>
      <w:r w:rsidR="00B72BC8" w:rsidRPr="007F28C1">
        <w:rPr>
          <w:rFonts w:ascii="Times New Roman" w:hAnsi="Times New Roman" w:cs="Times New Roman"/>
          <w:sz w:val="24"/>
          <w:szCs w:val="24"/>
        </w:rPr>
        <w:t>, a także</w:t>
      </w:r>
      <w:r w:rsidRPr="007F28C1">
        <w:rPr>
          <w:rFonts w:ascii="Times New Roman" w:hAnsi="Times New Roman" w:cs="Times New Roman"/>
          <w:sz w:val="24"/>
          <w:szCs w:val="24"/>
        </w:rPr>
        <w:t xml:space="preserve"> </w:t>
      </w:r>
      <w:r w:rsidR="002766A0" w:rsidRPr="007F28C1">
        <w:rPr>
          <w:rFonts w:ascii="Times New Roman" w:eastAsia="Times New Roman" w:hAnsi="Times New Roman" w:cs="Times New Roman"/>
          <w:sz w:val="24"/>
          <w:szCs w:val="24"/>
          <w:lang w:eastAsia="pl-PL"/>
        </w:rPr>
        <w:t>KAPS CO</w:t>
      </w:r>
      <w:r w:rsidR="002766A0" w:rsidRPr="007F28C1">
        <w:rPr>
          <w:rFonts w:ascii="Times New Roman" w:eastAsia="Times New Roman" w:hAnsi="Times New Roman" w:cs="Times New Roman"/>
          <w:sz w:val="24"/>
          <w:szCs w:val="24"/>
          <w:vertAlign w:val="subscript"/>
          <w:lang w:eastAsia="pl-PL"/>
        </w:rPr>
        <w:t>2</w:t>
      </w:r>
      <w:r w:rsidRPr="007F28C1">
        <w:rPr>
          <w:rFonts w:ascii="Times New Roman" w:hAnsi="Times New Roman" w:cs="Times New Roman"/>
          <w:sz w:val="24"/>
          <w:szCs w:val="24"/>
        </w:rPr>
        <w:t xml:space="preserve">. </w:t>
      </w:r>
    </w:p>
    <w:p w14:paraId="516C67AC" w14:textId="621DBAF4" w:rsidR="00894E6E" w:rsidRPr="007F28C1" w:rsidRDefault="00894E6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Jednym z zadań realizowanych w ramach PSG jest inicjowanie, koordynacja i wykonywanie zadań zmierzających do rozpoznania budowy geologicznej kraju, w tym prac o podstawowym znaczeniu dla gospodarki narodowej, w szczególności dla odnowienia bazy surowcowej kraju, </w:t>
      </w:r>
      <w:r w:rsidRPr="007F28C1">
        <w:rPr>
          <w:rFonts w:ascii="Times New Roman" w:hAnsi="Times New Roman" w:cs="Times New Roman"/>
          <w:sz w:val="24"/>
          <w:szCs w:val="24"/>
        </w:rPr>
        <w:lastRenderedPageBreak/>
        <w:t xml:space="preserve">ustalania zasobów złóż kopalin, a także dla ochrony środowiska (art. 162 ust. 1 pkt 1 P.g.g.). </w:t>
      </w:r>
      <w:r w:rsidR="00A3212C" w:rsidRPr="007F28C1">
        <w:rPr>
          <w:rFonts w:ascii="Times New Roman" w:hAnsi="Times New Roman" w:cs="Times New Roman"/>
          <w:sz w:val="24"/>
          <w:szCs w:val="24"/>
        </w:rPr>
        <w:t>Ponadto przygotowywany w</w:t>
      </w:r>
      <w:r w:rsidR="00251C09" w:rsidRPr="007F28C1">
        <w:rPr>
          <w:rFonts w:ascii="Times New Roman" w:hAnsi="Times New Roman" w:cs="Times New Roman"/>
          <w:sz w:val="24"/>
          <w:szCs w:val="24"/>
        </w:rPr>
        <w:t> </w:t>
      </w:r>
      <w:r w:rsidR="00A3212C" w:rsidRPr="007F28C1">
        <w:rPr>
          <w:rFonts w:ascii="Times New Roman" w:hAnsi="Times New Roman" w:cs="Times New Roman"/>
          <w:sz w:val="24"/>
          <w:szCs w:val="24"/>
        </w:rPr>
        <w:t xml:space="preserve">Ministerstwie Klimatu i Środowiska </w:t>
      </w:r>
      <w:r w:rsidR="00251C09" w:rsidRPr="007F28C1">
        <w:rPr>
          <w:rFonts w:ascii="Times New Roman" w:hAnsi="Times New Roman" w:cs="Times New Roman"/>
          <w:sz w:val="24"/>
          <w:szCs w:val="24"/>
        </w:rPr>
        <w:t>dokument</w:t>
      </w:r>
      <w:r w:rsidR="00A3212C" w:rsidRPr="007F28C1">
        <w:rPr>
          <w:rFonts w:ascii="Times New Roman" w:hAnsi="Times New Roman" w:cs="Times New Roman"/>
          <w:sz w:val="24"/>
          <w:szCs w:val="24"/>
        </w:rPr>
        <w:t xml:space="preserve"> Polityk</w:t>
      </w:r>
      <w:r w:rsidR="00251C09" w:rsidRPr="007F28C1">
        <w:rPr>
          <w:rFonts w:ascii="Times New Roman" w:hAnsi="Times New Roman" w:cs="Times New Roman"/>
          <w:sz w:val="24"/>
          <w:szCs w:val="24"/>
        </w:rPr>
        <w:t>a</w:t>
      </w:r>
      <w:r w:rsidR="00A3212C" w:rsidRPr="007F28C1">
        <w:rPr>
          <w:rFonts w:ascii="Times New Roman" w:hAnsi="Times New Roman" w:cs="Times New Roman"/>
          <w:sz w:val="24"/>
          <w:szCs w:val="24"/>
        </w:rPr>
        <w:t xml:space="preserve"> Surowcow</w:t>
      </w:r>
      <w:r w:rsidR="00251C09" w:rsidRPr="007F28C1">
        <w:rPr>
          <w:rFonts w:ascii="Times New Roman" w:hAnsi="Times New Roman" w:cs="Times New Roman"/>
          <w:sz w:val="24"/>
          <w:szCs w:val="24"/>
        </w:rPr>
        <w:t>a</w:t>
      </w:r>
      <w:r w:rsidR="00A3212C" w:rsidRPr="007F28C1">
        <w:rPr>
          <w:rFonts w:ascii="Times New Roman" w:hAnsi="Times New Roman" w:cs="Times New Roman"/>
          <w:sz w:val="24"/>
          <w:szCs w:val="24"/>
        </w:rPr>
        <w:t xml:space="preserve"> Państwa zakłada, że PSG ma zajmować się dokumentowaniem złóż kopalin, o których mowa w art. 10 ust. 1 P.g.g. </w:t>
      </w:r>
      <w:r w:rsidRPr="007F28C1">
        <w:rPr>
          <w:rFonts w:ascii="Times New Roman" w:hAnsi="Times New Roman" w:cs="Times New Roman"/>
          <w:sz w:val="24"/>
          <w:szCs w:val="24"/>
        </w:rPr>
        <w:t>W obecnym stanie prawnym może jednak</w:t>
      </w:r>
      <w:r w:rsidR="00A3212C" w:rsidRPr="007F28C1">
        <w:rPr>
          <w:rFonts w:ascii="Times New Roman" w:hAnsi="Times New Roman" w:cs="Times New Roman"/>
          <w:sz w:val="24"/>
          <w:szCs w:val="24"/>
        </w:rPr>
        <w:t>że</w:t>
      </w:r>
      <w:r w:rsidRPr="007F28C1">
        <w:rPr>
          <w:rFonts w:ascii="Times New Roman" w:hAnsi="Times New Roman" w:cs="Times New Roman"/>
          <w:sz w:val="24"/>
          <w:szCs w:val="24"/>
        </w:rPr>
        <w:t xml:space="preserve"> budzić pewne wątpliwości, czy PIG-PIB w ramach realizacji powyższego zadania</w:t>
      </w:r>
      <w:r w:rsidR="00D86F47" w:rsidRPr="007F28C1">
        <w:rPr>
          <w:rFonts w:ascii="Times New Roman" w:hAnsi="Times New Roman" w:cs="Times New Roman"/>
          <w:sz w:val="24"/>
          <w:szCs w:val="24"/>
        </w:rPr>
        <w:t xml:space="preserve"> </w:t>
      </w:r>
      <w:r w:rsidR="00EA473C" w:rsidRPr="007F28C1">
        <w:rPr>
          <w:rFonts w:ascii="Times New Roman" w:hAnsi="Times New Roman" w:cs="Times New Roman"/>
          <w:sz w:val="24"/>
          <w:szCs w:val="24"/>
        </w:rPr>
        <w:t>może prowadzić prace poszukiwawcze oraz rozpoznawcze w odniesieniu do złóż kopalin</w:t>
      </w:r>
      <w:r w:rsidRPr="007F28C1">
        <w:rPr>
          <w:rFonts w:ascii="Times New Roman" w:hAnsi="Times New Roman" w:cs="Times New Roman"/>
          <w:sz w:val="24"/>
          <w:szCs w:val="24"/>
        </w:rPr>
        <w:t>, o</w:t>
      </w:r>
      <w:r w:rsidR="00D978C1" w:rsidRPr="007F28C1">
        <w:rPr>
          <w:rFonts w:ascii="Times New Roman" w:hAnsi="Times New Roman" w:cs="Times New Roman"/>
          <w:sz w:val="24"/>
          <w:szCs w:val="24"/>
        </w:rPr>
        <w:t> </w:t>
      </w:r>
      <w:r w:rsidRPr="007F28C1">
        <w:rPr>
          <w:rFonts w:ascii="Times New Roman" w:hAnsi="Times New Roman" w:cs="Times New Roman"/>
          <w:sz w:val="24"/>
          <w:szCs w:val="24"/>
        </w:rPr>
        <w:t xml:space="preserve">których mowa w art. 10 ust. 1 P.g.g. </w:t>
      </w:r>
      <w:r w:rsidR="00EA473C" w:rsidRPr="007F28C1">
        <w:rPr>
          <w:rFonts w:ascii="Times New Roman" w:hAnsi="Times New Roman" w:cs="Times New Roman"/>
          <w:sz w:val="24"/>
          <w:szCs w:val="24"/>
        </w:rPr>
        <w:t>Działalność taka co do zasady wymaga bowiem uzyskania koncesji, zaś PIG-PIB</w:t>
      </w:r>
      <w:r w:rsidR="00C706EB">
        <w:rPr>
          <w:rFonts w:ascii="Times New Roman" w:hAnsi="Times New Roman" w:cs="Times New Roman"/>
          <w:sz w:val="24"/>
          <w:szCs w:val="24"/>
        </w:rPr>
        <w:t>,</w:t>
      </w:r>
      <w:r w:rsidR="00EA473C" w:rsidRPr="007F28C1">
        <w:rPr>
          <w:rFonts w:ascii="Times New Roman" w:hAnsi="Times New Roman" w:cs="Times New Roman"/>
          <w:sz w:val="24"/>
          <w:szCs w:val="24"/>
        </w:rPr>
        <w:t xml:space="preserve"> realizując zadania państwa w zakresie geologii</w:t>
      </w:r>
      <w:r w:rsidR="00C706EB">
        <w:rPr>
          <w:rFonts w:ascii="Times New Roman" w:hAnsi="Times New Roman" w:cs="Times New Roman"/>
          <w:sz w:val="24"/>
          <w:szCs w:val="24"/>
        </w:rPr>
        <w:t>,</w:t>
      </w:r>
      <w:r w:rsidR="00EA473C" w:rsidRPr="007F28C1">
        <w:rPr>
          <w:rFonts w:ascii="Times New Roman" w:hAnsi="Times New Roman" w:cs="Times New Roman"/>
          <w:sz w:val="24"/>
          <w:szCs w:val="24"/>
        </w:rPr>
        <w:t xml:space="preserve"> nie działa jak przedsiębiorca, lecz podmiot publiczny. </w:t>
      </w:r>
      <w:r w:rsidR="00A3212C" w:rsidRPr="007F28C1">
        <w:rPr>
          <w:rFonts w:ascii="Times New Roman" w:hAnsi="Times New Roman" w:cs="Times New Roman"/>
          <w:sz w:val="24"/>
          <w:szCs w:val="24"/>
        </w:rPr>
        <w:t>Z przeprowadzonych analiz wynika, że od 2012 r. z uwagi na powyższe wątpliwości PSG nie sporządza dokumentacji geologicznych złóż kopalin, a jedynie</w:t>
      </w:r>
      <w:r w:rsidR="00C87798" w:rsidRPr="007F28C1">
        <w:rPr>
          <w:rFonts w:ascii="Times New Roman" w:hAnsi="Times New Roman" w:cs="Times New Roman"/>
          <w:sz w:val="24"/>
          <w:szCs w:val="24"/>
        </w:rPr>
        <w:t xml:space="preserve"> inne</w:t>
      </w:r>
      <w:r w:rsidR="00A3212C" w:rsidRPr="007F28C1">
        <w:rPr>
          <w:rFonts w:ascii="Times New Roman" w:hAnsi="Times New Roman" w:cs="Times New Roman"/>
          <w:sz w:val="24"/>
          <w:szCs w:val="24"/>
        </w:rPr>
        <w:t xml:space="preserve"> dokumentacje geologiczne</w:t>
      </w:r>
      <w:r w:rsidR="00870C54" w:rsidRPr="007F28C1">
        <w:rPr>
          <w:rFonts w:ascii="Times New Roman" w:hAnsi="Times New Roman" w:cs="Times New Roman"/>
          <w:sz w:val="24"/>
          <w:szCs w:val="24"/>
        </w:rPr>
        <w:t>.</w:t>
      </w:r>
      <w:r w:rsidR="00A3212C" w:rsidRPr="007F28C1">
        <w:rPr>
          <w:rFonts w:ascii="Times New Roman" w:hAnsi="Times New Roman" w:cs="Times New Roman"/>
          <w:sz w:val="24"/>
          <w:szCs w:val="24"/>
        </w:rPr>
        <w:t xml:space="preserve"> </w:t>
      </w:r>
      <w:r w:rsidRPr="007F28C1">
        <w:rPr>
          <w:rFonts w:ascii="Times New Roman" w:hAnsi="Times New Roman" w:cs="Times New Roman"/>
          <w:sz w:val="24"/>
          <w:szCs w:val="24"/>
        </w:rPr>
        <w:t xml:space="preserve">Dla </w:t>
      </w:r>
      <w:r w:rsidR="00A3212C" w:rsidRPr="007F28C1">
        <w:rPr>
          <w:rFonts w:ascii="Times New Roman" w:hAnsi="Times New Roman" w:cs="Times New Roman"/>
          <w:sz w:val="24"/>
          <w:szCs w:val="24"/>
        </w:rPr>
        <w:t xml:space="preserve">uniknięcia wątpliwości i w celu umożliwienia sprawnej realizacji zadań </w:t>
      </w:r>
      <w:r w:rsidR="00F02EA2" w:rsidRPr="007F28C1">
        <w:rPr>
          <w:rFonts w:ascii="Times New Roman" w:hAnsi="Times New Roman" w:cs="Times New Roman"/>
          <w:sz w:val="24"/>
          <w:szCs w:val="24"/>
        </w:rPr>
        <w:t xml:space="preserve">został </w:t>
      </w:r>
      <w:r w:rsidRPr="007F28C1">
        <w:rPr>
          <w:rFonts w:ascii="Times New Roman" w:hAnsi="Times New Roman" w:cs="Times New Roman"/>
          <w:sz w:val="24"/>
          <w:szCs w:val="24"/>
        </w:rPr>
        <w:t xml:space="preserve">wprowadzony przepis art. 79 ust. 1b P.g.g., który uprawnia PSG </w:t>
      </w:r>
      <w:r w:rsidR="00C87798" w:rsidRPr="007F28C1">
        <w:rPr>
          <w:rFonts w:ascii="Times New Roman" w:hAnsi="Times New Roman" w:cs="Times New Roman"/>
          <w:sz w:val="24"/>
          <w:szCs w:val="24"/>
        </w:rPr>
        <w:t xml:space="preserve">do dokonania, </w:t>
      </w:r>
      <w:r w:rsidRPr="007F28C1">
        <w:rPr>
          <w:rFonts w:ascii="Times New Roman" w:hAnsi="Times New Roman" w:cs="Times New Roman"/>
          <w:sz w:val="24"/>
          <w:szCs w:val="24"/>
        </w:rPr>
        <w:t>na podstawie projektu robót geologicznych</w:t>
      </w:r>
      <w:r w:rsidR="00C87798" w:rsidRPr="007F28C1">
        <w:rPr>
          <w:rFonts w:ascii="Times New Roman" w:hAnsi="Times New Roman" w:cs="Times New Roman"/>
          <w:sz w:val="24"/>
          <w:szCs w:val="24"/>
        </w:rPr>
        <w:t>,</w:t>
      </w:r>
      <w:r w:rsidR="00967A32">
        <w:rPr>
          <w:rFonts w:ascii="Times New Roman" w:hAnsi="Times New Roman" w:cs="Times New Roman"/>
          <w:sz w:val="24"/>
          <w:szCs w:val="24"/>
        </w:rPr>
        <w:t xml:space="preserve"> </w:t>
      </w:r>
      <w:r w:rsidRPr="007F28C1">
        <w:rPr>
          <w:rFonts w:ascii="Times New Roman" w:hAnsi="Times New Roman" w:cs="Times New Roman"/>
          <w:sz w:val="24"/>
          <w:szCs w:val="24"/>
        </w:rPr>
        <w:t>rozpoznania budowy geologicznej kraju oraz ustalenia zasobów złóż kopalin, o</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których mowa w art. 10 ust. 1 P.g.g.</w:t>
      </w:r>
      <w:r w:rsidR="00EA473C" w:rsidRPr="007F28C1">
        <w:rPr>
          <w:rFonts w:ascii="Times New Roman" w:hAnsi="Times New Roman" w:cs="Times New Roman"/>
          <w:sz w:val="24"/>
          <w:szCs w:val="24"/>
        </w:rPr>
        <w:t xml:space="preserve"> Takie rozwiązanie ma dodatkowy pozytywny aspekt polegający na umożliwieniu czerpania przez Skarb Państwa, w krótkim czasie po zatwierdzeniu takiej dokumentacji przez właściwy organ, korzyści płynących z rozporządzania informacją geologiczną pochodzącą z</w:t>
      </w:r>
      <w:r w:rsidR="00705A7E" w:rsidRPr="007F28C1">
        <w:rPr>
          <w:rFonts w:ascii="Times New Roman" w:hAnsi="Times New Roman" w:cs="Times New Roman"/>
          <w:sz w:val="24"/>
          <w:szCs w:val="24"/>
        </w:rPr>
        <w:t> </w:t>
      </w:r>
      <w:r w:rsidR="00EA473C" w:rsidRPr="007F28C1">
        <w:rPr>
          <w:rFonts w:ascii="Times New Roman" w:hAnsi="Times New Roman" w:cs="Times New Roman"/>
          <w:sz w:val="24"/>
          <w:szCs w:val="24"/>
        </w:rPr>
        <w:t>dokumentowania złóż przez PSG.</w:t>
      </w:r>
    </w:p>
    <w:p w14:paraId="4A38F7DA" w14:textId="0F6F89C1" w:rsidR="00DC27B7" w:rsidRPr="007F28C1" w:rsidRDefault="00894E6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PSG realizuje także ustawowe zadanie związane z gromadzeniem, ewidencjonowaniem, archiwizowaniem, ochroną i udostępnianiem informacji geologicznej. W celu </w:t>
      </w:r>
      <w:r w:rsidR="00D312F4" w:rsidRPr="007F28C1">
        <w:rPr>
          <w:rFonts w:ascii="Times New Roman" w:hAnsi="Times New Roman" w:cs="Times New Roman"/>
          <w:sz w:val="24"/>
          <w:szCs w:val="24"/>
        </w:rPr>
        <w:t xml:space="preserve">usprawnienia działań PSG </w:t>
      </w:r>
      <w:r w:rsidRPr="007F28C1">
        <w:rPr>
          <w:rFonts w:ascii="Times New Roman" w:hAnsi="Times New Roman" w:cs="Times New Roman"/>
          <w:sz w:val="24"/>
          <w:szCs w:val="24"/>
        </w:rPr>
        <w:t>w tym zakresie projektowana nowelizacja przewiduje nowe uprawnieni</w:t>
      </w:r>
      <w:r w:rsidR="00D312F4" w:rsidRPr="007F28C1">
        <w:rPr>
          <w:rFonts w:ascii="Times New Roman" w:hAnsi="Times New Roman" w:cs="Times New Roman"/>
          <w:sz w:val="24"/>
          <w:szCs w:val="24"/>
        </w:rPr>
        <w:t>a</w:t>
      </w:r>
      <w:r w:rsidRPr="007F28C1">
        <w:rPr>
          <w:rFonts w:ascii="Times New Roman" w:hAnsi="Times New Roman" w:cs="Times New Roman"/>
          <w:sz w:val="24"/>
          <w:szCs w:val="24"/>
        </w:rPr>
        <w:t xml:space="preserve">. </w:t>
      </w:r>
      <w:bookmarkStart w:id="13" w:name="_Hlk71796925"/>
      <w:r w:rsidR="00EB5E83" w:rsidRPr="007F28C1">
        <w:rPr>
          <w:rFonts w:ascii="Times New Roman" w:hAnsi="Times New Roman" w:cs="Times New Roman"/>
          <w:sz w:val="24"/>
          <w:szCs w:val="24"/>
        </w:rPr>
        <w:t>Zidentyfikowano bowiem problem dostępności do informacji geologicznej, która przysługuje Skarbowi Państwa, lecz</w:t>
      </w:r>
      <w:r w:rsidR="00D978C1" w:rsidRPr="007F28C1">
        <w:rPr>
          <w:rFonts w:ascii="Times New Roman" w:hAnsi="Times New Roman" w:cs="Times New Roman"/>
          <w:sz w:val="24"/>
          <w:szCs w:val="24"/>
        </w:rPr>
        <w:t> </w:t>
      </w:r>
      <w:r w:rsidR="00EB5E83" w:rsidRPr="007F28C1">
        <w:rPr>
          <w:rFonts w:ascii="Times New Roman" w:hAnsi="Times New Roman" w:cs="Times New Roman"/>
          <w:sz w:val="24"/>
          <w:szCs w:val="24"/>
        </w:rPr>
        <w:t>znajduje się na nośnikach znajdujących się poza archiwami geologicznymi. Zdarza się, że podmioty, które są w posiadaniu przedmiotowych nośników, odmawiają wykonania kopii lub ich wypożyczenia, co utrudnia PSG realizację zadania w zakresie gromadzenia, udostępniania i</w:t>
      </w:r>
      <w:r w:rsidR="00D978C1" w:rsidRPr="007F28C1">
        <w:rPr>
          <w:rFonts w:ascii="Times New Roman" w:hAnsi="Times New Roman" w:cs="Times New Roman"/>
          <w:sz w:val="24"/>
          <w:szCs w:val="24"/>
        </w:rPr>
        <w:t> </w:t>
      </w:r>
      <w:r w:rsidR="00EB5E83" w:rsidRPr="007F28C1">
        <w:rPr>
          <w:rFonts w:ascii="Times New Roman" w:hAnsi="Times New Roman" w:cs="Times New Roman"/>
          <w:sz w:val="24"/>
          <w:szCs w:val="24"/>
        </w:rPr>
        <w:t xml:space="preserve">przetwarzania informacji geologicznej. Prawo do informacji geologicznej stanowi prawo na dobrach niematerialnych i brakuje obecnie wyraźnej podstawy prawnej, na podstawie której PSG mogłaby wystąpić o udostępnienie informacji geologicznej. </w:t>
      </w:r>
      <w:bookmarkEnd w:id="13"/>
      <w:r w:rsidRPr="007F28C1">
        <w:rPr>
          <w:rFonts w:ascii="Times New Roman" w:hAnsi="Times New Roman" w:cs="Times New Roman"/>
          <w:sz w:val="24"/>
          <w:szCs w:val="24"/>
        </w:rPr>
        <w:t>Zgodnie z projektowanym art. 98a P.g.g.</w:t>
      </w:r>
      <w:r w:rsidR="00C706EB">
        <w:rPr>
          <w:rFonts w:ascii="Times New Roman" w:hAnsi="Times New Roman" w:cs="Times New Roman"/>
          <w:sz w:val="24"/>
          <w:szCs w:val="24"/>
        </w:rPr>
        <w:t>,</w:t>
      </w:r>
      <w:r w:rsidRPr="007F28C1">
        <w:rPr>
          <w:rFonts w:ascii="Times New Roman" w:hAnsi="Times New Roman" w:cs="Times New Roman"/>
          <w:sz w:val="24"/>
          <w:szCs w:val="24"/>
        </w:rPr>
        <w:t xml:space="preserve"> każdy, w</w:t>
      </w:r>
      <w:r w:rsidR="009F6F30" w:rsidRPr="007F28C1">
        <w:rPr>
          <w:rFonts w:ascii="Times New Roman" w:hAnsi="Times New Roman" w:cs="Times New Roman"/>
          <w:sz w:val="24"/>
          <w:szCs w:val="24"/>
        </w:rPr>
        <w:t> </w:t>
      </w:r>
      <w:r w:rsidRPr="007F28C1">
        <w:rPr>
          <w:rFonts w:ascii="Times New Roman" w:hAnsi="Times New Roman" w:cs="Times New Roman"/>
          <w:sz w:val="24"/>
          <w:szCs w:val="24"/>
        </w:rPr>
        <w:t>czyim posiadaniu będą się znajdować dokumenty lub inne nośniki, na których jest zapisana informacja geologiczna, do której prawa przysługują Skarbowi Państwa, będzie miał obowiązek ich udostępnienia PSG w celu wykonania kopii we własnym zakresie.</w:t>
      </w:r>
      <w:r w:rsidR="00DC27B7" w:rsidRPr="007F28C1">
        <w:rPr>
          <w:rFonts w:ascii="Times New Roman" w:hAnsi="Times New Roman" w:cs="Times New Roman"/>
          <w:sz w:val="24"/>
          <w:szCs w:val="24"/>
        </w:rPr>
        <w:t xml:space="preserve"> </w:t>
      </w:r>
      <w:r w:rsidR="00F2330D" w:rsidRPr="007F28C1">
        <w:rPr>
          <w:rFonts w:ascii="Times New Roman" w:hAnsi="Times New Roman" w:cs="Times New Roman"/>
          <w:sz w:val="24"/>
          <w:szCs w:val="24"/>
        </w:rPr>
        <w:t xml:space="preserve">Wzmocnieniu ochrony informacji geologicznej służy także </w:t>
      </w:r>
      <w:r w:rsidR="00DC27B7" w:rsidRPr="007F28C1">
        <w:rPr>
          <w:rFonts w:ascii="Times New Roman" w:hAnsi="Times New Roman" w:cs="Times New Roman"/>
          <w:sz w:val="24"/>
          <w:szCs w:val="24"/>
        </w:rPr>
        <w:t>wprowadzon</w:t>
      </w:r>
      <w:r w:rsidR="00F2330D" w:rsidRPr="007F28C1">
        <w:rPr>
          <w:rFonts w:ascii="Times New Roman" w:hAnsi="Times New Roman" w:cs="Times New Roman"/>
          <w:sz w:val="24"/>
          <w:szCs w:val="24"/>
        </w:rPr>
        <w:t>y projektowaną nowelizacją przepis</w:t>
      </w:r>
      <w:r w:rsidR="00DC27B7" w:rsidRPr="007F28C1">
        <w:rPr>
          <w:rFonts w:ascii="Times New Roman" w:hAnsi="Times New Roman" w:cs="Times New Roman"/>
          <w:sz w:val="24"/>
          <w:szCs w:val="24"/>
        </w:rPr>
        <w:t xml:space="preserve"> </w:t>
      </w:r>
      <w:r w:rsidR="00F2330D" w:rsidRPr="007F28C1">
        <w:rPr>
          <w:rFonts w:ascii="Times New Roman" w:hAnsi="Times New Roman" w:cs="Times New Roman"/>
          <w:sz w:val="24"/>
          <w:szCs w:val="24"/>
        </w:rPr>
        <w:t xml:space="preserve">przewidujący </w:t>
      </w:r>
      <w:r w:rsidR="00DC27B7" w:rsidRPr="007F28C1">
        <w:rPr>
          <w:rFonts w:ascii="Times New Roman" w:hAnsi="Times New Roman" w:cs="Times New Roman"/>
          <w:sz w:val="24"/>
          <w:szCs w:val="24"/>
        </w:rPr>
        <w:t>nową podstawę odpowiedzialności karnej w dziale XI. Na podstawie projektowanego art. 18</w:t>
      </w:r>
      <w:r w:rsidR="00955092" w:rsidRPr="007F28C1">
        <w:rPr>
          <w:rFonts w:ascii="Times New Roman" w:hAnsi="Times New Roman" w:cs="Times New Roman"/>
          <w:sz w:val="24"/>
          <w:szCs w:val="24"/>
        </w:rPr>
        <w:t>8</w:t>
      </w:r>
      <w:r w:rsidR="00DC27B7" w:rsidRPr="007F28C1">
        <w:rPr>
          <w:rFonts w:ascii="Times New Roman" w:hAnsi="Times New Roman" w:cs="Times New Roman"/>
          <w:sz w:val="24"/>
          <w:szCs w:val="24"/>
        </w:rPr>
        <w:t xml:space="preserve">a P.g.g. działanie </w:t>
      </w:r>
      <w:r w:rsidR="00DC27B7" w:rsidRPr="007F28C1">
        <w:rPr>
          <w:rFonts w:ascii="Times New Roman" w:hAnsi="Times New Roman" w:cs="Times New Roman"/>
          <w:sz w:val="24"/>
          <w:szCs w:val="24"/>
        </w:rPr>
        <w:lastRenderedPageBreak/>
        <w:t>lub zaniechanie prowadzące do</w:t>
      </w:r>
      <w:r w:rsidR="00613E36" w:rsidRPr="007F28C1">
        <w:rPr>
          <w:rFonts w:ascii="Times New Roman" w:hAnsi="Times New Roman" w:cs="Times New Roman"/>
          <w:sz w:val="24"/>
          <w:szCs w:val="24"/>
        </w:rPr>
        <w:t> </w:t>
      </w:r>
      <w:r w:rsidR="00DC27B7" w:rsidRPr="007F28C1">
        <w:rPr>
          <w:rFonts w:ascii="Times New Roman" w:hAnsi="Times New Roman" w:cs="Times New Roman"/>
          <w:sz w:val="24"/>
          <w:szCs w:val="24"/>
        </w:rPr>
        <w:t xml:space="preserve">nieuprawnionego ujawnienia informacji geologicznej </w:t>
      </w:r>
      <w:r w:rsidR="00E13404" w:rsidRPr="007F28C1">
        <w:rPr>
          <w:rFonts w:ascii="Times New Roman" w:hAnsi="Times New Roman" w:cs="Times New Roman"/>
          <w:sz w:val="24"/>
          <w:szCs w:val="24"/>
        </w:rPr>
        <w:t xml:space="preserve">pozyskanej przez PSG </w:t>
      </w:r>
      <w:r w:rsidR="00DC27B7" w:rsidRPr="007F28C1">
        <w:rPr>
          <w:rFonts w:ascii="Times New Roman" w:hAnsi="Times New Roman" w:cs="Times New Roman"/>
          <w:sz w:val="24"/>
          <w:szCs w:val="24"/>
        </w:rPr>
        <w:t xml:space="preserve">będzie stanowić podstawę do pociągnięcia do odpowiedzialności karnej. </w:t>
      </w:r>
    </w:p>
    <w:p w14:paraId="4C11E1E9" w14:textId="299A1AE7" w:rsidR="00A9128D" w:rsidRPr="007F28C1" w:rsidRDefault="00894E6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Projektowane zmiany przewidują</w:t>
      </w:r>
      <w:r w:rsidR="00D312F4" w:rsidRPr="007F28C1">
        <w:rPr>
          <w:rFonts w:ascii="Times New Roman" w:hAnsi="Times New Roman" w:cs="Times New Roman"/>
          <w:sz w:val="24"/>
          <w:szCs w:val="24"/>
        </w:rPr>
        <w:t xml:space="preserve"> także</w:t>
      </w:r>
      <w:r w:rsidRPr="007F28C1">
        <w:rPr>
          <w:rFonts w:ascii="Times New Roman" w:hAnsi="Times New Roman" w:cs="Times New Roman"/>
          <w:sz w:val="24"/>
          <w:szCs w:val="24"/>
        </w:rPr>
        <w:t xml:space="preserve"> zmianę katalogu zadań</w:t>
      </w:r>
      <w:r w:rsidR="00A51DC3" w:rsidRPr="007F28C1">
        <w:rPr>
          <w:rFonts w:ascii="Times New Roman" w:hAnsi="Times New Roman" w:cs="Times New Roman"/>
          <w:sz w:val="24"/>
          <w:szCs w:val="24"/>
        </w:rPr>
        <w:t xml:space="preserve"> PSG</w:t>
      </w:r>
      <w:r w:rsidRPr="007F28C1">
        <w:rPr>
          <w:rFonts w:ascii="Times New Roman" w:hAnsi="Times New Roman" w:cs="Times New Roman"/>
          <w:sz w:val="24"/>
          <w:szCs w:val="24"/>
        </w:rPr>
        <w:t xml:space="preserve">, zawartego w art. 162 ust. 1 </w:t>
      </w:r>
      <w:r w:rsidR="00D86F47" w:rsidRPr="007F28C1">
        <w:rPr>
          <w:rFonts w:ascii="Times New Roman" w:hAnsi="Times New Roman" w:cs="Times New Roman"/>
          <w:sz w:val="24"/>
          <w:szCs w:val="24"/>
        </w:rPr>
        <w:t>P.g.g.</w:t>
      </w:r>
      <w:r w:rsidR="00F02EA2" w:rsidRPr="007F28C1">
        <w:rPr>
          <w:rFonts w:ascii="Times New Roman" w:hAnsi="Times New Roman" w:cs="Times New Roman"/>
          <w:sz w:val="24"/>
          <w:szCs w:val="24"/>
        </w:rPr>
        <w:t>,</w:t>
      </w:r>
      <w:r w:rsidR="00D86F47" w:rsidRPr="007F28C1">
        <w:rPr>
          <w:rFonts w:ascii="Times New Roman" w:hAnsi="Times New Roman" w:cs="Times New Roman"/>
          <w:sz w:val="24"/>
          <w:szCs w:val="24"/>
        </w:rPr>
        <w:t xml:space="preserve"> </w:t>
      </w:r>
      <w:r w:rsidRPr="007F28C1">
        <w:rPr>
          <w:rFonts w:ascii="Times New Roman" w:hAnsi="Times New Roman" w:cs="Times New Roman"/>
          <w:sz w:val="24"/>
          <w:szCs w:val="24"/>
        </w:rPr>
        <w:t>w zakresie usunięcia zadani</w:t>
      </w:r>
      <w:r w:rsidR="00D312F4" w:rsidRPr="007F28C1">
        <w:rPr>
          <w:rFonts w:ascii="Times New Roman" w:hAnsi="Times New Roman" w:cs="Times New Roman"/>
          <w:sz w:val="24"/>
          <w:szCs w:val="24"/>
        </w:rPr>
        <w:t>a</w:t>
      </w:r>
      <w:r w:rsidRPr="007F28C1">
        <w:rPr>
          <w:rFonts w:ascii="Times New Roman" w:hAnsi="Times New Roman" w:cs="Times New Roman"/>
          <w:sz w:val="24"/>
          <w:szCs w:val="24"/>
        </w:rPr>
        <w:t xml:space="preserve"> dotyczące</w:t>
      </w:r>
      <w:r w:rsidR="00D312F4" w:rsidRPr="007F28C1">
        <w:rPr>
          <w:rFonts w:ascii="Times New Roman" w:hAnsi="Times New Roman" w:cs="Times New Roman"/>
          <w:sz w:val="24"/>
          <w:szCs w:val="24"/>
        </w:rPr>
        <w:t>go</w:t>
      </w:r>
      <w:r w:rsidRPr="007F28C1">
        <w:rPr>
          <w:rFonts w:ascii="Times New Roman" w:hAnsi="Times New Roman" w:cs="Times New Roman"/>
          <w:sz w:val="24"/>
          <w:szCs w:val="24"/>
        </w:rPr>
        <w:t xml:space="preserve"> sprawdzania prawidłowości poboru próbek z wykonania robót geologicznych oraz innych czynności pomocniczych na podstawie odrębnego upoważnienia właściwego organu administracji geologicznej. Zadanie to w obecnym stanie prawnym </w:t>
      </w:r>
      <w:r w:rsidR="00F02EA2" w:rsidRPr="007F28C1">
        <w:rPr>
          <w:rFonts w:ascii="Times New Roman" w:hAnsi="Times New Roman" w:cs="Times New Roman"/>
          <w:sz w:val="24"/>
          <w:szCs w:val="24"/>
        </w:rPr>
        <w:t xml:space="preserve">zostało </w:t>
      </w:r>
      <w:r w:rsidRPr="007F28C1">
        <w:rPr>
          <w:rFonts w:ascii="Times New Roman" w:hAnsi="Times New Roman" w:cs="Times New Roman"/>
          <w:sz w:val="24"/>
          <w:szCs w:val="24"/>
        </w:rPr>
        <w:t xml:space="preserve">błędnie zakwalifikowane jako zadanie ustawowe PSG. </w:t>
      </w:r>
      <w:r w:rsidR="00D312F4" w:rsidRPr="007F28C1">
        <w:rPr>
          <w:rFonts w:ascii="Times New Roman" w:hAnsi="Times New Roman" w:cs="Times New Roman"/>
          <w:sz w:val="24"/>
          <w:szCs w:val="24"/>
        </w:rPr>
        <w:t>Ma ono bowiem</w:t>
      </w:r>
      <w:r w:rsidRPr="007F28C1">
        <w:rPr>
          <w:rFonts w:ascii="Times New Roman" w:hAnsi="Times New Roman" w:cs="Times New Roman"/>
          <w:sz w:val="24"/>
          <w:szCs w:val="24"/>
        </w:rPr>
        <w:t xml:space="preserve"> nadzorczy charakter </w:t>
      </w:r>
      <w:r w:rsidR="00D312F4" w:rsidRPr="007F28C1">
        <w:rPr>
          <w:rFonts w:ascii="Times New Roman" w:hAnsi="Times New Roman" w:cs="Times New Roman"/>
          <w:sz w:val="24"/>
          <w:szCs w:val="24"/>
        </w:rPr>
        <w:t xml:space="preserve">i z uwagi na jego </w:t>
      </w:r>
      <w:r w:rsidR="00FB7AFF" w:rsidRPr="007F28C1">
        <w:rPr>
          <w:rFonts w:ascii="Times New Roman" w:hAnsi="Times New Roman" w:cs="Times New Roman"/>
          <w:sz w:val="24"/>
          <w:szCs w:val="24"/>
        </w:rPr>
        <w:t xml:space="preserve">specyfikę </w:t>
      </w:r>
      <w:r w:rsidRPr="007F28C1">
        <w:rPr>
          <w:rFonts w:ascii="Times New Roman" w:hAnsi="Times New Roman" w:cs="Times New Roman"/>
          <w:sz w:val="24"/>
          <w:szCs w:val="24"/>
        </w:rPr>
        <w:t xml:space="preserve">powinno mieć jedynie charakter doraźny, uzależniony od powierzenia jego realizacji </w:t>
      </w:r>
      <w:r w:rsidR="00D312F4" w:rsidRPr="007F28C1">
        <w:rPr>
          <w:rFonts w:ascii="Times New Roman" w:hAnsi="Times New Roman" w:cs="Times New Roman"/>
          <w:sz w:val="24"/>
          <w:szCs w:val="24"/>
        </w:rPr>
        <w:t xml:space="preserve">przez </w:t>
      </w:r>
      <w:r w:rsidRPr="007F28C1">
        <w:rPr>
          <w:rFonts w:ascii="Times New Roman" w:hAnsi="Times New Roman" w:cs="Times New Roman"/>
          <w:sz w:val="24"/>
          <w:szCs w:val="24"/>
        </w:rPr>
        <w:t xml:space="preserve">ministra </w:t>
      </w:r>
      <w:r w:rsidR="001001DE" w:rsidRPr="007F28C1">
        <w:rPr>
          <w:rFonts w:ascii="Times New Roman" w:hAnsi="Times New Roman" w:cs="Times New Roman"/>
          <w:sz w:val="24"/>
          <w:szCs w:val="24"/>
        </w:rPr>
        <w:t>nadzorującego PSG</w:t>
      </w:r>
      <w:r w:rsidRPr="007F28C1">
        <w:rPr>
          <w:rFonts w:ascii="Times New Roman" w:hAnsi="Times New Roman" w:cs="Times New Roman"/>
          <w:sz w:val="24"/>
          <w:szCs w:val="24"/>
        </w:rPr>
        <w:t>. Tym samym bardziej adekwatna jest jego realizacja w</w:t>
      </w:r>
      <w:r w:rsidR="009F6F30" w:rsidRPr="007F28C1">
        <w:rPr>
          <w:rFonts w:ascii="Times New Roman" w:hAnsi="Times New Roman" w:cs="Times New Roman"/>
          <w:sz w:val="24"/>
          <w:szCs w:val="24"/>
        </w:rPr>
        <w:t> </w:t>
      </w:r>
      <w:r w:rsidRPr="007F28C1">
        <w:rPr>
          <w:rFonts w:ascii="Times New Roman" w:hAnsi="Times New Roman" w:cs="Times New Roman"/>
          <w:sz w:val="24"/>
          <w:szCs w:val="24"/>
        </w:rPr>
        <w:t>oparciu o art. 162 ust. 2 P.g.g</w:t>
      </w:r>
      <w:r w:rsidR="00881C97">
        <w:rPr>
          <w:rFonts w:ascii="Times New Roman" w:hAnsi="Times New Roman" w:cs="Times New Roman"/>
          <w:sz w:val="24"/>
          <w:szCs w:val="24"/>
        </w:rPr>
        <w:t>.</w:t>
      </w:r>
      <w:r w:rsidR="00D312F4" w:rsidRPr="007F28C1">
        <w:rPr>
          <w:rFonts w:ascii="Times New Roman" w:hAnsi="Times New Roman" w:cs="Times New Roman"/>
          <w:sz w:val="24"/>
          <w:szCs w:val="24"/>
        </w:rPr>
        <w:t xml:space="preserve">, który wskazuje, że PSG realizuje inne niż ustawowe zadania państwa w zakresie geologii, które zostaną powierzone przez </w:t>
      </w:r>
      <w:r w:rsidR="001001DE" w:rsidRPr="007F28C1">
        <w:rPr>
          <w:rFonts w:ascii="Times New Roman" w:hAnsi="Times New Roman" w:cs="Times New Roman"/>
          <w:sz w:val="24"/>
          <w:szCs w:val="24"/>
        </w:rPr>
        <w:t xml:space="preserve">nadzorującego </w:t>
      </w:r>
      <w:r w:rsidR="00D312F4" w:rsidRPr="007F28C1">
        <w:rPr>
          <w:rFonts w:ascii="Times New Roman" w:hAnsi="Times New Roman" w:cs="Times New Roman"/>
          <w:sz w:val="24"/>
          <w:szCs w:val="24"/>
        </w:rPr>
        <w:t>ministra</w:t>
      </w:r>
      <w:r w:rsidRPr="007F28C1">
        <w:rPr>
          <w:rFonts w:ascii="Times New Roman" w:hAnsi="Times New Roman" w:cs="Times New Roman"/>
          <w:sz w:val="24"/>
          <w:szCs w:val="24"/>
        </w:rPr>
        <w:t xml:space="preserve">. </w:t>
      </w:r>
      <w:r w:rsidR="00D312F4" w:rsidRPr="007F28C1">
        <w:rPr>
          <w:rFonts w:ascii="Times New Roman" w:hAnsi="Times New Roman" w:cs="Times New Roman"/>
          <w:sz w:val="24"/>
          <w:szCs w:val="24"/>
        </w:rPr>
        <w:t>Należy też zwrócić uwagę, że r</w:t>
      </w:r>
      <w:r w:rsidRPr="007F28C1">
        <w:rPr>
          <w:rFonts w:ascii="Times New Roman" w:hAnsi="Times New Roman" w:cs="Times New Roman"/>
          <w:sz w:val="24"/>
          <w:szCs w:val="24"/>
        </w:rPr>
        <w:t xml:space="preserve">ealizacja zadania wymaga odpowiedniego upoważnienia pracowników PSG przez właściwy </w:t>
      </w:r>
      <w:r w:rsidR="00D312F4" w:rsidRPr="007F28C1">
        <w:rPr>
          <w:rFonts w:ascii="Times New Roman" w:hAnsi="Times New Roman" w:cs="Times New Roman"/>
          <w:sz w:val="24"/>
          <w:szCs w:val="24"/>
        </w:rPr>
        <w:t>OAG</w:t>
      </w:r>
      <w:r w:rsidRPr="007F28C1">
        <w:rPr>
          <w:rFonts w:ascii="Times New Roman" w:hAnsi="Times New Roman" w:cs="Times New Roman"/>
          <w:sz w:val="24"/>
          <w:szCs w:val="24"/>
        </w:rPr>
        <w:t xml:space="preserve"> na podstawie obecnego art. 153 ust. 2</w:t>
      </w:r>
      <w:r w:rsidR="00955092" w:rsidRPr="007F28C1">
        <w:rPr>
          <w:rFonts w:ascii="Times New Roman" w:hAnsi="Times New Roman" w:cs="Times New Roman"/>
          <w:sz w:val="24"/>
          <w:szCs w:val="24"/>
        </w:rPr>
        <w:t xml:space="preserve"> P.g.g</w:t>
      </w:r>
      <w:r w:rsidRPr="007F28C1">
        <w:rPr>
          <w:rFonts w:ascii="Times New Roman" w:hAnsi="Times New Roman" w:cs="Times New Roman"/>
          <w:sz w:val="24"/>
          <w:szCs w:val="24"/>
        </w:rPr>
        <w:t>. Projektowana nowelizacja przewiduje</w:t>
      </w:r>
      <w:r w:rsidR="00D312F4" w:rsidRPr="007F28C1">
        <w:rPr>
          <w:rFonts w:ascii="Times New Roman" w:hAnsi="Times New Roman" w:cs="Times New Roman"/>
          <w:sz w:val="24"/>
          <w:szCs w:val="24"/>
        </w:rPr>
        <w:t xml:space="preserve"> w związku z powyższym</w:t>
      </w:r>
      <w:r w:rsidRPr="007F28C1">
        <w:rPr>
          <w:rFonts w:ascii="Times New Roman" w:hAnsi="Times New Roman" w:cs="Times New Roman"/>
          <w:sz w:val="24"/>
          <w:szCs w:val="24"/>
        </w:rPr>
        <w:t xml:space="preserve"> dodanie sprawdz</w:t>
      </w:r>
      <w:r w:rsidR="00D312F4" w:rsidRPr="007F28C1">
        <w:rPr>
          <w:rFonts w:ascii="Times New Roman" w:hAnsi="Times New Roman" w:cs="Times New Roman"/>
          <w:sz w:val="24"/>
          <w:szCs w:val="24"/>
        </w:rPr>
        <w:t>a</w:t>
      </w:r>
      <w:r w:rsidRPr="007F28C1">
        <w:rPr>
          <w:rFonts w:ascii="Times New Roman" w:hAnsi="Times New Roman" w:cs="Times New Roman"/>
          <w:sz w:val="24"/>
          <w:szCs w:val="24"/>
        </w:rPr>
        <w:t>ni</w:t>
      </w:r>
      <w:r w:rsidR="00FB7AFF" w:rsidRPr="007F28C1">
        <w:rPr>
          <w:rFonts w:ascii="Times New Roman" w:hAnsi="Times New Roman" w:cs="Times New Roman"/>
          <w:sz w:val="24"/>
          <w:szCs w:val="24"/>
        </w:rPr>
        <w:t>a</w:t>
      </w:r>
      <w:r w:rsidRPr="007F28C1">
        <w:rPr>
          <w:rFonts w:ascii="Times New Roman" w:hAnsi="Times New Roman" w:cs="Times New Roman"/>
          <w:sz w:val="24"/>
          <w:szCs w:val="24"/>
        </w:rPr>
        <w:t xml:space="preserve"> prawidłowości poboru próbek z wykonania robót geologicznych do katalogu uprawnień nadzorczych przysługujących pr</w:t>
      </w:r>
      <w:r w:rsidR="00D312F4" w:rsidRPr="007F28C1">
        <w:rPr>
          <w:rFonts w:ascii="Times New Roman" w:hAnsi="Times New Roman" w:cs="Times New Roman"/>
          <w:sz w:val="24"/>
          <w:szCs w:val="24"/>
        </w:rPr>
        <w:t>a</w:t>
      </w:r>
      <w:r w:rsidRPr="007F28C1">
        <w:rPr>
          <w:rFonts w:ascii="Times New Roman" w:hAnsi="Times New Roman" w:cs="Times New Roman"/>
          <w:sz w:val="24"/>
          <w:szCs w:val="24"/>
        </w:rPr>
        <w:t xml:space="preserve">cownikom OAG oraz organów nadzoru górniczego przez dodanie pkt 8 do art. 153 ust. 1 P.g.g. Nowelizacja przewiduje też zmianę art. 153 ust. 2 </w:t>
      </w:r>
      <w:r w:rsidR="00955092" w:rsidRPr="007F28C1">
        <w:rPr>
          <w:rFonts w:ascii="Times New Roman" w:hAnsi="Times New Roman" w:cs="Times New Roman"/>
          <w:sz w:val="24"/>
          <w:szCs w:val="24"/>
        </w:rPr>
        <w:t>P.g.g.</w:t>
      </w:r>
      <w:r w:rsidR="00DD15BF">
        <w:rPr>
          <w:rFonts w:ascii="Times New Roman" w:hAnsi="Times New Roman" w:cs="Times New Roman"/>
          <w:sz w:val="24"/>
          <w:szCs w:val="24"/>
        </w:rPr>
        <w:t>,</w:t>
      </w:r>
      <w:r w:rsidR="00955092" w:rsidRPr="007F28C1">
        <w:rPr>
          <w:rFonts w:ascii="Times New Roman" w:hAnsi="Times New Roman" w:cs="Times New Roman"/>
          <w:sz w:val="24"/>
          <w:szCs w:val="24"/>
        </w:rPr>
        <w:t xml:space="preserve"> </w:t>
      </w:r>
      <w:r w:rsidR="00A51DC3" w:rsidRPr="007F28C1">
        <w:rPr>
          <w:rFonts w:ascii="Times New Roman" w:hAnsi="Times New Roman" w:cs="Times New Roman"/>
          <w:sz w:val="24"/>
          <w:szCs w:val="24"/>
        </w:rPr>
        <w:t>wskazując</w:t>
      </w:r>
      <w:r w:rsidRPr="007F28C1">
        <w:rPr>
          <w:rFonts w:ascii="Times New Roman" w:hAnsi="Times New Roman" w:cs="Times New Roman"/>
          <w:sz w:val="24"/>
          <w:szCs w:val="24"/>
        </w:rPr>
        <w:t>, że</w:t>
      </w:r>
      <w:r w:rsidR="005B7604" w:rsidRPr="007F28C1">
        <w:rPr>
          <w:rFonts w:ascii="Times New Roman" w:hAnsi="Times New Roman" w:cs="Times New Roman"/>
          <w:sz w:val="24"/>
          <w:szCs w:val="24"/>
        </w:rPr>
        <w:t xml:space="preserve"> </w:t>
      </w:r>
      <w:r w:rsidR="00520019" w:rsidRPr="007F28C1">
        <w:rPr>
          <w:rFonts w:ascii="Times New Roman" w:hAnsi="Times New Roman" w:cs="Times New Roman"/>
          <w:sz w:val="24"/>
          <w:szCs w:val="24"/>
        </w:rPr>
        <w:t>minister właściwy do spraw środowiska</w:t>
      </w:r>
      <w:r w:rsidR="0056410F" w:rsidRPr="007F28C1">
        <w:rPr>
          <w:rFonts w:ascii="Times New Roman" w:hAnsi="Times New Roman" w:cs="Times New Roman"/>
          <w:sz w:val="24"/>
          <w:szCs w:val="24"/>
        </w:rPr>
        <w:t xml:space="preserve"> </w:t>
      </w:r>
      <w:r w:rsidRPr="007F28C1">
        <w:rPr>
          <w:rFonts w:ascii="Times New Roman" w:hAnsi="Times New Roman" w:cs="Times New Roman"/>
          <w:sz w:val="24"/>
          <w:szCs w:val="24"/>
        </w:rPr>
        <w:t>będzie mógł upoważnić PSG do wykonywania czynności w zakresie sprawdzeni</w:t>
      </w:r>
      <w:r w:rsidR="00F02EA2" w:rsidRPr="007F28C1">
        <w:rPr>
          <w:rFonts w:ascii="Times New Roman" w:hAnsi="Times New Roman" w:cs="Times New Roman"/>
          <w:sz w:val="24"/>
          <w:szCs w:val="24"/>
        </w:rPr>
        <w:t>a</w:t>
      </w:r>
      <w:r w:rsidRPr="007F28C1">
        <w:rPr>
          <w:rFonts w:ascii="Times New Roman" w:hAnsi="Times New Roman" w:cs="Times New Roman"/>
          <w:sz w:val="24"/>
          <w:szCs w:val="24"/>
        </w:rPr>
        <w:t xml:space="preserve"> prawidłowości poboru próbek z wykonania robót geologicznych. Upoważnienie do</w:t>
      </w:r>
      <w:r w:rsidR="00D978C1" w:rsidRPr="007F28C1">
        <w:rPr>
          <w:rFonts w:ascii="Times New Roman" w:hAnsi="Times New Roman" w:cs="Times New Roman"/>
          <w:sz w:val="24"/>
          <w:szCs w:val="24"/>
        </w:rPr>
        <w:t> </w:t>
      </w:r>
      <w:r w:rsidRPr="007F28C1">
        <w:rPr>
          <w:rFonts w:ascii="Times New Roman" w:hAnsi="Times New Roman" w:cs="Times New Roman"/>
          <w:sz w:val="24"/>
          <w:szCs w:val="24"/>
        </w:rPr>
        <w:t>wykonywania zadania będzie więc udzielane PIG-PIB jako instytucji pełniącej obowiązki</w:t>
      </w:r>
      <w:r w:rsidR="00D312F4" w:rsidRPr="007F28C1">
        <w:rPr>
          <w:rFonts w:ascii="Times New Roman" w:hAnsi="Times New Roman" w:cs="Times New Roman"/>
          <w:sz w:val="24"/>
          <w:szCs w:val="24"/>
        </w:rPr>
        <w:t xml:space="preserve"> PSG</w:t>
      </w:r>
      <w:r w:rsidRPr="007F28C1">
        <w:rPr>
          <w:rFonts w:ascii="Times New Roman" w:hAnsi="Times New Roman" w:cs="Times New Roman"/>
          <w:sz w:val="24"/>
          <w:szCs w:val="24"/>
        </w:rPr>
        <w:t xml:space="preserve">, która następnie będzie upoważniać w tym zakresie swoich pracowników. Usprawni to realizację zadań </w:t>
      </w:r>
      <w:r w:rsidR="00D312F4" w:rsidRPr="007F28C1">
        <w:rPr>
          <w:rFonts w:ascii="Times New Roman" w:hAnsi="Times New Roman" w:cs="Times New Roman"/>
          <w:sz w:val="24"/>
          <w:szCs w:val="24"/>
        </w:rPr>
        <w:t>w</w:t>
      </w:r>
      <w:r w:rsidR="00613E36" w:rsidRPr="007F28C1">
        <w:rPr>
          <w:rFonts w:ascii="Times New Roman" w:hAnsi="Times New Roman" w:cs="Times New Roman"/>
          <w:sz w:val="24"/>
          <w:szCs w:val="24"/>
        </w:rPr>
        <w:t> </w:t>
      </w:r>
      <w:r w:rsidR="00D312F4" w:rsidRPr="007F28C1">
        <w:rPr>
          <w:rFonts w:ascii="Times New Roman" w:hAnsi="Times New Roman" w:cs="Times New Roman"/>
          <w:sz w:val="24"/>
          <w:szCs w:val="24"/>
        </w:rPr>
        <w:t>zakresie</w:t>
      </w:r>
      <w:r w:rsidR="00A9128D" w:rsidRPr="007F28C1">
        <w:rPr>
          <w:rFonts w:ascii="Times New Roman" w:hAnsi="Times New Roman" w:cs="Times New Roman"/>
          <w:sz w:val="24"/>
          <w:szCs w:val="24"/>
        </w:rPr>
        <w:t xml:space="preserve"> sprawdzania prawidłowości poboru próbek</w:t>
      </w:r>
      <w:r w:rsidRPr="007F28C1">
        <w:rPr>
          <w:rFonts w:ascii="Times New Roman" w:hAnsi="Times New Roman" w:cs="Times New Roman"/>
          <w:sz w:val="24"/>
          <w:szCs w:val="24"/>
        </w:rPr>
        <w:t>, gdyż upoważnianie konkretnych pracowników będzie odbywało się</w:t>
      </w:r>
      <w:r w:rsidR="00517580" w:rsidRPr="007F28C1">
        <w:rPr>
          <w:rFonts w:ascii="Times New Roman" w:hAnsi="Times New Roman" w:cs="Times New Roman"/>
          <w:sz w:val="24"/>
          <w:szCs w:val="24"/>
        </w:rPr>
        <w:t xml:space="preserve"> </w:t>
      </w:r>
      <w:r w:rsidR="00E13404" w:rsidRPr="007F28C1">
        <w:rPr>
          <w:rFonts w:ascii="Times New Roman" w:hAnsi="Times New Roman" w:cs="Times New Roman"/>
          <w:sz w:val="24"/>
          <w:szCs w:val="24"/>
        </w:rPr>
        <w:t xml:space="preserve">w </w:t>
      </w:r>
      <w:r w:rsidRPr="007F28C1">
        <w:rPr>
          <w:rFonts w:ascii="Times New Roman" w:hAnsi="Times New Roman" w:cs="Times New Roman"/>
          <w:sz w:val="24"/>
          <w:szCs w:val="24"/>
        </w:rPr>
        <w:t>obrębie</w:t>
      </w:r>
      <w:r w:rsidR="00A9128D" w:rsidRPr="007F28C1">
        <w:rPr>
          <w:rFonts w:ascii="Times New Roman" w:hAnsi="Times New Roman" w:cs="Times New Roman"/>
          <w:sz w:val="24"/>
          <w:szCs w:val="24"/>
        </w:rPr>
        <w:t xml:space="preserve"> jednej</w:t>
      </w:r>
      <w:r w:rsidRPr="007F28C1">
        <w:rPr>
          <w:rFonts w:ascii="Times New Roman" w:hAnsi="Times New Roman" w:cs="Times New Roman"/>
          <w:sz w:val="24"/>
          <w:szCs w:val="24"/>
        </w:rPr>
        <w:t xml:space="preserve"> instytucji</w:t>
      </w:r>
      <w:r w:rsidR="00D312F4" w:rsidRPr="007F28C1">
        <w:rPr>
          <w:rFonts w:ascii="Times New Roman" w:hAnsi="Times New Roman" w:cs="Times New Roman"/>
          <w:sz w:val="24"/>
          <w:szCs w:val="24"/>
        </w:rPr>
        <w:t xml:space="preserve"> i nie będzie musiało </w:t>
      </w:r>
      <w:r w:rsidR="00A9128D" w:rsidRPr="007F28C1">
        <w:rPr>
          <w:rFonts w:ascii="Times New Roman" w:hAnsi="Times New Roman" w:cs="Times New Roman"/>
          <w:sz w:val="24"/>
          <w:szCs w:val="24"/>
        </w:rPr>
        <w:t>wiązać się z procedurą długich i</w:t>
      </w:r>
      <w:r w:rsidR="00613E36" w:rsidRPr="007F28C1">
        <w:rPr>
          <w:rFonts w:ascii="Times New Roman" w:hAnsi="Times New Roman" w:cs="Times New Roman"/>
          <w:sz w:val="24"/>
          <w:szCs w:val="24"/>
        </w:rPr>
        <w:t> </w:t>
      </w:r>
      <w:r w:rsidR="00A9128D" w:rsidRPr="007F28C1">
        <w:rPr>
          <w:rFonts w:ascii="Times New Roman" w:hAnsi="Times New Roman" w:cs="Times New Roman"/>
          <w:sz w:val="24"/>
          <w:szCs w:val="24"/>
        </w:rPr>
        <w:t>formalnych uzgodnień między urzędem obsługującym ministra właściwego do spraw</w:t>
      </w:r>
      <w:r w:rsidR="00520019" w:rsidRPr="007F28C1">
        <w:rPr>
          <w:rFonts w:ascii="Times New Roman" w:hAnsi="Times New Roman" w:cs="Times New Roman"/>
          <w:sz w:val="24"/>
          <w:szCs w:val="24"/>
        </w:rPr>
        <w:t xml:space="preserve"> środowiska</w:t>
      </w:r>
      <w:r w:rsidR="00A9128D" w:rsidRPr="007F28C1">
        <w:rPr>
          <w:rFonts w:ascii="Times New Roman" w:hAnsi="Times New Roman" w:cs="Times New Roman"/>
          <w:sz w:val="24"/>
          <w:szCs w:val="24"/>
        </w:rPr>
        <w:t xml:space="preserve"> a</w:t>
      </w:r>
      <w:r w:rsidR="00D978C1" w:rsidRPr="007F28C1">
        <w:rPr>
          <w:rFonts w:ascii="Times New Roman" w:hAnsi="Times New Roman" w:cs="Times New Roman"/>
          <w:sz w:val="24"/>
          <w:szCs w:val="24"/>
        </w:rPr>
        <w:t> </w:t>
      </w:r>
      <w:r w:rsidR="00A9128D" w:rsidRPr="007F28C1">
        <w:rPr>
          <w:rFonts w:ascii="Times New Roman" w:hAnsi="Times New Roman" w:cs="Times New Roman"/>
          <w:sz w:val="24"/>
          <w:szCs w:val="24"/>
        </w:rPr>
        <w:t>PI</w:t>
      </w:r>
      <w:r w:rsidR="00FB7AFF" w:rsidRPr="007F28C1">
        <w:rPr>
          <w:rFonts w:ascii="Times New Roman" w:hAnsi="Times New Roman" w:cs="Times New Roman"/>
          <w:sz w:val="24"/>
          <w:szCs w:val="24"/>
        </w:rPr>
        <w:t>G</w:t>
      </w:r>
      <w:r w:rsidR="00A9128D" w:rsidRPr="007F28C1">
        <w:rPr>
          <w:rFonts w:ascii="Times New Roman" w:hAnsi="Times New Roman" w:cs="Times New Roman"/>
          <w:sz w:val="24"/>
          <w:szCs w:val="24"/>
        </w:rPr>
        <w:t>-PIB</w:t>
      </w:r>
      <w:r w:rsidRPr="007F28C1">
        <w:rPr>
          <w:rFonts w:ascii="Times New Roman" w:hAnsi="Times New Roman" w:cs="Times New Roman"/>
          <w:sz w:val="24"/>
          <w:szCs w:val="24"/>
        </w:rPr>
        <w:t xml:space="preserve">. Ponadto do katalogu zadań PSG </w:t>
      </w:r>
      <w:r w:rsidR="00F02EA2" w:rsidRPr="007F28C1">
        <w:rPr>
          <w:rFonts w:ascii="Times New Roman" w:hAnsi="Times New Roman" w:cs="Times New Roman"/>
          <w:sz w:val="24"/>
          <w:szCs w:val="24"/>
        </w:rPr>
        <w:t xml:space="preserve">zostały </w:t>
      </w:r>
      <w:r w:rsidRPr="007F28C1">
        <w:rPr>
          <w:rFonts w:ascii="Times New Roman" w:hAnsi="Times New Roman" w:cs="Times New Roman"/>
          <w:sz w:val="24"/>
          <w:szCs w:val="24"/>
        </w:rPr>
        <w:t>dodane nowe zadania związan</w:t>
      </w:r>
      <w:r w:rsidR="00863796" w:rsidRPr="007F28C1">
        <w:rPr>
          <w:rFonts w:ascii="Times New Roman" w:hAnsi="Times New Roman" w:cs="Times New Roman"/>
          <w:sz w:val="24"/>
          <w:szCs w:val="24"/>
        </w:rPr>
        <w:t>e</w:t>
      </w:r>
      <w:r w:rsidRPr="007F28C1">
        <w:rPr>
          <w:rFonts w:ascii="Times New Roman" w:hAnsi="Times New Roman" w:cs="Times New Roman"/>
          <w:sz w:val="24"/>
          <w:szCs w:val="24"/>
        </w:rPr>
        <w:t xml:space="preserve"> z </w:t>
      </w:r>
      <w:r w:rsidR="00863796" w:rsidRPr="007F28C1">
        <w:rPr>
          <w:rFonts w:ascii="Times New Roman" w:hAnsi="Times New Roman" w:cs="Times New Roman"/>
          <w:sz w:val="24"/>
          <w:szCs w:val="24"/>
        </w:rPr>
        <w:t xml:space="preserve">gromadzeniem </w:t>
      </w:r>
      <w:r w:rsidR="00E13404" w:rsidRPr="007F28C1">
        <w:rPr>
          <w:rFonts w:ascii="Times New Roman" w:hAnsi="Times New Roman" w:cs="Times New Roman"/>
          <w:sz w:val="24"/>
          <w:szCs w:val="24"/>
        </w:rPr>
        <w:t>i</w:t>
      </w:r>
      <w:r w:rsidR="00705A7E" w:rsidRPr="007F28C1">
        <w:rPr>
          <w:rFonts w:ascii="Times New Roman" w:hAnsi="Times New Roman" w:cs="Times New Roman"/>
          <w:sz w:val="24"/>
          <w:szCs w:val="24"/>
        </w:rPr>
        <w:t> </w:t>
      </w:r>
      <w:r w:rsidR="00E13404" w:rsidRPr="007F28C1">
        <w:rPr>
          <w:rFonts w:ascii="Times New Roman" w:hAnsi="Times New Roman" w:cs="Times New Roman"/>
          <w:sz w:val="24"/>
          <w:szCs w:val="24"/>
        </w:rPr>
        <w:t xml:space="preserve">przetwarzaniem </w:t>
      </w:r>
      <w:r w:rsidR="00863796" w:rsidRPr="007F28C1">
        <w:rPr>
          <w:rFonts w:ascii="Times New Roman" w:hAnsi="Times New Roman" w:cs="Times New Roman"/>
          <w:sz w:val="24"/>
          <w:szCs w:val="24"/>
        </w:rPr>
        <w:t>informacji o wynikach z bieżącego monitorowania podziemnych bezzbiornikowych magazynów substancji oraz podziemnych składowisk odpadów</w:t>
      </w:r>
      <w:r w:rsidR="00A51DC3" w:rsidRPr="007F28C1">
        <w:rPr>
          <w:rFonts w:ascii="Times New Roman" w:hAnsi="Times New Roman" w:cs="Times New Roman"/>
          <w:sz w:val="24"/>
          <w:szCs w:val="24"/>
        </w:rPr>
        <w:t xml:space="preserve"> </w:t>
      </w:r>
      <w:r w:rsidR="00863796" w:rsidRPr="007F28C1">
        <w:rPr>
          <w:rFonts w:ascii="Times New Roman" w:hAnsi="Times New Roman" w:cs="Times New Roman"/>
          <w:sz w:val="24"/>
          <w:szCs w:val="24"/>
        </w:rPr>
        <w:t>oraz sporządzanie</w:t>
      </w:r>
      <w:r w:rsidR="00F91365">
        <w:rPr>
          <w:rFonts w:ascii="Times New Roman" w:hAnsi="Times New Roman" w:cs="Times New Roman"/>
          <w:sz w:val="24"/>
          <w:szCs w:val="24"/>
        </w:rPr>
        <w:t>m</w:t>
      </w:r>
      <w:r w:rsidR="00863796" w:rsidRPr="007F28C1">
        <w:rPr>
          <w:rFonts w:ascii="Times New Roman" w:hAnsi="Times New Roman" w:cs="Times New Roman"/>
          <w:sz w:val="24"/>
          <w:szCs w:val="24"/>
        </w:rPr>
        <w:t xml:space="preserve"> na ich podstawie analiz</w:t>
      </w:r>
      <w:r w:rsidR="00070B64" w:rsidRPr="007F28C1">
        <w:rPr>
          <w:rFonts w:ascii="Times New Roman" w:hAnsi="Times New Roman" w:cs="Times New Roman"/>
          <w:sz w:val="24"/>
          <w:szCs w:val="24"/>
        </w:rPr>
        <w:t>, a także</w:t>
      </w:r>
      <w:r w:rsidR="00863796" w:rsidRPr="007F28C1">
        <w:rPr>
          <w:rFonts w:ascii="Times New Roman" w:hAnsi="Times New Roman" w:cs="Times New Roman"/>
          <w:sz w:val="24"/>
          <w:szCs w:val="24"/>
        </w:rPr>
        <w:t xml:space="preserve"> </w:t>
      </w:r>
      <w:r w:rsidR="00E13404" w:rsidRPr="007F28C1">
        <w:rPr>
          <w:rFonts w:ascii="Times New Roman" w:hAnsi="Times New Roman" w:cs="Times New Roman"/>
          <w:sz w:val="24"/>
          <w:szCs w:val="24"/>
        </w:rPr>
        <w:t>przekazywanie</w:t>
      </w:r>
      <w:r w:rsidR="00F91365">
        <w:rPr>
          <w:rFonts w:ascii="Times New Roman" w:hAnsi="Times New Roman" w:cs="Times New Roman"/>
          <w:sz w:val="24"/>
          <w:szCs w:val="24"/>
        </w:rPr>
        <w:t>m</w:t>
      </w:r>
      <w:r w:rsidR="00E13404" w:rsidRPr="007F28C1">
        <w:rPr>
          <w:rFonts w:ascii="Times New Roman" w:hAnsi="Times New Roman" w:cs="Times New Roman"/>
          <w:sz w:val="24"/>
          <w:szCs w:val="24"/>
        </w:rPr>
        <w:t xml:space="preserve"> corocznie </w:t>
      </w:r>
      <w:r w:rsidR="00520019" w:rsidRPr="007F28C1">
        <w:rPr>
          <w:rFonts w:ascii="Times New Roman" w:hAnsi="Times New Roman" w:cs="Times New Roman"/>
          <w:sz w:val="24"/>
          <w:szCs w:val="24"/>
        </w:rPr>
        <w:t>ministrowi właściwemu do spraw środowiska</w:t>
      </w:r>
      <w:r w:rsidR="000F0EAD" w:rsidRPr="007F28C1">
        <w:rPr>
          <w:rFonts w:ascii="Times New Roman" w:hAnsi="Times New Roman" w:cs="Times New Roman"/>
          <w:sz w:val="24"/>
          <w:szCs w:val="24"/>
        </w:rPr>
        <w:t xml:space="preserve"> </w:t>
      </w:r>
      <w:r w:rsidR="00E13404" w:rsidRPr="007F28C1">
        <w:rPr>
          <w:rFonts w:ascii="Times New Roman" w:hAnsi="Times New Roman" w:cs="Times New Roman"/>
          <w:sz w:val="24"/>
          <w:szCs w:val="24"/>
        </w:rPr>
        <w:t xml:space="preserve">oraz właściwemu organowi nadzoru geologicznego </w:t>
      </w:r>
      <w:r w:rsidR="00162505" w:rsidRPr="007F28C1">
        <w:rPr>
          <w:rFonts w:ascii="Times New Roman" w:hAnsi="Times New Roman" w:cs="Times New Roman"/>
          <w:sz w:val="24"/>
          <w:szCs w:val="24"/>
        </w:rPr>
        <w:t>wyni</w:t>
      </w:r>
      <w:r w:rsidR="00B13253" w:rsidRPr="007F28C1">
        <w:rPr>
          <w:rFonts w:ascii="Times New Roman" w:hAnsi="Times New Roman" w:cs="Times New Roman"/>
          <w:sz w:val="24"/>
          <w:szCs w:val="24"/>
        </w:rPr>
        <w:t>k</w:t>
      </w:r>
      <w:r w:rsidR="00162505" w:rsidRPr="007F28C1">
        <w:rPr>
          <w:rFonts w:ascii="Times New Roman" w:hAnsi="Times New Roman" w:cs="Times New Roman"/>
          <w:sz w:val="24"/>
          <w:szCs w:val="24"/>
        </w:rPr>
        <w:t xml:space="preserve">ów </w:t>
      </w:r>
      <w:r w:rsidR="00070B64" w:rsidRPr="007F28C1">
        <w:rPr>
          <w:rFonts w:ascii="Times New Roman" w:hAnsi="Times New Roman" w:cs="Times New Roman"/>
          <w:sz w:val="24"/>
          <w:szCs w:val="24"/>
        </w:rPr>
        <w:t xml:space="preserve">tych </w:t>
      </w:r>
      <w:r w:rsidR="00162505" w:rsidRPr="007F28C1">
        <w:rPr>
          <w:rFonts w:ascii="Times New Roman" w:hAnsi="Times New Roman" w:cs="Times New Roman"/>
          <w:sz w:val="24"/>
          <w:szCs w:val="24"/>
        </w:rPr>
        <w:t xml:space="preserve">analiz, </w:t>
      </w:r>
      <w:r w:rsidRPr="007F28C1">
        <w:rPr>
          <w:rFonts w:ascii="Times New Roman" w:hAnsi="Times New Roman" w:cs="Times New Roman"/>
          <w:sz w:val="24"/>
          <w:szCs w:val="24"/>
        </w:rPr>
        <w:t>w związku z nowelizacją przepisów P.g.g.</w:t>
      </w:r>
      <w:r w:rsidR="00A9128D" w:rsidRPr="007F28C1">
        <w:rPr>
          <w:rFonts w:ascii="Times New Roman" w:hAnsi="Times New Roman" w:cs="Times New Roman"/>
          <w:sz w:val="24"/>
          <w:szCs w:val="24"/>
        </w:rPr>
        <w:t>, o</w:t>
      </w:r>
      <w:r w:rsidR="00705A7E" w:rsidRPr="007F28C1">
        <w:rPr>
          <w:rFonts w:ascii="Times New Roman" w:hAnsi="Times New Roman" w:cs="Times New Roman"/>
          <w:sz w:val="24"/>
          <w:szCs w:val="24"/>
        </w:rPr>
        <w:t> </w:t>
      </w:r>
      <w:r w:rsidR="00A9128D" w:rsidRPr="007F28C1">
        <w:rPr>
          <w:rFonts w:ascii="Times New Roman" w:hAnsi="Times New Roman" w:cs="Times New Roman"/>
          <w:sz w:val="24"/>
          <w:szCs w:val="24"/>
        </w:rPr>
        <w:t>których mowa wyżej.</w:t>
      </w:r>
    </w:p>
    <w:p w14:paraId="0CF5F860" w14:textId="2C75DA25" w:rsidR="00863796" w:rsidRPr="007F28C1" w:rsidRDefault="00A9128D"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Kolejną kwestią uregulowaną w niniejszej nowelizacji jest kwestia planu prac, jaki opracowuje PSG. W</w:t>
      </w:r>
      <w:r w:rsidR="00705A7E" w:rsidRPr="007F28C1">
        <w:rPr>
          <w:rFonts w:ascii="Times New Roman" w:hAnsi="Times New Roman" w:cs="Times New Roman"/>
          <w:sz w:val="24"/>
          <w:szCs w:val="24"/>
        </w:rPr>
        <w:t> </w:t>
      </w:r>
      <w:r w:rsidR="00894E6E" w:rsidRPr="007F28C1">
        <w:rPr>
          <w:rFonts w:ascii="Times New Roman" w:hAnsi="Times New Roman" w:cs="Times New Roman"/>
          <w:sz w:val="24"/>
          <w:szCs w:val="24"/>
        </w:rPr>
        <w:t xml:space="preserve">obecnym stanie prawnym plan prac PSG, o którym mowa w art. 163 ust. 4 P.g.g., </w:t>
      </w:r>
      <w:r w:rsidR="00894E6E" w:rsidRPr="007F28C1">
        <w:rPr>
          <w:rFonts w:ascii="Times New Roman" w:hAnsi="Times New Roman" w:cs="Times New Roman"/>
          <w:sz w:val="24"/>
          <w:szCs w:val="24"/>
        </w:rPr>
        <w:lastRenderedPageBreak/>
        <w:t>dotyczy jedynie realizacji zadań ustawowych. Nie jest to zatem pełen obraz rzeczywistości, gdyż nie obejmuje on zadań realizowanych na podstawie powierzenia przez ministr</w:t>
      </w:r>
      <w:r w:rsidR="006104CB" w:rsidRPr="007F28C1">
        <w:rPr>
          <w:rFonts w:ascii="Times New Roman" w:hAnsi="Times New Roman" w:cs="Times New Roman"/>
          <w:sz w:val="24"/>
          <w:szCs w:val="24"/>
        </w:rPr>
        <w:t>a właściwego do spraw środowiska</w:t>
      </w:r>
      <w:r w:rsidR="00894E6E" w:rsidRPr="007F28C1">
        <w:rPr>
          <w:rFonts w:ascii="Times New Roman" w:hAnsi="Times New Roman" w:cs="Times New Roman"/>
          <w:sz w:val="24"/>
          <w:szCs w:val="24"/>
        </w:rPr>
        <w:t xml:space="preserve">. Dlatego </w:t>
      </w:r>
      <w:r w:rsidR="00F02EA2" w:rsidRPr="007F28C1">
        <w:rPr>
          <w:rFonts w:ascii="Times New Roman" w:hAnsi="Times New Roman" w:cs="Times New Roman"/>
          <w:sz w:val="24"/>
          <w:szCs w:val="24"/>
        </w:rPr>
        <w:t xml:space="preserve">jest </w:t>
      </w:r>
      <w:r w:rsidR="00894E6E" w:rsidRPr="007F28C1">
        <w:rPr>
          <w:rFonts w:ascii="Times New Roman" w:hAnsi="Times New Roman" w:cs="Times New Roman"/>
          <w:sz w:val="24"/>
          <w:szCs w:val="24"/>
        </w:rPr>
        <w:t>zasadn</w:t>
      </w:r>
      <w:r w:rsidRPr="007F28C1">
        <w:rPr>
          <w:rFonts w:ascii="Times New Roman" w:hAnsi="Times New Roman" w:cs="Times New Roman"/>
          <w:sz w:val="24"/>
          <w:szCs w:val="24"/>
        </w:rPr>
        <w:t>a</w:t>
      </w:r>
      <w:r w:rsidR="00894E6E" w:rsidRPr="007F28C1">
        <w:rPr>
          <w:rFonts w:ascii="Times New Roman" w:hAnsi="Times New Roman" w:cs="Times New Roman"/>
          <w:sz w:val="24"/>
          <w:szCs w:val="24"/>
        </w:rPr>
        <w:t xml:space="preserve"> nowelizacja art. 163 ust. 4</w:t>
      </w:r>
      <w:r w:rsidR="00955092" w:rsidRPr="007F28C1">
        <w:rPr>
          <w:rFonts w:ascii="Times New Roman" w:hAnsi="Times New Roman" w:cs="Times New Roman"/>
          <w:sz w:val="24"/>
          <w:szCs w:val="24"/>
        </w:rPr>
        <w:t xml:space="preserve"> P.g.g.</w:t>
      </w:r>
      <w:r w:rsidR="00BF725F">
        <w:rPr>
          <w:rFonts w:ascii="Times New Roman" w:hAnsi="Times New Roman" w:cs="Times New Roman"/>
          <w:sz w:val="24"/>
          <w:szCs w:val="24"/>
        </w:rPr>
        <w:t xml:space="preserve"> i </w:t>
      </w:r>
      <w:r w:rsidR="00894E6E" w:rsidRPr="007F28C1">
        <w:rPr>
          <w:rFonts w:ascii="Times New Roman" w:hAnsi="Times New Roman" w:cs="Times New Roman"/>
          <w:sz w:val="24"/>
          <w:szCs w:val="24"/>
        </w:rPr>
        <w:t>objęcie planem prac PSG wszystkich realizowanych zadań</w:t>
      </w:r>
      <w:r w:rsidR="00791AD7" w:rsidRPr="007F28C1">
        <w:rPr>
          <w:rFonts w:ascii="Times New Roman" w:hAnsi="Times New Roman" w:cs="Times New Roman"/>
          <w:sz w:val="24"/>
          <w:szCs w:val="24"/>
        </w:rPr>
        <w:t>, także tych powierzanych przez</w:t>
      </w:r>
      <w:r w:rsidR="00FB31A4" w:rsidRPr="007F28C1">
        <w:rPr>
          <w:rFonts w:ascii="Times New Roman" w:hAnsi="Times New Roman" w:cs="Times New Roman"/>
          <w:sz w:val="24"/>
          <w:szCs w:val="24"/>
        </w:rPr>
        <w:t xml:space="preserve"> </w:t>
      </w:r>
      <w:r w:rsidR="00520019" w:rsidRPr="007F28C1">
        <w:rPr>
          <w:rFonts w:ascii="Times New Roman" w:hAnsi="Times New Roman" w:cs="Times New Roman"/>
          <w:sz w:val="24"/>
          <w:szCs w:val="24"/>
        </w:rPr>
        <w:t>ministra właściwego do spraw środowiska</w:t>
      </w:r>
      <w:r w:rsidR="00764077" w:rsidRPr="007F28C1">
        <w:rPr>
          <w:rFonts w:ascii="Times New Roman" w:hAnsi="Times New Roman" w:cs="Times New Roman"/>
          <w:sz w:val="24"/>
          <w:szCs w:val="24"/>
        </w:rPr>
        <w:t>.</w:t>
      </w:r>
    </w:p>
    <w:p w14:paraId="541621B9" w14:textId="55BCAD76" w:rsidR="006104CB" w:rsidRPr="007F28C1" w:rsidRDefault="00863796"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Jak już zostało wskazane wyżej, PIG-PIB poza pełnieniem </w:t>
      </w:r>
      <w:r w:rsidR="00A51DC3" w:rsidRPr="007F28C1">
        <w:rPr>
          <w:rFonts w:ascii="Times New Roman" w:hAnsi="Times New Roman" w:cs="Times New Roman"/>
          <w:sz w:val="24"/>
          <w:szCs w:val="24"/>
        </w:rPr>
        <w:t xml:space="preserve">zadań </w:t>
      </w:r>
      <w:r w:rsidRPr="007F28C1">
        <w:rPr>
          <w:rFonts w:ascii="Times New Roman" w:hAnsi="Times New Roman" w:cs="Times New Roman"/>
          <w:sz w:val="24"/>
          <w:szCs w:val="24"/>
        </w:rPr>
        <w:t xml:space="preserve">PSG, wykonuje także zadania </w:t>
      </w:r>
      <w:r w:rsidR="002766A0" w:rsidRPr="007F28C1">
        <w:rPr>
          <w:rFonts w:ascii="Times New Roman" w:eastAsia="Times New Roman" w:hAnsi="Times New Roman" w:cs="Times New Roman"/>
          <w:sz w:val="24"/>
          <w:szCs w:val="24"/>
          <w:lang w:eastAsia="pl-PL"/>
        </w:rPr>
        <w:t>KAPS CO</w:t>
      </w:r>
      <w:r w:rsidR="002766A0" w:rsidRPr="007F28C1">
        <w:rPr>
          <w:rFonts w:ascii="Times New Roman" w:eastAsia="Times New Roman" w:hAnsi="Times New Roman" w:cs="Times New Roman"/>
          <w:sz w:val="24"/>
          <w:szCs w:val="24"/>
          <w:vertAlign w:val="subscript"/>
          <w:lang w:eastAsia="pl-PL"/>
        </w:rPr>
        <w:t>2</w:t>
      </w:r>
      <w:r w:rsidRPr="007F28C1">
        <w:rPr>
          <w:rFonts w:ascii="Times New Roman" w:hAnsi="Times New Roman" w:cs="Times New Roman"/>
          <w:sz w:val="24"/>
          <w:szCs w:val="24"/>
        </w:rPr>
        <w:t xml:space="preserve">. Projektowana nowelizacja obejmuje także zmiany przepisów P.g.g. w tym zakresie. </w:t>
      </w:r>
      <w:r w:rsidR="006104CB" w:rsidRPr="007F28C1">
        <w:rPr>
          <w:rFonts w:ascii="Times New Roman" w:hAnsi="Times New Roman" w:cs="Times New Roman"/>
          <w:sz w:val="24"/>
          <w:szCs w:val="24"/>
        </w:rPr>
        <w:t>W</w:t>
      </w:r>
      <w:r w:rsidR="009F6F30" w:rsidRPr="007F28C1">
        <w:rPr>
          <w:rFonts w:ascii="Times New Roman" w:hAnsi="Times New Roman" w:cs="Times New Roman"/>
          <w:sz w:val="24"/>
          <w:szCs w:val="24"/>
        </w:rPr>
        <w:t> </w:t>
      </w:r>
      <w:r w:rsidR="006104CB" w:rsidRPr="007F28C1">
        <w:rPr>
          <w:rFonts w:ascii="Times New Roman" w:hAnsi="Times New Roman" w:cs="Times New Roman"/>
          <w:sz w:val="24"/>
          <w:szCs w:val="24"/>
        </w:rPr>
        <w:t>związku z</w:t>
      </w:r>
      <w:r w:rsidR="00150999" w:rsidRPr="007F28C1">
        <w:rPr>
          <w:rFonts w:ascii="Times New Roman" w:hAnsi="Times New Roman" w:cs="Times New Roman"/>
          <w:sz w:val="24"/>
          <w:szCs w:val="24"/>
        </w:rPr>
        <w:t xml:space="preserve"> wprowadzonymi zmianami w zakresie podziemnego składowania dwutlenku węgla</w:t>
      </w:r>
      <w:r w:rsidR="000D4FF9" w:rsidRPr="007F28C1">
        <w:rPr>
          <w:rFonts w:ascii="Times New Roman" w:hAnsi="Times New Roman" w:cs="Times New Roman"/>
          <w:sz w:val="24"/>
          <w:szCs w:val="24"/>
        </w:rPr>
        <w:t xml:space="preserve"> </w:t>
      </w:r>
      <w:r w:rsidR="00150999" w:rsidRPr="007F28C1">
        <w:rPr>
          <w:rFonts w:ascii="Times New Roman" w:hAnsi="Times New Roman" w:cs="Times New Roman"/>
          <w:sz w:val="24"/>
          <w:szCs w:val="24"/>
        </w:rPr>
        <w:t>w</w:t>
      </w:r>
      <w:r w:rsidR="00705A7E" w:rsidRPr="007F28C1">
        <w:rPr>
          <w:rFonts w:ascii="Times New Roman" w:hAnsi="Times New Roman" w:cs="Times New Roman"/>
          <w:sz w:val="24"/>
          <w:szCs w:val="24"/>
        </w:rPr>
        <w:t> </w:t>
      </w:r>
      <w:r w:rsidR="00150999" w:rsidRPr="007F28C1">
        <w:rPr>
          <w:rFonts w:ascii="Times New Roman" w:hAnsi="Times New Roman" w:cs="Times New Roman"/>
          <w:sz w:val="24"/>
          <w:szCs w:val="24"/>
        </w:rPr>
        <w:t>art. 163a</w:t>
      </w:r>
      <w:r w:rsidR="005B7604" w:rsidRPr="007F28C1">
        <w:rPr>
          <w:rFonts w:ascii="Times New Roman" w:hAnsi="Times New Roman" w:cs="Times New Roman"/>
          <w:sz w:val="24"/>
          <w:szCs w:val="24"/>
        </w:rPr>
        <w:t xml:space="preserve"> </w:t>
      </w:r>
      <w:r w:rsidR="00150999" w:rsidRPr="007F28C1">
        <w:rPr>
          <w:rFonts w:ascii="Times New Roman" w:hAnsi="Times New Roman" w:cs="Times New Roman"/>
          <w:sz w:val="24"/>
          <w:szCs w:val="24"/>
        </w:rPr>
        <w:t xml:space="preserve">P.g.g. w ust. 2 dodano </w:t>
      </w:r>
      <w:r w:rsidR="00E05D3D" w:rsidRPr="007F28C1">
        <w:rPr>
          <w:rFonts w:ascii="Times New Roman" w:hAnsi="Times New Roman" w:cs="Times New Roman"/>
          <w:sz w:val="24"/>
          <w:szCs w:val="24"/>
        </w:rPr>
        <w:t xml:space="preserve">pkt 1a, przewidujący </w:t>
      </w:r>
      <w:r w:rsidR="00150999" w:rsidRPr="007F28C1">
        <w:rPr>
          <w:rFonts w:ascii="Times New Roman" w:hAnsi="Times New Roman" w:cs="Times New Roman"/>
          <w:sz w:val="24"/>
          <w:szCs w:val="24"/>
        </w:rPr>
        <w:t xml:space="preserve">zadanie </w:t>
      </w:r>
      <w:r w:rsidR="00E05D3D" w:rsidRPr="007F28C1">
        <w:rPr>
          <w:rFonts w:ascii="Times New Roman" w:hAnsi="Times New Roman" w:cs="Times New Roman"/>
          <w:sz w:val="24"/>
          <w:szCs w:val="24"/>
        </w:rPr>
        <w:t xml:space="preserve">PSG </w:t>
      </w:r>
      <w:r w:rsidR="00150999" w:rsidRPr="007F28C1">
        <w:rPr>
          <w:rFonts w:ascii="Times New Roman" w:hAnsi="Times New Roman" w:cs="Times New Roman"/>
          <w:sz w:val="24"/>
          <w:szCs w:val="24"/>
        </w:rPr>
        <w:t xml:space="preserve">dotyczące </w:t>
      </w:r>
      <w:r w:rsidR="005936FE" w:rsidRPr="007F28C1">
        <w:rPr>
          <w:rFonts w:ascii="Times New Roman" w:hAnsi="Times New Roman" w:cs="Times New Roman"/>
          <w:sz w:val="24"/>
          <w:szCs w:val="24"/>
        </w:rPr>
        <w:t>sporządzania</w:t>
      </w:r>
      <w:r w:rsidR="000D4FF9" w:rsidRPr="007F28C1">
        <w:rPr>
          <w:rFonts w:ascii="Times New Roman" w:hAnsi="Times New Roman" w:cs="Times New Roman"/>
          <w:sz w:val="24"/>
          <w:szCs w:val="24"/>
        </w:rPr>
        <w:t xml:space="preserve"> </w:t>
      </w:r>
      <w:r w:rsidR="005936FE" w:rsidRPr="007F28C1">
        <w:rPr>
          <w:rFonts w:ascii="Times New Roman" w:hAnsi="Times New Roman" w:cs="Times New Roman"/>
          <w:sz w:val="24"/>
          <w:szCs w:val="24"/>
        </w:rPr>
        <w:t>i</w:t>
      </w:r>
      <w:r w:rsidR="00705A7E" w:rsidRPr="007F28C1">
        <w:rPr>
          <w:rFonts w:ascii="Times New Roman" w:hAnsi="Times New Roman" w:cs="Times New Roman"/>
          <w:sz w:val="24"/>
          <w:szCs w:val="24"/>
        </w:rPr>
        <w:t> </w:t>
      </w:r>
      <w:r w:rsidR="005936FE" w:rsidRPr="007F28C1">
        <w:rPr>
          <w:rFonts w:ascii="Times New Roman" w:hAnsi="Times New Roman" w:cs="Times New Roman"/>
          <w:sz w:val="24"/>
          <w:szCs w:val="24"/>
        </w:rPr>
        <w:t xml:space="preserve">przekazywania </w:t>
      </w:r>
      <w:r w:rsidR="00520019" w:rsidRPr="007F28C1">
        <w:rPr>
          <w:rFonts w:ascii="Times New Roman" w:hAnsi="Times New Roman" w:cs="Times New Roman"/>
          <w:sz w:val="24"/>
          <w:szCs w:val="24"/>
        </w:rPr>
        <w:t>ministrowi właściwemu do spraw środowiska</w:t>
      </w:r>
      <w:r w:rsidR="00FB31A4" w:rsidRPr="007F28C1">
        <w:rPr>
          <w:rFonts w:ascii="Times New Roman" w:hAnsi="Times New Roman" w:cs="Times New Roman"/>
          <w:sz w:val="24"/>
          <w:szCs w:val="24"/>
        </w:rPr>
        <w:t xml:space="preserve"> </w:t>
      </w:r>
      <w:r w:rsidR="005936FE" w:rsidRPr="007F28C1">
        <w:rPr>
          <w:rFonts w:ascii="Times New Roman" w:hAnsi="Times New Roman" w:cs="Times New Roman"/>
          <w:sz w:val="24"/>
          <w:szCs w:val="24"/>
        </w:rPr>
        <w:t>corocznie, w terminie do dnia 31 maja, analizy rocznego sprawozdania z działalności polegającej na podziemnym składowaniu dwutlenku węgla</w:t>
      </w:r>
      <w:r w:rsidR="00150999" w:rsidRPr="007F28C1">
        <w:rPr>
          <w:rFonts w:ascii="Times New Roman" w:hAnsi="Times New Roman" w:cs="Times New Roman"/>
          <w:sz w:val="24"/>
          <w:szCs w:val="24"/>
        </w:rPr>
        <w:t>.</w:t>
      </w:r>
      <w:r w:rsidR="006104CB" w:rsidRPr="007F28C1">
        <w:rPr>
          <w:rFonts w:ascii="Times New Roman" w:hAnsi="Times New Roman" w:cs="Times New Roman"/>
          <w:sz w:val="24"/>
          <w:szCs w:val="24"/>
        </w:rPr>
        <w:t xml:space="preserve"> </w:t>
      </w:r>
      <w:r w:rsidR="00EC0914" w:rsidRPr="007F28C1">
        <w:rPr>
          <w:rFonts w:ascii="Times New Roman" w:hAnsi="Times New Roman" w:cs="Times New Roman"/>
          <w:sz w:val="24"/>
          <w:szCs w:val="24"/>
        </w:rPr>
        <w:t xml:space="preserve">Ponadto </w:t>
      </w:r>
      <w:r w:rsidR="00894E6E" w:rsidRPr="007F28C1">
        <w:rPr>
          <w:rFonts w:ascii="Times New Roman" w:hAnsi="Times New Roman" w:cs="Times New Roman"/>
          <w:sz w:val="24"/>
          <w:szCs w:val="24"/>
        </w:rPr>
        <w:t>projektowana nowelizacja przewiduje wprowadzenie art. 163c ust. 1a</w:t>
      </w:r>
      <w:r w:rsidR="00955092" w:rsidRPr="007F28C1">
        <w:rPr>
          <w:rFonts w:ascii="Times New Roman" w:hAnsi="Times New Roman" w:cs="Times New Roman"/>
          <w:sz w:val="24"/>
          <w:szCs w:val="24"/>
        </w:rPr>
        <w:t xml:space="preserve"> P.g.g.</w:t>
      </w:r>
      <w:r w:rsidR="00894E6E" w:rsidRPr="007F28C1">
        <w:rPr>
          <w:rFonts w:ascii="Times New Roman" w:hAnsi="Times New Roman" w:cs="Times New Roman"/>
          <w:sz w:val="24"/>
          <w:szCs w:val="24"/>
        </w:rPr>
        <w:t>, na</w:t>
      </w:r>
      <w:r w:rsidR="00D978C1" w:rsidRPr="007F28C1">
        <w:rPr>
          <w:rFonts w:ascii="Times New Roman" w:hAnsi="Times New Roman" w:cs="Times New Roman"/>
          <w:sz w:val="24"/>
          <w:szCs w:val="24"/>
        </w:rPr>
        <w:t> </w:t>
      </w:r>
      <w:r w:rsidR="00894E6E" w:rsidRPr="007F28C1">
        <w:rPr>
          <w:rFonts w:ascii="Times New Roman" w:hAnsi="Times New Roman" w:cs="Times New Roman"/>
          <w:sz w:val="24"/>
          <w:szCs w:val="24"/>
        </w:rPr>
        <w:t xml:space="preserve">podstawie którego </w:t>
      </w:r>
      <w:r w:rsidR="006104CB" w:rsidRPr="007F28C1">
        <w:rPr>
          <w:rFonts w:ascii="Times New Roman" w:hAnsi="Times New Roman" w:cs="Times New Roman"/>
          <w:sz w:val="24"/>
          <w:szCs w:val="24"/>
        </w:rPr>
        <w:t xml:space="preserve">został nałożony obowiązek przygotowywania planu prac dotyczącego realizacji zadań w zakresie </w:t>
      </w:r>
      <w:r w:rsidR="002766A0" w:rsidRPr="007F28C1">
        <w:rPr>
          <w:rFonts w:ascii="Times New Roman" w:eastAsia="Times New Roman" w:hAnsi="Times New Roman" w:cs="Times New Roman"/>
          <w:sz w:val="24"/>
          <w:szCs w:val="24"/>
          <w:lang w:eastAsia="pl-PL"/>
        </w:rPr>
        <w:t>KAPS CO</w:t>
      </w:r>
      <w:r w:rsidR="002766A0" w:rsidRPr="007F28C1">
        <w:rPr>
          <w:rFonts w:ascii="Times New Roman" w:eastAsia="Times New Roman" w:hAnsi="Times New Roman" w:cs="Times New Roman"/>
          <w:sz w:val="24"/>
          <w:szCs w:val="24"/>
          <w:vertAlign w:val="subscript"/>
          <w:lang w:eastAsia="pl-PL"/>
        </w:rPr>
        <w:t>2</w:t>
      </w:r>
      <w:r w:rsidR="002766A0" w:rsidRPr="007F28C1">
        <w:rPr>
          <w:rFonts w:ascii="Times New Roman" w:eastAsia="Times New Roman" w:hAnsi="Times New Roman" w:cs="Times New Roman"/>
          <w:sz w:val="24"/>
          <w:szCs w:val="24"/>
          <w:lang w:eastAsia="pl-PL"/>
        </w:rPr>
        <w:t xml:space="preserve"> </w:t>
      </w:r>
      <w:r w:rsidR="00BF725F">
        <w:rPr>
          <w:rFonts w:ascii="Times New Roman" w:hAnsi="Times New Roman" w:cs="Times New Roman"/>
          <w:sz w:val="24"/>
          <w:szCs w:val="24"/>
        </w:rPr>
        <w:t>i </w:t>
      </w:r>
      <w:r w:rsidR="006104CB" w:rsidRPr="007F28C1">
        <w:rPr>
          <w:rFonts w:ascii="Times New Roman" w:hAnsi="Times New Roman" w:cs="Times New Roman"/>
          <w:sz w:val="24"/>
          <w:szCs w:val="24"/>
        </w:rPr>
        <w:t xml:space="preserve">corocznego przekazywania ww. planu </w:t>
      </w:r>
      <w:r w:rsidR="00F02EA2" w:rsidRPr="007F28C1">
        <w:rPr>
          <w:rFonts w:ascii="Times New Roman" w:hAnsi="Times New Roman" w:cs="Times New Roman"/>
          <w:sz w:val="24"/>
          <w:szCs w:val="24"/>
        </w:rPr>
        <w:t xml:space="preserve">ministrowi właściwemu </w:t>
      </w:r>
      <w:r w:rsidR="00580B40" w:rsidRPr="007F28C1">
        <w:rPr>
          <w:rFonts w:ascii="Times New Roman" w:hAnsi="Times New Roman" w:cs="Times New Roman"/>
          <w:sz w:val="24"/>
          <w:szCs w:val="24"/>
        </w:rPr>
        <w:t>do spraw środowiska</w:t>
      </w:r>
      <w:r w:rsidR="00F02EA2" w:rsidRPr="007F28C1">
        <w:rPr>
          <w:rFonts w:ascii="Times New Roman" w:hAnsi="Times New Roman" w:cs="Times New Roman"/>
          <w:sz w:val="24"/>
          <w:szCs w:val="24"/>
        </w:rPr>
        <w:t xml:space="preserve"> </w:t>
      </w:r>
      <w:r w:rsidR="006104CB" w:rsidRPr="007F28C1">
        <w:rPr>
          <w:rFonts w:ascii="Times New Roman" w:hAnsi="Times New Roman" w:cs="Times New Roman"/>
          <w:sz w:val="24"/>
          <w:szCs w:val="24"/>
        </w:rPr>
        <w:t>do akceptacji</w:t>
      </w:r>
      <w:r w:rsidR="00894E6E" w:rsidRPr="007F28C1">
        <w:rPr>
          <w:rFonts w:ascii="Times New Roman" w:hAnsi="Times New Roman" w:cs="Times New Roman"/>
          <w:sz w:val="24"/>
          <w:szCs w:val="24"/>
        </w:rPr>
        <w:t xml:space="preserve">. </w:t>
      </w:r>
    </w:p>
    <w:p w14:paraId="71D771D7" w14:textId="7D168EC1" w:rsidR="00A61552" w:rsidRPr="007F28C1" w:rsidRDefault="00894E6E"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Realizacja zadań </w:t>
      </w:r>
      <w:r w:rsidR="002766A0" w:rsidRPr="007F28C1">
        <w:rPr>
          <w:rFonts w:ascii="Times New Roman" w:eastAsia="Times New Roman" w:hAnsi="Times New Roman" w:cs="Times New Roman"/>
          <w:sz w:val="24"/>
          <w:szCs w:val="24"/>
          <w:lang w:eastAsia="pl-PL"/>
        </w:rPr>
        <w:t>KAPS CO</w:t>
      </w:r>
      <w:r w:rsidR="002766A0" w:rsidRPr="007F28C1">
        <w:rPr>
          <w:rFonts w:ascii="Times New Roman" w:eastAsia="Times New Roman" w:hAnsi="Times New Roman" w:cs="Times New Roman"/>
          <w:sz w:val="24"/>
          <w:szCs w:val="24"/>
          <w:vertAlign w:val="subscript"/>
          <w:lang w:eastAsia="pl-PL"/>
        </w:rPr>
        <w:t>2</w:t>
      </w:r>
      <w:r w:rsidR="002766A0" w:rsidRPr="007F28C1">
        <w:rPr>
          <w:rFonts w:ascii="Times New Roman" w:eastAsia="Times New Roman" w:hAnsi="Times New Roman" w:cs="Times New Roman"/>
          <w:sz w:val="24"/>
          <w:szCs w:val="24"/>
          <w:lang w:eastAsia="pl-PL"/>
        </w:rPr>
        <w:t xml:space="preserve"> </w:t>
      </w:r>
      <w:r w:rsidRPr="007F28C1">
        <w:rPr>
          <w:rFonts w:ascii="Times New Roman" w:hAnsi="Times New Roman" w:cs="Times New Roman"/>
          <w:sz w:val="24"/>
          <w:szCs w:val="24"/>
        </w:rPr>
        <w:t xml:space="preserve">wymaga także </w:t>
      </w:r>
      <w:r w:rsidR="002766A0" w:rsidRPr="007F28C1">
        <w:rPr>
          <w:rFonts w:ascii="Times New Roman" w:hAnsi="Times New Roman" w:cs="Times New Roman"/>
          <w:sz w:val="24"/>
          <w:szCs w:val="24"/>
        </w:rPr>
        <w:t>aktualizacji regulacji dotyczących wydatków budżetowych z tym związanych.</w:t>
      </w:r>
      <w:r w:rsidRPr="007F28C1">
        <w:rPr>
          <w:rFonts w:ascii="Times New Roman" w:hAnsi="Times New Roman" w:cs="Times New Roman"/>
          <w:sz w:val="24"/>
          <w:szCs w:val="24"/>
        </w:rPr>
        <w:t xml:space="preserve"> </w:t>
      </w:r>
      <w:r w:rsidR="002766A0" w:rsidRPr="007F28C1">
        <w:rPr>
          <w:rFonts w:ascii="Times New Roman" w:hAnsi="Times New Roman" w:cs="Times New Roman"/>
          <w:sz w:val="24"/>
          <w:szCs w:val="24"/>
        </w:rPr>
        <w:t xml:space="preserve">Obecne regulacje wynikają z </w:t>
      </w:r>
      <w:r w:rsidRPr="007F28C1">
        <w:rPr>
          <w:rFonts w:ascii="Times New Roman" w:hAnsi="Times New Roman" w:cs="Times New Roman"/>
          <w:sz w:val="24"/>
          <w:szCs w:val="24"/>
        </w:rPr>
        <w:t xml:space="preserve">art. 16 ustawy z dnia 27 września 2013 r. o zmianie ustawy – Prawo geologiczne i górnicze oraz niektórych innych ustaw. W </w:t>
      </w:r>
      <w:r w:rsidR="006104CB" w:rsidRPr="007F28C1">
        <w:rPr>
          <w:rFonts w:ascii="Times New Roman" w:hAnsi="Times New Roman" w:cs="Times New Roman"/>
          <w:sz w:val="24"/>
          <w:szCs w:val="24"/>
        </w:rPr>
        <w:t xml:space="preserve">ww. </w:t>
      </w:r>
      <w:r w:rsidRPr="007F28C1">
        <w:rPr>
          <w:rFonts w:ascii="Times New Roman" w:hAnsi="Times New Roman" w:cs="Times New Roman"/>
          <w:sz w:val="24"/>
          <w:szCs w:val="24"/>
        </w:rPr>
        <w:t xml:space="preserve">przepisie przewidziano maksymalny limit wydatków NFOŚiGW przeznaczonych na realizację zadań </w:t>
      </w:r>
      <w:r w:rsidR="002766A0" w:rsidRPr="007F28C1">
        <w:rPr>
          <w:rFonts w:ascii="Times New Roman" w:eastAsia="Times New Roman" w:hAnsi="Times New Roman" w:cs="Times New Roman"/>
          <w:sz w:val="24"/>
          <w:szCs w:val="24"/>
          <w:lang w:eastAsia="pl-PL"/>
        </w:rPr>
        <w:t>KAPS CO</w:t>
      </w:r>
      <w:r w:rsidR="002766A0" w:rsidRPr="007F28C1">
        <w:rPr>
          <w:rFonts w:ascii="Times New Roman" w:eastAsia="Times New Roman" w:hAnsi="Times New Roman" w:cs="Times New Roman"/>
          <w:sz w:val="24"/>
          <w:szCs w:val="24"/>
          <w:vertAlign w:val="subscript"/>
          <w:lang w:eastAsia="pl-PL"/>
        </w:rPr>
        <w:t>2</w:t>
      </w:r>
      <w:r w:rsidR="002766A0" w:rsidRPr="007F28C1">
        <w:rPr>
          <w:rFonts w:ascii="Times New Roman" w:eastAsia="Times New Roman" w:hAnsi="Times New Roman" w:cs="Times New Roman"/>
          <w:sz w:val="24"/>
          <w:szCs w:val="24"/>
          <w:lang w:eastAsia="pl-PL"/>
        </w:rPr>
        <w:t xml:space="preserve"> </w:t>
      </w:r>
      <w:r w:rsidRPr="007F28C1">
        <w:rPr>
          <w:rFonts w:ascii="Times New Roman" w:hAnsi="Times New Roman" w:cs="Times New Roman"/>
          <w:sz w:val="24"/>
          <w:szCs w:val="24"/>
        </w:rPr>
        <w:t xml:space="preserve">na lata </w:t>
      </w:r>
      <w:r w:rsidR="00A51DC3" w:rsidRPr="007F28C1">
        <w:rPr>
          <w:rFonts w:ascii="Times New Roman" w:hAnsi="Times New Roman" w:cs="Times New Roman"/>
          <w:sz w:val="24"/>
          <w:szCs w:val="24"/>
        </w:rPr>
        <w:t>2013</w:t>
      </w:r>
      <w:r w:rsidR="00A87B50">
        <w:rPr>
          <w:rFonts w:ascii="Times New Roman" w:hAnsi="Times New Roman" w:cs="Times New Roman"/>
          <w:sz w:val="24"/>
          <w:szCs w:val="24"/>
        </w:rPr>
        <w:t>–</w:t>
      </w:r>
      <w:r w:rsidR="00A51DC3" w:rsidRPr="007F28C1">
        <w:rPr>
          <w:rFonts w:ascii="Times New Roman" w:hAnsi="Times New Roman" w:cs="Times New Roman"/>
          <w:sz w:val="24"/>
          <w:szCs w:val="24"/>
        </w:rPr>
        <w:t>2022</w:t>
      </w:r>
      <w:r w:rsidRPr="007F28C1">
        <w:rPr>
          <w:rFonts w:ascii="Times New Roman" w:hAnsi="Times New Roman" w:cs="Times New Roman"/>
          <w:sz w:val="24"/>
          <w:szCs w:val="24"/>
        </w:rPr>
        <w:t>. Z uwagi na art. 50 ust. 1c</w:t>
      </w:r>
      <w:r w:rsidR="00BF725F">
        <w:rPr>
          <w:rFonts w:ascii="Times New Roman" w:hAnsi="Times New Roman" w:cs="Times New Roman"/>
          <w:sz w:val="24"/>
          <w:szCs w:val="24"/>
        </w:rPr>
        <w:t xml:space="preserve"> ustawy z dnia 27 sierpnia 2009 </w:t>
      </w:r>
      <w:r w:rsidRPr="007F28C1">
        <w:rPr>
          <w:rFonts w:ascii="Times New Roman" w:hAnsi="Times New Roman" w:cs="Times New Roman"/>
          <w:sz w:val="24"/>
          <w:szCs w:val="24"/>
        </w:rPr>
        <w:t>r</w:t>
      </w:r>
      <w:r w:rsidRPr="007F28C1">
        <w:rPr>
          <w:rFonts w:ascii="Times New Roman" w:hAnsi="Times New Roman" w:cs="Times New Roman"/>
          <w:iCs/>
          <w:sz w:val="24"/>
          <w:szCs w:val="24"/>
        </w:rPr>
        <w:t xml:space="preserve">. </w:t>
      </w:r>
      <w:r w:rsidRPr="007F28C1">
        <w:rPr>
          <w:rFonts w:ascii="Times New Roman" w:hAnsi="Times New Roman" w:cs="Times New Roman"/>
          <w:sz w:val="24"/>
          <w:szCs w:val="24"/>
        </w:rPr>
        <w:t xml:space="preserve">o finansach publicznych i upływ okresu, o którym jest mowa w powyższym przepisie, </w:t>
      </w:r>
      <w:r w:rsidR="0027251C"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 xml:space="preserve">konieczne przedstawienie projektu ustawy zmieniającej, zgodnie z którym </w:t>
      </w:r>
      <w:r w:rsidR="0027251C" w:rsidRPr="007F28C1">
        <w:rPr>
          <w:rFonts w:ascii="Times New Roman" w:hAnsi="Times New Roman" w:cs="Times New Roman"/>
          <w:sz w:val="24"/>
          <w:szCs w:val="24"/>
        </w:rPr>
        <w:t xml:space="preserve">zostanie </w:t>
      </w:r>
      <w:r w:rsidRPr="007F28C1">
        <w:rPr>
          <w:rFonts w:ascii="Times New Roman" w:hAnsi="Times New Roman" w:cs="Times New Roman"/>
          <w:sz w:val="24"/>
          <w:szCs w:val="24"/>
        </w:rPr>
        <w:t>wskazany limit wydatków na kolejne 10 lat budżetowych wykonywania ustawy. Dlatego też projektowana nowelizacja przewiduj</w:t>
      </w:r>
      <w:r w:rsidR="006104CB" w:rsidRPr="007F28C1">
        <w:rPr>
          <w:rFonts w:ascii="Times New Roman" w:hAnsi="Times New Roman" w:cs="Times New Roman"/>
          <w:sz w:val="24"/>
          <w:szCs w:val="24"/>
        </w:rPr>
        <w:t>e</w:t>
      </w:r>
      <w:r w:rsidRPr="007F28C1">
        <w:rPr>
          <w:rFonts w:ascii="Times New Roman" w:hAnsi="Times New Roman" w:cs="Times New Roman"/>
          <w:sz w:val="24"/>
          <w:szCs w:val="24"/>
        </w:rPr>
        <w:t xml:space="preserve"> </w:t>
      </w:r>
      <w:r w:rsidR="002766A0" w:rsidRPr="007F28C1">
        <w:rPr>
          <w:rFonts w:ascii="Times New Roman" w:hAnsi="Times New Roman" w:cs="Times New Roman"/>
          <w:sz w:val="24"/>
          <w:szCs w:val="24"/>
        </w:rPr>
        <w:t>wprowadzenie regu</w:t>
      </w:r>
      <w:r w:rsidR="00EC4AED" w:rsidRPr="007F28C1">
        <w:rPr>
          <w:rFonts w:ascii="Times New Roman" w:hAnsi="Times New Roman" w:cs="Times New Roman"/>
          <w:sz w:val="24"/>
          <w:szCs w:val="24"/>
        </w:rPr>
        <w:t>ły wydatkowej</w:t>
      </w:r>
      <w:r w:rsidR="002766A0" w:rsidRPr="007F28C1">
        <w:rPr>
          <w:rFonts w:ascii="Times New Roman" w:hAnsi="Times New Roman" w:cs="Times New Roman"/>
          <w:sz w:val="24"/>
          <w:szCs w:val="24"/>
        </w:rPr>
        <w:t xml:space="preserve"> </w:t>
      </w:r>
      <w:r w:rsidR="00EC4AED" w:rsidRPr="007F28C1">
        <w:rPr>
          <w:rFonts w:ascii="Times New Roman" w:hAnsi="Times New Roman" w:cs="Times New Roman"/>
          <w:sz w:val="24"/>
          <w:szCs w:val="24"/>
        </w:rPr>
        <w:t>obejmującej</w:t>
      </w:r>
      <w:r w:rsidRPr="007F28C1">
        <w:rPr>
          <w:rFonts w:ascii="Times New Roman" w:hAnsi="Times New Roman" w:cs="Times New Roman"/>
          <w:sz w:val="24"/>
          <w:szCs w:val="24"/>
        </w:rPr>
        <w:t xml:space="preserve"> maksymaln</w:t>
      </w:r>
      <w:r w:rsidR="00EC4AED" w:rsidRPr="007F28C1">
        <w:rPr>
          <w:rFonts w:ascii="Times New Roman" w:hAnsi="Times New Roman" w:cs="Times New Roman"/>
          <w:sz w:val="24"/>
          <w:szCs w:val="24"/>
        </w:rPr>
        <w:t>e</w:t>
      </w:r>
      <w:r w:rsidRPr="007F28C1">
        <w:rPr>
          <w:rFonts w:ascii="Times New Roman" w:hAnsi="Times New Roman" w:cs="Times New Roman"/>
          <w:sz w:val="24"/>
          <w:szCs w:val="24"/>
        </w:rPr>
        <w:t xml:space="preserve"> wydatk</w:t>
      </w:r>
      <w:r w:rsidR="00EC4AED" w:rsidRPr="007F28C1">
        <w:rPr>
          <w:rFonts w:ascii="Times New Roman" w:hAnsi="Times New Roman" w:cs="Times New Roman"/>
          <w:sz w:val="24"/>
          <w:szCs w:val="24"/>
        </w:rPr>
        <w:t>i</w:t>
      </w:r>
      <w:r w:rsidRPr="007F28C1">
        <w:rPr>
          <w:rFonts w:ascii="Times New Roman" w:hAnsi="Times New Roman" w:cs="Times New Roman"/>
          <w:sz w:val="24"/>
          <w:szCs w:val="24"/>
        </w:rPr>
        <w:t xml:space="preserve"> NFOŚiGW</w:t>
      </w:r>
      <w:r w:rsidR="002766A0" w:rsidRPr="007F28C1">
        <w:rPr>
          <w:rFonts w:ascii="Times New Roman" w:hAnsi="Times New Roman" w:cs="Times New Roman"/>
          <w:sz w:val="24"/>
          <w:szCs w:val="24"/>
        </w:rPr>
        <w:t xml:space="preserve"> przeznaczon</w:t>
      </w:r>
      <w:r w:rsidR="00EC4AED" w:rsidRPr="007F28C1">
        <w:rPr>
          <w:rFonts w:ascii="Times New Roman" w:hAnsi="Times New Roman" w:cs="Times New Roman"/>
          <w:sz w:val="24"/>
          <w:szCs w:val="24"/>
        </w:rPr>
        <w:t>e</w:t>
      </w:r>
      <w:r w:rsidR="002766A0" w:rsidRPr="007F28C1">
        <w:rPr>
          <w:rFonts w:ascii="Times New Roman" w:hAnsi="Times New Roman" w:cs="Times New Roman"/>
          <w:sz w:val="24"/>
          <w:szCs w:val="24"/>
        </w:rPr>
        <w:t xml:space="preserve"> na realizację zadań </w:t>
      </w:r>
      <w:r w:rsidR="002766A0" w:rsidRPr="007F28C1">
        <w:rPr>
          <w:rFonts w:ascii="Times New Roman" w:eastAsia="Times New Roman" w:hAnsi="Times New Roman" w:cs="Times New Roman"/>
          <w:sz w:val="24"/>
          <w:szCs w:val="24"/>
          <w:lang w:eastAsia="pl-PL"/>
        </w:rPr>
        <w:t>KAPS CO</w:t>
      </w:r>
      <w:r w:rsidR="002766A0" w:rsidRPr="007F28C1">
        <w:rPr>
          <w:rFonts w:ascii="Times New Roman" w:eastAsia="Times New Roman" w:hAnsi="Times New Roman" w:cs="Times New Roman"/>
          <w:sz w:val="24"/>
          <w:szCs w:val="24"/>
          <w:vertAlign w:val="subscript"/>
          <w:lang w:eastAsia="pl-PL"/>
        </w:rPr>
        <w:t>2</w:t>
      </w:r>
      <w:r w:rsidR="002766A0" w:rsidRPr="007F28C1">
        <w:rPr>
          <w:rFonts w:ascii="Times New Roman" w:eastAsia="Times New Roman" w:hAnsi="Times New Roman" w:cs="Times New Roman"/>
          <w:sz w:val="24"/>
          <w:szCs w:val="24"/>
          <w:lang w:eastAsia="pl-PL"/>
        </w:rPr>
        <w:t xml:space="preserve"> </w:t>
      </w:r>
      <w:r w:rsidRPr="007F28C1">
        <w:rPr>
          <w:rFonts w:ascii="Times New Roman" w:hAnsi="Times New Roman" w:cs="Times New Roman"/>
          <w:sz w:val="24"/>
          <w:szCs w:val="24"/>
        </w:rPr>
        <w:t xml:space="preserve">na lata </w:t>
      </w:r>
      <w:r w:rsidR="00BF725F">
        <w:rPr>
          <w:rFonts w:ascii="Times New Roman" w:hAnsi="Times New Roman" w:cs="Times New Roman"/>
          <w:sz w:val="24"/>
          <w:szCs w:val="24"/>
        </w:rPr>
        <w:br/>
      </w:r>
      <w:r w:rsidRPr="007F28C1">
        <w:rPr>
          <w:rFonts w:ascii="Times New Roman" w:hAnsi="Times New Roman" w:cs="Times New Roman"/>
          <w:sz w:val="24"/>
          <w:szCs w:val="24"/>
        </w:rPr>
        <w:t>202</w:t>
      </w:r>
      <w:r w:rsidR="00580B40" w:rsidRPr="007F28C1">
        <w:rPr>
          <w:rFonts w:ascii="Times New Roman" w:hAnsi="Times New Roman" w:cs="Times New Roman"/>
          <w:sz w:val="24"/>
          <w:szCs w:val="24"/>
        </w:rPr>
        <w:t>3</w:t>
      </w:r>
      <w:r w:rsidR="008A3158" w:rsidRPr="007F28C1">
        <w:rPr>
          <w:rFonts w:ascii="Times New Roman" w:hAnsi="Times New Roman" w:cs="Times New Roman"/>
          <w:sz w:val="24"/>
          <w:szCs w:val="24"/>
        </w:rPr>
        <w:t>–</w:t>
      </w:r>
      <w:r w:rsidR="00580B40" w:rsidRPr="007F28C1">
        <w:rPr>
          <w:rFonts w:ascii="Times New Roman" w:hAnsi="Times New Roman" w:cs="Times New Roman"/>
          <w:sz w:val="24"/>
          <w:szCs w:val="24"/>
        </w:rPr>
        <w:t>2032.</w:t>
      </w:r>
    </w:p>
    <w:p w14:paraId="3251442C" w14:textId="57289217" w:rsidR="00C20ACF" w:rsidRPr="007F28C1" w:rsidRDefault="00A61552"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Projektowana nowelizacja dostrzegła także kwestię braku możliwości zdoby</w:t>
      </w:r>
      <w:r w:rsidR="00E00481" w:rsidRPr="007F28C1">
        <w:rPr>
          <w:rFonts w:ascii="Times New Roman" w:hAnsi="Times New Roman" w:cs="Times New Roman"/>
          <w:sz w:val="24"/>
          <w:szCs w:val="24"/>
        </w:rPr>
        <w:t>wania kwalifikacji</w:t>
      </w:r>
      <w:r w:rsidR="000D4FF9" w:rsidRPr="007F28C1">
        <w:rPr>
          <w:rFonts w:ascii="Times New Roman" w:hAnsi="Times New Roman" w:cs="Times New Roman"/>
          <w:sz w:val="24"/>
          <w:szCs w:val="24"/>
        </w:rPr>
        <w:t xml:space="preserve"> </w:t>
      </w:r>
      <w:r w:rsidR="00E00481" w:rsidRPr="007F28C1">
        <w:rPr>
          <w:rFonts w:ascii="Times New Roman" w:hAnsi="Times New Roman" w:cs="Times New Roman"/>
          <w:sz w:val="24"/>
          <w:szCs w:val="24"/>
        </w:rPr>
        <w:t>w</w:t>
      </w:r>
      <w:r w:rsidR="00705A7E" w:rsidRPr="007F28C1">
        <w:rPr>
          <w:rFonts w:ascii="Times New Roman" w:hAnsi="Times New Roman" w:cs="Times New Roman"/>
          <w:sz w:val="24"/>
          <w:szCs w:val="24"/>
        </w:rPr>
        <w:t> </w:t>
      </w:r>
      <w:r w:rsidR="00E00481" w:rsidRPr="007F28C1">
        <w:rPr>
          <w:rFonts w:ascii="Times New Roman" w:hAnsi="Times New Roman" w:cs="Times New Roman"/>
          <w:sz w:val="24"/>
          <w:szCs w:val="24"/>
        </w:rPr>
        <w:t>zawodzie geologa przez osob</w:t>
      </w:r>
      <w:r w:rsidR="00EC0914" w:rsidRPr="007F28C1">
        <w:rPr>
          <w:rFonts w:ascii="Times New Roman" w:hAnsi="Times New Roman" w:cs="Times New Roman"/>
          <w:sz w:val="24"/>
          <w:szCs w:val="24"/>
        </w:rPr>
        <w:t xml:space="preserve">y </w:t>
      </w:r>
      <w:r w:rsidR="00E00481" w:rsidRPr="007F28C1">
        <w:rPr>
          <w:rFonts w:ascii="Times New Roman" w:hAnsi="Times New Roman" w:cs="Times New Roman"/>
          <w:sz w:val="24"/>
          <w:szCs w:val="24"/>
        </w:rPr>
        <w:t>zatrudnione w podmiocie pełniącym funkcję PSG</w:t>
      </w:r>
      <w:r w:rsidRPr="007F28C1">
        <w:rPr>
          <w:rFonts w:ascii="Times New Roman" w:hAnsi="Times New Roman" w:cs="Times New Roman"/>
          <w:sz w:val="24"/>
          <w:szCs w:val="24"/>
        </w:rPr>
        <w:t xml:space="preserve">. Osoby takie często wykonują zadania związane z opracowywaniem projektów robót geologicznych lub dokumentacji geologicznych lub realizują zadania związane </w:t>
      </w:r>
      <w:r w:rsidR="00773F8F" w:rsidRPr="007F28C1">
        <w:rPr>
          <w:rFonts w:ascii="Times New Roman" w:hAnsi="Times New Roman" w:cs="Times New Roman"/>
          <w:sz w:val="24"/>
          <w:szCs w:val="24"/>
        </w:rPr>
        <w:t>ze sprawdzaniem dokumentacji geologicznych,</w:t>
      </w:r>
      <w:r w:rsidR="000D4FF9" w:rsidRPr="007F28C1">
        <w:rPr>
          <w:rFonts w:ascii="Times New Roman" w:hAnsi="Times New Roman" w:cs="Times New Roman"/>
          <w:sz w:val="24"/>
          <w:szCs w:val="24"/>
        </w:rPr>
        <w:t xml:space="preserve"> </w:t>
      </w:r>
      <w:r w:rsidR="00773F8F" w:rsidRPr="007F28C1">
        <w:rPr>
          <w:rFonts w:ascii="Times New Roman" w:hAnsi="Times New Roman" w:cs="Times New Roman"/>
          <w:sz w:val="24"/>
          <w:szCs w:val="24"/>
        </w:rPr>
        <w:t>z</w:t>
      </w:r>
      <w:r w:rsidR="00705A7E" w:rsidRPr="007F28C1">
        <w:rPr>
          <w:rFonts w:ascii="Times New Roman" w:hAnsi="Times New Roman" w:cs="Times New Roman"/>
          <w:sz w:val="24"/>
          <w:szCs w:val="24"/>
        </w:rPr>
        <w:t> </w:t>
      </w:r>
      <w:r w:rsidR="00773F8F" w:rsidRPr="007F28C1">
        <w:rPr>
          <w:rFonts w:ascii="Times New Roman" w:hAnsi="Times New Roman" w:cs="Times New Roman"/>
          <w:sz w:val="24"/>
          <w:szCs w:val="24"/>
        </w:rPr>
        <w:t>uwzględnieniem aspektów geologicznych</w:t>
      </w:r>
      <w:r w:rsidRPr="007F28C1">
        <w:rPr>
          <w:rFonts w:ascii="Times New Roman" w:hAnsi="Times New Roman" w:cs="Times New Roman"/>
          <w:sz w:val="24"/>
          <w:szCs w:val="24"/>
        </w:rPr>
        <w:t xml:space="preserve">. Obecne regulacje </w:t>
      </w:r>
      <w:r w:rsidR="0027251C" w:rsidRPr="007F28C1">
        <w:rPr>
          <w:rFonts w:ascii="Times New Roman" w:hAnsi="Times New Roman" w:cs="Times New Roman"/>
          <w:sz w:val="24"/>
          <w:szCs w:val="24"/>
        </w:rPr>
        <w:t xml:space="preserve">jednak </w:t>
      </w:r>
      <w:r w:rsidRPr="007F28C1">
        <w:rPr>
          <w:rFonts w:ascii="Times New Roman" w:hAnsi="Times New Roman" w:cs="Times New Roman"/>
          <w:sz w:val="24"/>
          <w:szCs w:val="24"/>
        </w:rPr>
        <w:t xml:space="preserve">nie uznają tego za rodzaj praktyki zawodowej za uprawniający do ubiegania się </w:t>
      </w:r>
      <w:r w:rsidRPr="007F28C1">
        <w:rPr>
          <w:rFonts w:ascii="Times New Roman" w:hAnsi="Times New Roman" w:cs="Times New Roman"/>
          <w:sz w:val="24"/>
          <w:szCs w:val="24"/>
        </w:rPr>
        <w:lastRenderedPageBreak/>
        <w:t>o</w:t>
      </w:r>
      <w:r w:rsidR="00BF725F">
        <w:rPr>
          <w:rFonts w:ascii="Times New Roman" w:hAnsi="Times New Roman" w:cs="Times New Roman"/>
          <w:sz w:val="24"/>
          <w:szCs w:val="24"/>
        </w:rPr>
        <w:t> </w:t>
      </w:r>
      <w:r w:rsidRPr="007F28C1">
        <w:rPr>
          <w:rFonts w:ascii="Times New Roman" w:hAnsi="Times New Roman" w:cs="Times New Roman"/>
          <w:sz w:val="24"/>
          <w:szCs w:val="24"/>
        </w:rPr>
        <w:t xml:space="preserve">kwalifikacje geologa. Dlatego też </w:t>
      </w:r>
      <w:r w:rsidR="0027251C" w:rsidRPr="007F28C1">
        <w:rPr>
          <w:rFonts w:ascii="Times New Roman" w:hAnsi="Times New Roman" w:cs="Times New Roman"/>
          <w:sz w:val="24"/>
          <w:szCs w:val="24"/>
        </w:rPr>
        <w:t xml:space="preserve">jest </w:t>
      </w:r>
      <w:r w:rsidRPr="007F28C1">
        <w:rPr>
          <w:rFonts w:ascii="Times New Roman" w:hAnsi="Times New Roman" w:cs="Times New Roman"/>
          <w:sz w:val="24"/>
          <w:szCs w:val="24"/>
        </w:rPr>
        <w:t>wskazan</w:t>
      </w:r>
      <w:r w:rsidR="0027251C" w:rsidRPr="007F28C1">
        <w:rPr>
          <w:rFonts w:ascii="Times New Roman" w:hAnsi="Times New Roman" w:cs="Times New Roman"/>
          <w:sz w:val="24"/>
          <w:szCs w:val="24"/>
        </w:rPr>
        <w:t>a</w:t>
      </w:r>
      <w:r w:rsidRPr="007F28C1">
        <w:rPr>
          <w:rFonts w:ascii="Times New Roman" w:hAnsi="Times New Roman" w:cs="Times New Roman"/>
          <w:sz w:val="24"/>
          <w:szCs w:val="24"/>
        </w:rPr>
        <w:t xml:space="preserve"> </w:t>
      </w:r>
      <w:r w:rsidR="0027251C" w:rsidRPr="007F28C1">
        <w:rPr>
          <w:rFonts w:ascii="Times New Roman" w:hAnsi="Times New Roman" w:cs="Times New Roman"/>
          <w:sz w:val="24"/>
          <w:szCs w:val="24"/>
        </w:rPr>
        <w:t xml:space="preserve">zmiana </w:t>
      </w:r>
      <w:r w:rsidRPr="007F28C1">
        <w:rPr>
          <w:rFonts w:ascii="Times New Roman" w:hAnsi="Times New Roman" w:cs="Times New Roman"/>
          <w:sz w:val="24"/>
          <w:szCs w:val="24"/>
        </w:rPr>
        <w:t xml:space="preserve">obecnego brzmienia art. 52 ust. 8 P.g.g. Projektowana zmiana zapewni osobom zatrudnionym w takim podmiocie uprawnienie do ubiegania się o stwierdzenie </w:t>
      </w:r>
      <w:r w:rsidR="005D5851" w:rsidRPr="007F28C1">
        <w:rPr>
          <w:rFonts w:ascii="Times New Roman" w:hAnsi="Times New Roman" w:cs="Times New Roman"/>
          <w:sz w:val="24"/>
          <w:szCs w:val="24"/>
        </w:rPr>
        <w:t xml:space="preserve">posiadania </w:t>
      </w:r>
      <w:r w:rsidRPr="007F28C1">
        <w:rPr>
          <w:rFonts w:ascii="Times New Roman" w:hAnsi="Times New Roman" w:cs="Times New Roman"/>
          <w:sz w:val="24"/>
          <w:szCs w:val="24"/>
        </w:rPr>
        <w:t>tego rodzaju kwalifikacji. Warunkiem będzie wykonywanie zadań przy sporządzaniu projektów robót geologicznych i dokumentacji geologicznych przy realizacji zadań zmierzających do rozpoznania budowy geologicznej kraju, w tym dla ustalania zasobów złóż kopalin, jak również przy sprawdzaniu dokumentacji geologicznych</w:t>
      </w:r>
      <w:r w:rsidR="008D5E5E" w:rsidRPr="007F28C1">
        <w:rPr>
          <w:rFonts w:ascii="Times New Roman" w:hAnsi="Times New Roman" w:cs="Times New Roman"/>
          <w:sz w:val="24"/>
          <w:szCs w:val="24"/>
        </w:rPr>
        <w:t>, z uwzględnieniem aspektów geologicznych,</w:t>
      </w:r>
      <w:r w:rsidR="005C4F7A" w:rsidRPr="007F28C1">
        <w:rPr>
          <w:rFonts w:ascii="Times New Roman" w:hAnsi="Times New Roman" w:cs="Times New Roman"/>
          <w:sz w:val="24"/>
          <w:szCs w:val="24"/>
        </w:rPr>
        <w:t xml:space="preserve"> przed jej zatwierdzeniem </w:t>
      </w:r>
      <w:r w:rsidR="00E07657" w:rsidRPr="007F28C1">
        <w:rPr>
          <w:rFonts w:ascii="Times New Roman" w:hAnsi="Times New Roman" w:cs="Times New Roman"/>
          <w:sz w:val="24"/>
          <w:szCs w:val="24"/>
        </w:rPr>
        <w:t xml:space="preserve">– </w:t>
      </w:r>
      <w:r w:rsidR="005C4F7A" w:rsidRPr="007F28C1">
        <w:rPr>
          <w:rFonts w:ascii="Times New Roman" w:hAnsi="Times New Roman" w:cs="Times New Roman"/>
          <w:sz w:val="24"/>
          <w:szCs w:val="24"/>
        </w:rPr>
        <w:t>na podstawie powierzenia realizacji tego zadania przez</w:t>
      </w:r>
      <w:r w:rsidR="00FB31A4" w:rsidRPr="007F28C1">
        <w:rPr>
          <w:rFonts w:ascii="Times New Roman" w:hAnsi="Times New Roman" w:cs="Times New Roman"/>
          <w:sz w:val="24"/>
          <w:szCs w:val="24"/>
        </w:rPr>
        <w:t xml:space="preserve"> </w:t>
      </w:r>
      <w:r w:rsidR="00E07657" w:rsidRPr="007F28C1">
        <w:rPr>
          <w:rFonts w:ascii="Times New Roman" w:hAnsi="Times New Roman" w:cs="Times New Roman"/>
          <w:sz w:val="24"/>
          <w:szCs w:val="24"/>
        </w:rPr>
        <w:t>m</w:t>
      </w:r>
      <w:r w:rsidR="00520019" w:rsidRPr="007F28C1">
        <w:rPr>
          <w:rFonts w:ascii="Times New Roman" w:hAnsi="Times New Roman" w:cs="Times New Roman"/>
          <w:sz w:val="24"/>
          <w:szCs w:val="24"/>
        </w:rPr>
        <w:t>inistra</w:t>
      </w:r>
      <w:r w:rsidR="00580B40" w:rsidRPr="007F28C1">
        <w:rPr>
          <w:rFonts w:ascii="Times New Roman" w:hAnsi="Times New Roman" w:cs="Times New Roman"/>
          <w:sz w:val="24"/>
          <w:szCs w:val="24"/>
        </w:rPr>
        <w:t xml:space="preserve"> właściwego do spraw środowiska.</w:t>
      </w:r>
      <w:r w:rsidR="00EC0914" w:rsidRPr="007F28C1">
        <w:rPr>
          <w:rFonts w:ascii="Times New Roman" w:hAnsi="Times New Roman" w:cs="Times New Roman"/>
          <w:sz w:val="24"/>
          <w:szCs w:val="24"/>
        </w:rPr>
        <w:t xml:space="preserve"> Osoby takie przystępujące do egzaminu w celu zdobycia kwalifikacji będą musiały potwierdzić odbycie praktyki przez dołączenie wykaz</w:t>
      </w:r>
      <w:r w:rsidR="005802D5" w:rsidRPr="007F28C1">
        <w:rPr>
          <w:rFonts w:ascii="Times New Roman" w:hAnsi="Times New Roman" w:cs="Times New Roman"/>
          <w:sz w:val="24"/>
          <w:szCs w:val="24"/>
        </w:rPr>
        <w:t>u</w:t>
      </w:r>
      <w:r w:rsidR="00EC0914" w:rsidRPr="007F28C1">
        <w:rPr>
          <w:rFonts w:ascii="Times New Roman" w:hAnsi="Times New Roman" w:cs="Times New Roman"/>
          <w:sz w:val="24"/>
          <w:szCs w:val="24"/>
        </w:rPr>
        <w:t xml:space="preserve"> opracowań sporządzony</w:t>
      </w:r>
      <w:r w:rsidR="005802D5" w:rsidRPr="007F28C1">
        <w:rPr>
          <w:rFonts w:ascii="Times New Roman" w:hAnsi="Times New Roman" w:cs="Times New Roman"/>
          <w:sz w:val="24"/>
          <w:szCs w:val="24"/>
        </w:rPr>
        <w:t>ch</w:t>
      </w:r>
      <w:r w:rsidR="00EC0914" w:rsidRPr="007F28C1">
        <w:rPr>
          <w:rFonts w:ascii="Times New Roman" w:hAnsi="Times New Roman" w:cs="Times New Roman"/>
          <w:sz w:val="24"/>
          <w:szCs w:val="24"/>
        </w:rPr>
        <w:t xml:space="preserve"> z ich udziałem przy realizacji zadań </w:t>
      </w:r>
      <w:r w:rsidR="00773F8F" w:rsidRPr="007F28C1">
        <w:rPr>
          <w:rFonts w:ascii="Times New Roman" w:hAnsi="Times New Roman" w:cs="Times New Roman"/>
          <w:sz w:val="24"/>
          <w:szCs w:val="24"/>
        </w:rPr>
        <w:t>potwierdzon</w:t>
      </w:r>
      <w:r w:rsidR="00E07657" w:rsidRPr="007F28C1">
        <w:rPr>
          <w:rFonts w:ascii="Times New Roman" w:hAnsi="Times New Roman" w:cs="Times New Roman"/>
          <w:sz w:val="24"/>
          <w:szCs w:val="24"/>
        </w:rPr>
        <w:t>ego</w:t>
      </w:r>
      <w:r w:rsidR="00773F8F" w:rsidRPr="007F28C1">
        <w:rPr>
          <w:rFonts w:ascii="Times New Roman" w:hAnsi="Times New Roman" w:cs="Times New Roman"/>
          <w:sz w:val="24"/>
          <w:szCs w:val="24"/>
        </w:rPr>
        <w:t xml:space="preserve"> przez podmiot, na rzecz którego sporządzono te opracowania</w:t>
      </w:r>
      <w:r w:rsidR="00E07657" w:rsidRPr="007F28C1">
        <w:rPr>
          <w:rFonts w:ascii="Times New Roman" w:hAnsi="Times New Roman" w:cs="Times New Roman"/>
          <w:sz w:val="24"/>
          <w:szCs w:val="24"/>
        </w:rPr>
        <w:t>,</w:t>
      </w:r>
      <w:r w:rsidR="00773F8F" w:rsidRPr="007F28C1">
        <w:rPr>
          <w:rFonts w:ascii="Times New Roman" w:hAnsi="Times New Roman" w:cs="Times New Roman"/>
          <w:sz w:val="24"/>
          <w:szCs w:val="24"/>
        </w:rPr>
        <w:t xml:space="preserve"> oraz </w:t>
      </w:r>
      <w:r w:rsidR="00EC0914" w:rsidRPr="007F28C1">
        <w:rPr>
          <w:rFonts w:ascii="Times New Roman" w:hAnsi="Times New Roman" w:cs="Times New Roman"/>
          <w:sz w:val="24"/>
          <w:szCs w:val="24"/>
        </w:rPr>
        <w:t>wykaz</w:t>
      </w:r>
      <w:r w:rsidR="00E07657" w:rsidRPr="007F28C1">
        <w:rPr>
          <w:rFonts w:ascii="Times New Roman" w:hAnsi="Times New Roman" w:cs="Times New Roman"/>
          <w:sz w:val="24"/>
          <w:szCs w:val="24"/>
        </w:rPr>
        <w:t>u</w:t>
      </w:r>
      <w:r w:rsidR="00EC0914" w:rsidRPr="007F28C1">
        <w:rPr>
          <w:rFonts w:ascii="Times New Roman" w:hAnsi="Times New Roman" w:cs="Times New Roman"/>
          <w:sz w:val="24"/>
          <w:szCs w:val="24"/>
        </w:rPr>
        <w:t xml:space="preserve"> dokumentacji geologicznych, w sprawdzeniu których uczestniczyli</w:t>
      </w:r>
      <w:r w:rsidR="00E07657" w:rsidRPr="007F28C1">
        <w:rPr>
          <w:rFonts w:ascii="Times New Roman" w:hAnsi="Times New Roman" w:cs="Times New Roman"/>
          <w:sz w:val="24"/>
          <w:szCs w:val="24"/>
        </w:rPr>
        <w:t>,</w:t>
      </w:r>
      <w:r w:rsidR="00773F8F" w:rsidRPr="007F28C1">
        <w:rPr>
          <w:rFonts w:ascii="Times New Roman" w:hAnsi="Times New Roman" w:cs="Times New Roman"/>
          <w:sz w:val="24"/>
          <w:szCs w:val="24"/>
        </w:rPr>
        <w:t xml:space="preserve"> potwierdzony przez podmiot pełniący PSG</w:t>
      </w:r>
      <w:r w:rsidR="00EC0914" w:rsidRPr="007F28C1">
        <w:rPr>
          <w:rFonts w:ascii="Times New Roman" w:hAnsi="Times New Roman" w:cs="Times New Roman"/>
          <w:sz w:val="24"/>
          <w:szCs w:val="24"/>
        </w:rPr>
        <w:t>, co</w:t>
      </w:r>
      <w:r w:rsidR="00D978C1" w:rsidRPr="007F28C1">
        <w:rPr>
          <w:rFonts w:ascii="Times New Roman" w:hAnsi="Times New Roman" w:cs="Times New Roman"/>
          <w:sz w:val="24"/>
          <w:szCs w:val="24"/>
        </w:rPr>
        <w:t> </w:t>
      </w:r>
      <w:r w:rsidR="00EC0914" w:rsidRPr="007F28C1">
        <w:rPr>
          <w:rFonts w:ascii="Times New Roman" w:hAnsi="Times New Roman" w:cs="Times New Roman"/>
          <w:sz w:val="24"/>
          <w:szCs w:val="24"/>
        </w:rPr>
        <w:t xml:space="preserve">zostało uregulowane w dodanym </w:t>
      </w:r>
      <w:r w:rsidR="00E07657" w:rsidRPr="007F28C1">
        <w:rPr>
          <w:rFonts w:ascii="Times New Roman" w:hAnsi="Times New Roman" w:cs="Times New Roman"/>
          <w:sz w:val="24"/>
          <w:szCs w:val="24"/>
        </w:rPr>
        <w:t xml:space="preserve">w </w:t>
      </w:r>
      <w:r w:rsidR="00EC0914" w:rsidRPr="007F28C1">
        <w:rPr>
          <w:rFonts w:ascii="Times New Roman" w:hAnsi="Times New Roman" w:cs="Times New Roman"/>
          <w:sz w:val="24"/>
          <w:szCs w:val="24"/>
        </w:rPr>
        <w:t>art. 61 ust. 3 pkt 3 P.g.g.</w:t>
      </w:r>
    </w:p>
    <w:p w14:paraId="61917CD6" w14:textId="4E6CF91C" w:rsidR="00C20ACF" w:rsidRPr="007F28C1" w:rsidRDefault="00C20ACF" w:rsidP="007F28C1">
      <w:pPr>
        <w:pStyle w:val="Akapitzlist"/>
        <w:numPr>
          <w:ilvl w:val="0"/>
          <w:numId w:val="14"/>
        </w:numPr>
        <w:tabs>
          <w:tab w:val="left" w:pos="574"/>
        </w:tabs>
        <w:spacing w:before="240" w:after="0" w:line="360" w:lineRule="auto"/>
        <w:ind w:hanging="758"/>
        <w:jc w:val="both"/>
        <w:rPr>
          <w:rFonts w:ascii="Times New Roman" w:hAnsi="Times New Roman" w:cs="Times New Roman"/>
          <w:b/>
          <w:bCs/>
          <w:sz w:val="24"/>
          <w:szCs w:val="24"/>
        </w:rPr>
      </w:pPr>
      <w:r w:rsidRPr="007F28C1">
        <w:rPr>
          <w:rFonts w:ascii="Times New Roman" w:hAnsi="Times New Roman" w:cs="Times New Roman"/>
          <w:b/>
          <w:bCs/>
          <w:sz w:val="24"/>
          <w:szCs w:val="24"/>
        </w:rPr>
        <w:t>Pozostałe zmiany</w:t>
      </w:r>
    </w:p>
    <w:p w14:paraId="2910D385" w14:textId="324C3719" w:rsidR="00C20ACF" w:rsidRPr="007F28C1" w:rsidRDefault="00C20ACF"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Projekt przewiduje ponadto </w:t>
      </w:r>
      <w:r w:rsidR="005676C4" w:rsidRPr="007F28C1">
        <w:rPr>
          <w:rFonts w:ascii="Times New Roman" w:hAnsi="Times New Roman" w:cs="Times New Roman"/>
          <w:sz w:val="24"/>
          <w:szCs w:val="24"/>
        </w:rPr>
        <w:t xml:space="preserve">zmiany mające na celu wyeliminowanie trudności praktycznych w ustaleniu </w:t>
      </w:r>
      <w:r w:rsidR="00A97A11" w:rsidRPr="007F28C1">
        <w:rPr>
          <w:rFonts w:ascii="Times New Roman" w:hAnsi="Times New Roman" w:cs="Times New Roman"/>
          <w:bCs/>
          <w:sz w:val="24"/>
          <w:szCs w:val="24"/>
        </w:rPr>
        <w:t>średnich niskich przepływów z wielolecia</w:t>
      </w:r>
      <w:r w:rsidR="000D2E61" w:rsidRPr="007F28C1">
        <w:rPr>
          <w:rFonts w:ascii="Times New Roman" w:hAnsi="Times New Roman" w:cs="Times New Roman"/>
          <w:bCs/>
          <w:sz w:val="24"/>
          <w:szCs w:val="24"/>
        </w:rPr>
        <w:t xml:space="preserve"> (</w:t>
      </w:r>
      <w:r w:rsidR="005676C4" w:rsidRPr="007F28C1">
        <w:rPr>
          <w:rFonts w:ascii="Times New Roman" w:hAnsi="Times New Roman" w:cs="Times New Roman"/>
          <w:sz w:val="24"/>
          <w:szCs w:val="24"/>
        </w:rPr>
        <w:t>SNQ</w:t>
      </w:r>
      <w:r w:rsidR="000D2E61" w:rsidRPr="007F28C1">
        <w:rPr>
          <w:rFonts w:ascii="Times New Roman" w:hAnsi="Times New Roman" w:cs="Times New Roman"/>
          <w:sz w:val="24"/>
          <w:szCs w:val="24"/>
        </w:rPr>
        <w:t>)</w:t>
      </w:r>
      <w:r w:rsidR="005676C4" w:rsidRPr="007F28C1">
        <w:rPr>
          <w:rFonts w:ascii="Times New Roman" w:hAnsi="Times New Roman" w:cs="Times New Roman"/>
          <w:sz w:val="24"/>
          <w:szCs w:val="24"/>
        </w:rPr>
        <w:t xml:space="preserve"> dla poszczególnych wód</w:t>
      </w:r>
      <w:r w:rsidR="00E07657" w:rsidRPr="007F28C1">
        <w:rPr>
          <w:rFonts w:ascii="Times New Roman" w:hAnsi="Times New Roman" w:cs="Times New Roman"/>
          <w:sz w:val="24"/>
          <w:szCs w:val="24"/>
        </w:rPr>
        <w:t>,</w:t>
      </w:r>
      <w:r w:rsidR="005676C4" w:rsidRPr="007F28C1">
        <w:rPr>
          <w:rFonts w:ascii="Times New Roman" w:hAnsi="Times New Roman" w:cs="Times New Roman"/>
          <w:sz w:val="24"/>
          <w:szCs w:val="24"/>
        </w:rPr>
        <w:t xml:space="preserve"> a także dostępnych zasobów wód podziemnych, które w wielu przypadkach nie są ustalone</w:t>
      </w:r>
      <w:r w:rsidR="00A97A11" w:rsidRPr="007F28C1">
        <w:rPr>
          <w:rFonts w:ascii="Times New Roman" w:hAnsi="Times New Roman" w:cs="Times New Roman"/>
          <w:sz w:val="24"/>
          <w:szCs w:val="24"/>
        </w:rPr>
        <w:t>.</w:t>
      </w:r>
    </w:p>
    <w:p w14:paraId="4A70D49B" w14:textId="0BD77454" w:rsidR="00A97A11" w:rsidRPr="007F28C1" w:rsidRDefault="001C65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P.w. </w:t>
      </w:r>
      <w:r w:rsidR="00A97A11" w:rsidRPr="007F28C1">
        <w:rPr>
          <w:rFonts w:ascii="Times New Roman" w:hAnsi="Times New Roman" w:cs="Times New Roman"/>
          <w:sz w:val="24"/>
          <w:szCs w:val="24"/>
        </w:rPr>
        <w:t>przewiduje powiązanie wysokości opłaty jednostkowej za usługi wodne za pobór wód podziemnych oraz wód powierzchniowych odpowiednio z dostępnymi zasobami wód podziemnych oraz SNQ, przy czym zastosowanie wskazanych kryteriów, różnicujących wysokość jednostkowej stawki opłaty</w:t>
      </w:r>
      <w:r w:rsidR="00E07657" w:rsidRPr="007F28C1">
        <w:rPr>
          <w:rFonts w:ascii="Times New Roman" w:hAnsi="Times New Roman" w:cs="Times New Roman"/>
          <w:sz w:val="24"/>
          <w:szCs w:val="24"/>
        </w:rPr>
        <w:t>,</w:t>
      </w:r>
      <w:r w:rsidR="00A97A11" w:rsidRPr="007F28C1">
        <w:rPr>
          <w:rFonts w:ascii="Times New Roman" w:hAnsi="Times New Roman" w:cs="Times New Roman"/>
          <w:sz w:val="24"/>
          <w:szCs w:val="24"/>
        </w:rPr>
        <w:t xml:space="preserve"> zostało odroczone w czasie (pierwotnie do końca 2019 r., a</w:t>
      </w:r>
      <w:r w:rsidR="00705A7E" w:rsidRPr="007F28C1">
        <w:rPr>
          <w:rFonts w:ascii="Times New Roman" w:hAnsi="Times New Roman" w:cs="Times New Roman"/>
          <w:sz w:val="24"/>
          <w:szCs w:val="24"/>
        </w:rPr>
        <w:t> </w:t>
      </w:r>
      <w:r w:rsidR="00A97A11" w:rsidRPr="007F28C1">
        <w:rPr>
          <w:rFonts w:ascii="Times New Roman" w:hAnsi="Times New Roman" w:cs="Times New Roman"/>
          <w:sz w:val="24"/>
          <w:szCs w:val="24"/>
        </w:rPr>
        <w:t>obecnie do końca 2023 r.). Ze względu na trudności praktyczne w ustaleniu SNQ dla poszczególnych wód</w:t>
      </w:r>
      <w:r w:rsidR="00E07657" w:rsidRPr="007F28C1">
        <w:rPr>
          <w:rFonts w:ascii="Times New Roman" w:hAnsi="Times New Roman" w:cs="Times New Roman"/>
          <w:sz w:val="24"/>
          <w:szCs w:val="24"/>
        </w:rPr>
        <w:t>,</w:t>
      </w:r>
      <w:r w:rsidR="00A97A11" w:rsidRPr="007F28C1">
        <w:rPr>
          <w:rFonts w:ascii="Times New Roman" w:hAnsi="Times New Roman" w:cs="Times New Roman"/>
          <w:sz w:val="24"/>
          <w:szCs w:val="24"/>
        </w:rPr>
        <w:t xml:space="preserve"> a także dostępnych zasobów wód podziemnych, które w wielu przypadkach nie są ustalone, zdecydowano o odstąpieniu od powiązania wysokości opłat za usługi wodne za pobór wód podziemnych oraz wód powierzchniowych odpowiednio z dostępnymi zasobami wód podziemnych oraz SNQ. Przedmiotowa zmiana ma na celu także uproszczenie systemu opłat za usługi wodne, w</w:t>
      </w:r>
      <w:r w:rsidR="00705A7E" w:rsidRPr="007F28C1">
        <w:rPr>
          <w:rFonts w:ascii="Times New Roman" w:hAnsi="Times New Roman" w:cs="Times New Roman"/>
          <w:sz w:val="24"/>
          <w:szCs w:val="24"/>
        </w:rPr>
        <w:t> </w:t>
      </w:r>
      <w:r w:rsidR="00A97A11" w:rsidRPr="007F28C1">
        <w:rPr>
          <w:rFonts w:ascii="Times New Roman" w:hAnsi="Times New Roman" w:cs="Times New Roman"/>
          <w:sz w:val="24"/>
          <w:szCs w:val="24"/>
        </w:rPr>
        <w:t>ramach którego bierze się pod uwagę różne przesłanki.</w:t>
      </w:r>
    </w:p>
    <w:p w14:paraId="65992ABA" w14:textId="1F1D22E5" w:rsidR="00A97A11" w:rsidRPr="007F28C1" w:rsidRDefault="00A97A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Definicję dostępnych zasobów wód podziemnych zawiera art. 16 pkt 14 </w:t>
      </w:r>
      <w:r w:rsidR="001C6511" w:rsidRPr="007F28C1">
        <w:rPr>
          <w:rFonts w:ascii="Times New Roman" w:hAnsi="Times New Roman" w:cs="Times New Roman"/>
          <w:sz w:val="24"/>
          <w:szCs w:val="24"/>
        </w:rPr>
        <w:t>P.w.</w:t>
      </w:r>
      <w:r w:rsidR="00FF7DD1">
        <w:rPr>
          <w:rFonts w:ascii="Times New Roman" w:hAnsi="Times New Roman" w:cs="Times New Roman"/>
          <w:sz w:val="24"/>
          <w:szCs w:val="24"/>
        </w:rPr>
        <w:t>,</w:t>
      </w:r>
      <w:r w:rsidR="001C6511" w:rsidRPr="007F28C1">
        <w:rPr>
          <w:rFonts w:ascii="Times New Roman" w:hAnsi="Times New Roman" w:cs="Times New Roman"/>
          <w:sz w:val="24"/>
          <w:szCs w:val="24"/>
        </w:rPr>
        <w:t xml:space="preserve"> </w:t>
      </w:r>
      <w:r w:rsidRPr="007F28C1">
        <w:rPr>
          <w:rFonts w:ascii="Times New Roman" w:hAnsi="Times New Roman" w:cs="Times New Roman"/>
          <w:sz w:val="24"/>
          <w:szCs w:val="24"/>
        </w:rPr>
        <w:t>wskazując, że są to zasoby wód podziemnych, które stanowią średnią roczną 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wielolecia wielkość całkowitego zasilania wód podziemnych określonej jednolitej części wód podziemnych (JCWPd) pomniejszoną o wielkość średnią z wielolecia przepływu wód wymaganego dla osiągnięcia </w:t>
      </w:r>
      <w:r w:rsidRPr="007F28C1">
        <w:rPr>
          <w:rFonts w:ascii="Times New Roman" w:hAnsi="Times New Roman" w:cs="Times New Roman"/>
          <w:sz w:val="24"/>
          <w:szCs w:val="24"/>
        </w:rPr>
        <w:lastRenderedPageBreak/>
        <w:t>celów środowiskowych dla jednolitych części wód powierzchniowych związanych 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określoną JCWPd. </w:t>
      </w:r>
      <w:r w:rsidR="00FF7DD1">
        <w:rPr>
          <w:rFonts w:ascii="Times New Roman" w:hAnsi="Times New Roman" w:cs="Times New Roman"/>
          <w:sz w:val="24"/>
          <w:szCs w:val="24"/>
        </w:rPr>
        <w:t>N</w:t>
      </w:r>
      <w:r w:rsidR="00FF7DD1" w:rsidRPr="007F28C1">
        <w:rPr>
          <w:rFonts w:ascii="Times New Roman" w:hAnsi="Times New Roman" w:cs="Times New Roman"/>
          <w:sz w:val="24"/>
          <w:szCs w:val="24"/>
        </w:rPr>
        <w:t xml:space="preserve">ależy </w:t>
      </w:r>
      <w:r w:rsidR="00FF7DD1">
        <w:rPr>
          <w:rFonts w:ascii="Times New Roman" w:hAnsi="Times New Roman" w:cs="Times New Roman"/>
          <w:sz w:val="24"/>
          <w:szCs w:val="24"/>
        </w:rPr>
        <w:t>p</w:t>
      </w:r>
      <w:r w:rsidRPr="007F28C1">
        <w:rPr>
          <w:rFonts w:ascii="Times New Roman" w:hAnsi="Times New Roman" w:cs="Times New Roman"/>
          <w:sz w:val="24"/>
          <w:szCs w:val="24"/>
        </w:rPr>
        <w:t>odnieść, że wielkość zasobów dostępnych w JCWPd nie jest ustalana zgodnie z podaną w ustawie definicją, a jedynie jest szacowana na potrzeby oceny stanu ilościowego JCWPd przez przeliczenie wartości modułowych zasobów dyspozycyjnych w obszarach bilansowych. Z tego względu oszacowane dostępne zasoby wód podziemnych w JCWPd, jako opracowanie eksperckie, a nie akt prawny czy administracyjny, nie powinny być podstawą do naliczania opłaty stanowiącej daninę publiczną. Analogiczne zastrzeżenie dotyczy wyznaczania średniego niskiego przepływu z wielolecia (SNQ), co do którego brak regulacji prawnych określających metodykę jego wyznaczania. Przedstawiona sytuacja może godzić w zasadę szczególnej określoności przepisów daninowych, a także generować liczne spory sądowoadministracyjne na tle stosowanych w toku ustalania opłat za usługi wodne danych związanych z dostępnymi zasobami wód podziemnych oraz średniego niskiego przepływu z wielolecia (SNQ) w kontekście ich jakości.</w:t>
      </w:r>
    </w:p>
    <w:p w14:paraId="40091B67" w14:textId="62C27D1B" w:rsidR="00A97A11" w:rsidRPr="007F28C1" w:rsidRDefault="00A97A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W związku z powyższym usunięto uzależnienie opłat za usługi wodne od dostępnych zasobów wód podziemnych oraz średniego niskiego przepływu z wielolecia zawarte w art. 270 ust. 6 i art. 271 ust. 2 i 3</w:t>
      </w:r>
      <w:r w:rsidR="001C6511" w:rsidRPr="007F28C1">
        <w:rPr>
          <w:rFonts w:ascii="Times New Roman" w:hAnsi="Times New Roman" w:cs="Times New Roman"/>
          <w:sz w:val="24"/>
          <w:szCs w:val="24"/>
        </w:rPr>
        <w:t xml:space="preserve"> P.w</w:t>
      </w:r>
      <w:r w:rsidRPr="007F28C1">
        <w:rPr>
          <w:rFonts w:ascii="Times New Roman" w:hAnsi="Times New Roman" w:cs="Times New Roman"/>
          <w:sz w:val="24"/>
          <w:szCs w:val="24"/>
        </w:rPr>
        <w:t>.</w:t>
      </w:r>
    </w:p>
    <w:p w14:paraId="4E4816A1" w14:textId="421A7A76" w:rsidR="00A97A11" w:rsidRPr="007F28C1" w:rsidRDefault="00A97A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Celem zmiany </w:t>
      </w:r>
      <w:r w:rsidR="000D2E61" w:rsidRPr="007F28C1">
        <w:rPr>
          <w:rFonts w:ascii="Times New Roman" w:hAnsi="Times New Roman" w:cs="Times New Roman"/>
          <w:bCs/>
          <w:sz w:val="24"/>
          <w:szCs w:val="24"/>
        </w:rPr>
        <w:t>a</w:t>
      </w:r>
      <w:r w:rsidRPr="007F28C1">
        <w:rPr>
          <w:rFonts w:ascii="Times New Roman" w:hAnsi="Times New Roman" w:cs="Times New Roman"/>
          <w:bCs/>
          <w:sz w:val="24"/>
          <w:szCs w:val="24"/>
        </w:rPr>
        <w:t xml:space="preserve">rt. 274 pkt 1 lit. a i b oraz </w:t>
      </w:r>
      <w:r w:rsidR="008163AA" w:rsidRPr="007F28C1">
        <w:rPr>
          <w:rFonts w:ascii="Times New Roman" w:hAnsi="Times New Roman" w:cs="Times New Roman"/>
          <w:bCs/>
          <w:sz w:val="24"/>
          <w:szCs w:val="24"/>
        </w:rPr>
        <w:t>uchyleni</w:t>
      </w:r>
      <w:r w:rsidR="008A3158" w:rsidRPr="007F28C1">
        <w:rPr>
          <w:rFonts w:ascii="Times New Roman" w:hAnsi="Times New Roman" w:cs="Times New Roman"/>
          <w:bCs/>
          <w:sz w:val="24"/>
          <w:szCs w:val="24"/>
        </w:rPr>
        <w:t>a</w:t>
      </w:r>
      <w:r w:rsidR="008163AA" w:rsidRPr="007F28C1">
        <w:rPr>
          <w:rFonts w:ascii="Times New Roman" w:hAnsi="Times New Roman" w:cs="Times New Roman"/>
          <w:bCs/>
          <w:sz w:val="24"/>
          <w:szCs w:val="24"/>
        </w:rPr>
        <w:t xml:space="preserve"> </w:t>
      </w:r>
      <w:r w:rsidRPr="007F28C1">
        <w:rPr>
          <w:rFonts w:ascii="Times New Roman" w:hAnsi="Times New Roman" w:cs="Times New Roman"/>
          <w:bCs/>
          <w:sz w:val="24"/>
          <w:szCs w:val="24"/>
        </w:rPr>
        <w:t>lit. c</w:t>
      </w:r>
      <w:r w:rsidR="000D2E61" w:rsidRPr="007F28C1">
        <w:rPr>
          <w:rFonts w:ascii="Times New Roman" w:hAnsi="Times New Roman" w:cs="Times New Roman"/>
          <w:bCs/>
          <w:sz w:val="24"/>
          <w:szCs w:val="24"/>
        </w:rPr>
        <w:t xml:space="preserve"> </w:t>
      </w:r>
      <w:r w:rsidR="001C6511" w:rsidRPr="007F28C1">
        <w:rPr>
          <w:rFonts w:ascii="Times New Roman" w:hAnsi="Times New Roman" w:cs="Times New Roman"/>
          <w:bCs/>
          <w:sz w:val="24"/>
          <w:szCs w:val="24"/>
        </w:rPr>
        <w:t>P.w.</w:t>
      </w:r>
      <w:r w:rsidRPr="007F28C1">
        <w:rPr>
          <w:rFonts w:ascii="Times New Roman" w:hAnsi="Times New Roman" w:cs="Times New Roman"/>
          <w:bCs/>
          <w:sz w:val="24"/>
          <w:szCs w:val="24"/>
        </w:rPr>
        <w:t xml:space="preserve"> jest</w:t>
      </w:r>
      <w:r w:rsidRPr="007F28C1">
        <w:rPr>
          <w:rFonts w:ascii="Times New Roman" w:hAnsi="Times New Roman" w:cs="Times New Roman"/>
          <w:sz w:val="24"/>
          <w:szCs w:val="24"/>
        </w:rPr>
        <w:t xml:space="preserve"> odstąpienie od powiązania wysokości opłat za usługi wodne za pobór wód podziemnych oraz wód powierzchniowych odpowiednio z dostępnymi zasobami wód podziemnych oraz średnim niskim przepływem z wielolecia (SNQ). </w:t>
      </w:r>
    </w:p>
    <w:p w14:paraId="0CB808FC" w14:textId="426DED87" w:rsidR="00A97A11" w:rsidRPr="007F28C1" w:rsidRDefault="00A97A11"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W art. 274 pkt 1 </w:t>
      </w:r>
      <w:r w:rsidR="001C6511" w:rsidRPr="007F28C1">
        <w:rPr>
          <w:rFonts w:ascii="Times New Roman" w:hAnsi="Times New Roman" w:cs="Times New Roman"/>
          <w:sz w:val="24"/>
          <w:szCs w:val="24"/>
        </w:rPr>
        <w:t xml:space="preserve">P.w. </w:t>
      </w:r>
      <w:r w:rsidRPr="007F28C1">
        <w:rPr>
          <w:rFonts w:ascii="Times New Roman" w:hAnsi="Times New Roman" w:cs="Times New Roman"/>
          <w:sz w:val="24"/>
          <w:szCs w:val="24"/>
        </w:rPr>
        <w:t>dodatkowo</w:t>
      </w:r>
      <w:r w:rsidR="00E07657" w:rsidRPr="007F28C1">
        <w:rPr>
          <w:rFonts w:ascii="Times New Roman" w:hAnsi="Times New Roman" w:cs="Times New Roman"/>
          <w:sz w:val="24"/>
          <w:szCs w:val="24"/>
        </w:rPr>
        <w:t>,</w:t>
      </w:r>
      <w:r w:rsidRPr="007F28C1">
        <w:rPr>
          <w:rFonts w:ascii="Times New Roman" w:hAnsi="Times New Roman" w:cs="Times New Roman"/>
          <w:sz w:val="24"/>
          <w:szCs w:val="24"/>
        </w:rPr>
        <w:t xml:space="preserve"> w celu uproszczenia systemu opłat za usługi wodne</w:t>
      </w:r>
      <w:r w:rsidR="00E07657" w:rsidRPr="007F28C1">
        <w:rPr>
          <w:rFonts w:ascii="Times New Roman" w:hAnsi="Times New Roman" w:cs="Times New Roman"/>
          <w:sz w:val="24"/>
          <w:szCs w:val="24"/>
        </w:rPr>
        <w:t>,</w:t>
      </w:r>
      <w:r w:rsidRPr="007F28C1">
        <w:rPr>
          <w:rFonts w:ascii="Times New Roman" w:hAnsi="Times New Roman" w:cs="Times New Roman"/>
          <w:sz w:val="24"/>
          <w:szCs w:val="24"/>
        </w:rPr>
        <w:t xml:space="preserve"> przyjęto jedną – na poziomie minimalnym – maksymalną stawkę opłat za pobór wód podziemnych i pobór wód powierzchniowych, bez dalszego różnicowania przedmiotowych stawek opłat.</w:t>
      </w:r>
      <w:r w:rsidR="00E07657" w:rsidRPr="007F28C1">
        <w:rPr>
          <w:rFonts w:ascii="Times New Roman" w:hAnsi="Times New Roman" w:cs="Times New Roman"/>
          <w:sz w:val="24"/>
          <w:szCs w:val="24"/>
        </w:rPr>
        <w:t xml:space="preserve"> </w:t>
      </w:r>
      <w:r w:rsidR="00BF725F">
        <w:rPr>
          <w:rFonts w:ascii="Times New Roman" w:hAnsi="Times New Roman" w:cs="Times New Roman"/>
          <w:sz w:val="24"/>
          <w:szCs w:val="24"/>
        </w:rPr>
        <w:t>Z </w:t>
      </w:r>
      <w:r w:rsidRPr="007F28C1">
        <w:rPr>
          <w:rFonts w:ascii="Times New Roman" w:hAnsi="Times New Roman" w:cs="Times New Roman"/>
          <w:sz w:val="24"/>
          <w:szCs w:val="24"/>
        </w:rPr>
        <w:t>uwagi na fakt, że stawki ogólne przyjęte w lit. a i b w pkt 1</w:t>
      </w:r>
      <w:r w:rsidR="00E07657" w:rsidRPr="007F28C1">
        <w:rPr>
          <w:rFonts w:ascii="Times New Roman" w:hAnsi="Times New Roman" w:cs="Times New Roman"/>
          <w:sz w:val="24"/>
          <w:szCs w:val="24"/>
        </w:rPr>
        <w:t xml:space="preserve"> w art. </w:t>
      </w:r>
      <w:r w:rsidR="008E1D8D" w:rsidRPr="007F28C1">
        <w:rPr>
          <w:rFonts w:ascii="Times New Roman" w:hAnsi="Times New Roman" w:cs="Times New Roman"/>
          <w:sz w:val="24"/>
          <w:szCs w:val="24"/>
        </w:rPr>
        <w:t>274</w:t>
      </w:r>
      <w:r w:rsidRPr="007F28C1">
        <w:rPr>
          <w:rFonts w:ascii="Times New Roman" w:hAnsi="Times New Roman" w:cs="Times New Roman"/>
          <w:sz w:val="24"/>
          <w:szCs w:val="24"/>
        </w:rPr>
        <w:t xml:space="preserve"> </w:t>
      </w:r>
      <w:r w:rsidR="001C6511" w:rsidRPr="007F28C1">
        <w:rPr>
          <w:rFonts w:ascii="Times New Roman" w:hAnsi="Times New Roman" w:cs="Times New Roman"/>
          <w:sz w:val="24"/>
          <w:szCs w:val="24"/>
        </w:rPr>
        <w:t xml:space="preserve">P.w. </w:t>
      </w:r>
      <w:r w:rsidRPr="007F28C1">
        <w:rPr>
          <w:rFonts w:ascii="Times New Roman" w:hAnsi="Times New Roman" w:cs="Times New Roman"/>
          <w:sz w:val="24"/>
          <w:szCs w:val="24"/>
        </w:rPr>
        <w:t>pokrywają się z obecnymi stawkami opłat przyjętymi do celów wytwarzania energii elektrycznej lub cieplnej dla instalacji posiadających w dniu wejścia w życie ustawy ważne pozwolenia wodnoprawne albo pozwolenia zintegrowane</w:t>
      </w:r>
      <w:r w:rsidR="00E07657" w:rsidRPr="007F28C1">
        <w:rPr>
          <w:rFonts w:ascii="Times New Roman" w:hAnsi="Times New Roman" w:cs="Times New Roman"/>
          <w:sz w:val="24"/>
          <w:szCs w:val="24"/>
        </w:rPr>
        <w:t>,</w:t>
      </w:r>
      <w:r w:rsidRPr="007F28C1">
        <w:rPr>
          <w:rFonts w:ascii="Times New Roman" w:hAnsi="Times New Roman" w:cs="Times New Roman"/>
          <w:sz w:val="24"/>
          <w:szCs w:val="24"/>
        </w:rPr>
        <w:t xml:space="preserve"> zrezygnowano ze zróżnicowania stawek opłat dla danej działalności, co w konsekwencji doprowadzi do uproszczenia sposobu ustalania opłat za usługi wodne.</w:t>
      </w:r>
    </w:p>
    <w:p w14:paraId="7CE997CD" w14:textId="77777777" w:rsidR="00F542A8" w:rsidRPr="007F28C1" w:rsidRDefault="00F542A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Należy wskazać, że przepisy P.w., zmieniane niniejszym projektem, dotyczące opłat za usługi wodne dotyczą dwóch kwestii:</w:t>
      </w:r>
    </w:p>
    <w:p w14:paraId="2871958D" w14:textId="6F67EEA4" w:rsidR="00F542A8" w:rsidRPr="007F28C1" w:rsidRDefault="00832017" w:rsidP="00832017">
      <w:pPr>
        <w:spacing w:before="120"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00F542A8" w:rsidRPr="007F28C1">
        <w:rPr>
          <w:rFonts w:ascii="Times New Roman" w:hAnsi="Times New Roman" w:cs="Times New Roman"/>
          <w:sz w:val="24"/>
          <w:szCs w:val="24"/>
        </w:rPr>
        <w:t>nowego sposobu ustalania opłat za usługi wodne, który miał zacząć obowiązywać od dnia 1 stycznia 2024 r., co wynika z art. 574 pkt 4, art. 561 P.w. – dotyczy to przepisów art. 270 ust. 6, art. 271 ust. 2 i 3, art. 274 pkt 1 tej ustawy;</w:t>
      </w:r>
    </w:p>
    <w:p w14:paraId="2883024A" w14:textId="65ED5936" w:rsidR="00F542A8" w:rsidRPr="007F28C1" w:rsidRDefault="00832017" w:rsidP="00832017">
      <w:pPr>
        <w:spacing w:before="120" w:after="0" w:line="360" w:lineRule="auto"/>
        <w:ind w:left="708" w:hanging="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542A8" w:rsidRPr="007F28C1">
        <w:rPr>
          <w:rFonts w:ascii="Times New Roman" w:hAnsi="Times New Roman" w:cs="Times New Roman"/>
          <w:sz w:val="24"/>
          <w:szCs w:val="24"/>
        </w:rPr>
        <w:t>tymczasowego sposobu ustalania opłat za usługi wodne – mającego obowiązywać do 31 grudnia 2023 r. (w którym wysokość opłaty stałej za usługi wodne za pobór wód podziemnych oraz wód powierzchniowych nie jest uzależniona odpowiednio od dostępnych zasobów wód podziemnych oraz</w:t>
      </w:r>
      <w:r w:rsidR="00BF725F">
        <w:rPr>
          <w:rFonts w:ascii="Times New Roman" w:hAnsi="Times New Roman" w:cs="Times New Roman"/>
          <w:sz w:val="24"/>
          <w:szCs w:val="24"/>
        </w:rPr>
        <w:t xml:space="preserve"> średniego niskiego przepływu z </w:t>
      </w:r>
      <w:r w:rsidR="00F542A8" w:rsidRPr="007F28C1">
        <w:rPr>
          <w:rFonts w:ascii="Times New Roman" w:hAnsi="Times New Roman" w:cs="Times New Roman"/>
          <w:sz w:val="24"/>
          <w:szCs w:val="24"/>
        </w:rPr>
        <w:t xml:space="preserve">wielolecia), który przewiduje się utrzymać jako stały sposób ustalania opłat, a także przepisów mających na celu przygotowanie się do wprowadzenia nowego sposobu ustalania opłat, tj. opracowania metodyki wyznaczania </w:t>
      </w:r>
      <w:r w:rsidR="00BF725F">
        <w:rPr>
          <w:rFonts w:ascii="Times New Roman" w:hAnsi="Times New Roman" w:cs="Times New Roman"/>
          <w:sz w:val="24"/>
          <w:szCs w:val="24"/>
        </w:rPr>
        <w:t>SNQ – dotyczy to przepisów art. </w:t>
      </w:r>
      <w:r w:rsidR="00F542A8" w:rsidRPr="007F28C1">
        <w:rPr>
          <w:rFonts w:ascii="Times New Roman" w:hAnsi="Times New Roman" w:cs="Times New Roman"/>
          <w:sz w:val="24"/>
          <w:szCs w:val="24"/>
        </w:rPr>
        <w:t xml:space="preserve">552 ust. 3 i </w:t>
      </w:r>
      <w:r w:rsidR="008163AA" w:rsidRPr="007F28C1">
        <w:rPr>
          <w:rFonts w:ascii="Times New Roman" w:hAnsi="Times New Roman" w:cs="Times New Roman"/>
          <w:sz w:val="24"/>
          <w:szCs w:val="24"/>
        </w:rPr>
        <w:t>6</w:t>
      </w:r>
      <w:r w:rsidR="00F542A8" w:rsidRPr="007F28C1">
        <w:rPr>
          <w:rFonts w:ascii="Times New Roman" w:hAnsi="Times New Roman" w:cs="Times New Roman"/>
          <w:sz w:val="24"/>
          <w:szCs w:val="24"/>
        </w:rPr>
        <w:t>, art. 561.</w:t>
      </w:r>
    </w:p>
    <w:p w14:paraId="44FB8FF9" w14:textId="77777777" w:rsidR="00F542A8" w:rsidRPr="007F28C1" w:rsidRDefault="00F542A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Przepisy dotyczące nowego sposobu ustalania opłat za usługi wodne (pkt 1) – jeszcze nie obowiązują, dlatego ich uchylenie nie wpływa na prawa i wolności obywatelskie. W celu przygotowania się do tej zmiany będzie zapewniony odpowiedni okres </w:t>
      </w:r>
      <w:r w:rsidRPr="007F28C1">
        <w:rPr>
          <w:rFonts w:ascii="Times New Roman" w:hAnsi="Times New Roman" w:cs="Times New Roman"/>
          <w:i/>
          <w:iCs/>
          <w:sz w:val="24"/>
          <w:szCs w:val="24"/>
        </w:rPr>
        <w:t>vacatio legis</w:t>
      </w:r>
      <w:r w:rsidRPr="007F28C1">
        <w:rPr>
          <w:rFonts w:ascii="Times New Roman" w:hAnsi="Times New Roman" w:cs="Times New Roman"/>
          <w:sz w:val="24"/>
          <w:szCs w:val="24"/>
        </w:rPr>
        <w:t xml:space="preserve"> – wynoszący kilka miesięcy, aż do dnia 31 grudnia 2023 r.</w:t>
      </w:r>
    </w:p>
    <w:p w14:paraId="01CF1B0D" w14:textId="74E40183" w:rsidR="00F542A8" w:rsidRPr="007F28C1" w:rsidRDefault="00F542A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Natomiast w związku z faktem, że przepisy niniejszej ustawy utrzymują dotychczasowy sposób ustalania opłat – zgodnie z obecnie obowiązującymi przepisami ustalony jako tymczasowy – faktycznie dla podmiotów korzystających z usług wodn</w:t>
      </w:r>
      <w:r w:rsidR="00BF725F">
        <w:rPr>
          <w:rFonts w:ascii="Times New Roman" w:hAnsi="Times New Roman" w:cs="Times New Roman"/>
          <w:sz w:val="24"/>
          <w:szCs w:val="24"/>
        </w:rPr>
        <w:t>ych nie wystąpi żadna zmiana, w </w:t>
      </w:r>
      <w:r w:rsidRPr="007F28C1">
        <w:rPr>
          <w:rFonts w:ascii="Times New Roman" w:hAnsi="Times New Roman" w:cs="Times New Roman"/>
          <w:sz w:val="24"/>
          <w:szCs w:val="24"/>
        </w:rPr>
        <w:t>szczególności do której będą musiały się dostosować.</w:t>
      </w:r>
    </w:p>
    <w:p w14:paraId="014D822A" w14:textId="34CCCA84" w:rsidR="00F542A8" w:rsidRPr="007F28C1" w:rsidRDefault="00F542A8"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Uchylenie art. 552 ust. 6 P.w. dotyczy obowiązku nałożonego na Państwowe Gospodarstwo Wodne Wody Polskie, który ma zostać wykonany do dnia 31 grudnia 2023 r. Uchylenie wskazanego przepisu nie wpłynie na sytuację obywateli, a Państwowe Gospodarstwo Wodne Wody Polskie, z uwagi na brak konieczności wykonania przedmiotowego zadania, nie potrzebuje zapewnienia dodatkowego okresu na dostosowanie się do zakładanych zmian.</w:t>
      </w:r>
    </w:p>
    <w:p w14:paraId="2F81F196" w14:textId="02E71B9C" w:rsidR="000C62D7" w:rsidRPr="007F28C1" w:rsidRDefault="000C62D7" w:rsidP="007F28C1">
      <w:pPr>
        <w:pStyle w:val="Akapitzlist"/>
        <w:numPr>
          <w:ilvl w:val="0"/>
          <w:numId w:val="14"/>
        </w:numPr>
        <w:tabs>
          <w:tab w:val="left" w:pos="574"/>
        </w:tabs>
        <w:spacing w:before="240" w:after="0" w:line="360" w:lineRule="auto"/>
        <w:ind w:hanging="674"/>
        <w:jc w:val="both"/>
        <w:rPr>
          <w:rFonts w:ascii="Times New Roman" w:hAnsi="Times New Roman" w:cs="Times New Roman"/>
          <w:b/>
          <w:bCs/>
          <w:sz w:val="24"/>
          <w:szCs w:val="24"/>
        </w:rPr>
      </w:pPr>
      <w:r w:rsidRPr="007F28C1">
        <w:rPr>
          <w:rFonts w:ascii="Times New Roman" w:hAnsi="Times New Roman" w:cs="Times New Roman"/>
          <w:b/>
          <w:bCs/>
          <w:sz w:val="24"/>
          <w:szCs w:val="24"/>
        </w:rPr>
        <w:t>Wejście w życie</w:t>
      </w:r>
    </w:p>
    <w:p w14:paraId="041874C1" w14:textId="1A1A6D84" w:rsidR="009F4F3A" w:rsidRPr="007F28C1" w:rsidRDefault="009F4F3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Projektowany akt prawny wejdzie w życie w terminie 14 </w:t>
      </w:r>
      <w:r w:rsidR="00BF725F">
        <w:rPr>
          <w:rFonts w:ascii="Times New Roman" w:hAnsi="Times New Roman" w:cs="Times New Roman"/>
          <w:sz w:val="24"/>
          <w:szCs w:val="24"/>
        </w:rPr>
        <w:t>dni od dnia ogłoszenia ustawy w </w:t>
      </w:r>
      <w:r w:rsidRPr="007F28C1">
        <w:rPr>
          <w:rFonts w:ascii="Times New Roman" w:hAnsi="Times New Roman" w:cs="Times New Roman"/>
          <w:sz w:val="24"/>
          <w:szCs w:val="24"/>
        </w:rPr>
        <w:t>Dzienniku Ustaw Rzeczypospolitej Polskiej. Jednakże z</w:t>
      </w:r>
      <w:r w:rsidR="00E07657" w:rsidRPr="007F28C1">
        <w:rPr>
          <w:rFonts w:ascii="Times New Roman" w:hAnsi="Times New Roman" w:cs="Times New Roman"/>
          <w:sz w:val="24"/>
          <w:szCs w:val="24"/>
        </w:rPr>
        <w:t xml:space="preserve"> tym</w:t>
      </w:r>
      <w:r w:rsidRPr="007F28C1">
        <w:rPr>
          <w:rFonts w:ascii="Times New Roman" w:hAnsi="Times New Roman" w:cs="Times New Roman"/>
          <w:sz w:val="24"/>
          <w:szCs w:val="24"/>
        </w:rPr>
        <w:t xml:space="preserve"> zastrzeżeniem, że przepisy prawa, które nakładają nowe obowiązki (zadania) na marszałków województw (dotyczące spraw związanych z projektami robót geologicznych oraz dokumentacjami geologicznymi dotyczącymi rekonstrukcji zlikwidowanych otworów wiertniczych na potrzeby wykorzystania ciepła Ziemi), a także na organy nadzoru górniczego (sprawy dotyczące opiniowania koncesji, analizy spełniania przesłanki posiadania tytułu prawnego do nieruchomości przy zatwierdzaniu </w:t>
      </w:r>
      <w:r w:rsidRPr="007F28C1">
        <w:rPr>
          <w:rFonts w:ascii="Times New Roman" w:hAnsi="Times New Roman" w:cs="Times New Roman"/>
          <w:sz w:val="24"/>
          <w:szCs w:val="24"/>
        </w:rPr>
        <w:lastRenderedPageBreak/>
        <w:t>planu ruchu zakładu górniczego, opiniowanie umów sprzedaży nieruchomości położonych w granicach terenów górniczych), w tym dotyczące spraw związanych z</w:t>
      </w:r>
      <w:r w:rsidR="00705A7E" w:rsidRPr="007F28C1">
        <w:rPr>
          <w:rFonts w:ascii="Times New Roman" w:hAnsi="Times New Roman" w:cs="Times New Roman"/>
          <w:sz w:val="24"/>
          <w:szCs w:val="24"/>
        </w:rPr>
        <w:t> </w:t>
      </w:r>
      <w:r w:rsidRPr="007F28C1">
        <w:rPr>
          <w:rFonts w:ascii="Times New Roman" w:hAnsi="Times New Roman" w:cs="Times New Roman"/>
          <w:sz w:val="24"/>
          <w:szCs w:val="24"/>
        </w:rPr>
        <w:t xml:space="preserve">projektami robót geologicznych oraz dokumentacjami geologicznymi dotyczącymi rekonstrukcji zlikwidowanych otworów wiertniczych na potrzeby wykorzystania ciepła Ziemi, wejdą w życie z dniem 1 stycznia 2024 r. </w:t>
      </w:r>
      <w:r w:rsidR="00BD0F7F" w:rsidRPr="007F28C1">
        <w:rPr>
          <w:rFonts w:ascii="Times New Roman" w:hAnsi="Times New Roman" w:cs="Times New Roman"/>
          <w:sz w:val="24"/>
          <w:szCs w:val="24"/>
        </w:rPr>
        <w:t>Jednocześnie przepisy prawa, które służą rezygnacji z ustalania opłat za usługi wodne na podstawie dostępnych zasobów wód podziemnych albo średnich niskich przepływów z wielolecia (SQN)</w:t>
      </w:r>
      <w:r w:rsidR="009C171B">
        <w:rPr>
          <w:rFonts w:ascii="Times New Roman" w:hAnsi="Times New Roman" w:cs="Times New Roman"/>
          <w:sz w:val="24"/>
          <w:szCs w:val="24"/>
        </w:rPr>
        <w:t>,</w:t>
      </w:r>
      <w:r w:rsidR="00BD0F7F" w:rsidRPr="007F28C1">
        <w:rPr>
          <w:rFonts w:ascii="Times New Roman" w:hAnsi="Times New Roman" w:cs="Times New Roman"/>
          <w:sz w:val="24"/>
          <w:szCs w:val="24"/>
        </w:rPr>
        <w:t xml:space="preserve"> wejdą w życie z dniem 31 grudnia 2023 r.</w:t>
      </w:r>
    </w:p>
    <w:p w14:paraId="56BFC122" w14:textId="0ECA3B54" w:rsidR="00BD0F7F" w:rsidRPr="007F28C1" w:rsidRDefault="009F4F3A"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Termin ten </w:t>
      </w:r>
      <w:r w:rsidR="00E07657" w:rsidRPr="007F28C1">
        <w:rPr>
          <w:rFonts w:ascii="Times New Roman" w:hAnsi="Times New Roman" w:cs="Times New Roman"/>
          <w:sz w:val="24"/>
          <w:szCs w:val="24"/>
        </w:rPr>
        <w:t>(</w:t>
      </w:r>
      <w:r w:rsidRPr="007F28C1">
        <w:rPr>
          <w:rFonts w:ascii="Times New Roman" w:hAnsi="Times New Roman" w:cs="Times New Roman"/>
          <w:sz w:val="24"/>
          <w:szCs w:val="24"/>
        </w:rPr>
        <w:t>14 dni</w:t>
      </w:r>
      <w:r w:rsidR="00E07657" w:rsidRPr="007F28C1">
        <w:rPr>
          <w:rFonts w:ascii="Times New Roman" w:hAnsi="Times New Roman" w:cs="Times New Roman"/>
          <w:sz w:val="24"/>
          <w:szCs w:val="24"/>
        </w:rPr>
        <w:t>)</w:t>
      </w:r>
      <w:r w:rsidRPr="007F28C1">
        <w:rPr>
          <w:rFonts w:ascii="Times New Roman" w:hAnsi="Times New Roman" w:cs="Times New Roman"/>
          <w:sz w:val="24"/>
          <w:szCs w:val="24"/>
        </w:rPr>
        <w:t xml:space="preserve"> jest wystarczający do wejścia w życie przepisów, gdyż w zasadniczej części obejmują one regulacje ułatwiające prowadzenie działalności przez przedsiębiorców. Późniejsze wejście w życie przepisów nakładających nowe zadania na marszałków województw i organy nadzoru górniczego wynika z konieczności zapewnienia </w:t>
      </w:r>
      <w:r w:rsidR="00914355">
        <w:rPr>
          <w:rFonts w:ascii="Times New Roman" w:hAnsi="Times New Roman" w:cs="Times New Roman"/>
          <w:sz w:val="24"/>
          <w:szCs w:val="24"/>
        </w:rPr>
        <w:t>dla ww. </w:t>
      </w:r>
      <w:r w:rsidR="00734315" w:rsidRPr="007F28C1">
        <w:rPr>
          <w:rFonts w:ascii="Times New Roman" w:hAnsi="Times New Roman" w:cs="Times New Roman"/>
          <w:sz w:val="24"/>
          <w:szCs w:val="24"/>
        </w:rPr>
        <w:t xml:space="preserve">organów </w:t>
      </w:r>
      <w:r w:rsidRPr="007F28C1">
        <w:rPr>
          <w:rFonts w:ascii="Times New Roman" w:hAnsi="Times New Roman" w:cs="Times New Roman"/>
          <w:sz w:val="24"/>
          <w:szCs w:val="24"/>
        </w:rPr>
        <w:t>dodatkowych środków finansowych na ich realizację</w:t>
      </w:r>
      <w:r w:rsidR="00BD0F7F" w:rsidRPr="007F28C1">
        <w:rPr>
          <w:rFonts w:ascii="Times New Roman" w:hAnsi="Times New Roman" w:cs="Times New Roman"/>
          <w:sz w:val="24"/>
          <w:szCs w:val="24"/>
        </w:rPr>
        <w:t xml:space="preserve">. </w:t>
      </w:r>
    </w:p>
    <w:p w14:paraId="6FEDD908" w14:textId="3F72DF3C" w:rsidR="009F4F3A" w:rsidRPr="007F28C1" w:rsidRDefault="00BD0F7F" w:rsidP="007F28C1">
      <w:pPr>
        <w:spacing w:before="120" w:after="0" w:line="360" w:lineRule="auto"/>
        <w:jc w:val="both"/>
        <w:rPr>
          <w:rFonts w:ascii="Times New Roman" w:hAnsi="Times New Roman" w:cs="Times New Roman"/>
          <w:sz w:val="24"/>
          <w:szCs w:val="24"/>
        </w:rPr>
      </w:pPr>
      <w:r w:rsidRPr="007F28C1">
        <w:rPr>
          <w:rFonts w:ascii="Times New Roman" w:hAnsi="Times New Roman" w:cs="Times New Roman"/>
          <w:sz w:val="24"/>
          <w:szCs w:val="24"/>
        </w:rPr>
        <w:t xml:space="preserve">Przepisy dotyczące sposobu ustalania opłat za usługi </w:t>
      </w:r>
      <w:r w:rsidR="00D30454" w:rsidRPr="007F28C1">
        <w:rPr>
          <w:rFonts w:ascii="Times New Roman" w:hAnsi="Times New Roman" w:cs="Times New Roman"/>
          <w:sz w:val="24"/>
          <w:szCs w:val="24"/>
        </w:rPr>
        <w:t>powinny natomiast wejść w życie dnia</w:t>
      </w:r>
      <w:r w:rsidR="001739B8">
        <w:rPr>
          <w:rFonts w:ascii="Times New Roman" w:hAnsi="Times New Roman" w:cs="Times New Roman"/>
          <w:sz w:val="24"/>
          <w:szCs w:val="24"/>
        </w:rPr>
        <w:t xml:space="preserve"> 31 </w:t>
      </w:r>
      <w:r w:rsidR="00D30454" w:rsidRPr="007F28C1">
        <w:rPr>
          <w:rFonts w:ascii="Times New Roman" w:hAnsi="Times New Roman" w:cs="Times New Roman"/>
          <w:sz w:val="24"/>
          <w:szCs w:val="24"/>
        </w:rPr>
        <w:t xml:space="preserve">grudnia 2023 r., ponieważ do tego dnia </w:t>
      </w:r>
      <w:r w:rsidR="00734315" w:rsidRPr="007F28C1">
        <w:rPr>
          <w:rFonts w:ascii="Times New Roman" w:hAnsi="Times New Roman" w:cs="Times New Roman"/>
          <w:sz w:val="24"/>
          <w:szCs w:val="24"/>
        </w:rPr>
        <w:t xml:space="preserve">jest </w:t>
      </w:r>
      <w:r w:rsidR="00D30454" w:rsidRPr="007F28C1">
        <w:rPr>
          <w:rFonts w:ascii="Times New Roman" w:hAnsi="Times New Roman" w:cs="Times New Roman"/>
          <w:sz w:val="24"/>
          <w:szCs w:val="24"/>
        </w:rPr>
        <w:t xml:space="preserve">przewidziane obowiązywanie niektórych rozwiązań przewidzianych dotychczas w przepisach przejściowych (art. 561 </w:t>
      </w:r>
      <w:r w:rsidR="00914355">
        <w:rPr>
          <w:rFonts w:ascii="Times New Roman" w:hAnsi="Times New Roman" w:cs="Times New Roman"/>
          <w:sz w:val="24"/>
          <w:szCs w:val="24"/>
        </w:rPr>
        <w:t>i art. 552 ust. 3 i </w:t>
      </w:r>
      <w:r w:rsidR="00D30454" w:rsidRPr="007F28C1">
        <w:rPr>
          <w:rFonts w:ascii="Times New Roman" w:hAnsi="Times New Roman" w:cs="Times New Roman"/>
          <w:sz w:val="24"/>
          <w:szCs w:val="24"/>
        </w:rPr>
        <w:t>6</w:t>
      </w:r>
      <w:r w:rsidR="001C6511" w:rsidRPr="007F28C1">
        <w:rPr>
          <w:rFonts w:ascii="Times New Roman" w:hAnsi="Times New Roman" w:cs="Times New Roman"/>
          <w:sz w:val="24"/>
          <w:szCs w:val="24"/>
        </w:rPr>
        <w:t xml:space="preserve"> P.w.</w:t>
      </w:r>
      <w:r w:rsidR="00D30454" w:rsidRPr="007F28C1">
        <w:rPr>
          <w:rFonts w:ascii="Times New Roman" w:hAnsi="Times New Roman" w:cs="Times New Roman"/>
          <w:sz w:val="24"/>
          <w:szCs w:val="24"/>
        </w:rPr>
        <w:t xml:space="preserve">). Ponadto </w:t>
      </w:r>
      <w:r w:rsidR="00734315" w:rsidRPr="007F28C1">
        <w:rPr>
          <w:rFonts w:ascii="Times New Roman" w:hAnsi="Times New Roman" w:cs="Times New Roman"/>
          <w:sz w:val="24"/>
          <w:szCs w:val="24"/>
        </w:rPr>
        <w:t xml:space="preserve">jest </w:t>
      </w:r>
      <w:r w:rsidR="00D30454" w:rsidRPr="007F28C1">
        <w:rPr>
          <w:rFonts w:ascii="Times New Roman" w:hAnsi="Times New Roman" w:cs="Times New Roman"/>
          <w:sz w:val="24"/>
          <w:szCs w:val="24"/>
        </w:rPr>
        <w:t>celowe</w:t>
      </w:r>
      <w:r w:rsidR="00734315" w:rsidRPr="007F28C1">
        <w:rPr>
          <w:rFonts w:ascii="Times New Roman" w:hAnsi="Times New Roman" w:cs="Times New Roman"/>
          <w:sz w:val="24"/>
          <w:szCs w:val="24"/>
        </w:rPr>
        <w:t>,</w:t>
      </w:r>
      <w:r w:rsidR="00D30454" w:rsidRPr="007F28C1">
        <w:rPr>
          <w:rFonts w:ascii="Times New Roman" w:hAnsi="Times New Roman" w:cs="Times New Roman"/>
          <w:sz w:val="24"/>
          <w:szCs w:val="24"/>
        </w:rPr>
        <w:t xml:space="preserve"> </w:t>
      </w:r>
      <w:r w:rsidR="00734315" w:rsidRPr="007F28C1">
        <w:rPr>
          <w:rFonts w:ascii="Times New Roman" w:hAnsi="Times New Roman" w:cs="Times New Roman"/>
          <w:sz w:val="24"/>
          <w:szCs w:val="24"/>
        </w:rPr>
        <w:t>a</w:t>
      </w:r>
      <w:r w:rsidR="00D30454" w:rsidRPr="007F28C1">
        <w:rPr>
          <w:rFonts w:ascii="Times New Roman" w:hAnsi="Times New Roman" w:cs="Times New Roman"/>
          <w:sz w:val="24"/>
          <w:szCs w:val="24"/>
        </w:rPr>
        <w:t>by wszystkie rozwiązania dotyczące zmian w zakresie sposobu ustalania opłat za usługi wodne</w:t>
      </w:r>
      <w:r w:rsidR="00734315" w:rsidRPr="007F28C1">
        <w:rPr>
          <w:rFonts w:ascii="Times New Roman" w:hAnsi="Times New Roman" w:cs="Times New Roman"/>
          <w:sz w:val="24"/>
          <w:szCs w:val="24"/>
        </w:rPr>
        <w:t>,</w:t>
      </w:r>
      <w:r w:rsidR="00D30454" w:rsidRPr="007F28C1">
        <w:rPr>
          <w:rFonts w:ascii="Times New Roman" w:hAnsi="Times New Roman" w:cs="Times New Roman"/>
          <w:sz w:val="24"/>
          <w:szCs w:val="24"/>
        </w:rPr>
        <w:t xml:space="preserve"> wraz z kwestiami z nimi bezpośrednio związanymi</w:t>
      </w:r>
      <w:r w:rsidR="00734315" w:rsidRPr="007F28C1">
        <w:rPr>
          <w:rFonts w:ascii="Times New Roman" w:hAnsi="Times New Roman" w:cs="Times New Roman"/>
          <w:sz w:val="24"/>
          <w:szCs w:val="24"/>
        </w:rPr>
        <w:t>,</w:t>
      </w:r>
      <w:r w:rsidR="00D30454" w:rsidRPr="007F28C1">
        <w:rPr>
          <w:rFonts w:ascii="Times New Roman" w:hAnsi="Times New Roman" w:cs="Times New Roman"/>
          <w:sz w:val="24"/>
          <w:szCs w:val="24"/>
        </w:rPr>
        <w:t xml:space="preserve"> wchodziły w życie w jednym dniu. Kwestia ta </w:t>
      </w:r>
      <w:r w:rsidR="00734315" w:rsidRPr="007F28C1">
        <w:rPr>
          <w:rFonts w:ascii="Times New Roman" w:hAnsi="Times New Roman" w:cs="Times New Roman"/>
          <w:sz w:val="24"/>
          <w:szCs w:val="24"/>
        </w:rPr>
        <w:t xml:space="preserve">jest </w:t>
      </w:r>
      <w:r w:rsidR="00D30454" w:rsidRPr="007F28C1">
        <w:rPr>
          <w:rFonts w:ascii="Times New Roman" w:hAnsi="Times New Roman" w:cs="Times New Roman"/>
          <w:sz w:val="24"/>
          <w:szCs w:val="24"/>
        </w:rPr>
        <w:t xml:space="preserve">także związana z koniecznością równoczesnego wydania rozporządzenia Rady Ministrów zmieniającego rozporządzenie w sprawie jednostkowych stawek opłat za usługi wodne i koniecznością </w:t>
      </w:r>
      <w:r w:rsidR="00914355">
        <w:rPr>
          <w:rFonts w:ascii="Times New Roman" w:hAnsi="Times New Roman" w:cs="Times New Roman"/>
          <w:sz w:val="24"/>
          <w:szCs w:val="24"/>
        </w:rPr>
        <w:t>jego wejścia w życie do dnia 31 </w:t>
      </w:r>
      <w:r w:rsidR="00D30454" w:rsidRPr="007F28C1">
        <w:rPr>
          <w:rFonts w:ascii="Times New Roman" w:hAnsi="Times New Roman" w:cs="Times New Roman"/>
          <w:sz w:val="24"/>
          <w:szCs w:val="24"/>
        </w:rPr>
        <w:t>grudnia 2023 r.</w:t>
      </w:r>
    </w:p>
    <w:p w14:paraId="3C1A3994" w14:textId="0A495D4D" w:rsidR="000C62D7" w:rsidRPr="007F28C1" w:rsidRDefault="000C62D7" w:rsidP="007F28C1">
      <w:pPr>
        <w:pStyle w:val="Akapitzlist"/>
        <w:numPr>
          <w:ilvl w:val="0"/>
          <w:numId w:val="14"/>
        </w:numPr>
        <w:tabs>
          <w:tab w:val="left" w:pos="672"/>
        </w:tabs>
        <w:spacing w:before="240" w:after="0" w:line="360" w:lineRule="auto"/>
        <w:ind w:hanging="576"/>
        <w:jc w:val="both"/>
        <w:rPr>
          <w:rFonts w:ascii="Times New Roman" w:eastAsiaTheme="minorEastAsia" w:hAnsi="Times New Roman" w:cs="Times New Roman"/>
          <w:b/>
          <w:sz w:val="24"/>
          <w:szCs w:val="24"/>
          <w:lang w:eastAsia="pl-PL"/>
        </w:rPr>
      </w:pPr>
      <w:r w:rsidRPr="007F28C1">
        <w:rPr>
          <w:rFonts w:ascii="Times New Roman" w:hAnsi="Times New Roman" w:cs="Times New Roman"/>
          <w:b/>
          <w:bCs/>
          <w:sz w:val="24"/>
          <w:szCs w:val="24"/>
        </w:rPr>
        <w:t>Obowiązek</w:t>
      </w:r>
      <w:r w:rsidRPr="007F28C1">
        <w:rPr>
          <w:rFonts w:ascii="Times New Roman" w:eastAsiaTheme="minorEastAsia" w:hAnsi="Times New Roman" w:cs="Times New Roman"/>
          <w:b/>
          <w:sz w:val="24"/>
          <w:szCs w:val="24"/>
          <w:lang w:eastAsia="pl-PL"/>
        </w:rPr>
        <w:t xml:space="preserve"> notyf</w:t>
      </w:r>
      <w:r w:rsidR="007324BC" w:rsidRPr="007F28C1">
        <w:rPr>
          <w:rFonts w:ascii="Times New Roman" w:eastAsiaTheme="minorEastAsia" w:hAnsi="Times New Roman" w:cs="Times New Roman"/>
          <w:b/>
          <w:sz w:val="24"/>
          <w:szCs w:val="24"/>
          <w:lang w:eastAsia="pl-PL"/>
        </w:rPr>
        <w:t>i</w:t>
      </w:r>
      <w:r w:rsidRPr="007F28C1">
        <w:rPr>
          <w:rFonts w:ascii="Times New Roman" w:eastAsiaTheme="minorEastAsia" w:hAnsi="Times New Roman" w:cs="Times New Roman"/>
          <w:b/>
          <w:sz w:val="24"/>
          <w:szCs w:val="24"/>
          <w:lang w:eastAsia="pl-PL"/>
        </w:rPr>
        <w:t>kacji</w:t>
      </w:r>
    </w:p>
    <w:p w14:paraId="0F87CA1F" w14:textId="725D0E48" w:rsidR="0005710B" w:rsidRPr="007F28C1" w:rsidRDefault="0005710B" w:rsidP="007F28C1">
      <w:pPr>
        <w:suppressAutoHyphens/>
        <w:autoSpaceDE w:val="0"/>
        <w:autoSpaceDN w:val="0"/>
        <w:adjustRightInd w:val="0"/>
        <w:spacing w:before="120" w:after="0" w:line="360" w:lineRule="auto"/>
        <w:jc w:val="both"/>
        <w:rPr>
          <w:rFonts w:ascii="Times New Roman" w:eastAsiaTheme="minorEastAsia" w:hAnsi="Times New Roman" w:cs="Times New Roman"/>
          <w:bCs/>
          <w:sz w:val="24"/>
          <w:szCs w:val="24"/>
          <w:lang w:eastAsia="pl-PL"/>
        </w:rPr>
      </w:pPr>
      <w:r w:rsidRPr="007F28C1">
        <w:rPr>
          <w:rFonts w:ascii="Times New Roman" w:eastAsiaTheme="minorEastAsia" w:hAnsi="Times New Roman" w:cs="Times New Roman"/>
          <w:bCs/>
          <w:sz w:val="24"/>
          <w:szCs w:val="24"/>
          <w:lang w:eastAsia="pl-PL"/>
        </w:rPr>
        <w:t>Projekt ustawy nie podlega procedurze notyfikacji aktów prawnych, określonej w przepisach rozporządzenia Rady Ministrów z dnia 23 grudnia 2002 r. w sprawie sposobu funkcjonowania krajowego systemu notyfikacji norm i aktów prawnych (Dz. U. poz. 2039, z późn. zm.).</w:t>
      </w:r>
    </w:p>
    <w:p w14:paraId="6761C227" w14:textId="3BD05EF8" w:rsidR="0005710B" w:rsidRPr="007F28C1" w:rsidRDefault="0005710B" w:rsidP="007F28C1">
      <w:pPr>
        <w:suppressAutoHyphens/>
        <w:autoSpaceDE w:val="0"/>
        <w:autoSpaceDN w:val="0"/>
        <w:adjustRightInd w:val="0"/>
        <w:spacing w:before="120" w:after="0" w:line="360" w:lineRule="auto"/>
        <w:jc w:val="both"/>
        <w:rPr>
          <w:rFonts w:ascii="Times New Roman" w:eastAsiaTheme="minorEastAsia" w:hAnsi="Times New Roman" w:cs="Times New Roman"/>
          <w:bCs/>
          <w:sz w:val="24"/>
          <w:szCs w:val="24"/>
          <w:lang w:eastAsia="pl-PL"/>
        </w:rPr>
      </w:pPr>
      <w:r w:rsidRPr="007F28C1">
        <w:rPr>
          <w:rFonts w:ascii="Times New Roman" w:eastAsiaTheme="minorEastAsia" w:hAnsi="Times New Roman" w:cs="Times New Roman"/>
          <w:bCs/>
          <w:sz w:val="24"/>
          <w:szCs w:val="24"/>
          <w:lang w:eastAsia="pl-PL"/>
        </w:rPr>
        <w:t xml:space="preserve">Projekt ustawy nie wymaga przedstawienia właściwym instytucjom i organom Unii Europejskiej, w tym Europejskiemu Bankowi Centralnemu, </w:t>
      </w:r>
      <w:r w:rsidR="00924DF9">
        <w:rPr>
          <w:rFonts w:ascii="Times New Roman" w:eastAsiaTheme="minorEastAsia" w:hAnsi="Times New Roman" w:cs="Times New Roman"/>
          <w:bCs/>
          <w:sz w:val="24"/>
          <w:szCs w:val="24"/>
          <w:lang w:eastAsia="pl-PL"/>
        </w:rPr>
        <w:t>w celu</w:t>
      </w:r>
      <w:r w:rsidR="00924DF9" w:rsidRPr="007F28C1">
        <w:rPr>
          <w:rFonts w:ascii="Times New Roman" w:eastAsiaTheme="minorEastAsia" w:hAnsi="Times New Roman" w:cs="Times New Roman"/>
          <w:bCs/>
          <w:sz w:val="24"/>
          <w:szCs w:val="24"/>
          <w:lang w:eastAsia="pl-PL"/>
        </w:rPr>
        <w:t xml:space="preserve"> </w:t>
      </w:r>
      <w:r w:rsidRPr="007F28C1">
        <w:rPr>
          <w:rFonts w:ascii="Times New Roman" w:eastAsiaTheme="minorEastAsia" w:hAnsi="Times New Roman" w:cs="Times New Roman"/>
          <w:bCs/>
          <w:sz w:val="24"/>
          <w:szCs w:val="24"/>
          <w:lang w:eastAsia="pl-PL"/>
        </w:rPr>
        <w:t>uzyskania opinii, dokonania powiadomienia, konsultacji albo uzgodnienia projektu.</w:t>
      </w:r>
    </w:p>
    <w:p w14:paraId="1A04DE48" w14:textId="77777777" w:rsidR="00064020" w:rsidRPr="007F28C1" w:rsidRDefault="00064020" w:rsidP="007F28C1">
      <w:pPr>
        <w:suppressAutoHyphens/>
        <w:autoSpaceDE w:val="0"/>
        <w:autoSpaceDN w:val="0"/>
        <w:adjustRightInd w:val="0"/>
        <w:spacing w:before="120" w:after="0" w:line="360" w:lineRule="auto"/>
        <w:jc w:val="both"/>
        <w:rPr>
          <w:rFonts w:ascii="Times New Roman" w:eastAsiaTheme="minorEastAsia" w:hAnsi="Times New Roman" w:cs="Times New Roman"/>
          <w:bCs/>
          <w:sz w:val="24"/>
          <w:szCs w:val="24"/>
          <w:lang w:eastAsia="pl-PL"/>
        </w:rPr>
      </w:pPr>
      <w:r w:rsidRPr="007F28C1">
        <w:rPr>
          <w:rFonts w:ascii="Times New Roman" w:eastAsiaTheme="minorEastAsia" w:hAnsi="Times New Roman" w:cs="Times New Roman"/>
          <w:bCs/>
          <w:sz w:val="24"/>
          <w:szCs w:val="24"/>
          <w:lang w:eastAsia="pl-PL"/>
        </w:rPr>
        <w:t>Projekt ustawy jest zgodny z prawem Unii Europejskiej.</w:t>
      </w:r>
    </w:p>
    <w:p w14:paraId="54E96E9D" w14:textId="2887E49C" w:rsidR="00064020" w:rsidRPr="007F28C1" w:rsidRDefault="00064020" w:rsidP="00BF725F">
      <w:pPr>
        <w:pStyle w:val="Akapitzlist"/>
        <w:numPr>
          <w:ilvl w:val="0"/>
          <w:numId w:val="14"/>
        </w:numPr>
        <w:spacing w:before="960" w:after="0" w:line="360" w:lineRule="auto"/>
        <w:ind w:left="697" w:hanging="391"/>
        <w:jc w:val="both"/>
        <w:rPr>
          <w:rFonts w:ascii="Times New Roman" w:eastAsiaTheme="minorEastAsia" w:hAnsi="Times New Roman" w:cs="Times New Roman"/>
          <w:b/>
          <w:sz w:val="24"/>
          <w:szCs w:val="24"/>
          <w:lang w:eastAsia="pl-PL"/>
        </w:rPr>
      </w:pPr>
      <w:r w:rsidRPr="007F28C1">
        <w:rPr>
          <w:rFonts w:ascii="Times New Roman" w:eastAsiaTheme="minorEastAsia" w:hAnsi="Times New Roman" w:cs="Times New Roman"/>
          <w:b/>
          <w:sz w:val="24"/>
          <w:szCs w:val="24"/>
          <w:lang w:eastAsia="pl-PL"/>
        </w:rPr>
        <w:lastRenderedPageBreak/>
        <w:t>Publikacja projektu</w:t>
      </w:r>
    </w:p>
    <w:p w14:paraId="22B28B46" w14:textId="43D81747" w:rsidR="0005710B" w:rsidRPr="007F28C1" w:rsidRDefault="0005710B" w:rsidP="007F28C1">
      <w:pPr>
        <w:suppressAutoHyphens/>
        <w:autoSpaceDE w:val="0"/>
        <w:autoSpaceDN w:val="0"/>
        <w:adjustRightInd w:val="0"/>
        <w:spacing w:before="120" w:after="0" w:line="360" w:lineRule="auto"/>
        <w:jc w:val="both"/>
        <w:rPr>
          <w:rFonts w:ascii="Times New Roman" w:eastAsiaTheme="minorEastAsia" w:hAnsi="Times New Roman" w:cs="Times New Roman"/>
          <w:bCs/>
          <w:sz w:val="24"/>
          <w:szCs w:val="24"/>
          <w:lang w:eastAsia="pl-PL"/>
        </w:rPr>
      </w:pPr>
      <w:r w:rsidRPr="007F28C1">
        <w:rPr>
          <w:rFonts w:ascii="Times New Roman" w:eastAsiaTheme="minorEastAsia" w:hAnsi="Times New Roman" w:cs="Times New Roman"/>
          <w:bCs/>
          <w:sz w:val="24"/>
          <w:szCs w:val="24"/>
          <w:lang w:eastAsia="pl-PL"/>
        </w:rPr>
        <w:t xml:space="preserve">Projekt </w:t>
      </w:r>
      <w:r w:rsidR="0088013D" w:rsidRPr="007F28C1">
        <w:rPr>
          <w:rFonts w:ascii="Times New Roman" w:eastAsiaTheme="minorEastAsia" w:hAnsi="Times New Roman" w:cs="Times New Roman"/>
          <w:bCs/>
          <w:sz w:val="24"/>
          <w:szCs w:val="24"/>
          <w:lang w:eastAsia="pl-PL"/>
        </w:rPr>
        <w:t>ustawy</w:t>
      </w:r>
      <w:r w:rsidRPr="007F28C1">
        <w:rPr>
          <w:rFonts w:ascii="Times New Roman" w:eastAsiaTheme="minorEastAsia" w:hAnsi="Times New Roman" w:cs="Times New Roman"/>
          <w:bCs/>
          <w:sz w:val="24"/>
          <w:szCs w:val="24"/>
          <w:lang w:eastAsia="pl-PL"/>
        </w:rPr>
        <w:t>, zgodnie z wymogami określonymi w art.</w:t>
      </w:r>
      <w:r w:rsidR="000B2B42">
        <w:rPr>
          <w:rFonts w:ascii="Times New Roman" w:eastAsiaTheme="minorEastAsia" w:hAnsi="Times New Roman" w:cs="Times New Roman"/>
          <w:bCs/>
          <w:sz w:val="24"/>
          <w:szCs w:val="24"/>
          <w:lang w:eastAsia="pl-PL"/>
        </w:rPr>
        <w:t xml:space="preserve"> 5 ustawy z dnia 7 lipca 2005 </w:t>
      </w:r>
      <w:r w:rsidR="001F1678">
        <w:rPr>
          <w:rFonts w:ascii="Times New Roman" w:eastAsiaTheme="minorEastAsia" w:hAnsi="Times New Roman" w:cs="Times New Roman"/>
          <w:bCs/>
          <w:sz w:val="24"/>
          <w:szCs w:val="24"/>
          <w:lang w:eastAsia="pl-PL"/>
        </w:rPr>
        <w:t>r.</w:t>
      </w:r>
      <w:r w:rsidR="00D417F8">
        <w:rPr>
          <w:rFonts w:ascii="Times New Roman" w:eastAsiaTheme="minorEastAsia" w:hAnsi="Times New Roman" w:cs="Times New Roman"/>
          <w:bCs/>
          <w:sz w:val="24"/>
          <w:szCs w:val="24"/>
          <w:lang w:eastAsia="pl-PL"/>
        </w:rPr>
        <w:t xml:space="preserve"> </w:t>
      </w:r>
      <w:r w:rsidR="000B2B42">
        <w:rPr>
          <w:rFonts w:ascii="Times New Roman" w:eastAsiaTheme="minorEastAsia" w:hAnsi="Times New Roman" w:cs="Times New Roman"/>
          <w:bCs/>
          <w:sz w:val="24"/>
          <w:szCs w:val="24"/>
          <w:lang w:eastAsia="pl-PL"/>
        </w:rPr>
        <w:t>o </w:t>
      </w:r>
      <w:r w:rsidRPr="007F28C1">
        <w:rPr>
          <w:rFonts w:ascii="Times New Roman" w:eastAsiaTheme="minorEastAsia" w:hAnsi="Times New Roman" w:cs="Times New Roman"/>
          <w:bCs/>
          <w:sz w:val="24"/>
          <w:szCs w:val="24"/>
          <w:lang w:eastAsia="pl-PL"/>
        </w:rPr>
        <w:t xml:space="preserve">działalności lobbingowej w procesie </w:t>
      </w:r>
      <w:r w:rsidR="00237364">
        <w:rPr>
          <w:rFonts w:ascii="Times New Roman" w:eastAsiaTheme="minorEastAsia" w:hAnsi="Times New Roman" w:cs="Times New Roman"/>
          <w:bCs/>
          <w:sz w:val="24"/>
          <w:szCs w:val="24"/>
          <w:lang w:eastAsia="pl-PL"/>
        </w:rPr>
        <w:t>stanowienia</w:t>
      </w:r>
      <w:r w:rsidR="00237364" w:rsidRPr="007F28C1">
        <w:rPr>
          <w:rFonts w:ascii="Times New Roman" w:eastAsiaTheme="minorEastAsia" w:hAnsi="Times New Roman" w:cs="Times New Roman"/>
          <w:bCs/>
          <w:sz w:val="24"/>
          <w:szCs w:val="24"/>
          <w:lang w:eastAsia="pl-PL"/>
        </w:rPr>
        <w:t xml:space="preserve"> </w:t>
      </w:r>
      <w:r w:rsidRPr="007F28C1">
        <w:rPr>
          <w:rFonts w:ascii="Times New Roman" w:eastAsiaTheme="minorEastAsia" w:hAnsi="Times New Roman" w:cs="Times New Roman"/>
          <w:bCs/>
          <w:sz w:val="24"/>
          <w:szCs w:val="24"/>
          <w:lang w:eastAsia="pl-PL"/>
        </w:rPr>
        <w:t xml:space="preserve">prawa (Dz. U. z 2017 r. poz. 248), został udostępniony w Biuletynie Informacji Publicznej na stronie podmiotowej Rządowego Centrum Legislacji, w serwisie </w:t>
      </w:r>
      <w:r w:rsidR="000B2B42">
        <w:rPr>
          <w:rFonts w:ascii="Times New Roman" w:eastAsiaTheme="minorEastAsia" w:hAnsi="Times New Roman" w:cs="Times New Roman"/>
          <w:bCs/>
          <w:sz w:val="24"/>
          <w:szCs w:val="24"/>
          <w:lang w:eastAsia="pl-PL"/>
        </w:rPr>
        <w:t>„</w:t>
      </w:r>
      <w:r w:rsidRPr="007F28C1">
        <w:rPr>
          <w:rFonts w:ascii="Times New Roman" w:eastAsiaTheme="minorEastAsia" w:hAnsi="Times New Roman" w:cs="Times New Roman"/>
          <w:bCs/>
          <w:sz w:val="24"/>
          <w:szCs w:val="24"/>
          <w:lang w:eastAsia="pl-PL"/>
        </w:rPr>
        <w:t>Rządowy Proces Legislacyjny</w:t>
      </w:r>
      <w:r w:rsidR="000B2B42">
        <w:rPr>
          <w:rFonts w:ascii="Times New Roman" w:eastAsiaTheme="minorEastAsia" w:hAnsi="Times New Roman" w:cs="Times New Roman"/>
          <w:bCs/>
          <w:sz w:val="24"/>
          <w:szCs w:val="24"/>
          <w:lang w:eastAsia="pl-PL"/>
        </w:rPr>
        <w:t>”</w:t>
      </w:r>
      <w:r w:rsidRPr="007F28C1">
        <w:rPr>
          <w:rFonts w:ascii="Times New Roman" w:eastAsiaTheme="minorEastAsia" w:hAnsi="Times New Roman" w:cs="Times New Roman"/>
          <w:bCs/>
          <w:sz w:val="24"/>
          <w:szCs w:val="24"/>
          <w:lang w:eastAsia="pl-PL"/>
        </w:rPr>
        <w:t>.</w:t>
      </w:r>
    </w:p>
    <w:p w14:paraId="3DC5F78C" w14:textId="2EF017C1" w:rsidR="0005710B" w:rsidRPr="007F28C1" w:rsidRDefault="0005710B" w:rsidP="007F28C1">
      <w:pPr>
        <w:suppressAutoHyphens/>
        <w:autoSpaceDE w:val="0"/>
        <w:autoSpaceDN w:val="0"/>
        <w:adjustRightInd w:val="0"/>
        <w:spacing w:before="120" w:after="0" w:line="360" w:lineRule="auto"/>
        <w:jc w:val="both"/>
        <w:rPr>
          <w:rFonts w:ascii="Times New Roman" w:eastAsiaTheme="minorEastAsia" w:hAnsi="Times New Roman" w:cs="Times New Roman"/>
          <w:sz w:val="24"/>
          <w:szCs w:val="24"/>
          <w:lang w:eastAsia="pl-PL"/>
        </w:rPr>
      </w:pPr>
      <w:r w:rsidRPr="007F28C1">
        <w:rPr>
          <w:rFonts w:ascii="Times New Roman" w:eastAsiaTheme="minorEastAsia" w:hAnsi="Times New Roman" w:cs="Times New Roman"/>
          <w:sz w:val="24"/>
          <w:szCs w:val="24"/>
          <w:lang w:eastAsia="pl-PL"/>
        </w:rPr>
        <w:t>Do projektowanej ustawy nie wpłynęły zgłoszenia podmiotów zainteresowanych pracami nad projektem w trybie przepisów o działalności lobbingowej w procesie stanowienia prawa.</w:t>
      </w:r>
    </w:p>
    <w:sectPr w:rsidR="0005710B" w:rsidRPr="007F28C1" w:rsidSect="007F28C1">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EA818" w14:textId="77777777" w:rsidR="004073FC" w:rsidRDefault="004073FC">
      <w:pPr>
        <w:spacing w:after="0" w:line="240" w:lineRule="auto"/>
      </w:pPr>
      <w:r>
        <w:separator/>
      </w:r>
    </w:p>
  </w:endnote>
  <w:endnote w:type="continuationSeparator" w:id="0">
    <w:p w14:paraId="7BDEE182" w14:textId="77777777" w:rsidR="004073FC" w:rsidRDefault="0040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EUAlbertina">
    <w:altName w:val="Cambria"/>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00464"/>
      <w:docPartObj>
        <w:docPartGallery w:val="Page Numbers (Bottom of Page)"/>
        <w:docPartUnique/>
      </w:docPartObj>
    </w:sdtPr>
    <w:sdtEndPr>
      <w:rPr>
        <w:sz w:val="24"/>
        <w:szCs w:val="24"/>
      </w:rPr>
    </w:sdtEndPr>
    <w:sdtContent>
      <w:p w14:paraId="30F63ED0" w14:textId="3334C67A" w:rsidR="002465A6" w:rsidRPr="00827F7C" w:rsidRDefault="002465A6" w:rsidP="007B6908">
        <w:pPr>
          <w:pStyle w:val="Stopka"/>
          <w:jc w:val="center"/>
          <w:rPr>
            <w:sz w:val="24"/>
            <w:szCs w:val="24"/>
          </w:rPr>
        </w:pPr>
        <w:r w:rsidRPr="00827F7C">
          <w:rPr>
            <w:rFonts w:ascii="Times New Roman" w:hAnsi="Times New Roman" w:cs="Times New Roman"/>
            <w:sz w:val="24"/>
            <w:szCs w:val="24"/>
          </w:rPr>
          <w:fldChar w:fldCharType="begin"/>
        </w:r>
        <w:r w:rsidRPr="00827F7C">
          <w:rPr>
            <w:rFonts w:ascii="Times New Roman" w:hAnsi="Times New Roman" w:cs="Times New Roman"/>
            <w:sz w:val="24"/>
            <w:szCs w:val="24"/>
          </w:rPr>
          <w:instrText>PAGE   \* MERGEFORMAT</w:instrText>
        </w:r>
        <w:r w:rsidRPr="00827F7C">
          <w:rPr>
            <w:rFonts w:ascii="Times New Roman" w:hAnsi="Times New Roman" w:cs="Times New Roman"/>
            <w:sz w:val="24"/>
            <w:szCs w:val="24"/>
          </w:rPr>
          <w:fldChar w:fldCharType="separate"/>
        </w:r>
        <w:r w:rsidR="00224E59">
          <w:rPr>
            <w:rFonts w:ascii="Times New Roman" w:hAnsi="Times New Roman" w:cs="Times New Roman"/>
            <w:noProof/>
            <w:sz w:val="24"/>
            <w:szCs w:val="24"/>
          </w:rPr>
          <w:t>21</w:t>
        </w:r>
        <w:r w:rsidRPr="00827F7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D2D28" w14:textId="77777777" w:rsidR="004073FC" w:rsidRDefault="004073FC">
      <w:pPr>
        <w:spacing w:after="0" w:line="240" w:lineRule="auto"/>
      </w:pPr>
      <w:r>
        <w:separator/>
      </w:r>
    </w:p>
  </w:footnote>
  <w:footnote w:type="continuationSeparator" w:id="0">
    <w:p w14:paraId="3E4EB3DE" w14:textId="77777777" w:rsidR="004073FC" w:rsidRDefault="00407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28B"/>
    <w:multiLevelType w:val="hybridMultilevel"/>
    <w:tmpl w:val="109A68E4"/>
    <w:lvl w:ilvl="0" w:tplc="04150011">
      <w:start w:val="1"/>
      <w:numFmt w:val="decimal"/>
      <w:lvlText w:val="%1)"/>
      <w:lvlJc w:val="left"/>
      <w:pPr>
        <w:ind w:left="5321" w:hanging="360"/>
      </w:pPr>
    </w:lvl>
    <w:lvl w:ilvl="1" w:tplc="04150019">
      <w:start w:val="1"/>
      <w:numFmt w:val="lowerLetter"/>
      <w:lvlText w:val="%2."/>
      <w:lvlJc w:val="left"/>
      <w:pPr>
        <w:ind w:left="6041" w:hanging="360"/>
      </w:pPr>
    </w:lvl>
    <w:lvl w:ilvl="2" w:tplc="0415001B" w:tentative="1">
      <w:start w:val="1"/>
      <w:numFmt w:val="lowerRoman"/>
      <w:lvlText w:val="%3."/>
      <w:lvlJc w:val="right"/>
      <w:pPr>
        <w:ind w:left="6761" w:hanging="180"/>
      </w:pPr>
    </w:lvl>
    <w:lvl w:ilvl="3" w:tplc="0415000F" w:tentative="1">
      <w:start w:val="1"/>
      <w:numFmt w:val="decimal"/>
      <w:lvlText w:val="%4."/>
      <w:lvlJc w:val="left"/>
      <w:pPr>
        <w:ind w:left="7481" w:hanging="360"/>
      </w:pPr>
    </w:lvl>
    <w:lvl w:ilvl="4" w:tplc="04150019" w:tentative="1">
      <w:start w:val="1"/>
      <w:numFmt w:val="lowerLetter"/>
      <w:lvlText w:val="%5."/>
      <w:lvlJc w:val="left"/>
      <w:pPr>
        <w:ind w:left="8201" w:hanging="360"/>
      </w:pPr>
    </w:lvl>
    <w:lvl w:ilvl="5" w:tplc="0415001B" w:tentative="1">
      <w:start w:val="1"/>
      <w:numFmt w:val="lowerRoman"/>
      <w:lvlText w:val="%6."/>
      <w:lvlJc w:val="right"/>
      <w:pPr>
        <w:ind w:left="8921" w:hanging="180"/>
      </w:pPr>
    </w:lvl>
    <w:lvl w:ilvl="6" w:tplc="0415000F" w:tentative="1">
      <w:start w:val="1"/>
      <w:numFmt w:val="decimal"/>
      <w:lvlText w:val="%7."/>
      <w:lvlJc w:val="left"/>
      <w:pPr>
        <w:ind w:left="9641" w:hanging="360"/>
      </w:pPr>
    </w:lvl>
    <w:lvl w:ilvl="7" w:tplc="04150019" w:tentative="1">
      <w:start w:val="1"/>
      <w:numFmt w:val="lowerLetter"/>
      <w:lvlText w:val="%8."/>
      <w:lvlJc w:val="left"/>
      <w:pPr>
        <w:ind w:left="10361" w:hanging="360"/>
      </w:pPr>
    </w:lvl>
    <w:lvl w:ilvl="8" w:tplc="0415001B" w:tentative="1">
      <w:start w:val="1"/>
      <w:numFmt w:val="lowerRoman"/>
      <w:lvlText w:val="%9."/>
      <w:lvlJc w:val="right"/>
      <w:pPr>
        <w:ind w:left="11081" w:hanging="180"/>
      </w:pPr>
    </w:lvl>
  </w:abstractNum>
  <w:abstractNum w:abstractNumId="1" w15:restartNumberingAfterBreak="0">
    <w:nsid w:val="03527E0E"/>
    <w:multiLevelType w:val="hybridMultilevel"/>
    <w:tmpl w:val="00C85588"/>
    <w:lvl w:ilvl="0" w:tplc="04150013">
      <w:start w:val="1"/>
      <w:numFmt w:val="upperRoman"/>
      <w:lvlText w:val="%1."/>
      <w:lvlJc w:val="right"/>
      <w:pPr>
        <w:ind w:left="1080" w:hanging="720"/>
      </w:pPr>
      <w:rPr>
        <w:rFonts w:hint="default"/>
      </w:rPr>
    </w:lvl>
    <w:lvl w:ilvl="1" w:tplc="04F20784">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871EB"/>
    <w:multiLevelType w:val="hybridMultilevel"/>
    <w:tmpl w:val="14962D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44C4B"/>
    <w:multiLevelType w:val="hybridMultilevel"/>
    <w:tmpl w:val="D3D66C1E"/>
    <w:lvl w:ilvl="0" w:tplc="0000000B">
      <w:start w:val="1"/>
      <w:numFmt w:val="bullet"/>
      <w:lvlText w:val="-"/>
      <w:lvlJc w:val="left"/>
      <w:pPr>
        <w:ind w:left="1428" w:hanging="360"/>
      </w:pPr>
      <w:rPr>
        <w:rFonts w:ascii="Times New Roman" w:hAnsi="Times New Roman" w:cs="Times New Roman" w:hint="default"/>
        <w:color w:val="000000"/>
        <w:spacing w:val="-2"/>
        <w:sz w:val="20"/>
        <w:szCs w:val="20"/>
      </w:rPr>
    </w:lvl>
    <w:lvl w:ilvl="1" w:tplc="2AA4608C">
      <w:start w:val="1"/>
      <w:numFmt w:val="lowerLetter"/>
      <w:lvlText w:val="%2)"/>
      <w:lvlJc w:val="left"/>
      <w:pPr>
        <w:ind w:left="2148" w:hanging="360"/>
      </w:pPr>
      <w:rPr>
        <w:rFonts w:hint="default"/>
        <w:color w:val="000000"/>
        <w:spacing w:val="-2"/>
        <w:sz w:val="24"/>
        <w:szCs w:val="24"/>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E4B06FC"/>
    <w:multiLevelType w:val="hybridMultilevel"/>
    <w:tmpl w:val="10C24C9A"/>
    <w:lvl w:ilvl="0" w:tplc="0EBC9898">
      <w:start w:val="1"/>
      <w:numFmt w:val="upperRoman"/>
      <w:lvlText w:val="%1."/>
      <w:lvlJc w:val="right"/>
      <w:pPr>
        <w:ind w:left="964" w:hanging="964"/>
      </w:pPr>
      <w:rPr>
        <w:rFonts w:hint="default"/>
        <w:color w:val="000000"/>
        <w:spacing w:val="-2"/>
        <w:sz w:val="24"/>
        <w:szCs w:val="24"/>
      </w:rPr>
    </w:lvl>
    <w:lvl w:ilvl="1" w:tplc="469E98FC">
      <w:start w:val="1"/>
      <w:numFmt w:val="decimal"/>
      <w:lvlText w:val="%2)"/>
      <w:lvlJc w:val="left"/>
      <w:pPr>
        <w:ind w:left="2138" w:hanging="710"/>
      </w:pPr>
      <w:rPr>
        <w:rFonts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0F25381"/>
    <w:multiLevelType w:val="hybridMultilevel"/>
    <w:tmpl w:val="9E20D15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E943C9A"/>
    <w:multiLevelType w:val="hybridMultilevel"/>
    <w:tmpl w:val="9A48620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0BD2"/>
    <w:multiLevelType w:val="hybridMultilevel"/>
    <w:tmpl w:val="607A8F28"/>
    <w:lvl w:ilvl="0" w:tplc="04150011">
      <w:start w:val="1"/>
      <w:numFmt w:val="decimal"/>
      <w:lvlText w:val="%1)"/>
      <w:lvlJc w:val="left"/>
      <w:pPr>
        <w:ind w:left="1428" w:hanging="360"/>
      </w:pPr>
    </w:lvl>
    <w:lvl w:ilvl="1" w:tplc="04150011">
      <w:start w:val="1"/>
      <w:numFmt w:val="decimal"/>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24E46B23"/>
    <w:multiLevelType w:val="hybridMultilevel"/>
    <w:tmpl w:val="EDE02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34AB8"/>
    <w:multiLevelType w:val="hybridMultilevel"/>
    <w:tmpl w:val="846EFB8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B40671"/>
    <w:multiLevelType w:val="hybridMultilevel"/>
    <w:tmpl w:val="9474903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2A08D2"/>
    <w:multiLevelType w:val="hybridMultilevel"/>
    <w:tmpl w:val="792636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421B41"/>
    <w:multiLevelType w:val="hybridMultilevel"/>
    <w:tmpl w:val="69622E9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A840AF"/>
    <w:multiLevelType w:val="hybridMultilevel"/>
    <w:tmpl w:val="3B70BBBC"/>
    <w:lvl w:ilvl="0" w:tplc="94A62E64">
      <w:start w:val="1"/>
      <w:numFmt w:val="decimal"/>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0F421E"/>
    <w:multiLevelType w:val="hybridMultilevel"/>
    <w:tmpl w:val="2952893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63C5DD5"/>
    <w:multiLevelType w:val="hybridMultilevel"/>
    <w:tmpl w:val="D58A96A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F56FE5"/>
    <w:multiLevelType w:val="hybridMultilevel"/>
    <w:tmpl w:val="05DABE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563228"/>
    <w:multiLevelType w:val="hybridMultilevel"/>
    <w:tmpl w:val="FCEEFE38"/>
    <w:lvl w:ilvl="0" w:tplc="311A15F8">
      <w:start w:val="1"/>
      <w:numFmt w:val="upperRoman"/>
      <w:lvlText w:val="%1."/>
      <w:lvlJc w:val="right"/>
      <w:pPr>
        <w:ind w:left="720" w:hanging="360"/>
      </w:pPr>
      <w:rPr>
        <w:b/>
        <w:bCs w:val="0"/>
      </w:rPr>
    </w:lvl>
    <w:lvl w:ilvl="1" w:tplc="1D5CA3D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315C63"/>
    <w:multiLevelType w:val="hybridMultilevel"/>
    <w:tmpl w:val="04F22AF6"/>
    <w:lvl w:ilvl="0" w:tplc="E8BE3DA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D377FE"/>
    <w:multiLevelType w:val="hybridMultilevel"/>
    <w:tmpl w:val="58D2C91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1F0EBBA4">
      <w:start w:val="1"/>
      <w:numFmt w:val="lowerLetter"/>
      <w:lvlText w:val="%3)"/>
      <w:lvlJc w:val="left"/>
      <w:pPr>
        <w:ind w:left="2690" w:hanging="71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424BC2"/>
    <w:multiLevelType w:val="hybridMultilevel"/>
    <w:tmpl w:val="45449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38058E"/>
    <w:multiLevelType w:val="hybridMultilevel"/>
    <w:tmpl w:val="8CA4EE6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99092F"/>
    <w:multiLevelType w:val="hybridMultilevel"/>
    <w:tmpl w:val="93A6E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8958A2"/>
    <w:multiLevelType w:val="hybridMultilevel"/>
    <w:tmpl w:val="EC58AE8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5748DE"/>
    <w:multiLevelType w:val="hybridMultilevel"/>
    <w:tmpl w:val="0E10D362"/>
    <w:lvl w:ilvl="0" w:tplc="04150017">
      <w:start w:val="1"/>
      <w:numFmt w:val="lowerLetter"/>
      <w:lvlText w:val="%1)"/>
      <w:lvlJc w:val="left"/>
      <w:pPr>
        <w:ind w:left="1068" w:hanging="360"/>
      </w:pPr>
    </w:lvl>
    <w:lvl w:ilvl="1" w:tplc="17EE4A4A">
      <w:start w:val="1"/>
      <w:numFmt w:val="decimal"/>
      <w:lvlText w:val="%2)"/>
      <w:lvlJc w:val="left"/>
      <w:pPr>
        <w:ind w:left="2138" w:hanging="71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56DD3623"/>
    <w:multiLevelType w:val="hybridMultilevel"/>
    <w:tmpl w:val="1D06C30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094C63"/>
    <w:multiLevelType w:val="hybridMultilevel"/>
    <w:tmpl w:val="857C7DEE"/>
    <w:lvl w:ilvl="0" w:tplc="759C5FDA">
      <w:start w:val="1"/>
      <w:numFmt w:val="decimal"/>
      <w:lvlText w:val="%1)"/>
      <w:lvlJc w:val="left"/>
      <w:pPr>
        <w:ind w:left="1068" w:hanging="360"/>
      </w:pPr>
      <w:rPr>
        <w:rFonts w:hint="default"/>
        <w:i w:val="0"/>
        <w:iCs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FC97BCA"/>
    <w:multiLevelType w:val="hybridMultilevel"/>
    <w:tmpl w:val="CF300C64"/>
    <w:lvl w:ilvl="0" w:tplc="BE62539A">
      <w:start w:val="1"/>
      <w:numFmt w:val="decimal"/>
      <w:lvlText w:val="%1)"/>
      <w:lvlJc w:val="left"/>
      <w:pPr>
        <w:ind w:left="1428" w:hanging="360"/>
      </w:pPr>
      <w:rPr>
        <w:rFonts w:hint="default"/>
        <w:color w:val="000000"/>
        <w:spacing w:val="-2"/>
        <w:sz w:val="24"/>
        <w:szCs w:val="24"/>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61EC760F"/>
    <w:multiLevelType w:val="hybridMultilevel"/>
    <w:tmpl w:val="F2AA2D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7B42A8"/>
    <w:multiLevelType w:val="hybridMultilevel"/>
    <w:tmpl w:val="6DB42D7A"/>
    <w:lvl w:ilvl="0" w:tplc="04150013">
      <w:start w:val="1"/>
      <w:numFmt w:val="upperRoman"/>
      <w:lvlText w:val="%1."/>
      <w:lvlJc w:val="right"/>
      <w:pPr>
        <w:ind w:left="1080" w:hanging="720"/>
      </w:pPr>
      <w:rPr>
        <w:rFonts w:hint="default"/>
      </w:rPr>
    </w:lvl>
    <w:lvl w:ilvl="1" w:tplc="04F20784">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266EF0"/>
    <w:multiLevelType w:val="hybridMultilevel"/>
    <w:tmpl w:val="8F7400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CD7D14"/>
    <w:multiLevelType w:val="hybridMultilevel"/>
    <w:tmpl w:val="3EEA19C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F25625"/>
    <w:multiLevelType w:val="hybridMultilevel"/>
    <w:tmpl w:val="254E79EE"/>
    <w:lvl w:ilvl="0" w:tplc="624A2C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835F52"/>
    <w:multiLevelType w:val="hybridMultilevel"/>
    <w:tmpl w:val="8EDACC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392794B"/>
    <w:multiLevelType w:val="hybridMultilevel"/>
    <w:tmpl w:val="00982FC4"/>
    <w:lvl w:ilvl="0" w:tplc="0000000B">
      <w:start w:val="1"/>
      <w:numFmt w:val="bullet"/>
      <w:lvlText w:val="-"/>
      <w:lvlJc w:val="left"/>
      <w:pPr>
        <w:ind w:left="1490" w:hanging="360"/>
      </w:pPr>
      <w:rPr>
        <w:rFonts w:ascii="Times New Roman" w:hAnsi="Times New Roman" w:cs="Times New Roman" w:hint="default"/>
        <w:color w:val="000000"/>
        <w:spacing w:val="-2"/>
        <w:sz w:val="20"/>
        <w:szCs w:val="20"/>
      </w:rPr>
    </w:lvl>
    <w:lvl w:ilvl="1" w:tplc="04150003" w:tentative="1">
      <w:start w:val="1"/>
      <w:numFmt w:val="bullet"/>
      <w:lvlText w:val="o"/>
      <w:lvlJc w:val="left"/>
      <w:pPr>
        <w:ind w:left="2210" w:hanging="360"/>
      </w:pPr>
      <w:rPr>
        <w:rFonts w:ascii="Courier New" w:hAnsi="Courier New" w:cs="Courier New" w:hint="default"/>
      </w:rPr>
    </w:lvl>
    <w:lvl w:ilvl="2" w:tplc="04150005" w:tentative="1">
      <w:start w:val="1"/>
      <w:numFmt w:val="bullet"/>
      <w:lvlText w:val=""/>
      <w:lvlJc w:val="left"/>
      <w:pPr>
        <w:ind w:left="2930" w:hanging="360"/>
      </w:pPr>
      <w:rPr>
        <w:rFonts w:ascii="Wingdings" w:hAnsi="Wingdings" w:hint="default"/>
      </w:rPr>
    </w:lvl>
    <w:lvl w:ilvl="3" w:tplc="04150001" w:tentative="1">
      <w:start w:val="1"/>
      <w:numFmt w:val="bullet"/>
      <w:lvlText w:val=""/>
      <w:lvlJc w:val="left"/>
      <w:pPr>
        <w:ind w:left="3650" w:hanging="360"/>
      </w:pPr>
      <w:rPr>
        <w:rFonts w:ascii="Symbol" w:hAnsi="Symbol" w:hint="default"/>
      </w:rPr>
    </w:lvl>
    <w:lvl w:ilvl="4" w:tplc="04150003" w:tentative="1">
      <w:start w:val="1"/>
      <w:numFmt w:val="bullet"/>
      <w:lvlText w:val="o"/>
      <w:lvlJc w:val="left"/>
      <w:pPr>
        <w:ind w:left="4370" w:hanging="360"/>
      </w:pPr>
      <w:rPr>
        <w:rFonts w:ascii="Courier New" w:hAnsi="Courier New" w:cs="Courier New" w:hint="default"/>
      </w:rPr>
    </w:lvl>
    <w:lvl w:ilvl="5" w:tplc="04150005" w:tentative="1">
      <w:start w:val="1"/>
      <w:numFmt w:val="bullet"/>
      <w:lvlText w:val=""/>
      <w:lvlJc w:val="left"/>
      <w:pPr>
        <w:ind w:left="5090" w:hanging="360"/>
      </w:pPr>
      <w:rPr>
        <w:rFonts w:ascii="Wingdings" w:hAnsi="Wingdings" w:hint="default"/>
      </w:rPr>
    </w:lvl>
    <w:lvl w:ilvl="6" w:tplc="04150001" w:tentative="1">
      <w:start w:val="1"/>
      <w:numFmt w:val="bullet"/>
      <w:lvlText w:val=""/>
      <w:lvlJc w:val="left"/>
      <w:pPr>
        <w:ind w:left="5810" w:hanging="360"/>
      </w:pPr>
      <w:rPr>
        <w:rFonts w:ascii="Symbol" w:hAnsi="Symbol" w:hint="default"/>
      </w:rPr>
    </w:lvl>
    <w:lvl w:ilvl="7" w:tplc="04150003" w:tentative="1">
      <w:start w:val="1"/>
      <w:numFmt w:val="bullet"/>
      <w:lvlText w:val="o"/>
      <w:lvlJc w:val="left"/>
      <w:pPr>
        <w:ind w:left="6530" w:hanging="360"/>
      </w:pPr>
      <w:rPr>
        <w:rFonts w:ascii="Courier New" w:hAnsi="Courier New" w:cs="Courier New" w:hint="default"/>
      </w:rPr>
    </w:lvl>
    <w:lvl w:ilvl="8" w:tplc="04150005" w:tentative="1">
      <w:start w:val="1"/>
      <w:numFmt w:val="bullet"/>
      <w:lvlText w:val=""/>
      <w:lvlJc w:val="left"/>
      <w:pPr>
        <w:ind w:left="7250" w:hanging="360"/>
      </w:pPr>
      <w:rPr>
        <w:rFonts w:ascii="Wingdings" w:hAnsi="Wingdings" w:hint="default"/>
      </w:rPr>
    </w:lvl>
  </w:abstractNum>
  <w:abstractNum w:abstractNumId="35" w15:restartNumberingAfterBreak="0">
    <w:nsid w:val="77C33D60"/>
    <w:multiLevelType w:val="hybridMultilevel"/>
    <w:tmpl w:val="083EA394"/>
    <w:lvl w:ilvl="0" w:tplc="624A2C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C86A11"/>
    <w:multiLevelType w:val="hybridMultilevel"/>
    <w:tmpl w:val="B60691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C3A1D00"/>
    <w:multiLevelType w:val="hybridMultilevel"/>
    <w:tmpl w:val="5DACF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2"/>
  </w:num>
  <w:num w:numId="3">
    <w:abstractNumId w:val="35"/>
  </w:num>
  <w:num w:numId="4">
    <w:abstractNumId w:val="24"/>
  </w:num>
  <w:num w:numId="5">
    <w:abstractNumId w:val="11"/>
  </w:num>
  <w:num w:numId="6">
    <w:abstractNumId w:val="6"/>
  </w:num>
  <w:num w:numId="7">
    <w:abstractNumId w:val="13"/>
  </w:num>
  <w:num w:numId="8">
    <w:abstractNumId w:val="20"/>
  </w:num>
  <w:num w:numId="9">
    <w:abstractNumId w:val="33"/>
  </w:num>
  <w:num w:numId="10">
    <w:abstractNumId w:val="14"/>
  </w:num>
  <w:num w:numId="11">
    <w:abstractNumId w:val="31"/>
  </w:num>
  <w:num w:numId="12">
    <w:abstractNumId w:val="34"/>
  </w:num>
  <w:num w:numId="13">
    <w:abstractNumId w:val="26"/>
  </w:num>
  <w:num w:numId="14">
    <w:abstractNumId w:val="29"/>
  </w:num>
  <w:num w:numId="15">
    <w:abstractNumId w:val="36"/>
  </w:num>
  <w:num w:numId="16">
    <w:abstractNumId w:val="27"/>
  </w:num>
  <w:num w:numId="17">
    <w:abstractNumId w:val="28"/>
  </w:num>
  <w:num w:numId="18">
    <w:abstractNumId w:val="3"/>
  </w:num>
  <w:num w:numId="19">
    <w:abstractNumId w:val="9"/>
  </w:num>
  <w:num w:numId="20">
    <w:abstractNumId w:val="19"/>
  </w:num>
  <w:num w:numId="21">
    <w:abstractNumId w:val="21"/>
  </w:num>
  <w:num w:numId="22">
    <w:abstractNumId w:val="2"/>
  </w:num>
  <w:num w:numId="23">
    <w:abstractNumId w:val="12"/>
  </w:num>
  <w:num w:numId="24">
    <w:abstractNumId w:val="37"/>
  </w:num>
  <w:num w:numId="25">
    <w:abstractNumId w:val="18"/>
  </w:num>
  <w:num w:numId="26">
    <w:abstractNumId w:val="4"/>
  </w:num>
  <w:num w:numId="27">
    <w:abstractNumId w:val="1"/>
  </w:num>
  <w:num w:numId="28">
    <w:abstractNumId w:val="17"/>
  </w:num>
  <w:num w:numId="29">
    <w:abstractNumId w:val="10"/>
  </w:num>
  <w:num w:numId="30">
    <w:abstractNumId w:val="16"/>
  </w:num>
  <w:num w:numId="31">
    <w:abstractNumId w:val="25"/>
  </w:num>
  <w:num w:numId="32">
    <w:abstractNumId w:val="5"/>
  </w:num>
  <w:num w:numId="33">
    <w:abstractNumId w:val="7"/>
  </w:num>
  <w:num w:numId="34">
    <w:abstractNumId w:val="30"/>
  </w:num>
  <w:num w:numId="35">
    <w:abstractNumId w:val="23"/>
  </w:num>
  <w:num w:numId="36">
    <w:abstractNumId w:val="0"/>
  </w:num>
  <w:num w:numId="37">
    <w:abstractNumId w:val="15"/>
  </w:num>
  <w:num w:numId="3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48"/>
    <w:rsid w:val="000014B5"/>
    <w:rsid w:val="00001A28"/>
    <w:rsid w:val="00001DA3"/>
    <w:rsid w:val="00002212"/>
    <w:rsid w:val="00003ADF"/>
    <w:rsid w:val="00003BB4"/>
    <w:rsid w:val="00005B6A"/>
    <w:rsid w:val="00011BB5"/>
    <w:rsid w:val="00012FAA"/>
    <w:rsid w:val="000132E3"/>
    <w:rsid w:val="000133B8"/>
    <w:rsid w:val="000137C8"/>
    <w:rsid w:val="00013E71"/>
    <w:rsid w:val="00014727"/>
    <w:rsid w:val="00014CDF"/>
    <w:rsid w:val="000151BD"/>
    <w:rsid w:val="00017BED"/>
    <w:rsid w:val="00017DD0"/>
    <w:rsid w:val="000202AD"/>
    <w:rsid w:val="0002083B"/>
    <w:rsid w:val="00020A00"/>
    <w:rsid w:val="00020EEB"/>
    <w:rsid w:val="00022D64"/>
    <w:rsid w:val="000232AE"/>
    <w:rsid w:val="00024367"/>
    <w:rsid w:val="00025207"/>
    <w:rsid w:val="00026008"/>
    <w:rsid w:val="00026DFE"/>
    <w:rsid w:val="0002707E"/>
    <w:rsid w:val="000278C1"/>
    <w:rsid w:val="00030936"/>
    <w:rsid w:val="00033C43"/>
    <w:rsid w:val="00035045"/>
    <w:rsid w:val="00035615"/>
    <w:rsid w:val="00035D3A"/>
    <w:rsid w:val="000360B9"/>
    <w:rsid w:val="000374B4"/>
    <w:rsid w:val="00040192"/>
    <w:rsid w:val="00040D50"/>
    <w:rsid w:val="00040EE5"/>
    <w:rsid w:val="0004159C"/>
    <w:rsid w:val="00042125"/>
    <w:rsid w:val="00042D3C"/>
    <w:rsid w:val="00042FF2"/>
    <w:rsid w:val="0004537A"/>
    <w:rsid w:val="00045512"/>
    <w:rsid w:val="0004564E"/>
    <w:rsid w:val="000475DA"/>
    <w:rsid w:val="00051E87"/>
    <w:rsid w:val="00053379"/>
    <w:rsid w:val="000534D0"/>
    <w:rsid w:val="00055965"/>
    <w:rsid w:val="00055C2A"/>
    <w:rsid w:val="0005710B"/>
    <w:rsid w:val="00060535"/>
    <w:rsid w:val="00060D8F"/>
    <w:rsid w:val="0006193B"/>
    <w:rsid w:val="00061B79"/>
    <w:rsid w:val="000624EF"/>
    <w:rsid w:val="00064020"/>
    <w:rsid w:val="0006413F"/>
    <w:rsid w:val="00065151"/>
    <w:rsid w:val="00065C4C"/>
    <w:rsid w:val="0006750E"/>
    <w:rsid w:val="0006789E"/>
    <w:rsid w:val="00067F58"/>
    <w:rsid w:val="00070B64"/>
    <w:rsid w:val="0007161C"/>
    <w:rsid w:val="00073006"/>
    <w:rsid w:val="000731EB"/>
    <w:rsid w:val="000749CB"/>
    <w:rsid w:val="0007586B"/>
    <w:rsid w:val="00076BD7"/>
    <w:rsid w:val="00080897"/>
    <w:rsid w:val="00080AB3"/>
    <w:rsid w:val="000814DE"/>
    <w:rsid w:val="000827D0"/>
    <w:rsid w:val="00083247"/>
    <w:rsid w:val="00084AC6"/>
    <w:rsid w:val="000865F0"/>
    <w:rsid w:val="000875AB"/>
    <w:rsid w:val="000900B9"/>
    <w:rsid w:val="00090D86"/>
    <w:rsid w:val="00092706"/>
    <w:rsid w:val="0009452A"/>
    <w:rsid w:val="00095D05"/>
    <w:rsid w:val="00095EA0"/>
    <w:rsid w:val="00096A5D"/>
    <w:rsid w:val="00096F25"/>
    <w:rsid w:val="00097895"/>
    <w:rsid w:val="00097900"/>
    <w:rsid w:val="000A190B"/>
    <w:rsid w:val="000A22D4"/>
    <w:rsid w:val="000A2D6A"/>
    <w:rsid w:val="000A3109"/>
    <w:rsid w:val="000A42EB"/>
    <w:rsid w:val="000A67D3"/>
    <w:rsid w:val="000A7149"/>
    <w:rsid w:val="000A7850"/>
    <w:rsid w:val="000A7AF3"/>
    <w:rsid w:val="000B1206"/>
    <w:rsid w:val="000B1844"/>
    <w:rsid w:val="000B2102"/>
    <w:rsid w:val="000B21C0"/>
    <w:rsid w:val="000B2371"/>
    <w:rsid w:val="000B2B42"/>
    <w:rsid w:val="000B36BF"/>
    <w:rsid w:val="000B4BB5"/>
    <w:rsid w:val="000B4C98"/>
    <w:rsid w:val="000B6102"/>
    <w:rsid w:val="000C12EE"/>
    <w:rsid w:val="000C1EA5"/>
    <w:rsid w:val="000C285C"/>
    <w:rsid w:val="000C62D7"/>
    <w:rsid w:val="000D0EB2"/>
    <w:rsid w:val="000D14D4"/>
    <w:rsid w:val="000D1E5E"/>
    <w:rsid w:val="000D1FE2"/>
    <w:rsid w:val="000D2020"/>
    <w:rsid w:val="000D2133"/>
    <w:rsid w:val="000D2272"/>
    <w:rsid w:val="000D2E61"/>
    <w:rsid w:val="000D3E50"/>
    <w:rsid w:val="000D40E4"/>
    <w:rsid w:val="000D430F"/>
    <w:rsid w:val="000D4BF2"/>
    <w:rsid w:val="000D4FF9"/>
    <w:rsid w:val="000D6A82"/>
    <w:rsid w:val="000D7C66"/>
    <w:rsid w:val="000E1A87"/>
    <w:rsid w:val="000E1D5E"/>
    <w:rsid w:val="000E350B"/>
    <w:rsid w:val="000E418F"/>
    <w:rsid w:val="000E66D0"/>
    <w:rsid w:val="000E6B9D"/>
    <w:rsid w:val="000F0EAD"/>
    <w:rsid w:val="000F1192"/>
    <w:rsid w:val="000F3771"/>
    <w:rsid w:val="000F51CF"/>
    <w:rsid w:val="000F5DE6"/>
    <w:rsid w:val="000F6109"/>
    <w:rsid w:val="000F690B"/>
    <w:rsid w:val="000F6A77"/>
    <w:rsid w:val="000F7F3B"/>
    <w:rsid w:val="001001DE"/>
    <w:rsid w:val="00100F70"/>
    <w:rsid w:val="00101181"/>
    <w:rsid w:val="0010130F"/>
    <w:rsid w:val="00102A43"/>
    <w:rsid w:val="001038B3"/>
    <w:rsid w:val="00103909"/>
    <w:rsid w:val="0010517A"/>
    <w:rsid w:val="001055C7"/>
    <w:rsid w:val="0010751E"/>
    <w:rsid w:val="00110A10"/>
    <w:rsid w:val="00111C9A"/>
    <w:rsid w:val="00112682"/>
    <w:rsid w:val="001133C2"/>
    <w:rsid w:val="00113EF7"/>
    <w:rsid w:val="0011439E"/>
    <w:rsid w:val="00120319"/>
    <w:rsid w:val="00120902"/>
    <w:rsid w:val="00122807"/>
    <w:rsid w:val="00122978"/>
    <w:rsid w:val="00122ABC"/>
    <w:rsid w:val="00123FFA"/>
    <w:rsid w:val="001251DC"/>
    <w:rsid w:val="00125510"/>
    <w:rsid w:val="0012626E"/>
    <w:rsid w:val="001275BC"/>
    <w:rsid w:val="00127C63"/>
    <w:rsid w:val="0013042D"/>
    <w:rsid w:val="00130C02"/>
    <w:rsid w:val="00132A6C"/>
    <w:rsid w:val="00133B37"/>
    <w:rsid w:val="00134834"/>
    <w:rsid w:val="00134FB4"/>
    <w:rsid w:val="00136D71"/>
    <w:rsid w:val="001400E9"/>
    <w:rsid w:val="00141D06"/>
    <w:rsid w:val="00141FEE"/>
    <w:rsid w:val="00142D8B"/>
    <w:rsid w:val="001434A0"/>
    <w:rsid w:val="0014364E"/>
    <w:rsid w:val="00144B8C"/>
    <w:rsid w:val="00145C9D"/>
    <w:rsid w:val="00146A41"/>
    <w:rsid w:val="00150490"/>
    <w:rsid w:val="00150999"/>
    <w:rsid w:val="001526E1"/>
    <w:rsid w:val="00152FCB"/>
    <w:rsid w:val="00155054"/>
    <w:rsid w:val="0015616E"/>
    <w:rsid w:val="00156EA9"/>
    <w:rsid w:val="00157D70"/>
    <w:rsid w:val="00157DF3"/>
    <w:rsid w:val="00161157"/>
    <w:rsid w:val="001611A6"/>
    <w:rsid w:val="00162505"/>
    <w:rsid w:val="00162D71"/>
    <w:rsid w:val="00165366"/>
    <w:rsid w:val="00167090"/>
    <w:rsid w:val="001707DC"/>
    <w:rsid w:val="00171393"/>
    <w:rsid w:val="00172186"/>
    <w:rsid w:val="00172DD3"/>
    <w:rsid w:val="00173399"/>
    <w:rsid w:val="001739B8"/>
    <w:rsid w:val="001739E6"/>
    <w:rsid w:val="00176670"/>
    <w:rsid w:val="00177699"/>
    <w:rsid w:val="0018011E"/>
    <w:rsid w:val="001814CA"/>
    <w:rsid w:val="00181A90"/>
    <w:rsid w:val="0018388F"/>
    <w:rsid w:val="00184D72"/>
    <w:rsid w:val="00184DD7"/>
    <w:rsid w:val="0018674D"/>
    <w:rsid w:val="00186792"/>
    <w:rsid w:val="001901BB"/>
    <w:rsid w:val="00191BB7"/>
    <w:rsid w:val="0019251E"/>
    <w:rsid w:val="00194A25"/>
    <w:rsid w:val="00194D07"/>
    <w:rsid w:val="00194F73"/>
    <w:rsid w:val="00195503"/>
    <w:rsid w:val="00196BEB"/>
    <w:rsid w:val="00197AC3"/>
    <w:rsid w:val="001A0689"/>
    <w:rsid w:val="001A0B55"/>
    <w:rsid w:val="001A1790"/>
    <w:rsid w:val="001A1FFC"/>
    <w:rsid w:val="001A2260"/>
    <w:rsid w:val="001A3822"/>
    <w:rsid w:val="001A3E62"/>
    <w:rsid w:val="001A746A"/>
    <w:rsid w:val="001A7E79"/>
    <w:rsid w:val="001B0DBA"/>
    <w:rsid w:val="001B1CE0"/>
    <w:rsid w:val="001B2AA2"/>
    <w:rsid w:val="001B2D0F"/>
    <w:rsid w:val="001B56AE"/>
    <w:rsid w:val="001B5B29"/>
    <w:rsid w:val="001B6C61"/>
    <w:rsid w:val="001B7105"/>
    <w:rsid w:val="001B7A52"/>
    <w:rsid w:val="001C04DB"/>
    <w:rsid w:val="001C054E"/>
    <w:rsid w:val="001C0EE9"/>
    <w:rsid w:val="001C17E6"/>
    <w:rsid w:val="001C26C3"/>
    <w:rsid w:val="001C29AF"/>
    <w:rsid w:val="001C4848"/>
    <w:rsid w:val="001C4A87"/>
    <w:rsid w:val="001C6511"/>
    <w:rsid w:val="001C65B3"/>
    <w:rsid w:val="001D07D6"/>
    <w:rsid w:val="001D15E3"/>
    <w:rsid w:val="001D1EF3"/>
    <w:rsid w:val="001D208C"/>
    <w:rsid w:val="001D2553"/>
    <w:rsid w:val="001D3DA3"/>
    <w:rsid w:val="001D6025"/>
    <w:rsid w:val="001E0ECF"/>
    <w:rsid w:val="001E3256"/>
    <w:rsid w:val="001E3928"/>
    <w:rsid w:val="001E5643"/>
    <w:rsid w:val="001E6536"/>
    <w:rsid w:val="001E7CB6"/>
    <w:rsid w:val="001F042A"/>
    <w:rsid w:val="001F088F"/>
    <w:rsid w:val="001F1678"/>
    <w:rsid w:val="001F1848"/>
    <w:rsid w:val="001F303B"/>
    <w:rsid w:val="001F3CDB"/>
    <w:rsid w:val="001F488D"/>
    <w:rsid w:val="001F590F"/>
    <w:rsid w:val="001F5921"/>
    <w:rsid w:val="001F5CF0"/>
    <w:rsid w:val="001F616F"/>
    <w:rsid w:val="00200647"/>
    <w:rsid w:val="0020176C"/>
    <w:rsid w:val="00201859"/>
    <w:rsid w:val="00201DC0"/>
    <w:rsid w:val="002021DC"/>
    <w:rsid w:val="002027EA"/>
    <w:rsid w:val="00203004"/>
    <w:rsid w:val="002046F9"/>
    <w:rsid w:val="00204AC3"/>
    <w:rsid w:val="00204AE3"/>
    <w:rsid w:val="00204D06"/>
    <w:rsid w:val="00207266"/>
    <w:rsid w:val="00207364"/>
    <w:rsid w:val="002074A0"/>
    <w:rsid w:val="002100F8"/>
    <w:rsid w:val="002103A7"/>
    <w:rsid w:val="002121EC"/>
    <w:rsid w:val="002128D1"/>
    <w:rsid w:val="00214827"/>
    <w:rsid w:val="00215262"/>
    <w:rsid w:val="00215761"/>
    <w:rsid w:val="00216B78"/>
    <w:rsid w:val="00217EC2"/>
    <w:rsid w:val="0022158B"/>
    <w:rsid w:val="00221BA9"/>
    <w:rsid w:val="00221CBB"/>
    <w:rsid w:val="00223236"/>
    <w:rsid w:val="00223293"/>
    <w:rsid w:val="00223873"/>
    <w:rsid w:val="00224E59"/>
    <w:rsid w:val="0022587D"/>
    <w:rsid w:val="002278AE"/>
    <w:rsid w:val="00227AAC"/>
    <w:rsid w:val="0023035F"/>
    <w:rsid w:val="00230FCA"/>
    <w:rsid w:val="0023346B"/>
    <w:rsid w:val="00233A90"/>
    <w:rsid w:val="00233B2B"/>
    <w:rsid w:val="0023429C"/>
    <w:rsid w:val="00235F1B"/>
    <w:rsid w:val="00237364"/>
    <w:rsid w:val="00237AEF"/>
    <w:rsid w:val="00237E62"/>
    <w:rsid w:val="00240A1A"/>
    <w:rsid w:val="002418E0"/>
    <w:rsid w:val="00245C6B"/>
    <w:rsid w:val="002465A6"/>
    <w:rsid w:val="00247A5C"/>
    <w:rsid w:val="00247B2A"/>
    <w:rsid w:val="00247B31"/>
    <w:rsid w:val="00251C09"/>
    <w:rsid w:val="00252E43"/>
    <w:rsid w:val="00253125"/>
    <w:rsid w:val="0025547B"/>
    <w:rsid w:val="002558DA"/>
    <w:rsid w:val="0026013C"/>
    <w:rsid w:val="00261894"/>
    <w:rsid w:val="00262494"/>
    <w:rsid w:val="0026326E"/>
    <w:rsid w:val="00265A6B"/>
    <w:rsid w:val="00265DF0"/>
    <w:rsid w:val="00267B8F"/>
    <w:rsid w:val="00267CB9"/>
    <w:rsid w:val="00271141"/>
    <w:rsid w:val="00271C9E"/>
    <w:rsid w:val="0027251C"/>
    <w:rsid w:val="002725C9"/>
    <w:rsid w:val="00272CC8"/>
    <w:rsid w:val="00274BAB"/>
    <w:rsid w:val="00275E0F"/>
    <w:rsid w:val="002766A0"/>
    <w:rsid w:val="0027704B"/>
    <w:rsid w:val="00280A3A"/>
    <w:rsid w:val="00286C14"/>
    <w:rsid w:val="0028736D"/>
    <w:rsid w:val="00290054"/>
    <w:rsid w:val="00290103"/>
    <w:rsid w:val="0029236C"/>
    <w:rsid w:val="00292DDD"/>
    <w:rsid w:val="002954D7"/>
    <w:rsid w:val="00297386"/>
    <w:rsid w:val="002A3E13"/>
    <w:rsid w:val="002A4661"/>
    <w:rsid w:val="002A4C40"/>
    <w:rsid w:val="002A5E09"/>
    <w:rsid w:val="002A63B3"/>
    <w:rsid w:val="002A6502"/>
    <w:rsid w:val="002B31D8"/>
    <w:rsid w:val="002B32BB"/>
    <w:rsid w:val="002B3B97"/>
    <w:rsid w:val="002B3BD0"/>
    <w:rsid w:val="002B49AE"/>
    <w:rsid w:val="002B4D1B"/>
    <w:rsid w:val="002B5482"/>
    <w:rsid w:val="002B5E39"/>
    <w:rsid w:val="002B6EEC"/>
    <w:rsid w:val="002B7CF8"/>
    <w:rsid w:val="002C0516"/>
    <w:rsid w:val="002C0EDB"/>
    <w:rsid w:val="002C1E4F"/>
    <w:rsid w:val="002C3246"/>
    <w:rsid w:val="002C39D3"/>
    <w:rsid w:val="002C5010"/>
    <w:rsid w:val="002D06D0"/>
    <w:rsid w:val="002D1C5E"/>
    <w:rsid w:val="002D4A78"/>
    <w:rsid w:val="002D4B53"/>
    <w:rsid w:val="002D51DE"/>
    <w:rsid w:val="002D5F91"/>
    <w:rsid w:val="002D62B0"/>
    <w:rsid w:val="002D6A97"/>
    <w:rsid w:val="002D7B13"/>
    <w:rsid w:val="002E0807"/>
    <w:rsid w:val="002E1652"/>
    <w:rsid w:val="002E4274"/>
    <w:rsid w:val="002E6287"/>
    <w:rsid w:val="002E6894"/>
    <w:rsid w:val="002E7810"/>
    <w:rsid w:val="002F42CC"/>
    <w:rsid w:val="002F52DD"/>
    <w:rsid w:val="00300004"/>
    <w:rsid w:val="00300445"/>
    <w:rsid w:val="00300CDD"/>
    <w:rsid w:val="00300E40"/>
    <w:rsid w:val="00300E59"/>
    <w:rsid w:val="003020B6"/>
    <w:rsid w:val="00303461"/>
    <w:rsid w:val="00303D41"/>
    <w:rsid w:val="00303F0F"/>
    <w:rsid w:val="003079E6"/>
    <w:rsid w:val="00311973"/>
    <w:rsid w:val="0031209D"/>
    <w:rsid w:val="00312973"/>
    <w:rsid w:val="003136E0"/>
    <w:rsid w:val="00315D7C"/>
    <w:rsid w:val="00316A99"/>
    <w:rsid w:val="003202A9"/>
    <w:rsid w:val="003210AE"/>
    <w:rsid w:val="00321999"/>
    <w:rsid w:val="00322469"/>
    <w:rsid w:val="00322EB5"/>
    <w:rsid w:val="00324406"/>
    <w:rsid w:val="00325028"/>
    <w:rsid w:val="0032514E"/>
    <w:rsid w:val="00325ADF"/>
    <w:rsid w:val="003328E8"/>
    <w:rsid w:val="00333D0E"/>
    <w:rsid w:val="00343C4E"/>
    <w:rsid w:val="003517F1"/>
    <w:rsid w:val="003519E6"/>
    <w:rsid w:val="00352A48"/>
    <w:rsid w:val="00352D17"/>
    <w:rsid w:val="003533C8"/>
    <w:rsid w:val="003553D7"/>
    <w:rsid w:val="00357294"/>
    <w:rsid w:val="00357426"/>
    <w:rsid w:val="00360365"/>
    <w:rsid w:val="00360767"/>
    <w:rsid w:val="00360874"/>
    <w:rsid w:val="00362025"/>
    <w:rsid w:val="00364C67"/>
    <w:rsid w:val="00365624"/>
    <w:rsid w:val="00366123"/>
    <w:rsid w:val="00366D2B"/>
    <w:rsid w:val="00366DEA"/>
    <w:rsid w:val="00367EA7"/>
    <w:rsid w:val="00372137"/>
    <w:rsid w:val="00373A17"/>
    <w:rsid w:val="00373A99"/>
    <w:rsid w:val="0038033D"/>
    <w:rsid w:val="00382C56"/>
    <w:rsid w:val="003833C1"/>
    <w:rsid w:val="00384517"/>
    <w:rsid w:val="00384D2A"/>
    <w:rsid w:val="003851EF"/>
    <w:rsid w:val="003863D4"/>
    <w:rsid w:val="00386F25"/>
    <w:rsid w:val="0038791B"/>
    <w:rsid w:val="003913D3"/>
    <w:rsid w:val="0039273B"/>
    <w:rsid w:val="00392DAD"/>
    <w:rsid w:val="003937AE"/>
    <w:rsid w:val="00395401"/>
    <w:rsid w:val="003959E0"/>
    <w:rsid w:val="00395E3D"/>
    <w:rsid w:val="00396F7B"/>
    <w:rsid w:val="003971EE"/>
    <w:rsid w:val="003A069F"/>
    <w:rsid w:val="003A1CCF"/>
    <w:rsid w:val="003A38CB"/>
    <w:rsid w:val="003A53DB"/>
    <w:rsid w:val="003A7345"/>
    <w:rsid w:val="003A7474"/>
    <w:rsid w:val="003A7752"/>
    <w:rsid w:val="003A7D28"/>
    <w:rsid w:val="003B01D0"/>
    <w:rsid w:val="003B0B25"/>
    <w:rsid w:val="003B0EE9"/>
    <w:rsid w:val="003B1ECC"/>
    <w:rsid w:val="003B2468"/>
    <w:rsid w:val="003B3651"/>
    <w:rsid w:val="003B3A2F"/>
    <w:rsid w:val="003B44D7"/>
    <w:rsid w:val="003B464A"/>
    <w:rsid w:val="003B516F"/>
    <w:rsid w:val="003B536B"/>
    <w:rsid w:val="003B5A1C"/>
    <w:rsid w:val="003C1843"/>
    <w:rsid w:val="003C4D88"/>
    <w:rsid w:val="003C5112"/>
    <w:rsid w:val="003C55D9"/>
    <w:rsid w:val="003C5D94"/>
    <w:rsid w:val="003C6904"/>
    <w:rsid w:val="003C71FC"/>
    <w:rsid w:val="003D079C"/>
    <w:rsid w:val="003D17F7"/>
    <w:rsid w:val="003D216E"/>
    <w:rsid w:val="003D2960"/>
    <w:rsid w:val="003D2FDE"/>
    <w:rsid w:val="003D3420"/>
    <w:rsid w:val="003D41AC"/>
    <w:rsid w:val="003D4402"/>
    <w:rsid w:val="003D4647"/>
    <w:rsid w:val="003D46B5"/>
    <w:rsid w:val="003D6728"/>
    <w:rsid w:val="003D73D4"/>
    <w:rsid w:val="003D752B"/>
    <w:rsid w:val="003E21E5"/>
    <w:rsid w:val="003E2923"/>
    <w:rsid w:val="003E4429"/>
    <w:rsid w:val="003E5BA8"/>
    <w:rsid w:val="003E6F3E"/>
    <w:rsid w:val="003F1544"/>
    <w:rsid w:val="003F1CAA"/>
    <w:rsid w:val="003F1DA7"/>
    <w:rsid w:val="003F43BC"/>
    <w:rsid w:val="003F485A"/>
    <w:rsid w:val="003F730E"/>
    <w:rsid w:val="003F7879"/>
    <w:rsid w:val="003F78AD"/>
    <w:rsid w:val="00404395"/>
    <w:rsid w:val="004071FB"/>
    <w:rsid w:val="004073FC"/>
    <w:rsid w:val="0041013A"/>
    <w:rsid w:val="00411509"/>
    <w:rsid w:val="004129C0"/>
    <w:rsid w:val="00412BD9"/>
    <w:rsid w:val="00413764"/>
    <w:rsid w:val="00413C40"/>
    <w:rsid w:val="00414513"/>
    <w:rsid w:val="0041608A"/>
    <w:rsid w:val="004161A9"/>
    <w:rsid w:val="004165A8"/>
    <w:rsid w:val="0041698F"/>
    <w:rsid w:val="004177ED"/>
    <w:rsid w:val="00420D68"/>
    <w:rsid w:val="0042368B"/>
    <w:rsid w:val="00423B98"/>
    <w:rsid w:val="0042513C"/>
    <w:rsid w:val="004261BE"/>
    <w:rsid w:val="004307ED"/>
    <w:rsid w:val="0043200C"/>
    <w:rsid w:val="00432FBF"/>
    <w:rsid w:val="004339FF"/>
    <w:rsid w:val="00433DD4"/>
    <w:rsid w:val="00434809"/>
    <w:rsid w:val="00434ED1"/>
    <w:rsid w:val="00435BA5"/>
    <w:rsid w:val="00442E59"/>
    <w:rsid w:val="00444ABE"/>
    <w:rsid w:val="00445132"/>
    <w:rsid w:val="00445194"/>
    <w:rsid w:val="00445231"/>
    <w:rsid w:val="004465C2"/>
    <w:rsid w:val="00447A85"/>
    <w:rsid w:val="00451045"/>
    <w:rsid w:val="0045219C"/>
    <w:rsid w:val="00453072"/>
    <w:rsid w:val="004536DD"/>
    <w:rsid w:val="00453B61"/>
    <w:rsid w:val="00455391"/>
    <w:rsid w:val="0045550B"/>
    <w:rsid w:val="004560FD"/>
    <w:rsid w:val="00461590"/>
    <w:rsid w:val="004618D4"/>
    <w:rsid w:val="00462001"/>
    <w:rsid w:val="004629A1"/>
    <w:rsid w:val="00462A44"/>
    <w:rsid w:val="00464195"/>
    <w:rsid w:val="00466D60"/>
    <w:rsid w:val="00467429"/>
    <w:rsid w:val="00470E1E"/>
    <w:rsid w:val="00472484"/>
    <w:rsid w:val="0047291E"/>
    <w:rsid w:val="00472B4B"/>
    <w:rsid w:val="00472D72"/>
    <w:rsid w:val="00473617"/>
    <w:rsid w:val="00473760"/>
    <w:rsid w:val="00473AA7"/>
    <w:rsid w:val="0047417E"/>
    <w:rsid w:val="00476FDA"/>
    <w:rsid w:val="00477AD0"/>
    <w:rsid w:val="00477BC8"/>
    <w:rsid w:val="00477E90"/>
    <w:rsid w:val="00480CFE"/>
    <w:rsid w:val="004833F8"/>
    <w:rsid w:val="00483D58"/>
    <w:rsid w:val="004840E3"/>
    <w:rsid w:val="00484F08"/>
    <w:rsid w:val="00485338"/>
    <w:rsid w:val="0048777D"/>
    <w:rsid w:val="004908AF"/>
    <w:rsid w:val="00491710"/>
    <w:rsid w:val="004918CC"/>
    <w:rsid w:val="00491E63"/>
    <w:rsid w:val="00492317"/>
    <w:rsid w:val="0049242F"/>
    <w:rsid w:val="00492465"/>
    <w:rsid w:val="00492DEC"/>
    <w:rsid w:val="004932FA"/>
    <w:rsid w:val="004934BC"/>
    <w:rsid w:val="00494657"/>
    <w:rsid w:val="00494910"/>
    <w:rsid w:val="00494B11"/>
    <w:rsid w:val="00495DDA"/>
    <w:rsid w:val="004969E6"/>
    <w:rsid w:val="00497F98"/>
    <w:rsid w:val="00497FED"/>
    <w:rsid w:val="004A006C"/>
    <w:rsid w:val="004A0DC3"/>
    <w:rsid w:val="004A1085"/>
    <w:rsid w:val="004A2E05"/>
    <w:rsid w:val="004A3AEA"/>
    <w:rsid w:val="004A3B83"/>
    <w:rsid w:val="004A4617"/>
    <w:rsid w:val="004A5268"/>
    <w:rsid w:val="004A5504"/>
    <w:rsid w:val="004A59A4"/>
    <w:rsid w:val="004A5AE6"/>
    <w:rsid w:val="004A5D24"/>
    <w:rsid w:val="004A64F8"/>
    <w:rsid w:val="004A778D"/>
    <w:rsid w:val="004B1EE0"/>
    <w:rsid w:val="004B2665"/>
    <w:rsid w:val="004B33F2"/>
    <w:rsid w:val="004B74F4"/>
    <w:rsid w:val="004C1A34"/>
    <w:rsid w:val="004C4D92"/>
    <w:rsid w:val="004C5322"/>
    <w:rsid w:val="004C591B"/>
    <w:rsid w:val="004C6421"/>
    <w:rsid w:val="004D013F"/>
    <w:rsid w:val="004D1453"/>
    <w:rsid w:val="004D32D8"/>
    <w:rsid w:val="004D3490"/>
    <w:rsid w:val="004D3AC7"/>
    <w:rsid w:val="004D456E"/>
    <w:rsid w:val="004D465A"/>
    <w:rsid w:val="004D6CBA"/>
    <w:rsid w:val="004D7323"/>
    <w:rsid w:val="004D796D"/>
    <w:rsid w:val="004D7C62"/>
    <w:rsid w:val="004E1C59"/>
    <w:rsid w:val="004E1FAA"/>
    <w:rsid w:val="004E3FBB"/>
    <w:rsid w:val="004E54C6"/>
    <w:rsid w:val="004E5DAA"/>
    <w:rsid w:val="004E610C"/>
    <w:rsid w:val="004E7E53"/>
    <w:rsid w:val="004F421F"/>
    <w:rsid w:val="004F5FF9"/>
    <w:rsid w:val="004F6F63"/>
    <w:rsid w:val="00500FF9"/>
    <w:rsid w:val="005023B1"/>
    <w:rsid w:val="00503732"/>
    <w:rsid w:val="00503D3D"/>
    <w:rsid w:val="00507F0D"/>
    <w:rsid w:val="00512E6B"/>
    <w:rsid w:val="00514007"/>
    <w:rsid w:val="00515FF0"/>
    <w:rsid w:val="0051727D"/>
    <w:rsid w:val="0051732A"/>
    <w:rsid w:val="00517580"/>
    <w:rsid w:val="00517634"/>
    <w:rsid w:val="00517E4E"/>
    <w:rsid w:val="00520019"/>
    <w:rsid w:val="005202FE"/>
    <w:rsid w:val="00521622"/>
    <w:rsid w:val="00523A3F"/>
    <w:rsid w:val="00531BA9"/>
    <w:rsid w:val="00533DD7"/>
    <w:rsid w:val="0054044F"/>
    <w:rsid w:val="00540A39"/>
    <w:rsid w:val="00542D40"/>
    <w:rsid w:val="00543AA4"/>
    <w:rsid w:val="00543D07"/>
    <w:rsid w:val="00546F0A"/>
    <w:rsid w:val="00547905"/>
    <w:rsid w:val="00550409"/>
    <w:rsid w:val="00551E11"/>
    <w:rsid w:val="00552D00"/>
    <w:rsid w:val="00555907"/>
    <w:rsid w:val="005569C3"/>
    <w:rsid w:val="005617E0"/>
    <w:rsid w:val="00561BA9"/>
    <w:rsid w:val="00561E27"/>
    <w:rsid w:val="00562683"/>
    <w:rsid w:val="00562BFD"/>
    <w:rsid w:val="0056410F"/>
    <w:rsid w:val="00565741"/>
    <w:rsid w:val="00566954"/>
    <w:rsid w:val="005674AA"/>
    <w:rsid w:val="005676C4"/>
    <w:rsid w:val="00570897"/>
    <w:rsid w:val="00570EC4"/>
    <w:rsid w:val="00571A54"/>
    <w:rsid w:val="005739F8"/>
    <w:rsid w:val="00573F99"/>
    <w:rsid w:val="005802D5"/>
    <w:rsid w:val="00580B40"/>
    <w:rsid w:val="00580EAA"/>
    <w:rsid w:val="005820FC"/>
    <w:rsid w:val="00582216"/>
    <w:rsid w:val="00582FCB"/>
    <w:rsid w:val="0058322D"/>
    <w:rsid w:val="00583E8A"/>
    <w:rsid w:val="00584F6F"/>
    <w:rsid w:val="0058597C"/>
    <w:rsid w:val="0058759A"/>
    <w:rsid w:val="00590353"/>
    <w:rsid w:val="00590F1D"/>
    <w:rsid w:val="00590F58"/>
    <w:rsid w:val="0059243C"/>
    <w:rsid w:val="005936FE"/>
    <w:rsid w:val="005960A2"/>
    <w:rsid w:val="00596F9A"/>
    <w:rsid w:val="005975A7"/>
    <w:rsid w:val="00597F04"/>
    <w:rsid w:val="005A0E90"/>
    <w:rsid w:val="005A2D24"/>
    <w:rsid w:val="005A3B9A"/>
    <w:rsid w:val="005A47DB"/>
    <w:rsid w:val="005A4D73"/>
    <w:rsid w:val="005A6D23"/>
    <w:rsid w:val="005A7786"/>
    <w:rsid w:val="005A7D14"/>
    <w:rsid w:val="005B1DEF"/>
    <w:rsid w:val="005B203B"/>
    <w:rsid w:val="005B2B25"/>
    <w:rsid w:val="005B3873"/>
    <w:rsid w:val="005B3A3A"/>
    <w:rsid w:val="005B46FB"/>
    <w:rsid w:val="005B6BE3"/>
    <w:rsid w:val="005B7604"/>
    <w:rsid w:val="005B7E24"/>
    <w:rsid w:val="005C0ADF"/>
    <w:rsid w:val="005C4F7A"/>
    <w:rsid w:val="005C5D34"/>
    <w:rsid w:val="005C6740"/>
    <w:rsid w:val="005C6763"/>
    <w:rsid w:val="005C7886"/>
    <w:rsid w:val="005C7C45"/>
    <w:rsid w:val="005D2879"/>
    <w:rsid w:val="005D31A2"/>
    <w:rsid w:val="005D3951"/>
    <w:rsid w:val="005D5851"/>
    <w:rsid w:val="005D6168"/>
    <w:rsid w:val="005D6FB5"/>
    <w:rsid w:val="005D7A48"/>
    <w:rsid w:val="005E00B3"/>
    <w:rsid w:val="005E2588"/>
    <w:rsid w:val="005E2F62"/>
    <w:rsid w:val="005E56D0"/>
    <w:rsid w:val="005E64BE"/>
    <w:rsid w:val="005E7FBC"/>
    <w:rsid w:val="005F3DBB"/>
    <w:rsid w:val="005F563D"/>
    <w:rsid w:val="005F5A29"/>
    <w:rsid w:val="005F5D6F"/>
    <w:rsid w:val="005F7894"/>
    <w:rsid w:val="00600CAD"/>
    <w:rsid w:val="00600F58"/>
    <w:rsid w:val="00603A5D"/>
    <w:rsid w:val="006046A5"/>
    <w:rsid w:val="00604A81"/>
    <w:rsid w:val="006051F4"/>
    <w:rsid w:val="00605E4D"/>
    <w:rsid w:val="00606466"/>
    <w:rsid w:val="00606E07"/>
    <w:rsid w:val="00607FD9"/>
    <w:rsid w:val="006104CB"/>
    <w:rsid w:val="006129FD"/>
    <w:rsid w:val="006133B9"/>
    <w:rsid w:val="006138D1"/>
    <w:rsid w:val="00613E36"/>
    <w:rsid w:val="00613F22"/>
    <w:rsid w:val="00614CA1"/>
    <w:rsid w:val="00615447"/>
    <w:rsid w:val="00617331"/>
    <w:rsid w:val="00617525"/>
    <w:rsid w:val="00620286"/>
    <w:rsid w:val="00621E21"/>
    <w:rsid w:val="00622C8E"/>
    <w:rsid w:val="006248D0"/>
    <w:rsid w:val="00624D24"/>
    <w:rsid w:val="00625747"/>
    <w:rsid w:val="00626362"/>
    <w:rsid w:val="00631125"/>
    <w:rsid w:val="006318DF"/>
    <w:rsid w:val="00631900"/>
    <w:rsid w:val="00631CB1"/>
    <w:rsid w:val="00632876"/>
    <w:rsid w:val="00632EEA"/>
    <w:rsid w:val="00634AF7"/>
    <w:rsid w:val="00634F08"/>
    <w:rsid w:val="006372BF"/>
    <w:rsid w:val="006411DB"/>
    <w:rsid w:val="00641266"/>
    <w:rsid w:val="00641667"/>
    <w:rsid w:val="006418B0"/>
    <w:rsid w:val="00641D60"/>
    <w:rsid w:val="00643BF1"/>
    <w:rsid w:val="00643D49"/>
    <w:rsid w:val="00644A18"/>
    <w:rsid w:val="00644A52"/>
    <w:rsid w:val="006458F8"/>
    <w:rsid w:val="00645C65"/>
    <w:rsid w:val="006514C4"/>
    <w:rsid w:val="0065192F"/>
    <w:rsid w:val="00652446"/>
    <w:rsid w:val="00653F3D"/>
    <w:rsid w:val="0065483B"/>
    <w:rsid w:val="00654E21"/>
    <w:rsid w:val="006563DD"/>
    <w:rsid w:val="006569A0"/>
    <w:rsid w:val="00656D16"/>
    <w:rsid w:val="00656E74"/>
    <w:rsid w:val="006575E0"/>
    <w:rsid w:val="00661AC6"/>
    <w:rsid w:val="00663353"/>
    <w:rsid w:val="00666A08"/>
    <w:rsid w:val="006674C4"/>
    <w:rsid w:val="00667F49"/>
    <w:rsid w:val="006717EA"/>
    <w:rsid w:val="006730AB"/>
    <w:rsid w:val="006759E1"/>
    <w:rsid w:val="00677330"/>
    <w:rsid w:val="006773CD"/>
    <w:rsid w:val="0068093A"/>
    <w:rsid w:val="00682877"/>
    <w:rsid w:val="00682DC5"/>
    <w:rsid w:val="00683648"/>
    <w:rsid w:val="0068532C"/>
    <w:rsid w:val="00686670"/>
    <w:rsid w:val="006871FB"/>
    <w:rsid w:val="00691D90"/>
    <w:rsid w:val="00695F64"/>
    <w:rsid w:val="00697806"/>
    <w:rsid w:val="00697EB1"/>
    <w:rsid w:val="006A23A7"/>
    <w:rsid w:val="006A2F01"/>
    <w:rsid w:val="006A3CA1"/>
    <w:rsid w:val="006A3D5E"/>
    <w:rsid w:val="006A44A0"/>
    <w:rsid w:val="006A4C1B"/>
    <w:rsid w:val="006A6508"/>
    <w:rsid w:val="006A6C69"/>
    <w:rsid w:val="006B0F1C"/>
    <w:rsid w:val="006B12C5"/>
    <w:rsid w:val="006B1C07"/>
    <w:rsid w:val="006B22C4"/>
    <w:rsid w:val="006B5245"/>
    <w:rsid w:val="006B5D57"/>
    <w:rsid w:val="006B60C5"/>
    <w:rsid w:val="006B76E9"/>
    <w:rsid w:val="006C0188"/>
    <w:rsid w:val="006C12FC"/>
    <w:rsid w:val="006C14B4"/>
    <w:rsid w:val="006C2505"/>
    <w:rsid w:val="006C2767"/>
    <w:rsid w:val="006C3040"/>
    <w:rsid w:val="006C47FE"/>
    <w:rsid w:val="006C7475"/>
    <w:rsid w:val="006D10F8"/>
    <w:rsid w:val="006D1549"/>
    <w:rsid w:val="006D17C7"/>
    <w:rsid w:val="006D20D1"/>
    <w:rsid w:val="006D2548"/>
    <w:rsid w:val="006D431D"/>
    <w:rsid w:val="006D6671"/>
    <w:rsid w:val="006D7AD1"/>
    <w:rsid w:val="006E3431"/>
    <w:rsid w:val="006E4DB9"/>
    <w:rsid w:val="006E6140"/>
    <w:rsid w:val="006E6554"/>
    <w:rsid w:val="006E73FC"/>
    <w:rsid w:val="006F4892"/>
    <w:rsid w:val="006F5D2C"/>
    <w:rsid w:val="006F65F8"/>
    <w:rsid w:val="006F681D"/>
    <w:rsid w:val="006F70FA"/>
    <w:rsid w:val="00701A1B"/>
    <w:rsid w:val="0070323F"/>
    <w:rsid w:val="007041A0"/>
    <w:rsid w:val="00704E33"/>
    <w:rsid w:val="00705A7E"/>
    <w:rsid w:val="00710382"/>
    <w:rsid w:val="007116C9"/>
    <w:rsid w:val="0071254F"/>
    <w:rsid w:val="00713118"/>
    <w:rsid w:val="007138D8"/>
    <w:rsid w:val="0071474A"/>
    <w:rsid w:val="00714A0A"/>
    <w:rsid w:val="007151DD"/>
    <w:rsid w:val="00715C8C"/>
    <w:rsid w:val="00716030"/>
    <w:rsid w:val="0071751C"/>
    <w:rsid w:val="00717974"/>
    <w:rsid w:val="007208B7"/>
    <w:rsid w:val="00720A68"/>
    <w:rsid w:val="00720D61"/>
    <w:rsid w:val="00721D80"/>
    <w:rsid w:val="0072277E"/>
    <w:rsid w:val="0072394F"/>
    <w:rsid w:val="007248FE"/>
    <w:rsid w:val="00724A46"/>
    <w:rsid w:val="00724B35"/>
    <w:rsid w:val="007253A3"/>
    <w:rsid w:val="00726285"/>
    <w:rsid w:val="007269ED"/>
    <w:rsid w:val="00726F74"/>
    <w:rsid w:val="0072721E"/>
    <w:rsid w:val="0072790B"/>
    <w:rsid w:val="00727CFC"/>
    <w:rsid w:val="007307D1"/>
    <w:rsid w:val="00730844"/>
    <w:rsid w:val="007315C3"/>
    <w:rsid w:val="00731EF3"/>
    <w:rsid w:val="007324BC"/>
    <w:rsid w:val="0073325E"/>
    <w:rsid w:val="007337A5"/>
    <w:rsid w:val="00734315"/>
    <w:rsid w:val="00734536"/>
    <w:rsid w:val="0073595D"/>
    <w:rsid w:val="00740D31"/>
    <w:rsid w:val="007424BE"/>
    <w:rsid w:val="007442A5"/>
    <w:rsid w:val="00744585"/>
    <w:rsid w:val="0074577C"/>
    <w:rsid w:val="007464FA"/>
    <w:rsid w:val="00750F4A"/>
    <w:rsid w:val="007545C8"/>
    <w:rsid w:val="00754A3E"/>
    <w:rsid w:val="007562F4"/>
    <w:rsid w:val="00760016"/>
    <w:rsid w:val="007604F8"/>
    <w:rsid w:val="00760CEB"/>
    <w:rsid w:val="00761107"/>
    <w:rsid w:val="00761462"/>
    <w:rsid w:val="007624F9"/>
    <w:rsid w:val="007630E0"/>
    <w:rsid w:val="0076345E"/>
    <w:rsid w:val="007638CB"/>
    <w:rsid w:val="0076404E"/>
    <w:rsid w:val="00764077"/>
    <w:rsid w:val="007662CC"/>
    <w:rsid w:val="0076678D"/>
    <w:rsid w:val="00766AA5"/>
    <w:rsid w:val="00767C55"/>
    <w:rsid w:val="007709FD"/>
    <w:rsid w:val="00770A5E"/>
    <w:rsid w:val="00770C81"/>
    <w:rsid w:val="00771025"/>
    <w:rsid w:val="00771A7B"/>
    <w:rsid w:val="007723E9"/>
    <w:rsid w:val="007735A1"/>
    <w:rsid w:val="00773616"/>
    <w:rsid w:val="00773F8F"/>
    <w:rsid w:val="0077557F"/>
    <w:rsid w:val="00776FBA"/>
    <w:rsid w:val="00777274"/>
    <w:rsid w:val="0077761F"/>
    <w:rsid w:val="0078069F"/>
    <w:rsid w:val="007810A4"/>
    <w:rsid w:val="00781993"/>
    <w:rsid w:val="00782184"/>
    <w:rsid w:val="00783897"/>
    <w:rsid w:val="00784642"/>
    <w:rsid w:val="0078711B"/>
    <w:rsid w:val="00787648"/>
    <w:rsid w:val="007877BF"/>
    <w:rsid w:val="0079166F"/>
    <w:rsid w:val="00791AD7"/>
    <w:rsid w:val="00794717"/>
    <w:rsid w:val="0079474F"/>
    <w:rsid w:val="007960BA"/>
    <w:rsid w:val="007962BD"/>
    <w:rsid w:val="0079690D"/>
    <w:rsid w:val="007A0492"/>
    <w:rsid w:val="007A08F8"/>
    <w:rsid w:val="007A4939"/>
    <w:rsid w:val="007A5D2C"/>
    <w:rsid w:val="007A71ED"/>
    <w:rsid w:val="007A7448"/>
    <w:rsid w:val="007A7CF8"/>
    <w:rsid w:val="007B0C07"/>
    <w:rsid w:val="007B0D04"/>
    <w:rsid w:val="007B12C2"/>
    <w:rsid w:val="007B1F9E"/>
    <w:rsid w:val="007B46F6"/>
    <w:rsid w:val="007B6742"/>
    <w:rsid w:val="007B6908"/>
    <w:rsid w:val="007B6C3D"/>
    <w:rsid w:val="007C0997"/>
    <w:rsid w:val="007C23C6"/>
    <w:rsid w:val="007C3F88"/>
    <w:rsid w:val="007C4C9A"/>
    <w:rsid w:val="007C5D59"/>
    <w:rsid w:val="007C6EBC"/>
    <w:rsid w:val="007C761E"/>
    <w:rsid w:val="007D00C7"/>
    <w:rsid w:val="007D02C4"/>
    <w:rsid w:val="007D1BD6"/>
    <w:rsid w:val="007D3383"/>
    <w:rsid w:val="007D5C77"/>
    <w:rsid w:val="007D634A"/>
    <w:rsid w:val="007D6A56"/>
    <w:rsid w:val="007D6EC5"/>
    <w:rsid w:val="007D756A"/>
    <w:rsid w:val="007D79DE"/>
    <w:rsid w:val="007D7CCC"/>
    <w:rsid w:val="007E061B"/>
    <w:rsid w:val="007E1F1C"/>
    <w:rsid w:val="007E21E7"/>
    <w:rsid w:val="007E4BD2"/>
    <w:rsid w:val="007E5B55"/>
    <w:rsid w:val="007E5B79"/>
    <w:rsid w:val="007E600A"/>
    <w:rsid w:val="007F1063"/>
    <w:rsid w:val="007F18B6"/>
    <w:rsid w:val="007F28C1"/>
    <w:rsid w:val="007F370A"/>
    <w:rsid w:val="007F4EE2"/>
    <w:rsid w:val="007F7F33"/>
    <w:rsid w:val="00800D13"/>
    <w:rsid w:val="008024F1"/>
    <w:rsid w:val="00802F3A"/>
    <w:rsid w:val="008034CB"/>
    <w:rsid w:val="00803E44"/>
    <w:rsid w:val="00804170"/>
    <w:rsid w:val="008072F1"/>
    <w:rsid w:val="00810124"/>
    <w:rsid w:val="00810BF7"/>
    <w:rsid w:val="00811440"/>
    <w:rsid w:val="0081146A"/>
    <w:rsid w:val="008126FE"/>
    <w:rsid w:val="00812E12"/>
    <w:rsid w:val="00813055"/>
    <w:rsid w:val="00814C5D"/>
    <w:rsid w:val="00815B67"/>
    <w:rsid w:val="00815E8C"/>
    <w:rsid w:val="00816065"/>
    <w:rsid w:val="008163AA"/>
    <w:rsid w:val="00816EE6"/>
    <w:rsid w:val="00821BC9"/>
    <w:rsid w:val="00822F52"/>
    <w:rsid w:val="00823F37"/>
    <w:rsid w:val="0082519B"/>
    <w:rsid w:val="00826847"/>
    <w:rsid w:val="00826B4F"/>
    <w:rsid w:val="00827F7C"/>
    <w:rsid w:val="00830283"/>
    <w:rsid w:val="00830387"/>
    <w:rsid w:val="0083107A"/>
    <w:rsid w:val="0083166A"/>
    <w:rsid w:val="00832017"/>
    <w:rsid w:val="0083223E"/>
    <w:rsid w:val="00832651"/>
    <w:rsid w:val="0083313F"/>
    <w:rsid w:val="008334C7"/>
    <w:rsid w:val="00836198"/>
    <w:rsid w:val="008371EC"/>
    <w:rsid w:val="00837D06"/>
    <w:rsid w:val="00837D7F"/>
    <w:rsid w:val="00846F65"/>
    <w:rsid w:val="008472F5"/>
    <w:rsid w:val="00847A44"/>
    <w:rsid w:val="00847D85"/>
    <w:rsid w:val="00850DF0"/>
    <w:rsid w:val="0085111B"/>
    <w:rsid w:val="00852DBA"/>
    <w:rsid w:val="0085450A"/>
    <w:rsid w:val="00855765"/>
    <w:rsid w:val="008568FE"/>
    <w:rsid w:val="00856DE1"/>
    <w:rsid w:val="00856E9E"/>
    <w:rsid w:val="008600F9"/>
    <w:rsid w:val="0086372D"/>
    <w:rsid w:val="00863796"/>
    <w:rsid w:val="00863798"/>
    <w:rsid w:val="00864711"/>
    <w:rsid w:val="00865AC8"/>
    <w:rsid w:val="00865E5E"/>
    <w:rsid w:val="00867824"/>
    <w:rsid w:val="00867D42"/>
    <w:rsid w:val="00870B48"/>
    <w:rsid w:val="00870C54"/>
    <w:rsid w:val="00870E35"/>
    <w:rsid w:val="00871265"/>
    <w:rsid w:val="008713F7"/>
    <w:rsid w:val="008720B7"/>
    <w:rsid w:val="00872602"/>
    <w:rsid w:val="00873688"/>
    <w:rsid w:val="0087516D"/>
    <w:rsid w:val="00875422"/>
    <w:rsid w:val="00875AE9"/>
    <w:rsid w:val="008762D9"/>
    <w:rsid w:val="00877B92"/>
    <w:rsid w:val="00877C78"/>
    <w:rsid w:val="0088013D"/>
    <w:rsid w:val="00881C97"/>
    <w:rsid w:val="0088213A"/>
    <w:rsid w:val="00883014"/>
    <w:rsid w:val="0088302E"/>
    <w:rsid w:val="00883E51"/>
    <w:rsid w:val="008863FE"/>
    <w:rsid w:val="0089053B"/>
    <w:rsid w:val="00890E24"/>
    <w:rsid w:val="00890E2C"/>
    <w:rsid w:val="008923F2"/>
    <w:rsid w:val="00892D45"/>
    <w:rsid w:val="0089331C"/>
    <w:rsid w:val="00894E6E"/>
    <w:rsid w:val="008955B9"/>
    <w:rsid w:val="00897FEB"/>
    <w:rsid w:val="008A3158"/>
    <w:rsid w:val="008A39F1"/>
    <w:rsid w:val="008A4FBD"/>
    <w:rsid w:val="008A5CDB"/>
    <w:rsid w:val="008B0659"/>
    <w:rsid w:val="008B1756"/>
    <w:rsid w:val="008B3D0B"/>
    <w:rsid w:val="008B5884"/>
    <w:rsid w:val="008B6728"/>
    <w:rsid w:val="008B7575"/>
    <w:rsid w:val="008B7FFE"/>
    <w:rsid w:val="008C03E4"/>
    <w:rsid w:val="008C0E73"/>
    <w:rsid w:val="008C176F"/>
    <w:rsid w:val="008C1CD2"/>
    <w:rsid w:val="008C1DD9"/>
    <w:rsid w:val="008C37DB"/>
    <w:rsid w:val="008C39FB"/>
    <w:rsid w:val="008C67A5"/>
    <w:rsid w:val="008D036D"/>
    <w:rsid w:val="008D0862"/>
    <w:rsid w:val="008D08BD"/>
    <w:rsid w:val="008D08BE"/>
    <w:rsid w:val="008D31C2"/>
    <w:rsid w:val="008D3C2F"/>
    <w:rsid w:val="008D45F5"/>
    <w:rsid w:val="008D5815"/>
    <w:rsid w:val="008D5A2B"/>
    <w:rsid w:val="008D5E5E"/>
    <w:rsid w:val="008D60A1"/>
    <w:rsid w:val="008E019C"/>
    <w:rsid w:val="008E1D8D"/>
    <w:rsid w:val="008E2B89"/>
    <w:rsid w:val="008E301E"/>
    <w:rsid w:val="008E3865"/>
    <w:rsid w:val="008E38D8"/>
    <w:rsid w:val="008E48BE"/>
    <w:rsid w:val="008E5D28"/>
    <w:rsid w:val="008E61AE"/>
    <w:rsid w:val="008E6BA8"/>
    <w:rsid w:val="008F0904"/>
    <w:rsid w:val="008F0913"/>
    <w:rsid w:val="008F24C2"/>
    <w:rsid w:val="008F26B8"/>
    <w:rsid w:val="008F2CFD"/>
    <w:rsid w:val="008F368C"/>
    <w:rsid w:val="008F5976"/>
    <w:rsid w:val="008F7B5A"/>
    <w:rsid w:val="00900599"/>
    <w:rsid w:val="00902F18"/>
    <w:rsid w:val="0090335B"/>
    <w:rsid w:val="0090560C"/>
    <w:rsid w:val="00907BF4"/>
    <w:rsid w:val="0091077F"/>
    <w:rsid w:val="00910BDB"/>
    <w:rsid w:val="00914355"/>
    <w:rsid w:val="00914847"/>
    <w:rsid w:val="0091508C"/>
    <w:rsid w:val="00915566"/>
    <w:rsid w:val="00915C53"/>
    <w:rsid w:val="009208CA"/>
    <w:rsid w:val="00922144"/>
    <w:rsid w:val="009233E1"/>
    <w:rsid w:val="00924DF9"/>
    <w:rsid w:val="00926D41"/>
    <w:rsid w:val="00926EFC"/>
    <w:rsid w:val="009276C1"/>
    <w:rsid w:val="00927EF0"/>
    <w:rsid w:val="00927FD1"/>
    <w:rsid w:val="009335CA"/>
    <w:rsid w:val="00933707"/>
    <w:rsid w:val="009355D1"/>
    <w:rsid w:val="00937890"/>
    <w:rsid w:val="009408E7"/>
    <w:rsid w:val="009409C7"/>
    <w:rsid w:val="009415E5"/>
    <w:rsid w:val="00941676"/>
    <w:rsid w:val="00944CCA"/>
    <w:rsid w:val="00947701"/>
    <w:rsid w:val="009479CA"/>
    <w:rsid w:val="00950DAB"/>
    <w:rsid w:val="00952A38"/>
    <w:rsid w:val="009547B3"/>
    <w:rsid w:val="00955092"/>
    <w:rsid w:val="00956373"/>
    <w:rsid w:val="00956430"/>
    <w:rsid w:val="0095669E"/>
    <w:rsid w:val="0095774A"/>
    <w:rsid w:val="00960377"/>
    <w:rsid w:val="00961E99"/>
    <w:rsid w:val="00962F43"/>
    <w:rsid w:val="00967A32"/>
    <w:rsid w:val="00967ED5"/>
    <w:rsid w:val="00967F04"/>
    <w:rsid w:val="009702B6"/>
    <w:rsid w:val="00970380"/>
    <w:rsid w:val="009710F9"/>
    <w:rsid w:val="009717EB"/>
    <w:rsid w:val="00971C27"/>
    <w:rsid w:val="00973B10"/>
    <w:rsid w:val="00973C75"/>
    <w:rsid w:val="009747F8"/>
    <w:rsid w:val="00975801"/>
    <w:rsid w:val="009775A3"/>
    <w:rsid w:val="00981E6A"/>
    <w:rsid w:val="009824A9"/>
    <w:rsid w:val="00983120"/>
    <w:rsid w:val="0098385D"/>
    <w:rsid w:val="00985D6C"/>
    <w:rsid w:val="009866D1"/>
    <w:rsid w:val="00986D74"/>
    <w:rsid w:val="00992880"/>
    <w:rsid w:val="00992FC7"/>
    <w:rsid w:val="00994CDE"/>
    <w:rsid w:val="00994D5C"/>
    <w:rsid w:val="0099607B"/>
    <w:rsid w:val="00997FF9"/>
    <w:rsid w:val="009A02A9"/>
    <w:rsid w:val="009A0FDE"/>
    <w:rsid w:val="009A43AA"/>
    <w:rsid w:val="009A4AC2"/>
    <w:rsid w:val="009A51BA"/>
    <w:rsid w:val="009A5729"/>
    <w:rsid w:val="009A64B0"/>
    <w:rsid w:val="009A7FAD"/>
    <w:rsid w:val="009B067C"/>
    <w:rsid w:val="009B16C1"/>
    <w:rsid w:val="009B2573"/>
    <w:rsid w:val="009B3911"/>
    <w:rsid w:val="009B60B5"/>
    <w:rsid w:val="009C1169"/>
    <w:rsid w:val="009C171B"/>
    <w:rsid w:val="009C22DE"/>
    <w:rsid w:val="009C2E67"/>
    <w:rsid w:val="009C34D4"/>
    <w:rsid w:val="009C3E35"/>
    <w:rsid w:val="009C505F"/>
    <w:rsid w:val="009D21C0"/>
    <w:rsid w:val="009D3BA1"/>
    <w:rsid w:val="009D3C36"/>
    <w:rsid w:val="009D5FC3"/>
    <w:rsid w:val="009D60D2"/>
    <w:rsid w:val="009D6BC3"/>
    <w:rsid w:val="009E0533"/>
    <w:rsid w:val="009E161C"/>
    <w:rsid w:val="009E1D23"/>
    <w:rsid w:val="009E2CFE"/>
    <w:rsid w:val="009E3775"/>
    <w:rsid w:val="009E40D7"/>
    <w:rsid w:val="009E4B65"/>
    <w:rsid w:val="009E4BA6"/>
    <w:rsid w:val="009E52EB"/>
    <w:rsid w:val="009E73E6"/>
    <w:rsid w:val="009E75B9"/>
    <w:rsid w:val="009E7733"/>
    <w:rsid w:val="009F19AA"/>
    <w:rsid w:val="009F22DA"/>
    <w:rsid w:val="009F3905"/>
    <w:rsid w:val="009F4F3A"/>
    <w:rsid w:val="009F6F30"/>
    <w:rsid w:val="00A020C9"/>
    <w:rsid w:val="00A02118"/>
    <w:rsid w:val="00A026DF"/>
    <w:rsid w:val="00A044E4"/>
    <w:rsid w:val="00A045C8"/>
    <w:rsid w:val="00A05CE8"/>
    <w:rsid w:val="00A065DC"/>
    <w:rsid w:val="00A0671C"/>
    <w:rsid w:val="00A10CCF"/>
    <w:rsid w:val="00A11945"/>
    <w:rsid w:val="00A1297B"/>
    <w:rsid w:val="00A156D4"/>
    <w:rsid w:val="00A15D95"/>
    <w:rsid w:val="00A16C75"/>
    <w:rsid w:val="00A174F4"/>
    <w:rsid w:val="00A174F7"/>
    <w:rsid w:val="00A25FFB"/>
    <w:rsid w:val="00A2732D"/>
    <w:rsid w:val="00A277E7"/>
    <w:rsid w:val="00A301F4"/>
    <w:rsid w:val="00A30507"/>
    <w:rsid w:val="00A313E8"/>
    <w:rsid w:val="00A31C31"/>
    <w:rsid w:val="00A3212C"/>
    <w:rsid w:val="00A331BE"/>
    <w:rsid w:val="00A3382D"/>
    <w:rsid w:val="00A33C61"/>
    <w:rsid w:val="00A33FBD"/>
    <w:rsid w:val="00A34CE5"/>
    <w:rsid w:val="00A34CFB"/>
    <w:rsid w:val="00A35B59"/>
    <w:rsid w:val="00A36329"/>
    <w:rsid w:val="00A37D20"/>
    <w:rsid w:val="00A40B16"/>
    <w:rsid w:val="00A41525"/>
    <w:rsid w:val="00A41D8C"/>
    <w:rsid w:val="00A42886"/>
    <w:rsid w:val="00A42A95"/>
    <w:rsid w:val="00A43D2A"/>
    <w:rsid w:val="00A44E46"/>
    <w:rsid w:val="00A455B3"/>
    <w:rsid w:val="00A46D64"/>
    <w:rsid w:val="00A51AA6"/>
    <w:rsid w:val="00A51DC3"/>
    <w:rsid w:val="00A520BD"/>
    <w:rsid w:val="00A52A00"/>
    <w:rsid w:val="00A53D0B"/>
    <w:rsid w:val="00A54618"/>
    <w:rsid w:val="00A54FF3"/>
    <w:rsid w:val="00A5727F"/>
    <w:rsid w:val="00A61552"/>
    <w:rsid w:val="00A61B62"/>
    <w:rsid w:val="00A6313F"/>
    <w:rsid w:val="00A63889"/>
    <w:rsid w:val="00A65A69"/>
    <w:rsid w:val="00A67D7C"/>
    <w:rsid w:val="00A71A17"/>
    <w:rsid w:val="00A71B1C"/>
    <w:rsid w:val="00A75E6C"/>
    <w:rsid w:val="00A80013"/>
    <w:rsid w:val="00A80A30"/>
    <w:rsid w:val="00A832FF"/>
    <w:rsid w:val="00A834DA"/>
    <w:rsid w:val="00A8354F"/>
    <w:rsid w:val="00A84F3B"/>
    <w:rsid w:val="00A8672A"/>
    <w:rsid w:val="00A87B50"/>
    <w:rsid w:val="00A90D15"/>
    <w:rsid w:val="00A9128D"/>
    <w:rsid w:val="00A93826"/>
    <w:rsid w:val="00A93F34"/>
    <w:rsid w:val="00A951EB"/>
    <w:rsid w:val="00A9520E"/>
    <w:rsid w:val="00A955C9"/>
    <w:rsid w:val="00A96060"/>
    <w:rsid w:val="00A968A9"/>
    <w:rsid w:val="00A97A11"/>
    <w:rsid w:val="00AA0247"/>
    <w:rsid w:val="00AA0261"/>
    <w:rsid w:val="00AA0CE5"/>
    <w:rsid w:val="00AA1A16"/>
    <w:rsid w:val="00AA1C02"/>
    <w:rsid w:val="00AA26A0"/>
    <w:rsid w:val="00AA358B"/>
    <w:rsid w:val="00AA3CF7"/>
    <w:rsid w:val="00AA549F"/>
    <w:rsid w:val="00AB01D6"/>
    <w:rsid w:val="00AB0B9C"/>
    <w:rsid w:val="00AB218E"/>
    <w:rsid w:val="00AB2CF1"/>
    <w:rsid w:val="00AB620B"/>
    <w:rsid w:val="00AB7350"/>
    <w:rsid w:val="00AC266D"/>
    <w:rsid w:val="00AC2857"/>
    <w:rsid w:val="00AC5A84"/>
    <w:rsid w:val="00AC746E"/>
    <w:rsid w:val="00AD0EDB"/>
    <w:rsid w:val="00AD34C7"/>
    <w:rsid w:val="00AD3EC1"/>
    <w:rsid w:val="00AD6F5D"/>
    <w:rsid w:val="00AD72DE"/>
    <w:rsid w:val="00AE07BE"/>
    <w:rsid w:val="00AE1721"/>
    <w:rsid w:val="00AE2B15"/>
    <w:rsid w:val="00AE3A59"/>
    <w:rsid w:val="00AE6863"/>
    <w:rsid w:val="00AE7E69"/>
    <w:rsid w:val="00AF01B4"/>
    <w:rsid w:val="00AF02B3"/>
    <w:rsid w:val="00AF04D8"/>
    <w:rsid w:val="00AF085A"/>
    <w:rsid w:val="00AF0F86"/>
    <w:rsid w:val="00AF1BC3"/>
    <w:rsid w:val="00AF2E15"/>
    <w:rsid w:val="00AF2F7F"/>
    <w:rsid w:val="00AF35BD"/>
    <w:rsid w:val="00AF4E12"/>
    <w:rsid w:val="00AF52CC"/>
    <w:rsid w:val="00AF5CAC"/>
    <w:rsid w:val="00B0226F"/>
    <w:rsid w:val="00B02278"/>
    <w:rsid w:val="00B035C3"/>
    <w:rsid w:val="00B05F78"/>
    <w:rsid w:val="00B065A5"/>
    <w:rsid w:val="00B06C99"/>
    <w:rsid w:val="00B06FDA"/>
    <w:rsid w:val="00B07918"/>
    <w:rsid w:val="00B12C26"/>
    <w:rsid w:val="00B13253"/>
    <w:rsid w:val="00B15914"/>
    <w:rsid w:val="00B17312"/>
    <w:rsid w:val="00B174B8"/>
    <w:rsid w:val="00B21DD5"/>
    <w:rsid w:val="00B21FFD"/>
    <w:rsid w:val="00B23AC9"/>
    <w:rsid w:val="00B23CA6"/>
    <w:rsid w:val="00B23D04"/>
    <w:rsid w:val="00B242DC"/>
    <w:rsid w:val="00B245FC"/>
    <w:rsid w:val="00B25787"/>
    <w:rsid w:val="00B25D93"/>
    <w:rsid w:val="00B27A52"/>
    <w:rsid w:val="00B313DD"/>
    <w:rsid w:val="00B3210D"/>
    <w:rsid w:val="00B33D39"/>
    <w:rsid w:val="00B34337"/>
    <w:rsid w:val="00B34992"/>
    <w:rsid w:val="00B36939"/>
    <w:rsid w:val="00B36BF9"/>
    <w:rsid w:val="00B40528"/>
    <w:rsid w:val="00B40AF8"/>
    <w:rsid w:val="00B41533"/>
    <w:rsid w:val="00B419F3"/>
    <w:rsid w:val="00B419F6"/>
    <w:rsid w:val="00B41BB5"/>
    <w:rsid w:val="00B421BD"/>
    <w:rsid w:val="00B42AD4"/>
    <w:rsid w:val="00B42CD6"/>
    <w:rsid w:val="00B42CDD"/>
    <w:rsid w:val="00B447E5"/>
    <w:rsid w:val="00B45F81"/>
    <w:rsid w:val="00B46954"/>
    <w:rsid w:val="00B51124"/>
    <w:rsid w:val="00B53349"/>
    <w:rsid w:val="00B53B99"/>
    <w:rsid w:val="00B54DED"/>
    <w:rsid w:val="00B5620B"/>
    <w:rsid w:val="00B563B7"/>
    <w:rsid w:val="00B56807"/>
    <w:rsid w:val="00B571D8"/>
    <w:rsid w:val="00B57BD9"/>
    <w:rsid w:val="00B6044F"/>
    <w:rsid w:val="00B61B41"/>
    <w:rsid w:val="00B645E3"/>
    <w:rsid w:val="00B65257"/>
    <w:rsid w:val="00B66FF6"/>
    <w:rsid w:val="00B67470"/>
    <w:rsid w:val="00B67606"/>
    <w:rsid w:val="00B7019D"/>
    <w:rsid w:val="00B70D6E"/>
    <w:rsid w:val="00B70EFD"/>
    <w:rsid w:val="00B71933"/>
    <w:rsid w:val="00B72BC8"/>
    <w:rsid w:val="00B7329F"/>
    <w:rsid w:val="00B74302"/>
    <w:rsid w:val="00B75ABE"/>
    <w:rsid w:val="00B77903"/>
    <w:rsid w:val="00B80322"/>
    <w:rsid w:val="00B80C73"/>
    <w:rsid w:val="00B80DA5"/>
    <w:rsid w:val="00B82D3F"/>
    <w:rsid w:val="00B83877"/>
    <w:rsid w:val="00B838AC"/>
    <w:rsid w:val="00B8437C"/>
    <w:rsid w:val="00B85208"/>
    <w:rsid w:val="00B85460"/>
    <w:rsid w:val="00B85862"/>
    <w:rsid w:val="00B878A6"/>
    <w:rsid w:val="00B928B6"/>
    <w:rsid w:val="00B9308B"/>
    <w:rsid w:val="00B939FA"/>
    <w:rsid w:val="00B95FBA"/>
    <w:rsid w:val="00B96789"/>
    <w:rsid w:val="00B973B5"/>
    <w:rsid w:val="00BA0673"/>
    <w:rsid w:val="00BA4285"/>
    <w:rsid w:val="00BA5BAE"/>
    <w:rsid w:val="00BA6558"/>
    <w:rsid w:val="00BA6A97"/>
    <w:rsid w:val="00BB0041"/>
    <w:rsid w:val="00BB1E1C"/>
    <w:rsid w:val="00BB2687"/>
    <w:rsid w:val="00BB281F"/>
    <w:rsid w:val="00BB4D13"/>
    <w:rsid w:val="00BB720B"/>
    <w:rsid w:val="00BB7681"/>
    <w:rsid w:val="00BC0EB2"/>
    <w:rsid w:val="00BC2232"/>
    <w:rsid w:val="00BC3E69"/>
    <w:rsid w:val="00BD0211"/>
    <w:rsid w:val="00BD02B1"/>
    <w:rsid w:val="00BD09D9"/>
    <w:rsid w:val="00BD0A23"/>
    <w:rsid w:val="00BD0F7F"/>
    <w:rsid w:val="00BD2CC2"/>
    <w:rsid w:val="00BD2D72"/>
    <w:rsid w:val="00BD452B"/>
    <w:rsid w:val="00BD55EA"/>
    <w:rsid w:val="00BD5D47"/>
    <w:rsid w:val="00BD5E21"/>
    <w:rsid w:val="00BD6DE5"/>
    <w:rsid w:val="00BE3467"/>
    <w:rsid w:val="00BF003E"/>
    <w:rsid w:val="00BF021B"/>
    <w:rsid w:val="00BF06F2"/>
    <w:rsid w:val="00BF3DC2"/>
    <w:rsid w:val="00BF508C"/>
    <w:rsid w:val="00BF5290"/>
    <w:rsid w:val="00BF54E7"/>
    <w:rsid w:val="00BF725F"/>
    <w:rsid w:val="00C00904"/>
    <w:rsid w:val="00C021FF"/>
    <w:rsid w:val="00C03089"/>
    <w:rsid w:val="00C043A8"/>
    <w:rsid w:val="00C04D83"/>
    <w:rsid w:val="00C0632B"/>
    <w:rsid w:val="00C06DE7"/>
    <w:rsid w:val="00C06F12"/>
    <w:rsid w:val="00C076FB"/>
    <w:rsid w:val="00C07803"/>
    <w:rsid w:val="00C11E0F"/>
    <w:rsid w:val="00C120A9"/>
    <w:rsid w:val="00C121D5"/>
    <w:rsid w:val="00C15843"/>
    <w:rsid w:val="00C17144"/>
    <w:rsid w:val="00C17595"/>
    <w:rsid w:val="00C17E7F"/>
    <w:rsid w:val="00C20066"/>
    <w:rsid w:val="00C2013A"/>
    <w:rsid w:val="00C20ACF"/>
    <w:rsid w:val="00C2194A"/>
    <w:rsid w:val="00C22BD4"/>
    <w:rsid w:val="00C239FB"/>
    <w:rsid w:val="00C24ADA"/>
    <w:rsid w:val="00C25000"/>
    <w:rsid w:val="00C26103"/>
    <w:rsid w:val="00C26410"/>
    <w:rsid w:val="00C26F14"/>
    <w:rsid w:val="00C30E77"/>
    <w:rsid w:val="00C315FB"/>
    <w:rsid w:val="00C31F6F"/>
    <w:rsid w:val="00C32809"/>
    <w:rsid w:val="00C34674"/>
    <w:rsid w:val="00C35240"/>
    <w:rsid w:val="00C36752"/>
    <w:rsid w:val="00C378A1"/>
    <w:rsid w:val="00C37B86"/>
    <w:rsid w:val="00C37E94"/>
    <w:rsid w:val="00C41923"/>
    <w:rsid w:val="00C41EDE"/>
    <w:rsid w:val="00C451C0"/>
    <w:rsid w:val="00C46816"/>
    <w:rsid w:val="00C46F00"/>
    <w:rsid w:val="00C4742F"/>
    <w:rsid w:val="00C501A0"/>
    <w:rsid w:val="00C53437"/>
    <w:rsid w:val="00C538D0"/>
    <w:rsid w:val="00C53EC1"/>
    <w:rsid w:val="00C5452F"/>
    <w:rsid w:val="00C54BA5"/>
    <w:rsid w:val="00C56315"/>
    <w:rsid w:val="00C6072A"/>
    <w:rsid w:val="00C60B26"/>
    <w:rsid w:val="00C60B77"/>
    <w:rsid w:val="00C61B02"/>
    <w:rsid w:val="00C62EE6"/>
    <w:rsid w:val="00C659FD"/>
    <w:rsid w:val="00C678A7"/>
    <w:rsid w:val="00C67CCD"/>
    <w:rsid w:val="00C706EB"/>
    <w:rsid w:val="00C707A4"/>
    <w:rsid w:val="00C71BC6"/>
    <w:rsid w:val="00C72381"/>
    <w:rsid w:val="00C74831"/>
    <w:rsid w:val="00C77A1D"/>
    <w:rsid w:val="00C77B92"/>
    <w:rsid w:val="00C800B9"/>
    <w:rsid w:val="00C807CF"/>
    <w:rsid w:val="00C82062"/>
    <w:rsid w:val="00C8268D"/>
    <w:rsid w:val="00C82881"/>
    <w:rsid w:val="00C8424D"/>
    <w:rsid w:val="00C85D9D"/>
    <w:rsid w:val="00C87798"/>
    <w:rsid w:val="00C908D0"/>
    <w:rsid w:val="00C91296"/>
    <w:rsid w:val="00C91460"/>
    <w:rsid w:val="00C92164"/>
    <w:rsid w:val="00C93030"/>
    <w:rsid w:val="00C931F4"/>
    <w:rsid w:val="00C937D5"/>
    <w:rsid w:val="00C93DB3"/>
    <w:rsid w:val="00C952C1"/>
    <w:rsid w:val="00C9571B"/>
    <w:rsid w:val="00C961E9"/>
    <w:rsid w:val="00CA0056"/>
    <w:rsid w:val="00CA035E"/>
    <w:rsid w:val="00CA0906"/>
    <w:rsid w:val="00CA1670"/>
    <w:rsid w:val="00CA1A96"/>
    <w:rsid w:val="00CA1DB0"/>
    <w:rsid w:val="00CA337A"/>
    <w:rsid w:val="00CA3F00"/>
    <w:rsid w:val="00CA56FF"/>
    <w:rsid w:val="00CA6FA0"/>
    <w:rsid w:val="00CB027F"/>
    <w:rsid w:val="00CB0471"/>
    <w:rsid w:val="00CB07FE"/>
    <w:rsid w:val="00CB1054"/>
    <w:rsid w:val="00CB1F8E"/>
    <w:rsid w:val="00CB3055"/>
    <w:rsid w:val="00CB3B2A"/>
    <w:rsid w:val="00CB4348"/>
    <w:rsid w:val="00CB5EF9"/>
    <w:rsid w:val="00CB612A"/>
    <w:rsid w:val="00CB622E"/>
    <w:rsid w:val="00CB6356"/>
    <w:rsid w:val="00CB63A6"/>
    <w:rsid w:val="00CB6990"/>
    <w:rsid w:val="00CB79AD"/>
    <w:rsid w:val="00CC097D"/>
    <w:rsid w:val="00CC1020"/>
    <w:rsid w:val="00CC2002"/>
    <w:rsid w:val="00CC2AFF"/>
    <w:rsid w:val="00CC2F5A"/>
    <w:rsid w:val="00CC4241"/>
    <w:rsid w:val="00CC4554"/>
    <w:rsid w:val="00CC4563"/>
    <w:rsid w:val="00CC47E7"/>
    <w:rsid w:val="00CC5C94"/>
    <w:rsid w:val="00CC6255"/>
    <w:rsid w:val="00CD0C09"/>
    <w:rsid w:val="00CD1DB0"/>
    <w:rsid w:val="00CD3194"/>
    <w:rsid w:val="00CD57A8"/>
    <w:rsid w:val="00CD6794"/>
    <w:rsid w:val="00CD6E9B"/>
    <w:rsid w:val="00CD6EA7"/>
    <w:rsid w:val="00CD6FBD"/>
    <w:rsid w:val="00CD71E0"/>
    <w:rsid w:val="00CD7640"/>
    <w:rsid w:val="00CD7863"/>
    <w:rsid w:val="00CE004C"/>
    <w:rsid w:val="00CE0376"/>
    <w:rsid w:val="00CE083F"/>
    <w:rsid w:val="00CE0985"/>
    <w:rsid w:val="00CE14CF"/>
    <w:rsid w:val="00CE14DF"/>
    <w:rsid w:val="00CE161F"/>
    <w:rsid w:val="00CE17A8"/>
    <w:rsid w:val="00CE22AA"/>
    <w:rsid w:val="00CE31ED"/>
    <w:rsid w:val="00CE3570"/>
    <w:rsid w:val="00CE5780"/>
    <w:rsid w:val="00CE6539"/>
    <w:rsid w:val="00CE685B"/>
    <w:rsid w:val="00CE6B80"/>
    <w:rsid w:val="00CF2C40"/>
    <w:rsid w:val="00CF31CC"/>
    <w:rsid w:val="00CF3A83"/>
    <w:rsid w:val="00CF413A"/>
    <w:rsid w:val="00CF5766"/>
    <w:rsid w:val="00CF5932"/>
    <w:rsid w:val="00CF75D8"/>
    <w:rsid w:val="00D0012A"/>
    <w:rsid w:val="00D001A8"/>
    <w:rsid w:val="00D00E4C"/>
    <w:rsid w:val="00D01407"/>
    <w:rsid w:val="00D01EF4"/>
    <w:rsid w:val="00D02063"/>
    <w:rsid w:val="00D0210D"/>
    <w:rsid w:val="00D026DB"/>
    <w:rsid w:val="00D0617A"/>
    <w:rsid w:val="00D06B84"/>
    <w:rsid w:val="00D07BDB"/>
    <w:rsid w:val="00D12705"/>
    <w:rsid w:val="00D12814"/>
    <w:rsid w:val="00D13E0A"/>
    <w:rsid w:val="00D15995"/>
    <w:rsid w:val="00D15EA3"/>
    <w:rsid w:val="00D16278"/>
    <w:rsid w:val="00D16FF0"/>
    <w:rsid w:val="00D22115"/>
    <w:rsid w:val="00D224DC"/>
    <w:rsid w:val="00D23928"/>
    <w:rsid w:val="00D25254"/>
    <w:rsid w:val="00D2525B"/>
    <w:rsid w:val="00D2588E"/>
    <w:rsid w:val="00D25E08"/>
    <w:rsid w:val="00D272AE"/>
    <w:rsid w:val="00D30454"/>
    <w:rsid w:val="00D312F4"/>
    <w:rsid w:val="00D31781"/>
    <w:rsid w:val="00D324E2"/>
    <w:rsid w:val="00D33BE8"/>
    <w:rsid w:val="00D351B6"/>
    <w:rsid w:val="00D353AE"/>
    <w:rsid w:val="00D35DB3"/>
    <w:rsid w:val="00D40250"/>
    <w:rsid w:val="00D417F8"/>
    <w:rsid w:val="00D41A9B"/>
    <w:rsid w:val="00D470E7"/>
    <w:rsid w:val="00D476AD"/>
    <w:rsid w:val="00D479D1"/>
    <w:rsid w:val="00D5115E"/>
    <w:rsid w:val="00D51A7B"/>
    <w:rsid w:val="00D538A7"/>
    <w:rsid w:val="00D614B1"/>
    <w:rsid w:val="00D62AA3"/>
    <w:rsid w:val="00D635BA"/>
    <w:rsid w:val="00D64232"/>
    <w:rsid w:val="00D64489"/>
    <w:rsid w:val="00D6469A"/>
    <w:rsid w:val="00D64BF5"/>
    <w:rsid w:val="00D651E5"/>
    <w:rsid w:val="00D66076"/>
    <w:rsid w:val="00D6737A"/>
    <w:rsid w:val="00D679AD"/>
    <w:rsid w:val="00D71179"/>
    <w:rsid w:val="00D7171C"/>
    <w:rsid w:val="00D72B96"/>
    <w:rsid w:val="00D73693"/>
    <w:rsid w:val="00D73A82"/>
    <w:rsid w:val="00D73ECA"/>
    <w:rsid w:val="00D76F3C"/>
    <w:rsid w:val="00D77174"/>
    <w:rsid w:val="00D771C3"/>
    <w:rsid w:val="00D80312"/>
    <w:rsid w:val="00D80E90"/>
    <w:rsid w:val="00D81DA8"/>
    <w:rsid w:val="00D83AE2"/>
    <w:rsid w:val="00D86715"/>
    <w:rsid w:val="00D86F47"/>
    <w:rsid w:val="00D874DF"/>
    <w:rsid w:val="00D907EA"/>
    <w:rsid w:val="00D91275"/>
    <w:rsid w:val="00D91D0A"/>
    <w:rsid w:val="00D929FC"/>
    <w:rsid w:val="00D94F9E"/>
    <w:rsid w:val="00D95F26"/>
    <w:rsid w:val="00D96F38"/>
    <w:rsid w:val="00D978C1"/>
    <w:rsid w:val="00D97F82"/>
    <w:rsid w:val="00DA07DC"/>
    <w:rsid w:val="00DA0B51"/>
    <w:rsid w:val="00DA0EEE"/>
    <w:rsid w:val="00DA2BAA"/>
    <w:rsid w:val="00DA2CA7"/>
    <w:rsid w:val="00DA3A69"/>
    <w:rsid w:val="00DA476B"/>
    <w:rsid w:val="00DA6161"/>
    <w:rsid w:val="00DA6C30"/>
    <w:rsid w:val="00DB27A0"/>
    <w:rsid w:val="00DB2D0C"/>
    <w:rsid w:val="00DB3C23"/>
    <w:rsid w:val="00DB55CE"/>
    <w:rsid w:val="00DB6E87"/>
    <w:rsid w:val="00DB7F13"/>
    <w:rsid w:val="00DC1E76"/>
    <w:rsid w:val="00DC27B7"/>
    <w:rsid w:val="00DC2E17"/>
    <w:rsid w:val="00DC42BF"/>
    <w:rsid w:val="00DC45F5"/>
    <w:rsid w:val="00DC7C79"/>
    <w:rsid w:val="00DD0CDF"/>
    <w:rsid w:val="00DD0D6A"/>
    <w:rsid w:val="00DD15BF"/>
    <w:rsid w:val="00DD3168"/>
    <w:rsid w:val="00DD547C"/>
    <w:rsid w:val="00DD704D"/>
    <w:rsid w:val="00DE0094"/>
    <w:rsid w:val="00DE0561"/>
    <w:rsid w:val="00DE0B5F"/>
    <w:rsid w:val="00DE0D3F"/>
    <w:rsid w:val="00DE1218"/>
    <w:rsid w:val="00DE1DB5"/>
    <w:rsid w:val="00DE3A59"/>
    <w:rsid w:val="00DE7B43"/>
    <w:rsid w:val="00DF013F"/>
    <w:rsid w:val="00DF1848"/>
    <w:rsid w:val="00DF1CF7"/>
    <w:rsid w:val="00DF1FB9"/>
    <w:rsid w:val="00DF2222"/>
    <w:rsid w:val="00DF4CE8"/>
    <w:rsid w:val="00DF56E9"/>
    <w:rsid w:val="00DF5DF5"/>
    <w:rsid w:val="00DF6A28"/>
    <w:rsid w:val="00E00481"/>
    <w:rsid w:val="00E021E6"/>
    <w:rsid w:val="00E03FE9"/>
    <w:rsid w:val="00E04F33"/>
    <w:rsid w:val="00E0536C"/>
    <w:rsid w:val="00E05D3D"/>
    <w:rsid w:val="00E07657"/>
    <w:rsid w:val="00E07730"/>
    <w:rsid w:val="00E07AAA"/>
    <w:rsid w:val="00E101DA"/>
    <w:rsid w:val="00E104C8"/>
    <w:rsid w:val="00E11006"/>
    <w:rsid w:val="00E1258A"/>
    <w:rsid w:val="00E12927"/>
    <w:rsid w:val="00E13404"/>
    <w:rsid w:val="00E142BE"/>
    <w:rsid w:val="00E172DF"/>
    <w:rsid w:val="00E216A8"/>
    <w:rsid w:val="00E2404C"/>
    <w:rsid w:val="00E24863"/>
    <w:rsid w:val="00E24D28"/>
    <w:rsid w:val="00E25189"/>
    <w:rsid w:val="00E26A70"/>
    <w:rsid w:val="00E272E6"/>
    <w:rsid w:val="00E278FE"/>
    <w:rsid w:val="00E32874"/>
    <w:rsid w:val="00E339C0"/>
    <w:rsid w:val="00E3407C"/>
    <w:rsid w:val="00E34DC2"/>
    <w:rsid w:val="00E350B3"/>
    <w:rsid w:val="00E36415"/>
    <w:rsid w:val="00E40393"/>
    <w:rsid w:val="00E408A1"/>
    <w:rsid w:val="00E4131C"/>
    <w:rsid w:val="00E41DA0"/>
    <w:rsid w:val="00E424B2"/>
    <w:rsid w:val="00E438DB"/>
    <w:rsid w:val="00E51EBA"/>
    <w:rsid w:val="00E52E68"/>
    <w:rsid w:val="00E535DD"/>
    <w:rsid w:val="00E56E60"/>
    <w:rsid w:val="00E639AE"/>
    <w:rsid w:val="00E63EF3"/>
    <w:rsid w:val="00E66660"/>
    <w:rsid w:val="00E73168"/>
    <w:rsid w:val="00E732E8"/>
    <w:rsid w:val="00E737CB"/>
    <w:rsid w:val="00E73FDB"/>
    <w:rsid w:val="00E7409D"/>
    <w:rsid w:val="00E754CB"/>
    <w:rsid w:val="00E75C64"/>
    <w:rsid w:val="00E8023F"/>
    <w:rsid w:val="00E80A9B"/>
    <w:rsid w:val="00E81E7F"/>
    <w:rsid w:val="00E8428E"/>
    <w:rsid w:val="00E84322"/>
    <w:rsid w:val="00E86DEF"/>
    <w:rsid w:val="00E91311"/>
    <w:rsid w:val="00E9199C"/>
    <w:rsid w:val="00E92EBB"/>
    <w:rsid w:val="00E93D16"/>
    <w:rsid w:val="00E95CB7"/>
    <w:rsid w:val="00E97146"/>
    <w:rsid w:val="00E9761A"/>
    <w:rsid w:val="00EA089C"/>
    <w:rsid w:val="00EA0EF7"/>
    <w:rsid w:val="00EA13CD"/>
    <w:rsid w:val="00EA2B02"/>
    <w:rsid w:val="00EA347E"/>
    <w:rsid w:val="00EA473C"/>
    <w:rsid w:val="00EA5D74"/>
    <w:rsid w:val="00EB18E1"/>
    <w:rsid w:val="00EB25D8"/>
    <w:rsid w:val="00EB4B68"/>
    <w:rsid w:val="00EB500E"/>
    <w:rsid w:val="00EB5E83"/>
    <w:rsid w:val="00EB6F0A"/>
    <w:rsid w:val="00EB7DFC"/>
    <w:rsid w:val="00EC0914"/>
    <w:rsid w:val="00EC14CB"/>
    <w:rsid w:val="00EC248B"/>
    <w:rsid w:val="00EC4AED"/>
    <w:rsid w:val="00EC4BFF"/>
    <w:rsid w:val="00EC61D0"/>
    <w:rsid w:val="00EC6244"/>
    <w:rsid w:val="00ED0C83"/>
    <w:rsid w:val="00ED134D"/>
    <w:rsid w:val="00ED3DAA"/>
    <w:rsid w:val="00ED44CB"/>
    <w:rsid w:val="00ED4F0F"/>
    <w:rsid w:val="00ED782B"/>
    <w:rsid w:val="00EE0E98"/>
    <w:rsid w:val="00EE234C"/>
    <w:rsid w:val="00EE48A1"/>
    <w:rsid w:val="00EE540B"/>
    <w:rsid w:val="00EE6448"/>
    <w:rsid w:val="00EE6C56"/>
    <w:rsid w:val="00EF002F"/>
    <w:rsid w:val="00EF23F9"/>
    <w:rsid w:val="00EF326D"/>
    <w:rsid w:val="00EF4103"/>
    <w:rsid w:val="00EF5A46"/>
    <w:rsid w:val="00EF5B6E"/>
    <w:rsid w:val="00EF71C3"/>
    <w:rsid w:val="00EF7C68"/>
    <w:rsid w:val="00F010A1"/>
    <w:rsid w:val="00F01401"/>
    <w:rsid w:val="00F02DD2"/>
    <w:rsid w:val="00F02EA2"/>
    <w:rsid w:val="00F03B49"/>
    <w:rsid w:val="00F04F89"/>
    <w:rsid w:val="00F051C1"/>
    <w:rsid w:val="00F0595A"/>
    <w:rsid w:val="00F13695"/>
    <w:rsid w:val="00F1378E"/>
    <w:rsid w:val="00F14412"/>
    <w:rsid w:val="00F17406"/>
    <w:rsid w:val="00F20630"/>
    <w:rsid w:val="00F2238F"/>
    <w:rsid w:val="00F2330D"/>
    <w:rsid w:val="00F2430E"/>
    <w:rsid w:val="00F2569F"/>
    <w:rsid w:val="00F25912"/>
    <w:rsid w:val="00F26EF2"/>
    <w:rsid w:val="00F274D5"/>
    <w:rsid w:val="00F27CD1"/>
    <w:rsid w:val="00F316E5"/>
    <w:rsid w:val="00F34859"/>
    <w:rsid w:val="00F37845"/>
    <w:rsid w:val="00F40A97"/>
    <w:rsid w:val="00F40E20"/>
    <w:rsid w:val="00F426CA"/>
    <w:rsid w:val="00F4316B"/>
    <w:rsid w:val="00F45CC0"/>
    <w:rsid w:val="00F51DBC"/>
    <w:rsid w:val="00F53E67"/>
    <w:rsid w:val="00F542A8"/>
    <w:rsid w:val="00F5443C"/>
    <w:rsid w:val="00F577AC"/>
    <w:rsid w:val="00F57AB2"/>
    <w:rsid w:val="00F60032"/>
    <w:rsid w:val="00F6277F"/>
    <w:rsid w:val="00F6298F"/>
    <w:rsid w:val="00F62EA6"/>
    <w:rsid w:val="00F63B4C"/>
    <w:rsid w:val="00F66A52"/>
    <w:rsid w:val="00F66E5D"/>
    <w:rsid w:val="00F67049"/>
    <w:rsid w:val="00F702CF"/>
    <w:rsid w:val="00F704AC"/>
    <w:rsid w:val="00F708BB"/>
    <w:rsid w:val="00F70CD2"/>
    <w:rsid w:val="00F71315"/>
    <w:rsid w:val="00F71D7B"/>
    <w:rsid w:val="00F72567"/>
    <w:rsid w:val="00F73174"/>
    <w:rsid w:val="00F741C9"/>
    <w:rsid w:val="00F75B96"/>
    <w:rsid w:val="00F81015"/>
    <w:rsid w:val="00F813E1"/>
    <w:rsid w:val="00F8238D"/>
    <w:rsid w:val="00F83D3D"/>
    <w:rsid w:val="00F841B5"/>
    <w:rsid w:val="00F845B0"/>
    <w:rsid w:val="00F848B1"/>
    <w:rsid w:val="00F85472"/>
    <w:rsid w:val="00F85C9E"/>
    <w:rsid w:val="00F90894"/>
    <w:rsid w:val="00F90A05"/>
    <w:rsid w:val="00F91365"/>
    <w:rsid w:val="00F91B88"/>
    <w:rsid w:val="00F9309A"/>
    <w:rsid w:val="00F93B31"/>
    <w:rsid w:val="00FA023A"/>
    <w:rsid w:val="00FA037B"/>
    <w:rsid w:val="00FA2EC6"/>
    <w:rsid w:val="00FA37C0"/>
    <w:rsid w:val="00FA3856"/>
    <w:rsid w:val="00FA53CD"/>
    <w:rsid w:val="00FA551A"/>
    <w:rsid w:val="00FB00F1"/>
    <w:rsid w:val="00FB04E5"/>
    <w:rsid w:val="00FB3092"/>
    <w:rsid w:val="00FB31A4"/>
    <w:rsid w:val="00FB3305"/>
    <w:rsid w:val="00FB35E2"/>
    <w:rsid w:val="00FB496E"/>
    <w:rsid w:val="00FB55C4"/>
    <w:rsid w:val="00FB57BA"/>
    <w:rsid w:val="00FB7AFF"/>
    <w:rsid w:val="00FC11D5"/>
    <w:rsid w:val="00FC29C8"/>
    <w:rsid w:val="00FC3BE8"/>
    <w:rsid w:val="00FD3AD1"/>
    <w:rsid w:val="00FD52B1"/>
    <w:rsid w:val="00FD57EC"/>
    <w:rsid w:val="00FD6843"/>
    <w:rsid w:val="00FD7216"/>
    <w:rsid w:val="00FE1802"/>
    <w:rsid w:val="00FE199C"/>
    <w:rsid w:val="00FE273D"/>
    <w:rsid w:val="00FE3AC0"/>
    <w:rsid w:val="00FE4862"/>
    <w:rsid w:val="00FE4A2D"/>
    <w:rsid w:val="00FE4CE0"/>
    <w:rsid w:val="00FE5B31"/>
    <w:rsid w:val="00FE6C7A"/>
    <w:rsid w:val="00FE73F6"/>
    <w:rsid w:val="00FF1C8F"/>
    <w:rsid w:val="00FF2AFA"/>
    <w:rsid w:val="00FF4B1E"/>
    <w:rsid w:val="00FF4B9B"/>
    <w:rsid w:val="00FF546C"/>
    <w:rsid w:val="00FF562A"/>
    <w:rsid w:val="00FF5A42"/>
    <w:rsid w:val="00FF7DD1"/>
    <w:rsid w:val="00FF7E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4CFA86"/>
  <w15:docId w15:val="{0195E9AC-5662-4C9A-A51F-2D709D64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B43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ighlight">
    <w:name w:val="highlight"/>
    <w:basedOn w:val="Domylnaczcionkaakapitu"/>
    <w:rsid w:val="00CB4348"/>
  </w:style>
  <w:style w:type="paragraph" w:styleId="Stopka">
    <w:name w:val="footer"/>
    <w:basedOn w:val="Normalny"/>
    <w:link w:val="StopkaZnak"/>
    <w:uiPriority w:val="99"/>
    <w:unhideWhenUsed/>
    <w:rsid w:val="00CB43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B4348"/>
  </w:style>
  <w:style w:type="character" w:customStyle="1" w:styleId="Bodytext2">
    <w:name w:val="Body text (2)_"/>
    <w:link w:val="Bodytext20"/>
    <w:rsid w:val="00CB4348"/>
    <w:rPr>
      <w:rFonts w:ascii="Times New Roman" w:eastAsia="Times New Roman" w:hAnsi="Times New Roman" w:cs="Times New Roman"/>
      <w:color w:val="000000"/>
      <w:sz w:val="24"/>
      <w:szCs w:val="24"/>
      <w:shd w:val="clear" w:color="auto" w:fill="FFFFFF"/>
      <w:lang w:eastAsia="pl-PL" w:bidi="pl-PL"/>
    </w:rPr>
  </w:style>
  <w:style w:type="paragraph" w:customStyle="1" w:styleId="Bodytext20">
    <w:name w:val="Body text (2)_0"/>
    <w:basedOn w:val="Normalny"/>
    <w:link w:val="Bodytext2"/>
    <w:rsid w:val="00CB4348"/>
    <w:pPr>
      <w:widowControl w:val="0"/>
      <w:shd w:val="clear" w:color="auto" w:fill="FFFFFF"/>
      <w:spacing w:after="140" w:line="266" w:lineRule="exact"/>
      <w:ind w:hanging="460"/>
      <w:jc w:val="right"/>
    </w:pPr>
    <w:rPr>
      <w:rFonts w:ascii="Times New Roman" w:eastAsia="Times New Roman" w:hAnsi="Times New Roman" w:cs="Times New Roman"/>
      <w:color w:val="000000"/>
      <w:sz w:val="24"/>
      <w:szCs w:val="24"/>
      <w:lang w:eastAsia="pl-PL" w:bidi="pl-PL"/>
    </w:rPr>
  </w:style>
  <w:style w:type="character" w:customStyle="1" w:styleId="Bodytext2Bold">
    <w:name w:val="Body text (2) + Bold"/>
    <w:rsid w:val="00CB4348"/>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Bodytext2Italic">
    <w:name w:val="Body text (2) + Italic"/>
    <w:rsid w:val="00CB4348"/>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paragraph" w:styleId="Tekstdymka">
    <w:name w:val="Balloon Text"/>
    <w:basedOn w:val="Normalny"/>
    <w:link w:val="TekstdymkaZnak"/>
    <w:uiPriority w:val="99"/>
    <w:semiHidden/>
    <w:unhideWhenUsed/>
    <w:rsid w:val="00D351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1B6"/>
    <w:rPr>
      <w:rFonts w:ascii="Segoe UI" w:hAnsi="Segoe UI" w:cs="Segoe UI"/>
      <w:sz w:val="18"/>
      <w:szCs w:val="18"/>
    </w:rPr>
  </w:style>
  <w:style w:type="paragraph" w:customStyle="1" w:styleId="ZUSTzmustartykuempunktem">
    <w:name w:val="Z/UST(§) – zm. ust. (§) artykułem (punktem)"/>
    <w:basedOn w:val="Normalny"/>
    <w:uiPriority w:val="99"/>
    <w:rsid w:val="00E66660"/>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customStyle="1" w:styleId="object">
    <w:name w:val="object"/>
    <w:basedOn w:val="Domylnaczcionkaakapitu"/>
    <w:rsid w:val="00E535DD"/>
  </w:style>
  <w:style w:type="character" w:customStyle="1" w:styleId="zmsearchresult">
    <w:name w:val="zmsearchresult"/>
    <w:basedOn w:val="Domylnaczcionkaakapitu"/>
    <w:rsid w:val="00E535DD"/>
  </w:style>
  <w:style w:type="character" w:styleId="Pogrubienie">
    <w:name w:val="Strong"/>
    <w:basedOn w:val="Domylnaczcionkaakapitu"/>
    <w:uiPriority w:val="22"/>
    <w:qFormat/>
    <w:rsid w:val="00E535DD"/>
    <w:rPr>
      <w:b/>
      <w:bCs/>
    </w:rPr>
  </w:style>
  <w:style w:type="character" w:styleId="Odwoaniedokomentarza">
    <w:name w:val="annotation reference"/>
    <w:basedOn w:val="Domylnaczcionkaakapitu"/>
    <w:uiPriority w:val="99"/>
    <w:semiHidden/>
    <w:unhideWhenUsed/>
    <w:rsid w:val="00666A08"/>
    <w:rPr>
      <w:sz w:val="16"/>
      <w:szCs w:val="16"/>
    </w:rPr>
  </w:style>
  <w:style w:type="paragraph" w:styleId="Tekstkomentarza">
    <w:name w:val="annotation text"/>
    <w:basedOn w:val="Normalny"/>
    <w:link w:val="TekstkomentarzaZnak"/>
    <w:uiPriority w:val="99"/>
    <w:unhideWhenUsed/>
    <w:rsid w:val="00666A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66A08"/>
    <w:rPr>
      <w:sz w:val="20"/>
      <w:szCs w:val="20"/>
    </w:rPr>
  </w:style>
  <w:style w:type="paragraph" w:styleId="Tematkomentarza">
    <w:name w:val="annotation subject"/>
    <w:basedOn w:val="Tekstkomentarza"/>
    <w:next w:val="Tekstkomentarza"/>
    <w:link w:val="TematkomentarzaZnak"/>
    <w:uiPriority w:val="99"/>
    <w:semiHidden/>
    <w:unhideWhenUsed/>
    <w:rsid w:val="00666A08"/>
    <w:rPr>
      <w:b/>
      <w:bCs/>
    </w:rPr>
  </w:style>
  <w:style w:type="character" w:customStyle="1" w:styleId="TematkomentarzaZnak">
    <w:name w:val="Temat komentarza Znak"/>
    <w:basedOn w:val="TekstkomentarzaZnak"/>
    <w:link w:val="Tematkomentarza"/>
    <w:uiPriority w:val="99"/>
    <w:semiHidden/>
    <w:rsid w:val="00666A08"/>
    <w:rPr>
      <w:b/>
      <w:bCs/>
      <w:sz w:val="20"/>
      <w:szCs w:val="20"/>
    </w:rPr>
  </w:style>
  <w:style w:type="paragraph" w:styleId="Akapitzlist">
    <w:name w:val="List Paragraph"/>
    <w:basedOn w:val="Normalny"/>
    <w:uiPriority w:val="34"/>
    <w:qFormat/>
    <w:rsid w:val="00666A08"/>
    <w:pPr>
      <w:ind w:left="720"/>
      <w:contextualSpacing/>
    </w:pPr>
  </w:style>
  <w:style w:type="paragraph" w:styleId="Poprawka">
    <w:name w:val="Revision"/>
    <w:hidden/>
    <w:uiPriority w:val="99"/>
    <w:semiHidden/>
    <w:rsid w:val="00B53349"/>
    <w:pPr>
      <w:spacing w:after="0" w:line="240" w:lineRule="auto"/>
    </w:pPr>
  </w:style>
  <w:style w:type="character" w:styleId="Hipercze">
    <w:name w:val="Hyperlink"/>
    <w:basedOn w:val="Domylnaczcionkaakapitu"/>
    <w:uiPriority w:val="99"/>
    <w:unhideWhenUsed/>
    <w:rsid w:val="00770C81"/>
    <w:rPr>
      <w:color w:val="0563C1" w:themeColor="hyperlink"/>
      <w:u w:val="single"/>
    </w:rPr>
  </w:style>
  <w:style w:type="character" w:customStyle="1" w:styleId="Nierozpoznanawzmianka1">
    <w:name w:val="Nierozpoznana wzmianka1"/>
    <w:basedOn w:val="Domylnaczcionkaakapitu"/>
    <w:uiPriority w:val="99"/>
    <w:semiHidden/>
    <w:unhideWhenUsed/>
    <w:rsid w:val="00770C81"/>
    <w:rPr>
      <w:color w:val="605E5C"/>
      <w:shd w:val="clear" w:color="auto" w:fill="E1DFDD"/>
    </w:rPr>
  </w:style>
  <w:style w:type="paragraph" w:styleId="Tekstprzypisukocowego">
    <w:name w:val="endnote text"/>
    <w:basedOn w:val="Normalny"/>
    <w:link w:val="TekstprzypisukocowegoZnak"/>
    <w:uiPriority w:val="99"/>
    <w:semiHidden/>
    <w:unhideWhenUsed/>
    <w:rsid w:val="009A02A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A02A9"/>
    <w:rPr>
      <w:sz w:val="20"/>
      <w:szCs w:val="20"/>
    </w:rPr>
  </w:style>
  <w:style w:type="character" w:styleId="Odwoanieprzypisukocowego">
    <w:name w:val="endnote reference"/>
    <w:basedOn w:val="Domylnaczcionkaakapitu"/>
    <w:uiPriority w:val="99"/>
    <w:semiHidden/>
    <w:unhideWhenUsed/>
    <w:rsid w:val="009A02A9"/>
    <w:rPr>
      <w:vertAlign w:val="superscript"/>
    </w:rPr>
  </w:style>
  <w:style w:type="paragraph" w:customStyle="1" w:styleId="Default">
    <w:name w:val="Default"/>
    <w:rsid w:val="00F70CD2"/>
    <w:pPr>
      <w:autoSpaceDE w:val="0"/>
      <w:autoSpaceDN w:val="0"/>
      <w:adjustRightInd w:val="0"/>
      <w:spacing w:after="0" w:line="240" w:lineRule="auto"/>
    </w:pPr>
    <w:rPr>
      <w:rFonts w:ascii="EUAlbertina" w:hAnsi="EUAlbertina" w:cs="EUAlbertina"/>
      <w:color w:val="000000"/>
      <w:sz w:val="24"/>
      <w:szCs w:val="24"/>
    </w:rPr>
  </w:style>
  <w:style w:type="paragraph" w:customStyle="1" w:styleId="ZPKTzmpktartykuempunktem">
    <w:name w:val="Z/PKT – zm. pkt artykułem (punktem)"/>
    <w:basedOn w:val="Normalny"/>
    <w:uiPriority w:val="99"/>
    <w:qFormat/>
    <w:rsid w:val="000C1EA5"/>
    <w:pPr>
      <w:spacing w:after="0" w:line="360" w:lineRule="auto"/>
      <w:ind w:left="102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7B690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6908"/>
  </w:style>
  <w:style w:type="paragraph" w:customStyle="1" w:styleId="ZCZWSPTIRwLITzmczciwsptirwlitartykuempunktem">
    <w:name w:val="Z/CZ_WSP_TIR_w_LIT – zm. części wsp. tir. w lit. artykułem (punktem)"/>
    <w:basedOn w:val="Normalny"/>
    <w:next w:val="Normalny"/>
    <w:qFormat/>
    <w:rsid w:val="00290054"/>
    <w:pPr>
      <w:spacing w:after="0" w:line="360" w:lineRule="auto"/>
      <w:ind w:left="987"/>
      <w:jc w:val="both"/>
    </w:pPr>
    <w:rPr>
      <w:rFonts w:ascii="Times" w:eastAsia="Times New Roman" w:hAnsi="Times" w:cs="Arial"/>
      <w:bCs/>
      <w:sz w:val="24"/>
      <w:szCs w:val="20"/>
      <w:lang w:eastAsia="pl-PL"/>
    </w:rPr>
  </w:style>
  <w:style w:type="paragraph" w:customStyle="1" w:styleId="ARTartustawynprozporzdzenia">
    <w:name w:val="ART(§) – art. ustawy (§ np. rozporządzenia)"/>
    <w:next w:val="Normalny"/>
    <w:rsid w:val="00DD0CDF"/>
    <w:pPr>
      <w:suppressAutoHyphens/>
      <w:autoSpaceDE w:val="0"/>
      <w:spacing w:before="120" w:after="0" w:line="360" w:lineRule="auto"/>
      <w:ind w:firstLine="510"/>
      <w:jc w:val="both"/>
    </w:pPr>
    <w:rPr>
      <w:rFonts w:ascii="Times" w:eastAsia="Times New Roman" w:hAnsi="Times" w:cs="Arial"/>
      <w:sz w:val="24"/>
      <w:szCs w:val="20"/>
      <w:lang w:eastAsia="ar-SA"/>
    </w:rPr>
  </w:style>
  <w:style w:type="character" w:customStyle="1" w:styleId="text-justify">
    <w:name w:val="text-justify"/>
    <w:basedOn w:val="Domylnaczcionkaakapitu"/>
    <w:rsid w:val="00DD0CDF"/>
  </w:style>
  <w:style w:type="character" w:customStyle="1" w:styleId="TekstkomentarzaZnak1">
    <w:name w:val="Tekst komentarza Znak1"/>
    <w:uiPriority w:val="99"/>
    <w:rsid w:val="00472D72"/>
    <w:rPr>
      <w:rFonts w:ascii="Calibri" w:eastAsia="Calibri" w:hAnsi="Calibri"/>
      <w:lang w:eastAsia="ar-SA"/>
    </w:rPr>
  </w:style>
  <w:style w:type="paragraph" w:customStyle="1" w:styleId="ZARTzmartartykuempunktem">
    <w:name w:val="Z/ART(§) – zm. art. (§) artykułem (punktem)"/>
    <w:basedOn w:val="ARTartustawynprozporzdzenia"/>
    <w:uiPriority w:val="30"/>
    <w:qFormat/>
    <w:rsid w:val="00BD02B1"/>
    <w:pPr>
      <w:autoSpaceDN w:val="0"/>
      <w:adjustRightInd w:val="0"/>
      <w:spacing w:before="0"/>
      <w:ind w:left="510"/>
    </w:pPr>
    <w:rPr>
      <w:lang w:eastAsia="pl-PL"/>
    </w:rPr>
  </w:style>
  <w:style w:type="character" w:customStyle="1" w:styleId="Ppogrubienie">
    <w:name w:val="_P_ – pogrubienie"/>
    <w:qFormat/>
    <w:rsid w:val="00783897"/>
    <w:rPr>
      <w:b/>
    </w:rPr>
  </w:style>
  <w:style w:type="paragraph" w:styleId="Tekstprzypisudolnego">
    <w:name w:val="footnote text"/>
    <w:basedOn w:val="Normalny"/>
    <w:link w:val="TekstprzypisudolnegoZnak"/>
    <w:uiPriority w:val="99"/>
    <w:semiHidden/>
    <w:unhideWhenUsed/>
    <w:rsid w:val="00BD6D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6DE5"/>
    <w:rPr>
      <w:sz w:val="20"/>
      <w:szCs w:val="20"/>
    </w:rPr>
  </w:style>
  <w:style w:type="character" w:styleId="Odwoanieprzypisudolnego">
    <w:name w:val="footnote reference"/>
    <w:basedOn w:val="Domylnaczcionkaakapitu"/>
    <w:uiPriority w:val="99"/>
    <w:semiHidden/>
    <w:unhideWhenUsed/>
    <w:rsid w:val="00BD6DE5"/>
    <w:rPr>
      <w:vertAlign w:val="superscript"/>
    </w:rPr>
  </w:style>
  <w:style w:type="character" w:customStyle="1" w:styleId="markedcontent">
    <w:name w:val="markedcontent"/>
    <w:basedOn w:val="Domylnaczcionkaakapitu"/>
    <w:rsid w:val="0083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924">
      <w:bodyDiv w:val="1"/>
      <w:marLeft w:val="0"/>
      <w:marRight w:val="0"/>
      <w:marTop w:val="0"/>
      <w:marBottom w:val="0"/>
      <w:divBdr>
        <w:top w:val="none" w:sz="0" w:space="0" w:color="auto"/>
        <w:left w:val="none" w:sz="0" w:space="0" w:color="auto"/>
        <w:bottom w:val="none" w:sz="0" w:space="0" w:color="auto"/>
        <w:right w:val="none" w:sz="0" w:space="0" w:color="auto"/>
      </w:divBdr>
    </w:div>
    <w:div w:id="40592176">
      <w:bodyDiv w:val="1"/>
      <w:marLeft w:val="0"/>
      <w:marRight w:val="0"/>
      <w:marTop w:val="0"/>
      <w:marBottom w:val="0"/>
      <w:divBdr>
        <w:top w:val="none" w:sz="0" w:space="0" w:color="auto"/>
        <w:left w:val="none" w:sz="0" w:space="0" w:color="auto"/>
        <w:bottom w:val="none" w:sz="0" w:space="0" w:color="auto"/>
        <w:right w:val="none" w:sz="0" w:space="0" w:color="auto"/>
      </w:divBdr>
    </w:div>
    <w:div w:id="57169575">
      <w:bodyDiv w:val="1"/>
      <w:marLeft w:val="0"/>
      <w:marRight w:val="0"/>
      <w:marTop w:val="0"/>
      <w:marBottom w:val="0"/>
      <w:divBdr>
        <w:top w:val="none" w:sz="0" w:space="0" w:color="auto"/>
        <w:left w:val="none" w:sz="0" w:space="0" w:color="auto"/>
        <w:bottom w:val="none" w:sz="0" w:space="0" w:color="auto"/>
        <w:right w:val="none" w:sz="0" w:space="0" w:color="auto"/>
      </w:divBdr>
    </w:div>
    <w:div w:id="95249667">
      <w:bodyDiv w:val="1"/>
      <w:marLeft w:val="0"/>
      <w:marRight w:val="0"/>
      <w:marTop w:val="0"/>
      <w:marBottom w:val="0"/>
      <w:divBdr>
        <w:top w:val="none" w:sz="0" w:space="0" w:color="auto"/>
        <w:left w:val="none" w:sz="0" w:space="0" w:color="auto"/>
        <w:bottom w:val="none" w:sz="0" w:space="0" w:color="auto"/>
        <w:right w:val="none" w:sz="0" w:space="0" w:color="auto"/>
      </w:divBdr>
    </w:div>
    <w:div w:id="194654712">
      <w:bodyDiv w:val="1"/>
      <w:marLeft w:val="0"/>
      <w:marRight w:val="0"/>
      <w:marTop w:val="0"/>
      <w:marBottom w:val="0"/>
      <w:divBdr>
        <w:top w:val="none" w:sz="0" w:space="0" w:color="auto"/>
        <w:left w:val="none" w:sz="0" w:space="0" w:color="auto"/>
        <w:bottom w:val="none" w:sz="0" w:space="0" w:color="auto"/>
        <w:right w:val="none" w:sz="0" w:space="0" w:color="auto"/>
      </w:divBdr>
      <w:divsChild>
        <w:div w:id="1177118274">
          <w:marLeft w:val="0"/>
          <w:marRight w:val="0"/>
          <w:marTop w:val="0"/>
          <w:marBottom w:val="0"/>
          <w:divBdr>
            <w:top w:val="none" w:sz="0" w:space="0" w:color="auto"/>
            <w:left w:val="none" w:sz="0" w:space="0" w:color="auto"/>
            <w:bottom w:val="none" w:sz="0" w:space="0" w:color="auto"/>
            <w:right w:val="none" w:sz="0" w:space="0" w:color="auto"/>
          </w:divBdr>
          <w:divsChild>
            <w:div w:id="94180882">
              <w:marLeft w:val="0"/>
              <w:marRight w:val="0"/>
              <w:marTop w:val="0"/>
              <w:marBottom w:val="0"/>
              <w:divBdr>
                <w:top w:val="none" w:sz="0" w:space="0" w:color="auto"/>
                <w:left w:val="none" w:sz="0" w:space="0" w:color="auto"/>
                <w:bottom w:val="none" w:sz="0" w:space="0" w:color="auto"/>
                <w:right w:val="none" w:sz="0" w:space="0" w:color="auto"/>
              </w:divBdr>
              <w:divsChild>
                <w:div w:id="15433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2961">
          <w:marLeft w:val="0"/>
          <w:marRight w:val="0"/>
          <w:marTop w:val="0"/>
          <w:marBottom w:val="0"/>
          <w:divBdr>
            <w:top w:val="none" w:sz="0" w:space="0" w:color="auto"/>
            <w:left w:val="none" w:sz="0" w:space="0" w:color="auto"/>
            <w:bottom w:val="none" w:sz="0" w:space="0" w:color="auto"/>
            <w:right w:val="none" w:sz="0" w:space="0" w:color="auto"/>
          </w:divBdr>
        </w:div>
      </w:divsChild>
    </w:div>
    <w:div w:id="212430418">
      <w:bodyDiv w:val="1"/>
      <w:marLeft w:val="0"/>
      <w:marRight w:val="0"/>
      <w:marTop w:val="0"/>
      <w:marBottom w:val="0"/>
      <w:divBdr>
        <w:top w:val="none" w:sz="0" w:space="0" w:color="auto"/>
        <w:left w:val="none" w:sz="0" w:space="0" w:color="auto"/>
        <w:bottom w:val="none" w:sz="0" w:space="0" w:color="auto"/>
        <w:right w:val="none" w:sz="0" w:space="0" w:color="auto"/>
      </w:divBdr>
    </w:div>
    <w:div w:id="224416956">
      <w:bodyDiv w:val="1"/>
      <w:marLeft w:val="0"/>
      <w:marRight w:val="0"/>
      <w:marTop w:val="0"/>
      <w:marBottom w:val="0"/>
      <w:divBdr>
        <w:top w:val="none" w:sz="0" w:space="0" w:color="auto"/>
        <w:left w:val="none" w:sz="0" w:space="0" w:color="auto"/>
        <w:bottom w:val="none" w:sz="0" w:space="0" w:color="auto"/>
        <w:right w:val="none" w:sz="0" w:space="0" w:color="auto"/>
      </w:divBdr>
      <w:divsChild>
        <w:div w:id="552366">
          <w:marLeft w:val="0"/>
          <w:marRight w:val="0"/>
          <w:marTop w:val="0"/>
          <w:marBottom w:val="0"/>
          <w:divBdr>
            <w:top w:val="none" w:sz="0" w:space="0" w:color="auto"/>
            <w:left w:val="none" w:sz="0" w:space="0" w:color="auto"/>
            <w:bottom w:val="none" w:sz="0" w:space="0" w:color="auto"/>
            <w:right w:val="none" w:sz="0" w:space="0" w:color="auto"/>
          </w:divBdr>
          <w:divsChild>
            <w:div w:id="1682927867">
              <w:marLeft w:val="0"/>
              <w:marRight w:val="0"/>
              <w:marTop w:val="0"/>
              <w:marBottom w:val="0"/>
              <w:divBdr>
                <w:top w:val="none" w:sz="0" w:space="0" w:color="auto"/>
                <w:left w:val="none" w:sz="0" w:space="0" w:color="auto"/>
                <w:bottom w:val="none" w:sz="0" w:space="0" w:color="auto"/>
                <w:right w:val="none" w:sz="0" w:space="0" w:color="auto"/>
              </w:divBdr>
            </w:div>
          </w:divsChild>
        </w:div>
        <w:div w:id="161700333">
          <w:marLeft w:val="0"/>
          <w:marRight w:val="0"/>
          <w:marTop w:val="0"/>
          <w:marBottom w:val="0"/>
          <w:divBdr>
            <w:top w:val="none" w:sz="0" w:space="0" w:color="auto"/>
            <w:left w:val="none" w:sz="0" w:space="0" w:color="auto"/>
            <w:bottom w:val="none" w:sz="0" w:space="0" w:color="auto"/>
            <w:right w:val="none" w:sz="0" w:space="0" w:color="auto"/>
          </w:divBdr>
          <w:divsChild>
            <w:div w:id="683290514">
              <w:marLeft w:val="0"/>
              <w:marRight w:val="0"/>
              <w:marTop w:val="0"/>
              <w:marBottom w:val="0"/>
              <w:divBdr>
                <w:top w:val="none" w:sz="0" w:space="0" w:color="auto"/>
                <w:left w:val="none" w:sz="0" w:space="0" w:color="auto"/>
                <w:bottom w:val="none" w:sz="0" w:space="0" w:color="auto"/>
                <w:right w:val="none" w:sz="0" w:space="0" w:color="auto"/>
              </w:divBdr>
            </w:div>
          </w:divsChild>
        </w:div>
        <w:div w:id="1302535673">
          <w:marLeft w:val="0"/>
          <w:marRight w:val="0"/>
          <w:marTop w:val="0"/>
          <w:marBottom w:val="0"/>
          <w:divBdr>
            <w:top w:val="none" w:sz="0" w:space="0" w:color="auto"/>
            <w:left w:val="none" w:sz="0" w:space="0" w:color="auto"/>
            <w:bottom w:val="none" w:sz="0" w:space="0" w:color="auto"/>
            <w:right w:val="none" w:sz="0" w:space="0" w:color="auto"/>
          </w:divBdr>
          <w:divsChild>
            <w:div w:id="135876949">
              <w:marLeft w:val="0"/>
              <w:marRight w:val="0"/>
              <w:marTop w:val="0"/>
              <w:marBottom w:val="0"/>
              <w:divBdr>
                <w:top w:val="none" w:sz="0" w:space="0" w:color="auto"/>
                <w:left w:val="none" w:sz="0" w:space="0" w:color="auto"/>
                <w:bottom w:val="none" w:sz="0" w:space="0" w:color="auto"/>
                <w:right w:val="none" w:sz="0" w:space="0" w:color="auto"/>
              </w:divBdr>
            </w:div>
          </w:divsChild>
        </w:div>
        <w:div w:id="1536388258">
          <w:marLeft w:val="0"/>
          <w:marRight w:val="0"/>
          <w:marTop w:val="0"/>
          <w:marBottom w:val="0"/>
          <w:divBdr>
            <w:top w:val="none" w:sz="0" w:space="0" w:color="auto"/>
            <w:left w:val="none" w:sz="0" w:space="0" w:color="auto"/>
            <w:bottom w:val="none" w:sz="0" w:space="0" w:color="auto"/>
            <w:right w:val="none" w:sz="0" w:space="0" w:color="auto"/>
          </w:divBdr>
          <w:divsChild>
            <w:div w:id="280651739">
              <w:marLeft w:val="0"/>
              <w:marRight w:val="0"/>
              <w:marTop w:val="0"/>
              <w:marBottom w:val="0"/>
              <w:divBdr>
                <w:top w:val="none" w:sz="0" w:space="0" w:color="auto"/>
                <w:left w:val="none" w:sz="0" w:space="0" w:color="auto"/>
                <w:bottom w:val="none" w:sz="0" w:space="0" w:color="auto"/>
                <w:right w:val="none" w:sz="0" w:space="0" w:color="auto"/>
              </w:divBdr>
              <w:divsChild>
                <w:div w:id="2003464067">
                  <w:marLeft w:val="0"/>
                  <w:marRight w:val="0"/>
                  <w:marTop w:val="0"/>
                  <w:marBottom w:val="0"/>
                  <w:divBdr>
                    <w:top w:val="none" w:sz="0" w:space="0" w:color="auto"/>
                    <w:left w:val="none" w:sz="0" w:space="0" w:color="auto"/>
                    <w:bottom w:val="none" w:sz="0" w:space="0" w:color="auto"/>
                    <w:right w:val="none" w:sz="0" w:space="0" w:color="auto"/>
                  </w:divBdr>
                  <w:divsChild>
                    <w:div w:id="423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0044">
              <w:marLeft w:val="0"/>
              <w:marRight w:val="0"/>
              <w:marTop w:val="0"/>
              <w:marBottom w:val="0"/>
              <w:divBdr>
                <w:top w:val="none" w:sz="0" w:space="0" w:color="auto"/>
                <w:left w:val="none" w:sz="0" w:space="0" w:color="auto"/>
                <w:bottom w:val="none" w:sz="0" w:space="0" w:color="auto"/>
                <w:right w:val="none" w:sz="0" w:space="0" w:color="auto"/>
              </w:divBdr>
              <w:divsChild>
                <w:div w:id="1283459634">
                  <w:marLeft w:val="0"/>
                  <w:marRight w:val="0"/>
                  <w:marTop w:val="0"/>
                  <w:marBottom w:val="0"/>
                  <w:divBdr>
                    <w:top w:val="none" w:sz="0" w:space="0" w:color="auto"/>
                    <w:left w:val="none" w:sz="0" w:space="0" w:color="auto"/>
                    <w:bottom w:val="none" w:sz="0" w:space="0" w:color="auto"/>
                    <w:right w:val="none" w:sz="0" w:space="0" w:color="auto"/>
                  </w:divBdr>
                  <w:divsChild>
                    <w:div w:id="16563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9584">
              <w:marLeft w:val="0"/>
              <w:marRight w:val="0"/>
              <w:marTop w:val="0"/>
              <w:marBottom w:val="0"/>
              <w:divBdr>
                <w:top w:val="none" w:sz="0" w:space="0" w:color="auto"/>
                <w:left w:val="none" w:sz="0" w:space="0" w:color="auto"/>
                <w:bottom w:val="none" w:sz="0" w:space="0" w:color="auto"/>
                <w:right w:val="none" w:sz="0" w:space="0" w:color="auto"/>
              </w:divBdr>
            </w:div>
            <w:div w:id="1987122740">
              <w:marLeft w:val="0"/>
              <w:marRight w:val="0"/>
              <w:marTop w:val="0"/>
              <w:marBottom w:val="0"/>
              <w:divBdr>
                <w:top w:val="none" w:sz="0" w:space="0" w:color="auto"/>
                <w:left w:val="none" w:sz="0" w:space="0" w:color="auto"/>
                <w:bottom w:val="none" w:sz="0" w:space="0" w:color="auto"/>
                <w:right w:val="none" w:sz="0" w:space="0" w:color="auto"/>
              </w:divBdr>
              <w:divsChild>
                <w:div w:id="452872420">
                  <w:marLeft w:val="0"/>
                  <w:marRight w:val="0"/>
                  <w:marTop w:val="0"/>
                  <w:marBottom w:val="0"/>
                  <w:divBdr>
                    <w:top w:val="none" w:sz="0" w:space="0" w:color="auto"/>
                    <w:left w:val="none" w:sz="0" w:space="0" w:color="auto"/>
                    <w:bottom w:val="none" w:sz="0" w:space="0" w:color="auto"/>
                    <w:right w:val="none" w:sz="0" w:space="0" w:color="auto"/>
                  </w:divBdr>
                  <w:divsChild>
                    <w:div w:id="177304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11478">
      <w:bodyDiv w:val="1"/>
      <w:marLeft w:val="0"/>
      <w:marRight w:val="0"/>
      <w:marTop w:val="0"/>
      <w:marBottom w:val="0"/>
      <w:divBdr>
        <w:top w:val="none" w:sz="0" w:space="0" w:color="auto"/>
        <w:left w:val="none" w:sz="0" w:space="0" w:color="auto"/>
        <w:bottom w:val="none" w:sz="0" w:space="0" w:color="auto"/>
        <w:right w:val="none" w:sz="0" w:space="0" w:color="auto"/>
      </w:divBdr>
    </w:div>
    <w:div w:id="278880249">
      <w:bodyDiv w:val="1"/>
      <w:marLeft w:val="0"/>
      <w:marRight w:val="0"/>
      <w:marTop w:val="0"/>
      <w:marBottom w:val="0"/>
      <w:divBdr>
        <w:top w:val="none" w:sz="0" w:space="0" w:color="auto"/>
        <w:left w:val="none" w:sz="0" w:space="0" w:color="auto"/>
        <w:bottom w:val="none" w:sz="0" w:space="0" w:color="auto"/>
        <w:right w:val="none" w:sz="0" w:space="0" w:color="auto"/>
      </w:divBdr>
    </w:div>
    <w:div w:id="298999715">
      <w:bodyDiv w:val="1"/>
      <w:marLeft w:val="0"/>
      <w:marRight w:val="0"/>
      <w:marTop w:val="0"/>
      <w:marBottom w:val="0"/>
      <w:divBdr>
        <w:top w:val="none" w:sz="0" w:space="0" w:color="auto"/>
        <w:left w:val="none" w:sz="0" w:space="0" w:color="auto"/>
        <w:bottom w:val="none" w:sz="0" w:space="0" w:color="auto"/>
        <w:right w:val="none" w:sz="0" w:space="0" w:color="auto"/>
      </w:divBdr>
    </w:div>
    <w:div w:id="301884265">
      <w:bodyDiv w:val="1"/>
      <w:marLeft w:val="0"/>
      <w:marRight w:val="0"/>
      <w:marTop w:val="0"/>
      <w:marBottom w:val="0"/>
      <w:divBdr>
        <w:top w:val="none" w:sz="0" w:space="0" w:color="auto"/>
        <w:left w:val="none" w:sz="0" w:space="0" w:color="auto"/>
        <w:bottom w:val="none" w:sz="0" w:space="0" w:color="auto"/>
        <w:right w:val="none" w:sz="0" w:space="0" w:color="auto"/>
      </w:divBdr>
      <w:divsChild>
        <w:div w:id="82118349">
          <w:marLeft w:val="0"/>
          <w:marRight w:val="0"/>
          <w:marTop w:val="0"/>
          <w:marBottom w:val="0"/>
          <w:divBdr>
            <w:top w:val="none" w:sz="0" w:space="0" w:color="auto"/>
            <w:left w:val="none" w:sz="0" w:space="0" w:color="auto"/>
            <w:bottom w:val="none" w:sz="0" w:space="0" w:color="auto"/>
            <w:right w:val="none" w:sz="0" w:space="0" w:color="auto"/>
          </w:divBdr>
          <w:divsChild>
            <w:div w:id="1324510586">
              <w:marLeft w:val="0"/>
              <w:marRight w:val="0"/>
              <w:marTop w:val="0"/>
              <w:marBottom w:val="0"/>
              <w:divBdr>
                <w:top w:val="none" w:sz="0" w:space="0" w:color="auto"/>
                <w:left w:val="none" w:sz="0" w:space="0" w:color="auto"/>
                <w:bottom w:val="none" w:sz="0" w:space="0" w:color="auto"/>
                <w:right w:val="none" w:sz="0" w:space="0" w:color="auto"/>
              </w:divBdr>
              <w:divsChild>
                <w:div w:id="9707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4469">
          <w:marLeft w:val="0"/>
          <w:marRight w:val="0"/>
          <w:marTop w:val="0"/>
          <w:marBottom w:val="0"/>
          <w:divBdr>
            <w:top w:val="none" w:sz="0" w:space="0" w:color="auto"/>
            <w:left w:val="none" w:sz="0" w:space="0" w:color="auto"/>
            <w:bottom w:val="none" w:sz="0" w:space="0" w:color="auto"/>
            <w:right w:val="none" w:sz="0" w:space="0" w:color="auto"/>
          </w:divBdr>
          <w:divsChild>
            <w:div w:id="618605014">
              <w:marLeft w:val="0"/>
              <w:marRight w:val="0"/>
              <w:marTop w:val="0"/>
              <w:marBottom w:val="0"/>
              <w:divBdr>
                <w:top w:val="none" w:sz="0" w:space="0" w:color="auto"/>
                <w:left w:val="none" w:sz="0" w:space="0" w:color="auto"/>
                <w:bottom w:val="none" w:sz="0" w:space="0" w:color="auto"/>
                <w:right w:val="none" w:sz="0" w:space="0" w:color="auto"/>
              </w:divBdr>
              <w:divsChild>
                <w:div w:id="6819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04896">
          <w:marLeft w:val="0"/>
          <w:marRight w:val="0"/>
          <w:marTop w:val="0"/>
          <w:marBottom w:val="0"/>
          <w:divBdr>
            <w:top w:val="none" w:sz="0" w:space="0" w:color="auto"/>
            <w:left w:val="none" w:sz="0" w:space="0" w:color="auto"/>
            <w:bottom w:val="none" w:sz="0" w:space="0" w:color="auto"/>
            <w:right w:val="none" w:sz="0" w:space="0" w:color="auto"/>
          </w:divBdr>
          <w:divsChild>
            <w:div w:id="918752601">
              <w:marLeft w:val="0"/>
              <w:marRight w:val="0"/>
              <w:marTop w:val="0"/>
              <w:marBottom w:val="0"/>
              <w:divBdr>
                <w:top w:val="none" w:sz="0" w:space="0" w:color="auto"/>
                <w:left w:val="none" w:sz="0" w:space="0" w:color="auto"/>
                <w:bottom w:val="none" w:sz="0" w:space="0" w:color="auto"/>
                <w:right w:val="none" w:sz="0" w:space="0" w:color="auto"/>
              </w:divBdr>
            </w:div>
          </w:divsChild>
        </w:div>
        <w:div w:id="710886486">
          <w:marLeft w:val="0"/>
          <w:marRight w:val="0"/>
          <w:marTop w:val="0"/>
          <w:marBottom w:val="0"/>
          <w:divBdr>
            <w:top w:val="none" w:sz="0" w:space="0" w:color="auto"/>
            <w:left w:val="none" w:sz="0" w:space="0" w:color="auto"/>
            <w:bottom w:val="none" w:sz="0" w:space="0" w:color="auto"/>
            <w:right w:val="none" w:sz="0" w:space="0" w:color="auto"/>
          </w:divBdr>
          <w:divsChild>
            <w:div w:id="559904544">
              <w:marLeft w:val="0"/>
              <w:marRight w:val="0"/>
              <w:marTop w:val="0"/>
              <w:marBottom w:val="0"/>
              <w:divBdr>
                <w:top w:val="none" w:sz="0" w:space="0" w:color="auto"/>
                <w:left w:val="none" w:sz="0" w:space="0" w:color="auto"/>
                <w:bottom w:val="none" w:sz="0" w:space="0" w:color="auto"/>
                <w:right w:val="none" w:sz="0" w:space="0" w:color="auto"/>
              </w:divBdr>
              <w:divsChild>
                <w:div w:id="2499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0768">
          <w:marLeft w:val="0"/>
          <w:marRight w:val="0"/>
          <w:marTop w:val="0"/>
          <w:marBottom w:val="0"/>
          <w:divBdr>
            <w:top w:val="none" w:sz="0" w:space="0" w:color="auto"/>
            <w:left w:val="none" w:sz="0" w:space="0" w:color="auto"/>
            <w:bottom w:val="none" w:sz="0" w:space="0" w:color="auto"/>
            <w:right w:val="none" w:sz="0" w:space="0" w:color="auto"/>
          </w:divBdr>
          <w:divsChild>
            <w:div w:id="1024791191">
              <w:marLeft w:val="0"/>
              <w:marRight w:val="0"/>
              <w:marTop w:val="0"/>
              <w:marBottom w:val="0"/>
              <w:divBdr>
                <w:top w:val="none" w:sz="0" w:space="0" w:color="auto"/>
                <w:left w:val="none" w:sz="0" w:space="0" w:color="auto"/>
                <w:bottom w:val="none" w:sz="0" w:space="0" w:color="auto"/>
                <w:right w:val="none" w:sz="0" w:space="0" w:color="auto"/>
              </w:divBdr>
              <w:divsChild>
                <w:div w:id="1613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79813">
          <w:marLeft w:val="0"/>
          <w:marRight w:val="0"/>
          <w:marTop w:val="0"/>
          <w:marBottom w:val="0"/>
          <w:divBdr>
            <w:top w:val="none" w:sz="0" w:space="0" w:color="auto"/>
            <w:left w:val="none" w:sz="0" w:space="0" w:color="auto"/>
            <w:bottom w:val="none" w:sz="0" w:space="0" w:color="auto"/>
            <w:right w:val="none" w:sz="0" w:space="0" w:color="auto"/>
          </w:divBdr>
        </w:div>
        <w:div w:id="1403142292">
          <w:marLeft w:val="0"/>
          <w:marRight w:val="0"/>
          <w:marTop w:val="0"/>
          <w:marBottom w:val="0"/>
          <w:divBdr>
            <w:top w:val="none" w:sz="0" w:space="0" w:color="auto"/>
            <w:left w:val="none" w:sz="0" w:space="0" w:color="auto"/>
            <w:bottom w:val="none" w:sz="0" w:space="0" w:color="auto"/>
            <w:right w:val="none" w:sz="0" w:space="0" w:color="auto"/>
          </w:divBdr>
          <w:divsChild>
            <w:div w:id="1138650909">
              <w:marLeft w:val="0"/>
              <w:marRight w:val="0"/>
              <w:marTop w:val="0"/>
              <w:marBottom w:val="0"/>
              <w:divBdr>
                <w:top w:val="none" w:sz="0" w:space="0" w:color="auto"/>
                <w:left w:val="none" w:sz="0" w:space="0" w:color="auto"/>
                <w:bottom w:val="none" w:sz="0" w:space="0" w:color="auto"/>
                <w:right w:val="none" w:sz="0" w:space="0" w:color="auto"/>
              </w:divBdr>
              <w:divsChild>
                <w:div w:id="1707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82360">
      <w:bodyDiv w:val="1"/>
      <w:marLeft w:val="0"/>
      <w:marRight w:val="0"/>
      <w:marTop w:val="0"/>
      <w:marBottom w:val="0"/>
      <w:divBdr>
        <w:top w:val="none" w:sz="0" w:space="0" w:color="auto"/>
        <w:left w:val="none" w:sz="0" w:space="0" w:color="auto"/>
        <w:bottom w:val="none" w:sz="0" w:space="0" w:color="auto"/>
        <w:right w:val="none" w:sz="0" w:space="0" w:color="auto"/>
      </w:divBdr>
      <w:divsChild>
        <w:div w:id="1419983943">
          <w:marLeft w:val="0"/>
          <w:marRight w:val="0"/>
          <w:marTop w:val="0"/>
          <w:marBottom w:val="0"/>
          <w:divBdr>
            <w:top w:val="none" w:sz="0" w:space="0" w:color="auto"/>
            <w:left w:val="none" w:sz="0" w:space="0" w:color="auto"/>
            <w:bottom w:val="none" w:sz="0" w:space="0" w:color="auto"/>
            <w:right w:val="none" w:sz="0" w:space="0" w:color="auto"/>
          </w:divBdr>
          <w:divsChild>
            <w:div w:id="934824350">
              <w:marLeft w:val="0"/>
              <w:marRight w:val="0"/>
              <w:marTop w:val="0"/>
              <w:marBottom w:val="0"/>
              <w:divBdr>
                <w:top w:val="none" w:sz="0" w:space="0" w:color="auto"/>
                <w:left w:val="none" w:sz="0" w:space="0" w:color="auto"/>
                <w:bottom w:val="none" w:sz="0" w:space="0" w:color="auto"/>
                <w:right w:val="none" w:sz="0" w:space="0" w:color="auto"/>
              </w:divBdr>
              <w:divsChild>
                <w:div w:id="978993341">
                  <w:marLeft w:val="0"/>
                  <w:marRight w:val="0"/>
                  <w:marTop w:val="0"/>
                  <w:marBottom w:val="0"/>
                  <w:divBdr>
                    <w:top w:val="none" w:sz="0" w:space="0" w:color="auto"/>
                    <w:left w:val="none" w:sz="0" w:space="0" w:color="auto"/>
                    <w:bottom w:val="none" w:sz="0" w:space="0" w:color="auto"/>
                    <w:right w:val="none" w:sz="0" w:space="0" w:color="auto"/>
                  </w:divBdr>
                  <w:divsChild>
                    <w:div w:id="1808930607">
                      <w:marLeft w:val="0"/>
                      <w:marRight w:val="0"/>
                      <w:marTop w:val="0"/>
                      <w:marBottom w:val="0"/>
                      <w:divBdr>
                        <w:top w:val="none" w:sz="0" w:space="0" w:color="auto"/>
                        <w:left w:val="none" w:sz="0" w:space="0" w:color="auto"/>
                        <w:bottom w:val="none" w:sz="0" w:space="0" w:color="auto"/>
                        <w:right w:val="none" w:sz="0" w:space="0" w:color="auto"/>
                      </w:divBdr>
                      <w:divsChild>
                        <w:div w:id="925766864">
                          <w:marLeft w:val="0"/>
                          <w:marRight w:val="0"/>
                          <w:marTop w:val="0"/>
                          <w:marBottom w:val="0"/>
                          <w:divBdr>
                            <w:top w:val="none" w:sz="0" w:space="0" w:color="auto"/>
                            <w:left w:val="none" w:sz="0" w:space="0" w:color="auto"/>
                            <w:bottom w:val="none" w:sz="0" w:space="0" w:color="auto"/>
                            <w:right w:val="none" w:sz="0" w:space="0" w:color="auto"/>
                          </w:divBdr>
                        </w:div>
                      </w:divsChild>
                    </w:div>
                    <w:div w:id="1976325194">
                      <w:marLeft w:val="0"/>
                      <w:marRight w:val="0"/>
                      <w:marTop w:val="0"/>
                      <w:marBottom w:val="0"/>
                      <w:divBdr>
                        <w:top w:val="none" w:sz="0" w:space="0" w:color="auto"/>
                        <w:left w:val="none" w:sz="0" w:space="0" w:color="auto"/>
                        <w:bottom w:val="none" w:sz="0" w:space="0" w:color="auto"/>
                        <w:right w:val="none" w:sz="0" w:space="0" w:color="auto"/>
                      </w:divBdr>
                      <w:divsChild>
                        <w:div w:id="1990136996">
                          <w:marLeft w:val="0"/>
                          <w:marRight w:val="0"/>
                          <w:marTop w:val="0"/>
                          <w:marBottom w:val="0"/>
                          <w:divBdr>
                            <w:top w:val="none" w:sz="0" w:space="0" w:color="auto"/>
                            <w:left w:val="none" w:sz="0" w:space="0" w:color="auto"/>
                            <w:bottom w:val="none" w:sz="0" w:space="0" w:color="auto"/>
                            <w:right w:val="none" w:sz="0" w:space="0" w:color="auto"/>
                          </w:divBdr>
                        </w:div>
                      </w:divsChild>
                    </w:div>
                    <w:div w:id="2097046286">
                      <w:marLeft w:val="0"/>
                      <w:marRight w:val="0"/>
                      <w:marTop w:val="0"/>
                      <w:marBottom w:val="0"/>
                      <w:divBdr>
                        <w:top w:val="none" w:sz="0" w:space="0" w:color="auto"/>
                        <w:left w:val="none" w:sz="0" w:space="0" w:color="auto"/>
                        <w:bottom w:val="none" w:sz="0" w:space="0" w:color="auto"/>
                        <w:right w:val="none" w:sz="0" w:space="0" w:color="auto"/>
                      </w:divBdr>
                    </w:div>
                  </w:divsChild>
                </w:div>
                <w:div w:id="1230769561">
                  <w:marLeft w:val="0"/>
                  <w:marRight w:val="0"/>
                  <w:marTop w:val="0"/>
                  <w:marBottom w:val="0"/>
                  <w:divBdr>
                    <w:top w:val="none" w:sz="0" w:space="0" w:color="auto"/>
                    <w:left w:val="none" w:sz="0" w:space="0" w:color="auto"/>
                    <w:bottom w:val="none" w:sz="0" w:space="0" w:color="auto"/>
                    <w:right w:val="none" w:sz="0" w:space="0" w:color="auto"/>
                  </w:divBdr>
                </w:div>
                <w:div w:id="1874421507">
                  <w:marLeft w:val="0"/>
                  <w:marRight w:val="0"/>
                  <w:marTop w:val="0"/>
                  <w:marBottom w:val="0"/>
                  <w:divBdr>
                    <w:top w:val="none" w:sz="0" w:space="0" w:color="auto"/>
                    <w:left w:val="none" w:sz="0" w:space="0" w:color="auto"/>
                    <w:bottom w:val="none" w:sz="0" w:space="0" w:color="auto"/>
                    <w:right w:val="none" w:sz="0" w:space="0" w:color="auto"/>
                  </w:divBdr>
                  <w:divsChild>
                    <w:div w:id="561840308">
                      <w:marLeft w:val="0"/>
                      <w:marRight w:val="0"/>
                      <w:marTop w:val="0"/>
                      <w:marBottom w:val="0"/>
                      <w:divBdr>
                        <w:top w:val="none" w:sz="0" w:space="0" w:color="auto"/>
                        <w:left w:val="none" w:sz="0" w:space="0" w:color="auto"/>
                        <w:bottom w:val="none" w:sz="0" w:space="0" w:color="auto"/>
                        <w:right w:val="none" w:sz="0" w:space="0" w:color="auto"/>
                      </w:divBdr>
                    </w:div>
                  </w:divsChild>
                </w:div>
                <w:div w:id="2130202934">
                  <w:marLeft w:val="0"/>
                  <w:marRight w:val="0"/>
                  <w:marTop w:val="0"/>
                  <w:marBottom w:val="0"/>
                  <w:divBdr>
                    <w:top w:val="none" w:sz="0" w:space="0" w:color="auto"/>
                    <w:left w:val="none" w:sz="0" w:space="0" w:color="auto"/>
                    <w:bottom w:val="none" w:sz="0" w:space="0" w:color="auto"/>
                    <w:right w:val="none" w:sz="0" w:space="0" w:color="auto"/>
                  </w:divBdr>
                  <w:divsChild>
                    <w:div w:id="75258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41821">
          <w:marLeft w:val="0"/>
          <w:marRight w:val="0"/>
          <w:marTop w:val="0"/>
          <w:marBottom w:val="0"/>
          <w:divBdr>
            <w:top w:val="none" w:sz="0" w:space="0" w:color="auto"/>
            <w:left w:val="none" w:sz="0" w:space="0" w:color="auto"/>
            <w:bottom w:val="none" w:sz="0" w:space="0" w:color="auto"/>
            <w:right w:val="none" w:sz="0" w:space="0" w:color="auto"/>
          </w:divBdr>
          <w:divsChild>
            <w:div w:id="193181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1155">
      <w:bodyDiv w:val="1"/>
      <w:marLeft w:val="0"/>
      <w:marRight w:val="0"/>
      <w:marTop w:val="0"/>
      <w:marBottom w:val="0"/>
      <w:divBdr>
        <w:top w:val="none" w:sz="0" w:space="0" w:color="auto"/>
        <w:left w:val="none" w:sz="0" w:space="0" w:color="auto"/>
        <w:bottom w:val="none" w:sz="0" w:space="0" w:color="auto"/>
        <w:right w:val="none" w:sz="0" w:space="0" w:color="auto"/>
      </w:divBdr>
    </w:div>
    <w:div w:id="527253397">
      <w:bodyDiv w:val="1"/>
      <w:marLeft w:val="0"/>
      <w:marRight w:val="0"/>
      <w:marTop w:val="0"/>
      <w:marBottom w:val="0"/>
      <w:divBdr>
        <w:top w:val="none" w:sz="0" w:space="0" w:color="auto"/>
        <w:left w:val="none" w:sz="0" w:space="0" w:color="auto"/>
        <w:bottom w:val="none" w:sz="0" w:space="0" w:color="auto"/>
        <w:right w:val="none" w:sz="0" w:space="0" w:color="auto"/>
      </w:divBdr>
      <w:divsChild>
        <w:div w:id="422147378">
          <w:marLeft w:val="0"/>
          <w:marRight w:val="0"/>
          <w:marTop w:val="0"/>
          <w:marBottom w:val="0"/>
          <w:divBdr>
            <w:top w:val="none" w:sz="0" w:space="0" w:color="auto"/>
            <w:left w:val="none" w:sz="0" w:space="0" w:color="auto"/>
            <w:bottom w:val="none" w:sz="0" w:space="0" w:color="auto"/>
            <w:right w:val="none" w:sz="0" w:space="0" w:color="auto"/>
          </w:divBdr>
          <w:divsChild>
            <w:div w:id="17841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240">
      <w:bodyDiv w:val="1"/>
      <w:marLeft w:val="0"/>
      <w:marRight w:val="0"/>
      <w:marTop w:val="0"/>
      <w:marBottom w:val="0"/>
      <w:divBdr>
        <w:top w:val="none" w:sz="0" w:space="0" w:color="auto"/>
        <w:left w:val="none" w:sz="0" w:space="0" w:color="auto"/>
        <w:bottom w:val="none" w:sz="0" w:space="0" w:color="auto"/>
        <w:right w:val="none" w:sz="0" w:space="0" w:color="auto"/>
      </w:divBdr>
    </w:div>
    <w:div w:id="623971705">
      <w:bodyDiv w:val="1"/>
      <w:marLeft w:val="0"/>
      <w:marRight w:val="0"/>
      <w:marTop w:val="0"/>
      <w:marBottom w:val="0"/>
      <w:divBdr>
        <w:top w:val="none" w:sz="0" w:space="0" w:color="auto"/>
        <w:left w:val="none" w:sz="0" w:space="0" w:color="auto"/>
        <w:bottom w:val="none" w:sz="0" w:space="0" w:color="auto"/>
        <w:right w:val="none" w:sz="0" w:space="0" w:color="auto"/>
      </w:divBdr>
      <w:divsChild>
        <w:div w:id="1015808938">
          <w:marLeft w:val="0"/>
          <w:marRight w:val="0"/>
          <w:marTop w:val="0"/>
          <w:marBottom w:val="0"/>
          <w:divBdr>
            <w:top w:val="none" w:sz="0" w:space="0" w:color="auto"/>
            <w:left w:val="none" w:sz="0" w:space="0" w:color="auto"/>
            <w:bottom w:val="none" w:sz="0" w:space="0" w:color="auto"/>
            <w:right w:val="none" w:sz="0" w:space="0" w:color="auto"/>
          </w:divBdr>
          <w:divsChild>
            <w:div w:id="101877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15994">
      <w:bodyDiv w:val="1"/>
      <w:marLeft w:val="0"/>
      <w:marRight w:val="0"/>
      <w:marTop w:val="0"/>
      <w:marBottom w:val="0"/>
      <w:divBdr>
        <w:top w:val="none" w:sz="0" w:space="0" w:color="auto"/>
        <w:left w:val="none" w:sz="0" w:space="0" w:color="auto"/>
        <w:bottom w:val="none" w:sz="0" w:space="0" w:color="auto"/>
        <w:right w:val="none" w:sz="0" w:space="0" w:color="auto"/>
      </w:divBdr>
      <w:divsChild>
        <w:div w:id="712773140">
          <w:marLeft w:val="0"/>
          <w:marRight w:val="0"/>
          <w:marTop w:val="0"/>
          <w:marBottom w:val="0"/>
          <w:divBdr>
            <w:top w:val="none" w:sz="0" w:space="0" w:color="auto"/>
            <w:left w:val="none" w:sz="0" w:space="0" w:color="auto"/>
            <w:bottom w:val="none" w:sz="0" w:space="0" w:color="auto"/>
            <w:right w:val="none" w:sz="0" w:space="0" w:color="auto"/>
          </w:divBdr>
          <w:divsChild>
            <w:div w:id="281418852">
              <w:marLeft w:val="0"/>
              <w:marRight w:val="0"/>
              <w:marTop w:val="0"/>
              <w:marBottom w:val="0"/>
              <w:divBdr>
                <w:top w:val="none" w:sz="0" w:space="0" w:color="auto"/>
                <w:left w:val="none" w:sz="0" w:space="0" w:color="auto"/>
                <w:bottom w:val="none" w:sz="0" w:space="0" w:color="auto"/>
                <w:right w:val="none" w:sz="0" w:space="0" w:color="auto"/>
              </w:divBdr>
              <w:divsChild>
                <w:div w:id="15333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3242">
          <w:marLeft w:val="0"/>
          <w:marRight w:val="0"/>
          <w:marTop w:val="0"/>
          <w:marBottom w:val="0"/>
          <w:divBdr>
            <w:top w:val="none" w:sz="0" w:space="0" w:color="auto"/>
            <w:left w:val="none" w:sz="0" w:space="0" w:color="auto"/>
            <w:bottom w:val="none" w:sz="0" w:space="0" w:color="auto"/>
            <w:right w:val="none" w:sz="0" w:space="0" w:color="auto"/>
          </w:divBdr>
          <w:divsChild>
            <w:div w:id="1919753947">
              <w:marLeft w:val="0"/>
              <w:marRight w:val="0"/>
              <w:marTop w:val="0"/>
              <w:marBottom w:val="0"/>
              <w:divBdr>
                <w:top w:val="none" w:sz="0" w:space="0" w:color="auto"/>
                <w:left w:val="none" w:sz="0" w:space="0" w:color="auto"/>
                <w:bottom w:val="none" w:sz="0" w:space="0" w:color="auto"/>
                <w:right w:val="none" w:sz="0" w:space="0" w:color="auto"/>
              </w:divBdr>
              <w:divsChild>
                <w:div w:id="3261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64972">
      <w:bodyDiv w:val="1"/>
      <w:marLeft w:val="0"/>
      <w:marRight w:val="0"/>
      <w:marTop w:val="0"/>
      <w:marBottom w:val="0"/>
      <w:divBdr>
        <w:top w:val="none" w:sz="0" w:space="0" w:color="auto"/>
        <w:left w:val="none" w:sz="0" w:space="0" w:color="auto"/>
        <w:bottom w:val="none" w:sz="0" w:space="0" w:color="auto"/>
        <w:right w:val="none" w:sz="0" w:space="0" w:color="auto"/>
      </w:divBdr>
      <w:divsChild>
        <w:div w:id="1232617511">
          <w:marLeft w:val="0"/>
          <w:marRight w:val="0"/>
          <w:marTop w:val="0"/>
          <w:marBottom w:val="0"/>
          <w:divBdr>
            <w:top w:val="none" w:sz="0" w:space="0" w:color="auto"/>
            <w:left w:val="none" w:sz="0" w:space="0" w:color="auto"/>
            <w:bottom w:val="none" w:sz="0" w:space="0" w:color="auto"/>
            <w:right w:val="none" w:sz="0" w:space="0" w:color="auto"/>
          </w:divBdr>
          <w:divsChild>
            <w:div w:id="43058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9980">
      <w:bodyDiv w:val="1"/>
      <w:marLeft w:val="0"/>
      <w:marRight w:val="0"/>
      <w:marTop w:val="0"/>
      <w:marBottom w:val="0"/>
      <w:divBdr>
        <w:top w:val="none" w:sz="0" w:space="0" w:color="auto"/>
        <w:left w:val="none" w:sz="0" w:space="0" w:color="auto"/>
        <w:bottom w:val="none" w:sz="0" w:space="0" w:color="auto"/>
        <w:right w:val="none" w:sz="0" w:space="0" w:color="auto"/>
      </w:divBdr>
      <w:divsChild>
        <w:div w:id="48067947">
          <w:marLeft w:val="0"/>
          <w:marRight w:val="0"/>
          <w:marTop w:val="0"/>
          <w:marBottom w:val="0"/>
          <w:divBdr>
            <w:top w:val="none" w:sz="0" w:space="0" w:color="auto"/>
            <w:left w:val="none" w:sz="0" w:space="0" w:color="auto"/>
            <w:bottom w:val="none" w:sz="0" w:space="0" w:color="auto"/>
            <w:right w:val="none" w:sz="0" w:space="0" w:color="auto"/>
          </w:divBdr>
          <w:divsChild>
            <w:div w:id="377707329">
              <w:marLeft w:val="0"/>
              <w:marRight w:val="0"/>
              <w:marTop w:val="0"/>
              <w:marBottom w:val="0"/>
              <w:divBdr>
                <w:top w:val="none" w:sz="0" w:space="0" w:color="auto"/>
                <w:left w:val="none" w:sz="0" w:space="0" w:color="auto"/>
                <w:bottom w:val="none" w:sz="0" w:space="0" w:color="auto"/>
                <w:right w:val="none" w:sz="0" w:space="0" w:color="auto"/>
              </w:divBdr>
            </w:div>
          </w:divsChild>
        </w:div>
        <w:div w:id="352348295">
          <w:marLeft w:val="0"/>
          <w:marRight w:val="0"/>
          <w:marTop w:val="0"/>
          <w:marBottom w:val="0"/>
          <w:divBdr>
            <w:top w:val="none" w:sz="0" w:space="0" w:color="auto"/>
            <w:left w:val="none" w:sz="0" w:space="0" w:color="auto"/>
            <w:bottom w:val="none" w:sz="0" w:space="0" w:color="auto"/>
            <w:right w:val="none" w:sz="0" w:space="0" w:color="auto"/>
          </w:divBdr>
          <w:divsChild>
            <w:div w:id="1888955265">
              <w:marLeft w:val="0"/>
              <w:marRight w:val="0"/>
              <w:marTop w:val="0"/>
              <w:marBottom w:val="0"/>
              <w:divBdr>
                <w:top w:val="none" w:sz="0" w:space="0" w:color="auto"/>
                <w:left w:val="none" w:sz="0" w:space="0" w:color="auto"/>
                <w:bottom w:val="none" w:sz="0" w:space="0" w:color="auto"/>
                <w:right w:val="none" w:sz="0" w:space="0" w:color="auto"/>
              </w:divBdr>
            </w:div>
          </w:divsChild>
        </w:div>
        <w:div w:id="1313362622">
          <w:marLeft w:val="0"/>
          <w:marRight w:val="0"/>
          <w:marTop w:val="0"/>
          <w:marBottom w:val="0"/>
          <w:divBdr>
            <w:top w:val="none" w:sz="0" w:space="0" w:color="auto"/>
            <w:left w:val="none" w:sz="0" w:space="0" w:color="auto"/>
            <w:bottom w:val="none" w:sz="0" w:space="0" w:color="auto"/>
            <w:right w:val="none" w:sz="0" w:space="0" w:color="auto"/>
          </w:divBdr>
          <w:divsChild>
            <w:div w:id="608974314">
              <w:marLeft w:val="0"/>
              <w:marRight w:val="0"/>
              <w:marTop w:val="0"/>
              <w:marBottom w:val="0"/>
              <w:divBdr>
                <w:top w:val="none" w:sz="0" w:space="0" w:color="auto"/>
                <w:left w:val="none" w:sz="0" w:space="0" w:color="auto"/>
                <w:bottom w:val="none" w:sz="0" w:space="0" w:color="auto"/>
                <w:right w:val="none" w:sz="0" w:space="0" w:color="auto"/>
              </w:divBdr>
              <w:divsChild>
                <w:div w:id="1458067813">
                  <w:marLeft w:val="0"/>
                  <w:marRight w:val="0"/>
                  <w:marTop w:val="0"/>
                  <w:marBottom w:val="0"/>
                  <w:divBdr>
                    <w:top w:val="none" w:sz="0" w:space="0" w:color="auto"/>
                    <w:left w:val="none" w:sz="0" w:space="0" w:color="auto"/>
                    <w:bottom w:val="none" w:sz="0" w:space="0" w:color="auto"/>
                    <w:right w:val="none" w:sz="0" w:space="0" w:color="auto"/>
                  </w:divBdr>
                  <w:divsChild>
                    <w:div w:id="1773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8263">
              <w:marLeft w:val="0"/>
              <w:marRight w:val="0"/>
              <w:marTop w:val="0"/>
              <w:marBottom w:val="0"/>
              <w:divBdr>
                <w:top w:val="none" w:sz="0" w:space="0" w:color="auto"/>
                <w:left w:val="none" w:sz="0" w:space="0" w:color="auto"/>
                <w:bottom w:val="none" w:sz="0" w:space="0" w:color="auto"/>
                <w:right w:val="none" w:sz="0" w:space="0" w:color="auto"/>
              </w:divBdr>
              <w:divsChild>
                <w:div w:id="1355494862">
                  <w:marLeft w:val="0"/>
                  <w:marRight w:val="0"/>
                  <w:marTop w:val="0"/>
                  <w:marBottom w:val="0"/>
                  <w:divBdr>
                    <w:top w:val="none" w:sz="0" w:space="0" w:color="auto"/>
                    <w:left w:val="none" w:sz="0" w:space="0" w:color="auto"/>
                    <w:bottom w:val="none" w:sz="0" w:space="0" w:color="auto"/>
                    <w:right w:val="none" w:sz="0" w:space="0" w:color="auto"/>
                  </w:divBdr>
                  <w:divsChild>
                    <w:div w:id="2961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3569">
              <w:marLeft w:val="0"/>
              <w:marRight w:val="0"/>
              <w:marTop w:val="0"/>
              <w:marBottom w:val="0"/>
              <w:divBdr>
                <w:top w:val="none" w:sz="0" w:space="0" w:color="auto"/>
                <w:left w:val="none" w:sz="0" w:space="0" w:color="auto"/>
                <w:bottom w:val="none" w:sz="0" w:space="0" w:color="auto"/>
                <w:right w:val="none" w:sz="0" w:space="0" w:color="auto"/>
              </w:divBdr>
            </w:div>
            <w:div w:id="1091002908">
              <w:marLeft w:val="0"/>
              <w:marRight w:val="0"/>
              <w:marTop w:val="0"/>
              <w:marBottom w:val="0"/>
              <w:divBdr>
                <w:top w:val="none" w:sz="0" w:space="0" w:color="auto"/>
                <w:left w:val="none" w:sz="0" w:space="0" w:color="auto"/>
                <w:bottom w:val="none" w:sz="0" w:space="0" w:color="auto"/>
                <w:right w:val="none" w:sz="0" w:space="0" w:color="auto"/>
              </w:divBdr>
              <w:divsChild>
                <w:div w:id="2105027832">
                  <w:marLeft w:val="0"/>
                  <w:marRight w:val="0"/>
                  <w:marTop w:val="0"/>
                  <w:marBottom w:val="0"/>
                  <w:divBdr>
                    <w:top w:val="none" w:sz="0" w:space="0" w:color="auto"/>
                    <w:left w:val="none" w:sz="0" w:space="0" w:color="auto"/>
                    <w:bottom w:val="none" w:sz="0" w:space="0" w:color="auto"/>
                    <w:right w:val="none" w:sz="0" w:space="0" w:color="auto"/>
                  </w:divBdr>
                  <w:divsChild>
                    <w:div w:id="19585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7891">
              <w:marLeft w:val="0"/>
              <w:marRight w:val="0"/>
              <w:marTop w:val="0"/>
              <w:marBottom w:val="0"/>
              <w:divBdr>
                <w:top w:val="none" w:sz="0" w:space="0" w:color="auto"/>
                <w:left w:val="none" w:sz="0" w:space="0" w:color="auto"/>
                <w:bottom w:val="none" w:sz="0" w:space="0" w:color="auto"/>
                <w:right w:val="none" w:sz="0" w:space="0" w:color="auto"/>
              </w:divBdr>
              <w:divsChild>
                <w:div w:id="1694188771">
                  <w:marLeft w:val="0"/>
                  <w:marRight w:val="0"/>
                  <w:marTop w:val="0"/>
                  <w:marBottom w:val="0"/>
                  <w:divBdr>
                    <w:top w:val="none" w:sz="0" w:space="0" w:color="auto"/>
                    <w:left w:val="none" w:sz="0" w:space="0" w:color="auto"/>
                    <w:bottom w:val="none" w:sz="0" w:space="0" w:color="auto"/>
                    <w:right w:val="none" w:sz="0" w:space="0" w:color="auto"/>
                  </w:divBdr>
                  <w:divsChild>
                    <w:div w:id="1898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2460">
              <w:marLeft w:val="0"/>
              <w:marRight w:val="0"/>
              <w:marTop w:val="0"/>
              <w:marBottom w:val="0"/>
              <w:divBdr>
                <w:top w:val="none" w:sz="0" w:space="0" w:color="auto"/>
                <w:left w:val="none" w:sz="0" w:space="0" w:color="auto"/>
                <w:bottom w:val="none" w:sz="0" w:space="0" w:color="auto"/>
                <w:right w:val="none" w:sz="0" w:space="0" w:color="auto"/>
              </w:divBdr>
              <w:divsChild>
                <w:div w:id="307906811">
                  <w:marLeft w:val="0"/>
                  <w:marRight w:val="0"/>
                  <w:marTop w:val="0"/>
                  <w:marBottom w:val="0"/>
                  <w:divBdr>
                    <w:top w:val="none" w:sz="0" w:space="0" w:color="auto"/>
                    <w:left w:val="none" w:sz="0" w:space="0" w:color="auto"/>
                    <w:bottom w:val="none" w:sz="0" w:space="0" w:color="auto"/>
                    <w:right w:val="none" w:sz="0" w:space="0" w:color="auto"/>
                  </w:divBdr>
                  <w:divsChild>
                    <w:div w:id="25316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01068">
              <w:marLeft w:val="0"/>
              <w:marRight w:val="0"/>
              <w:marTop w:val="0"/>
              <w:marBottom w:val="0"/>
              <w:divBdr>
                <w:top w:val="none" w:sz="0" w:space="0" w:color="auto"/>
                <w:left w:val="none" w:sz="0" w:space="0" w:color="auto"/>
                <w:bottom w:val="none" w:sz="0" w:space="0" w:color="auto"/>
                <w:right w:val="none" w:sz="0" w:space="0" w:color="auto"/>
              </w:divBdr>
              <w:divsChild>
                <w:div w:id="658770177">
                  <w:marLeft w:val="0"/>
                  <w:marRight w:val="0"/>
                  <w:marTop w:val="0"/>
                  <w:marBottom w:val="0"/>
                  <w:divBdr>
                    <w:top w:val="none" w:sz="0" w:space="0" w:color="auto"/>
                    <w:left w:val="none" w:sz="0" w:space="0" w:color="auto"/>
                    <w:bottom w:val="none" w:sz="0" w:space="0" w:color="auto"/>
                    <w:right w:val="none" w:sz="0" w:space="0" w:color="auto"/>
                  </w:divBdr>
                  <w:divsChild>
                    <w:div w:id="18482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6954">
              <w:marLeft w:val="0"/>
              <w:marRight w:val="0"/>
              <w:marTop w:val="0"/>
              <w:marBottom w:val="0"/>
              <w:divBdr>
                <w:top w:val="none" w:sz="0" w:space="0" w:color="auto"/>
                <w:left w:val="none" w:sz="0" w:space="0" w:color="auto"/>
                <w:bottom w:val="none" w:sz="0" w:space="0" w:color="auto"/>
                <w:right w:val="none" w:sz="0" w:space="0" w:color="auto"/>
              </w:divBdr>
              <w:divsChild>
                <w:div w:id="1220822167">
                  <w:marLeft w:val="0"/>
                  <w:marRight w:val="0"/>
                  <w:marTop w:val="0"/>
                  <w:marBottom w:val="0"/>
                  <w:divBdr>
                    <w:top w:val="none" w:sz="0" w:space="0" w:color="auto"/>
                    <w:left w:val="none" w:sz="0" w:space="0" w:color="auto"/>
                    <w:bottom w:val="none" w:sz="0" w:space="0" w:color="auto"/>
                    <w:right w:val="none" w:sz="0" w:space="0" w:color="auto"/>
                  </w:divBdr>
                  <w:divsChild>
                    <w:div w:id="65329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28379">
          <w:marLeft w:val="0"/>
          <w:marRight w:val="0"/>
          <w:marTop w:val="0"/>
          <w:marBottom w:val="0"/>
          <w:divBdr>
            <w:top w:val="none" w:sz="0" w:space="0" w:color="auto"/>
            <w:left w:val="none" w:sz="0" w:space="0" w:color="auto"/>
            <w:bottom w:val="none" w:sz="0" w:space="0" w:color="auto"/>
            <w:right w:val="none" w:sz="0" w:space="0" w:color="auto"/>
          </w:divBdr>
          <w:divsChild>
            <w:div w:id="994648222">
              <w:marLeft w:val="0"/>
              <w:marRight w:val="0"/>
              <w:marTop w:val="0"/>
              <w:marBottom w:val="0"/>
              <w:divBdr>
                <w:top w:val="none" w:sz="0" w:space="0" w:color="auto"/>
                <w:left w:val="none" w:sz="0" w:space="0" w:color="auto"/>
                <w:bottom w:val="none" w:sz="0" w:space="0" w:color="auto"/>
                <w:right w:val="none" w:sz="0" w:space="0" w:color="auto"/>
              </w:divBdr>
            </w:div>
          </w:divsChild>
        </w:div>
        <w:div w:id="2118912505">
          <w:marLeft w:val="0"/>
          <w:marRight w:val="0"/>
          <w:marTop w:val="0"/>
          <w:marBottom w:val="0"/>
          <w:divBdr>
            <w:top w:val="none" w:sz="0" w:space="0" w:color="auto"/>
            <w:left w:val="none" w:sz="0" w:space="0" w:color="auto"/>
            <w:bottom w:val="none" w:sz="0" w:space="0" w:color="auto"/>
            <w:right w:val="none" w:sz="0" w:space="0" w:color="auto"/>
          </w:divBdr>
          <w:divsChild>
            <w:div w:id="6444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3988">
      <w:bodyDiv w:val="1"/>
      <w:marLeft w:val="0"/>
      <w:marRight w:val="0"/>
      <w:marTop w:val="0"/>
      <w:marBottom w:val="0"/>
      <w:divBdr>
        <w:top w:val="none" w:sz="0" w:space="0" w:color="auto"/>
        <w:left w:val="none" w:sz="0" w:space="0" w:color="auto"/>
        <w:bottom w:val="none" w:sz="0" w:space="0" w:color="auto"/>
        <w:right w:val="none" w:sz="0" w:space="0" w:color="auto"/>
      </w:divBdr>
      <w:divsChild>
        <w:div w:id="1706254857">
          <w:marLeft w:val="0"/>
          <w:marRight w:val="0"/>
          <w:marTop w:val="0"/>
          <w:marBottom w:val="0"/>
          <w:divBdr>
            <w:top w:val="none" w:sz="0" w:space="0" w:color="auto"/>
            <w:left w:val="none" w:sz="0" w:space="0" w:color="auto"/>
            <w:bottom w:val="none" w:sz="0" w:space="0" w:color="auto"/>
            <w:right w:val="none" w:sz="0" w:space="0" w:color="auto"/>
          </w:divBdr>
        </w:div>
      </w:divsChild>
    </w:div>
    <w:div w:id="692416011">
      <w:bodyDiv w:val="1"/>
      <w:marLeft w:val="0"/>
      <w:marRight w:val="0"/>
      <w:marTop w:val="0"/>
      <w:marBottom w:val="0"/>
      <w:divBdr>
        <w:top w:val="none" w:sz="0" w:space="0" w:color="auto"/>
        <w:left w:val="none" w:sz="0" w:space="0" w:color="auto"/>
        <w:bottom w:val="none" w:sz="0" w:space="0" w:color="auto"/>
        <w:right w:val="none" w:sz="0" w:space="0" w:color="auto"/>
      </w:divBdr>
      <w:divsChild>
        <w:div w:id="1454399175">
          <w:marLeft w:val="0"/>
          <w:marRight w:val="0"/>
          <w:marTop w:val="0"/>
          <w:marBottom w:val="0"/>
          <w:divBdr>
            <w:top w:val="none" w:sz="0" w:space="0" w:color="auto"/>
            <w:left w:val="none" w:sz="0" w:space="0" w:color="auto"/>
            <w:bottom w:val="none" w:sz="0" w:space="0" w:color="auto"/>
            <w:right w:val="none" w:sz="0" w:space="0" w:color="auto"/>
          </w:divBdr>
          <w:divsChild>
            <w:div w:id="394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8056">
      <w:bodyDiv w:val="1"/>
      <w:marLeft w:val="0"/>
      <w:marRight w:val="0"/>
      <w:marTop w:val="0"/>
      <w:marBottom w:val="0"/>
      <w:divBdr>
        <w:top w:val="none" w:sz="0" w:space="0" w:color="auto"/>
        <w:left w:val="none" w:sz="0" w:space="0" w:color="auto"/>
        <w:bottom w:val="none" w:sz="0" w:space="0" w:color="auto"/>
        <w:right w:val="none" w:sz="0" w:space="0" w:color="auto"/>
      </w:divBdr>
    </w:div>
    <w:div w:id="896480333">
      <w:bodyDiv w:val="1"/>
      <w:marLeft w:val="0"/>
      <w:marRight w:val="0"/>
      <w:marTop w:val="0"/>
      <w:marBottom w:val="0"/>
      <w:divBdr>
        <w:top w:val="none" w:sz="0" w:space="0" w:color="auto"/>
        <w:left w:val="none" w:sz="0" w:space="0" w:color="auto"/>
        <w:bottom w:val="none" w:sz="0" w:space="0" w:color="auto"/>
        <w:right w:val="none" w:sz="0" w:space="0" w:color="auto"/>
      </w:divBdr>
    </w:div>
    <w:div w:id="907301276">
      <w:bodyDiv w:val="1"/>
      <w:marLeft w:val="0"/>
      <w:marRight w:val="0"/>
      <w:marTop w:val="0"/>
      <w:marBottom w:val="0"/>
      <w:divBdr>
        <w:top w:val="none" w:sz="0" w:space="0" w:color="auto"/>
        <w:left w:val="none" w:sz="0" w:space="0" w:color="auto"/>
        <w:bottom w:val="none" w:sz="0" w:space="0" w:color="auto"/>
        <w:right w:val="none" w:sz="0" w:space="0" w:color="auto"/>
      </w:divBdr>
      <w:divsChild>
        <w:div w:id="2098207013">
          <w:marLeft w:val="0"/>
          <w:marRight w:val="0"/>
          <w:marTop w:val="0"/>
          <w:marBottom w:val="0"/>
          <w:divBdr>
            <w:top w:val="none" w:sz="0" w:space="0" w:color="auto"/>
            <w:left w:val="none" w:sz="0" w:space="0" w:color="auto"/>
            <w:bottom w:val="none" w:sz="0" w:space="0" w:color="auto"/>
            <w:right w:val="none" w:sz="0" w:space="0" w:color="auto"/>
          </w:divBdr>
        </w:div>
      </w:divsChild>
    </w:div>
    <w:div w:id="942415774">
      <w:bodyDiv w:val="1"/>
      <w:marLeft w:val="0"/>
      <w:marRight w:val="0"/>
      <w:marTop w:val="0"/>
      <w:marBottom w:val="0"/>
      <w:divBdr>
        <w:top w:val="none" w:sz="0" w:space="0" w:color="auto"/>
        <w:left w:val="none" w:sz="0" w:space="0" w:color="auto"/>
        <w:bottom w:val="none" w:sz="0" w:space="0" w:color="auto"/>
        <w:right w:val="none" w:sz="0" w:space="0" w:color="auto"/>
      </w:divBdr>
      <w:divsChild>
        <w:div w:id="235433296">
          <w:marLeft w:val="0"/>
          <w:marRight w:val="0"/>
          <w:marTop w:val="0"/>
          <w:marBottom w:val="0"/>
          <w:divBdr>
            <w:top w:val="none" w:sz="0" w:space="0" w:color="auto"/>
            <w:left w:val="none" w:sz="0" w:space="0" w:color="auto"/>
            <w:bottom w:val="none" w:sz="0" w:space="0" w:color="auto"/>
            <w:right w:val="none" w:sz="0" w:space="0" w:color="auto"/>
          </w:divBdr>
          <w:divsChild>
            <w:div w:id="14636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7995">
      <w:bodyDiv w:val="1"/>
      <w:marLeft w:val="0"/>
      <w:marRight w:val="0"/>
      <w:marTop w:val="0"/>
      <w:marBottom w:val="0"/>
      <w:divBdr>
        <w:top w:val="none" w:sz="0" w:space="0" w:color="auto"/>
        <w:left w:val="none" w:sz="0" w:space="0" w:color="auto"/>
        <w:bottom w:val="none" w:sz="0" w:space="0" w:color="auto"/>
        <w:right w:val="none" w:sz="0" w:space="0" w:color="auto"/>
      </w:divBdr>
    </w:div>
    <w:div w:id="1016537428">
      <w:bodyDiv w:val="1"/>
      <w:marLeft w:val="0"/>
      <w:marRight w:val="0"/>
      <w:marTop w:val="0"/>
      <w:marBottom w:val="0"/>
      <w:divBdr>
        <w:top w:val="none" w:sz="0" w:space="0" w:color="auto"/>
        <w:left w:val="none" w:sz="0" w:space="0" w:color="auto"/>
        <w:bottom w:val="none" w:sz="0" w:space="0" w:color="auto"/>
        <w:right w:val="none" w:sz="0" w:space="0" w:color="auto"/>
      </w:divBdr>
    </w:div>
    <w:div w:id="1019501217">
      <w:bodyDiv w:val="1"/>
      <w:marLeft w:val="0"/>
      <w:marRight w:val="0"/>
      <w:marTop w:val="0"/>
      <w:marBottom w:val="0"/>
      <w:divBdr>
        <w:top w:val="none" w:sz="0" w:space="0" w:color="auto"/>
        <w:left w:val="none" w:sz="0" w:space="0" w:color="auto"/>
        <w:bottom w:val="none" w:sz="0" w:space="0" w:color="auto"/>
        <w:right w:val="none" w:sz="0" w:space="0" w:color="auto"/>
      </w:divBdr>
    </w:div>
    <w:div w:id="1023634018">
      <w:bodyDiv w:val="1"/>
      <w:marLeft w:val="0"/>
      <w:marRight w:val="0"/>
      <w:marTop w:val="0"/>
      <w:marBottom w:val="0"/>
      <w:divBdr>
        <w:top w:val="none" w:sz="0" w:space="0" w:color="auto"/>
        <w:left w:val="none" w:sz="0" w:space="0" w:color="auto"/>
        <w:bottom w:val="none" w:sz="0" w:space="0" w:color="auto"/>
        <w:right w:val="none" w:sz="0" w:space="0" w:color="auto"/>
      </w:divBdr>
      <w:divsChild>
        <w:div w:id="1742559233">
          <w:marLeft w:val="0"/>
          <w:marRight w:val="0"/>
          <w:marTop w:val="0"/>
          <w:marBottom w:val="0"/>
          <w:divBdr>
            <w:top w:val="none" w:sz="0" w:space="0" w:color="auto"/>
            <w:left w:val="none" w:sz="0" w:space="0" w:color="auto"/>
            <w:bottom w:val="none" w:sz="0" w:space="0" w:color="auto"/>
            <w:right w:val="none" w:sz="0" w:space="0" w:color="auto"/>
          </w:divBdr>
          <w:divsChild>
            <w:div w:id="20623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0690">
      <w:bodyDiv w:val="1"/>
      <w:marLeft w:val="0"/>
      <w:marRight w:val="0"/>
      <w:marTop w:val="0"/>
      <w:marBottom w:val="0"/>
      <w:divBdr>
        <w:top w:val="none" w:sz="0" w:space="0" w:color="auto"/>
        <w:left w:val="none" w:sz="0" w:space="0" w:color="auto"/>
        <w:bottom w:val="none" w:sz="0" w:space="0" w:color="auto"/>
        <w:right w:val="none" w:sz="0" w:space="0" w:color="auto"/>
      </w:divBdr>
      <w:divsChild>
        <w:div w:id="2019111914">
          <w:marLeft w:val="0"/>
          <w:marRight w:val="0"/>
          <w:marTop w:val="0"/>
          <w:marBottom w:val="0"/>
          <w:divBdr>
            <w:top w:val="none" w:sz="0" w:space="0" w:color="auto"/>
            <w:left w:val="none" w:sz="0" w:space="0" w:color="auto"/>
            <w:bottom w:val="none" w:sz="0" w:space="0" w:color="auto"/>
            <w:right w:val="none" w:sz="0" w:space="0" w:color="auto"/>
          </w:divBdr>
          <w:divsChild>
            <w:div w:id="116993127">
              <w:marLeft w:val="0"/>
              <w:marRight w:val="0"/>
              <w:marTop w:val="0"/>
              <w:marBottom w:val="0"/>
              <w:divBdr>
                <w:top w:val="none" w:sz="0" w:space="0" w:color="auto"/>
                <w:left w:val="none" w:sz="0" w:space="0" w:color="auto"/>
                <w:bottom w:val="none" w:sz="0" w:space="0" w:color="auto"/>
                <w:right w:val="none" w:sz="0" w:space="0" w:color="auto"/>
              </w:divBdr>
            </w:div>
            <w:div w:id="388915679">
              <w:marLeft w:val="0"/>
              <w:marRight w:val="0"/>
              <w:marTop w:val="0"/>
              <w:marBottom w:val="0"/>
              <w:divBdr>
                <w:top w:val="none" w:sz="0" w:space="0" w:color="auto"/>
                <w:left w:val="none" w:sz="0" w:space="0" w:color="auto"/>
                <w:bottom w:val="none" w:sz="0" w:space="0" w:color="auto"/>
                <w:right w:val="none" w:sz="0" w:space="0" w:color="auto"/>
              </w:divBdr>
            </w:div>
            <w:div w:id="130839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3168">
      <w:bodyDiv w:val="1"/>
      <w:marLeft w:val="0"/>
      <w:marRight w:val="0"/>
      <w:marTop w:val="0"/>
      <w:marBottom w:val="0"/>
      <w:divBdr>
        <w:top w:val="none" w:sz="0" w:space="0" w:color="auto"/>
        <w:left w:val="none" w:sz="0" w:space="0" w:color="auto"/>
        <w:bottom w:val="none" w:sz="0" w:space="0" w:color="auto"/>
        <w:right w:val="none" w:sz="0" w:space="0" w:color="auto"/>
      </w:divBdr>
    </w:div>
    <w:div w:id="1072586046">
      <w:bodyDiv w:val="1"/>
      <w:marLeft w:val="0"/>
      <w:marRight w:val="0"/>
      <w:marTop w:val="0"/>
      <w:marBottom w:val="0"/>
      <w:divBdr>
        <w:top w:val="none" w:sz="0" w:space="0" w:color="auto"/>
        <w:left w:val="none" w:sz="0" w:space="0" w:color="auto"/>
        <w:bottom w:val="none" w:sz="0" w:space="0" w:color="auto"/>
        <w:right w:val="none" w:sz="0" w:space="0" w:color="auto"/>
      </w:divBdr>
      <w:divsChild>
        <w:div w:id="707416191">
          <w:marLeft w:val="0"/>
          <w:marRight w:val="0"/>
          <w:marTop w:val="0"/>
          <w:marBottom w:val="0"/>
          <w:divBdr>
            <w:top w:val="none" w:sz="0" w:space="0" w:color="auto"/>
            <w:left w:val="none" w:sz="0" w:space="0" w:color="auto"/>
            <w:bottom w:val="none" w:sz="0" w:space="0" w:color="auto"/>
            <w:right w:val="none" w:sz="0" w:space="0" w:color="auto"/>
          </w:divBdr>
          <w:divsChild>
            <w:div w:id="1445346466">
              <w:marLeft w:val="0"/>
              <w:marRight w:val="0"/>
              <w:marTop w:val="0"/>
              <w:marBottom w:val="0"/>
              <w:divBdr>
                <w:top w:val="none" w:sz="0" w:space="0" w:color="auto"/>
                <w:left w:val="none" w:sz="0" w:space="0" w:color="auto"/>
                <w:bottom w:val="none" w:sz="0" w:space="0" w:color="auto"/>
                <w:right w:val="none" w:sz="0" w:space="0" w:color="auto"/>
              </w:divBdr>
              <w:divsChild>
                <w:div w:id="19529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299065">
          <w:marLeft w:val="0"/>
          <w:marRight w:val="0"/>
          <w:marTop w:val="0"/>
          <w:marBottom w:val="0"/>
          <w:divBdr>
            <w:top w:val="none" w:sz="0" w:space="0" w:color="auto"/>
            <w:left w:val="none" w:sz="0" w:space="0" w:color="auto"/>
            <w:bottom w:val="none" w:sz="0" w:space="0" w:color="auto"/>
            <w:right w:val="none" w:sz="0" w:space="0" w:color="auto"/>
          </w:divBdr>
        </w:div>
      </w:divsChild>
    </w:div>
    <w:div w:id="1103259237">
      <w:bodyDiv w:val="1"/>
      <w:marLeft w:val="0"/>
      <w:marRight w:val="0"/>
      <w:marTop w:val="0"/>
      <w:marBottom w:val="0"/>
      <w:divBdr>
        <w:top w:val="none" w:sz="0" w:space="0" w:color="auto"/>
        <w:left w:val="none" w:sz="0" w:space="0" w:color="auto"/>
        <w:bottom w:val="none" w:sz="0" w:space="0" w:color="auto"/>
        <w:right w:val="none" w:sz="0" w:space="0" w:color="auto"/>
      </w:divBdr>
      <w:divsChild>
        <w:div w:id="622929444">
          <w:marLeft w:val="0"/>
          <w:marRight w:val="0"/>
          <w:marTop w:val="0"/>
          <w:marBottom w:val="0"/>
          <w:divBdr>
            <w:top w:val="none" w:sz="0" w:space="0" w:color="auto"/>
            <w:left w:val="none" w:sz="0" w:space="0" w:color="auto"/>
            <w:bottom w:val="none" w:sz="0" w:space="0" w:color="auto"/>
            <w:right w:val="none" w:sz="0" w:space="0" w:color="auto"/>
          </w:divBdr>
          <w:divsChild>
            <w:div w:id="621039372">
              <w:marLeft w:val="0"/>
              <w:marRight w:val="0"/>
              <w:marTop w:val="0"/>
              <w:marBottom w:val="0"/>
              <w:divBdr>
                <w:top w:val="none" w:sz="0" w:space="0" w:color="auto"/>
                <w:left w:val="none" w:sz="0" w:space="0" w:color="auto"/>
                <w:bottom w:val="none" w:sz="0" w:space="0" w:color="auto"/>
                <w:right w:val="none" w:sz="0" w:space="0" w:color="auto"/>
              </w:divBdr>
              <w:divsChild>
                <w:div w:id="1082142899">
                  <w:marLeft w:val="0"/>
                  <w:marRight w:val="0"/>
                  <w:marTop w:val="0"/>
                  <w:marBottom w:val="0"/>
                  <w:divBdr>
                    <w:top w:val="none" w:sz="0" w:space="0" w:color="auto"/>
                    <w:left w:val="none" w:sz="0" w:space="0" w:color="auto"/>
                    <w:bottom w:val="none" w:sz="0" w:space="0" w:color="auto"/>
                    <w:right w:val="none" w:sz="0" w:space="0" w:color="auto"/>
                  </w:divBdr>
                </w:div>
                <w:div w:id="1394810275">
                  <w:marLeft w:val="0"/>
                  <w:marRight w:val="0"/>
                  <w:marTop w:val="0"/>
                  <w:marBottom w:val="0"/>
                  <w:divBdr>
                    <w:top w:val="none" w:sz="0" w:space="0" w:color="auto"/>
                    <w:left w:val="none" w:sz="0" w:space="0" w:color="auto"/>
                    <w:bottom w:val="none" w:sz="0" w:space="0" w:color="auto"/>
                    <w:right w:val="none" w:sz="0" w:space="0" w:color="auto"/>
                  </w:divBdr>
                  <w:divsChild>
                    <w:div w:id="894510101">
                      <w:marLeft w:val="0"/>
                      <w:marRight w:val="0"/>
                      <w:marTop w:val="0"/>
                      <w:marBottom w:val="0"/>
                      <w:divBdr>
                        <w:top w:val="none" w:sz="0" w:space="0" w:color="auto"/>
                        <w:left w:val="none" w:sz="0" w:space="0" w:color="auto"/>
                        <w:bottom w:val="none" w:sz="0" w:space="0" w:color="auto"/>
                        <w:right w:val="none" w:sz="0" w:space="0" w:color="auto"/>
                      </w:divBdr>
                    </w:div>
                    <w:div w:id="1068765110">
                      <w:marLeft w:val="0"/>
                      <w:marRight w:val="0"/>
                      <w:marTop w:val="0"/>
                      <w:marBottom w:val="0"/>
                      <w:divBdr>
                        <w:top w:val="none" w:sz="0" w:space="0" w:color="auto"/>
                        <w:left w:val="none" w:sz="0" w:space="0" w:color="auto"/>
                        <w:bottom w:val="none" w:sz="0" w:space="0" w:color="auto"/>
                        <w:right w:val="none" w:sz="0" w:space="0" w:color="auto"/>
                      </w:divBdr>
                      <w:divsChild>
                        <w:div w:id="1503471013">
                          <w:marLeft w:val="0"/>
                          <w:marRight w:val="0"/>
                          <w:marTop w:val="0"/>
                          <w:marBottom w:val="0"/>
                          <w:divBdr>
                            <w:top w:val="none" w:sz="0" w:space="0" w:color="auto"/>
                            <w:left w:val="none" w:sz="0" w:space="0" w:color="auto"/>
                            <w:bottom w:val="none" w:sz="0" w:space="0" w:color="auto"/>
                            <w:right w:val="none" w:sz="0" w:space="0" w:color="auto"/>
                          </w:divBdr>
                        </w:div>
                      </w:divsChild>
                    </w:div>
                    <w:div w:id="1954441155">
                      <w:marLeft w:val="0"/>
                      <w:marRight w:val="0"/>
                      <w:marTop w:val="0"/>
                      <w:marBottom w:val="0"/>
                      <w:divBdr>
                        <w:top w:val="none" w:sz="0" w:space="0" w:color="auto"/>
                        <w:left w:val="none" w:sz="0" w:space="0" w:color="auto"/>
                        <w:bottom w:val="none" w:sz="0" w:space="0" w:color="auto"/>
                        <w:right w:val="none" w:sz="0" w:space="0" w:color="auto"/>
                      </w:divBdr>
                      <w:divsChild>
                        <w:div w:id="10088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69800">
                  <w:marLeft w:val="0"/>
                  <w:marRight w:val="0"/>
                  <w:marTop w:val="0"/>
                  <w:marBottom w:val="0"/>
                  <w:divBdr>
                    <w:top w:val="none" w:sz="0" w:space="0" w:color="auto"/>
                    <w:left w:val="none" w:sz="0" w:space="0" w:color="auto"/>
                    <w:bottom w:val="none" w:sz="0" w:space="0" w:color="auto"/>
                    <w:right w:val="none" w:sz="0" w:space="0" w:color="auto"/>
                  </w:divBdr>
                  <w:divsChild>
                    <w:div w:id="2102601270">
                      <w:marLeft w:val="0"/>
                      <w:marRight w:val="0"/>
                      <w:marTop w:val="0"/>
                      <w:marBottom w:val="0"/>
                      <w:divBdr>
                        <w:top w:val="none" w:sz="0" w:space="0" w:color="auto"/>
                        <w:left w:val="none" w:sz="0" w:space="0" w:color="auto"/>
                        <w:bottom w:val="none" w:sz="0" w:space="0" w:color="auto"/>
                        <w:right w:val="none" w:sz="0" w:space="0" w:color="auto"/>
                      </w:divBdr>
                    </w:div>
                  </w:divsChild>
                </w:div>
                <w:div w:id="1904219335">
                  <w:marLeft w:val="0"/>
                  <w:marRight w:val="0"/>
                  <w:marTop w:val="0"/>
                  <w:marBottom w:val="0"/>
                  <w:divBdr>
                    <w:top w:val="none" w:sz="0" w:space="0" w:color="auto"/>
                    <w:left w:val="none" w:sz="0" w:space="0" w:color="auto"/>
                    <w:bottom w:val="none" w:sz="0" w:space="0" w:color="auto"/>
                    <w:right w:val="none" w:sz="0" w:space="0" w:color="auto"/>
                  </w:divBdr>
                  <w:divsChild>
                    <w:div w:id="17306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2390">
          <w:marLeft w:val="0"/>
          <w:marRight w:val="0"/>
          <w:marTop w:val="0"/>
          <w:marBottom w:val="0"/>
          <w:divBdr>
            <w:top w:val="none" w:sz="0" w:space="0" w:color="auto"/>
            <w:left w:val="none" w:sz="0" w:space="0" w:color="auto"/>
            <w:bottom w:val="none" w:sz="0" w:space="0" w:color="auto"/>
            <w:right w:val="none" w:sz="0" w:space="0" w:color="auto"/>
          </w:divBdr>
          <w:divsChild>
            <w:div w:id="15569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9820">
      <w:bodyDiv w:val="1"/>
      <w:marLeft w:val="0"/>
      <w:marRight w:val="0"/>
      <w:marTop w:val="0"/>
      <w:marBottom w:val="0"/>
      <w:divBdr>
        <w:top w:val="none" w:sz="0" w:space="0" w:color="auto"/>
        <w:left w:val="none" w:sz="0" w:space="0" w:color="auto"/>
        <w:bottom w:val="none" w:sz="0" w:space="0" w:color="auto"/>
        <w:right w:val="none" w:sz="0" w:space="0" w:color="auto"/>
      </w:divBdr>
      <w:divsChild>
        <w:div w:id="2057702302">
          <w:marLeft w:val="0"/>
          <w:marRight w:val="0"/>
          <w:marTop w:val="0"/>
          <w:marBottom w:val="0"/>
          <w:divBdr>
            <w:top w:val="none" w:sz="0" w:space="0" w:color="auto"/>
            <w:left w:val="none" w:sz="0" w:space="0" w:color="auto"/>
            <w:bottom w:val="none" w:sz="0" w:space="0" w:color="auto"/>
            <w:right w:val="none" w:sz="0" w:space="0" w:color="auto"/>
          </w:divBdr>
          <w:divsChild>
            <w:div w:id="182303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80378">
      <w:bodyDiv w:val="1"/>
      <w:marLeft w:val="0"/>
      <w:marRight w:val="0"/>
      <w:marTop w:val="0"/>
      <w:marBottom w:val="0"/>
      <w:divBdr>
        <w:top w:val="none" w:sz="0" w:space="0" w:color="auto"/>
        <w:left w:val="none" w:sz="0" w:space="0" w:color="auto"/>
        <w:bottom w:val="none" w:sz="0" w:space="0" w:color="auto"/>
        <w:right w:val="none" w:sz="0" w:space="0" w:color="auto"/>
      </w:divBdr>
    </w:div>
    <w:div w:id="1157456367">
      <w:bodyDiv w:val="1"/>
      <w:marLeft w:val="0"/>
      <w:marRight w:val="0"/>
      <w:marTop w:val="0"/>
      <w:marBottom w:val="0"/>
      <w:divBdr>
        <w:top w:val="none" w:sz="0" w:space="0" w:color="auto"/>
        <w:left w:val="none" w:sz="0" w:space="0" w:color="auto"/>
        <w:bottom w:val="none" w:sz="0" w:space="0" w:color="auto"/>
        <w:right w:val="none" w:sz="0" w:space="0" w:color="auto"/>
      </w:divBdr>
      <w:divsChild>
        <w:div w:id="158691057">
          <w:marLeft w:val="0"/>
          <w:marRight w:val="0"/>
          <w:marTop w:val="0"/>
          <w:marBottom w:val="0"/>
          <w:divBdr>
            <w:top w:val="none" w:sz="0" w:space="0" w:color="auto"/>
            <w:left w:val="none" w:sz="0" w:space="0" w:color="auto"/>
            <w:bottom w:val="none" w:sz="0" w:space="0" w:color="auto"/>
            <w:right w:val="none" w:sz="0" w:space="0" w:color="auto"/>
          </w:divBdr>
          <w:divsChild>
            <w:div w:id="1819148742">
              <w:marLeft w:val="0"/>
              <w:marRight w:val="0"/>
              <w:marTop w:val="0"/>
              <w:marBottom w:val="0"/>
              <w:divBdr>
                <w:top w:val="none" w:sz="0" w:space="0" w:color="auto"/>
                <w:left w:val="none" w:sz="0" w:space="0" w:color="auto"/>
                <w:bottom w:val="none" w:sz="0" w:space="0" w:color="auto"/>
                <w:right w:val="none" w:sz="0" w:space="0" w:color="auto"/>
              </w:divBdr>
              <w:divsChild>
                <w:div w:id="1242593972">
                  <w:marLeft w:val="0"/>
                  <w:marRight w:val="0"/>
                  <w:marTop w:val="0"/>
                  <w:marBottom w:val="0"/>
                  <w:divBdr>
                    <w:top w:val="none" w:sz="0" w:space="0" w:color="auto"/>
                    <w:left w:val="none" w:sz="0" w:space="0" w:color="auto"/>
                    <w:bottom w:val="none" w:sz="0" w:space="0" w:color="auto"/>
                    <w:right w:val="none" w:sz="0" w:space="0" w:color="auto"/>
                  </w:divBdr>
                  <w:divsChild>
                    <w:div w:id="19198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894973">
          <w:marLeft w:val="0"/>
          <w:marRight w:val="0"/>
          <w:marTop w:val="0"/>
          <w:marBottom w:val="0"/>
          <w:divBdr>
            <w:top w:val="none" w:sz="0" w:space="0" w:color="auto"/>
            <w:left w:val="none" w:sz="0" w:space="0" w:color="auto"/>
            <w:bottom w:val="none" w:sz="0" w:space="0" w:color="auto"/>
            <w:right w:val="none" w:sz="0" w:space="0" w:color="auto"/>
          </w:divBdr>
        </w:div>
        <w:div w:id="1288660978">
          <w:marLeft w:val="0"/>
          <w:marRight w:val="0"/>
          <w:marTop w:val="0"/>
          <w:marBottom w:val="0"/>
          <w:divBdr>
            <w:top w:val="none" w:sz="0" w:space="0" w:color="auto"/>
            <w:left w:val="none" w:sz="0" w:space="0" w:color="auto"/>
            <w:bottom w:val="none" w:sz="0" w:space="0" w:color="auto"/>
            <w:right w:val="none" w:sz="0" w:space="0" w:color="auto"/>
          </w:divBdr>
        </w:div>
        <w:div w:id="1381245450">
          <w:marLeft w:val="0"/>
          <w:marRight w:val="0"/>
          <w:marTop w:val="0"/>
          <w:marBottom w:val="0"/>
          <w:divBdr>
            <w:top w:val="none" w:sz="0" w:space="0" w:color="auto"/>
            <w:left w:val="none" w:sz="0" w:space="0" w:color="auto"/>
            <w:bottom w:val="none" w:sz="0" w:space="0" w:color="auto"/>
            <w:right w:val="none" w:sz="0" w:space="0" w:color="auto"/>
          </w:divBdr>
        </w:div>
        <w:div w:id="1893879250">
          <w:marLeft w:val="0"/>
          <w:marRight w:val="0"/>
          <w:marTop w:val="0"/>
          <w:marBottom w:val="0"/>
          <w:divBdr>
            <w:top w:val="none" w:sz="0" w:space="0" w:color="auto"/>
            <w:left w:val="none" w:sz="0" w:space="0" w:color="auto"/>
            <w:bottom w:val="none" w:sz="0" w:space="0" w:color="auto"/>
            <w:right w:val="none" w:sz="0" w:space="0" w:color="auto"/>
          </w:divBdr>
        </w:div>
      </w:divsChild>
    </w:div>
    <w:div w:id="1185939735">
      <w:bodyDiv w:val="1"/>
      <w:marLeft w:val="0"/>
      <w:marRight w:val="0"/>
      <w:marTop w:val="0"/>
      <w:marBottom w:val="0"/>
      <w:divBdr>
        <w:top w:val="none" w:sz="0" w:space="0" w:color="auto"/>
        <w:left w:val="none" w:sz="0" w:space="0" w:color="auto"/>
        <w:bottom w:val="none" w:sz="0" w:space="0" w:color="auto"/>
        <w:right w:val="none" w:sz="0" w:space="0" w:color="auto"/>
      </w:divBdr>
    </w:div>
    <w:div w:id="1231696783">
      <w:bodyDiv w:val="1"/>
      <w:marLeft w:val="0"/>
      <w:marRight w:val="0"/>
      <w:marTop w:val="0"/>
      <w:marBottom w:val="0"/>
      <w:divBdr>
        <w:top w:val="none" w:sz="0" w:space="0" w:color="auto"/>
        <w:left w:val="none" w:sz="0" w:space="0" w:color="auto"/>
        <w:bottom w:val="none" w:sz="0" w:space="0" w:color="auto"/>
        <w:right w:val="none" w:sz="0" w:space="0" w:color="auto"/>
      </w:divBdr>
    </w:div>
    <w:div w:id="1251307344">
      <w:bodyDiv w:val="1"/>
      <w:marLeft w:val="0"/>
      <w:marRight w:val="0"/>
      <w:marTop w:val="0"/>
      <w:marBottom w:val="0"/>
      <w:divBdr>
        <w:top w:val="none" w:sz="0" w:space="0" w:color="auto"/>
        <w:left w:val="none" w:sz="0" w:space="0" w:color="auto"/>
        <w:bottom w:val="none" w:sz="0" w:space="0" w:color="auto"/>
        <w:right w:val="none" w:sz="0" w:space="0" w:color="auto"/>
      </w:divBdr>
      <w:divsChild>
        <w:div w:id="1346833529">
          <w:marLeft w:val="0"/>
          <w:marRight w:val="0"/>
          <w:marTop w:val="0"/>
          <w:marBottom w:val="0"/>
          <w:divBdr>
            <w:top w:val="none" w:sz="0" w:space="0" w:color="auto"/>
            <w:left w:val="none" w:sz="0" w:space="0" w:color="auto"/>
            <w:bottom w:val="none" w:sz="0" w:space="0" w:color="auto"/>
            <w:right w:val="none" w:sz="0" w:space="0" w:color="auto"/>
          </w:divBdr>
          <w:divsChild>
            <w:div w:id="452671407">
              <w:marLeft w:val="0"/>
              <w:marRight w:val="0"/>
              <w:marTop w:val="0"/>
              <w:marBottom w:val="0"/>
              <w:divBdr>
                <w:top w:val="none" w:sz="0" w:space="0" w:color="auto"/>
                <w:left w:val="none" w:sz="0" w:space="0" w:color="auto"/>
                <w:bottom w:val="none" w:sz="0" w:space="0" w:color="auto"/>
                <w:right w:val="none" w:sz="0" w:space="0" w:color="auto"/>
              </w:divBdr>
            </w:div>
          </w:divsChild>
        </w:div>
        <w:div w:id="1787194024">
          <w:marLeft w:val="0"/>
          <w:marRight w:val="0"/>
          <w:marTop w:val="0"/>
          <w:marBottom w:val="0"/>
          <w:divBdr>
            <w:top w:val="none" w:sz="0" w:space="0" w:color="auto"/>
            <w:left w:val="none" w:sz="0" w:space="0" w:color="auto"/>
            <w:bottom w:val="none" w:sz="0" w:space="0" w:color="auto"/>
            <w:right w:val="none" w:sz="0" w:space="0" w:color="auto"/>
          </w:divBdr>
          <w:divsChild>
            <w:div w:id="1916622603">
              <w:marLeft w:val="0"/>
              <w:marRight w:val="0"/>
              <w:marTop w:val="0"/>
              <w:marBottom w:val="0"/>
              <w:divBdr>
                <w:top w:val="none" w:sz="0" w:space="0" w:color="auto"/>
                <w:left w:val="none" w:sz="0" w:space="0" w:color="auto"/>
                <w:bottom w:val="none" w:sz="0" w:space="0" w:color="auto"/>
                <w:right w:val="none" w:sz="0" w:space="0" w:color="auto"/>
              </w:divBdr>
              <w:divsChild>
                <w:div w:id="620420">
                  <w:marLeft w:val="0"/>
                  <w:marRight w:val="0"/>
                  <w:marTop w:val="0"/>
                  <w:marBottom w:val="0"/>
                  <w:divBdr>
                    <w:top w:val="none" w:sz="0" w:space="0" w:color="auto"/>
                    <w:left w:val="none" w:sz="0" w:space="0" w:color="auto"/>
                    <w:bottom w:val="none" w:sz="0" w:space="0" w:color="auto"/>
                    <w:right w:val="none" w:sz="0" w:space="0" w:color="auto"/>
                  </w:divBdr>
                </w:div>
                <w:div w:id="426847215">
                  <w:marLeft w:val="0"/>
                  <w:marRight w:val="0"/>
                  <w:marTop w:val="0"/>
                  <w:marBottom w:val="0"/>
                  <w:divBdr>
                    <w:top w:val="none" w:sz="0" w:space="0" w:color="auto"/>
                    <w:left w:val="none" w:sz="0" w:space="0" w:color="auto"/>
                    <w:bottom w:val="none" w:sz="0" w:space="0" w:color="auto"/>
                    <w:right w:val="none" w:sz="0" w:space="0" w:color="auto"/>
                  </w:divBdr>
                  <w:divsChild>
                    <w:div w:id="700594537">
                      <w:marLeft w:val="0"/>
                      <w:marRight w:val="0"/>
                      <w:marTop w:val="0"/>
                      <w:marBottom w:val="0"/>
                      <w:divBdr>
                        <w:top w:val="none" w:sz="0" w:space="0" w:color="auto"/>
                        <w:left w:val="none" w:sz="0" w:space="0" w:color="auto"/>
                        <w:bottom w:val="none" w:sz="0" w:space="0" w:color="auto"/>
                        <w:right w:val="none" w:sz="0" w:space="0" w:color="auto"/>
                      </w:divBdr>
                      <w:divsChild>
                        <w:div w:id="29187179">
                          <w:marLeft w:val="0"/>
                          <w:marRight w:val="0"/>
                          <w:marTop w:val="0"/>
                          <w:marBottom w:val="0"/>
                          <w:divBdr>
                            <w:top w:val="none" w:sz="0" w:space="0" w:color="auto"/>
                            <w:left w:val="none" w:sz="0" w:space="0" w:color="auto"/>
                            <w:bottom w:val="none" w:sz="0" w:space="0" w:color="auto"/>
                            <w:right w:val="none" w:sz="0" w:space="0" w:color="auto"/>
                          </w:divBdr>
                        </w:div>
                      </w:divsChild>
                    </w:div>
                    <w:div w:id="1010334853">
                      <w:marLeft w:val="0"/>
                      <w:marRight w:val="0"/>
                      <w:marTop w:val="0"/>
                      <w:marBottom w:val="0"/>
                      <w:divBdr>
                        <w:top w:val="none" w:sz="0" w:space="0" w:color="auto"/>
                        <w:left w:val="none" w:sz="0" w:space="0" w:color="auto"/>
                        <w:bottom w:val="none" w:sz="0" w:space="0" w:color="auto"/>
                        <w:right w:val="none" w:sz="0" w:space="0" w:color="auto"/>
                      </w:divBdr>
                    </w:div>
                    <w:div w:id="1120760586">
                      <w:marLeft w:val="0"/>
                      <w:marRight w:val="0"/>
                      <w:marTop w:val="0"/>
                      <w:marBottom w:val="0"/>
                      <w:divBdr>
                        <w:top w:val="none" w:sz="0" w:space="0" w:color="auto"/>
                        <w:left w:val="none" w:sz="0" w:space="0" w:color="auto"/>
                        <w:bottom w:val="none" w:sz="0" w:space="0" w:color="auto"/>
                        <w:right w:val="none" w:sz="0" w:space="0" w:color="auto"/>
                      </w:divBdr>
                      <w:divsChild>
                        <w:div w:id="5258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90584">
                  <w:marLeft w:val="0"/>
                  <w:marRight w:val="0"/>
                  <w:marTop w:val="0"/>
                  <w:marBottom w:val="0"/>
                  <w:divBdr>
                    <w:top w:val="none" w:sz="0" w:space="0" w:color="auto"/>
                    <w:left w:val="none" w:sz="0" w:space="0" w:color="auto"/>
                    <w:bottom w:val="none" w:sz="0" w:space="0" w:color="auto"/>
                    <w:right w:val="none" w:sz="0" w:space="0" w:color="auto"/>
                  </w:divBdr>
                  <w:divsChild>
                    <w:div w:id="668867377">
                      <w:marLeft w:val="0"/>
                      <w:marRight w:val="0"/>
                      <w:marTop w:val="0"/>
                      <w:marBottom w:val="0"/>
                      <w:divBdr>
                        <w:top w:val="none" w:sz="0" w:space="0" w:color="auto"/>
                        <w:left w:val="none" w:sz="0" w:space="0" w:color="auto"/>
                        <w:bottom w:val="none" w:sz="0" w:space="0" w:color="auto"/>
                        <w:right w:val="none" w:sz="0" w:space="0" w:color="auto"/>
                      </w:divBdr>
                    </w:div>
                  </w:divsChild>
                </w:div>
                <w:div w:id="2066751653">
                  <w:marLeft w:val="0"/>
                  <w:marRight w:val="0"/>
                  <w:marTop w:val="0"/>
                  <w:marBottom w:val="0"/>
                  <w:divBdr>
                    <w:top w:val="none" w:sz="0" w:space="0" w:color="auto"/>
                    <w:left w:val="none" w:sz="0" w:space="0" w:color="auto"/>
                    <w:bottom w:val="none" w:sz="0" w:space="0" w:color="auto"/>
                    <w:right w:val="none" w:sz="0" w:space="0" w:color="auto"/>
                  </w:divBdr>
                  <w:divsChild>
                    <w:div w:id="3017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113938">
      <w:bodyDiv w:val="1"/>
      <w:marLeft w:val="0"/>
      <w:marRight w:val="0"/>
      <w:marTop w:val="0"/>
      <w:marBottom w:val="0"/>
      <w:divBdr>
        <w:top w:val="none" w:sz="0" w:space="0" w:color="auto"/>
        <w:left w:val="none" w:sz="0" w:space="0" w:color="auto"/>
        <w:bottom w:val="none" w:sz="0" w:space="0" w:color="auto"/>
        <w:right w:val="none" w:sz="0" w:space="0" w:color="auto"/>
      </w:divBdr>
      <w:divsChild>
        <w:div w:id="743455246">
          <w:marLeft w:val="0"/>
          <w:marRight w:val="0"/>
          <w:marTop w:val="0"/>
          <w:marBottom w:val="0"/>
          <w:divBdr>
            <w:top w:val="none" w:sz="0" w:space="0" w:color="auto"/>
            <w:left w:val="none" w:sz="0" w:space="0" w:color="auto"/>
            <w:bottom w:val="none" w:sz="0" w:space="0" w:color="auto"/>
            <w:right w:val="none" w:sz="0" w:space="0" w:color="auto"/>
          </w:divBdr>
          <w:divsChild>
            <w:div w:id="9305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6447">
      <w:bodyDiv w:val="1"/>
      <w:marLeft w:val="0"/>
      <w:marRight w:val="0"/>
      <w:marTop w:val="0"/>
      <w:marBottom w:val="0"/>
      <w:divBdr>
        <w:top w:val="none" w:sz="0" w:space="0" w:color="auto"/>
        <w:left w:val="none" w:sz="0" w:space="0" w:color="auto"/>
        <w:bottom w:val="none" w:sz="0" w:space="0" w:color="auto"/>
        <w:right w:val="none" w:sz="0" w:space="0" w:color="auto"/>
      </w:divBdr>
      <w:divsChild>
        <w:div w:id="1183007474">
          <w:marLeft w:val="0"/>
          <w:marRight w:val="0"/>
          <w:marTop w:val="0"/>
          <w:marBottom w:val="0"/>
          <w:divBdr>
            <w:top w:val="none" w:sz="0" w:space="0" w:color="auto"/>
            <w:left w:val="none" w:sz="0" w:space="0" w:color="auto"/>
            <w:bottom w:val="none" w:sz="0" w:space="0" w:color="auto"/>
            <w:right w:val="none" w:sz="0" w:space="0" w:color="auto"/>
          </w:divBdr>
        </w:div>
      </w:divsChild>
    </w:div>
    <w:div w:id="1486435884">
      <w:bodyDiv w:val="1"/>
      <w:marLeft w:val="0"/>
      <w:marRight w:val="0"/>
      <w:marTop w:val="0"/>
      <w:marBottom w:val="0"/>
      <w:divBdr>
        <w:top w:val="none" w:sz="0" w:space="0" w:color="auto"/>
        <w:left w:val="none" w:sz="0" w:space="0" w:color="auto"/>
        <w:bottom w:val="none" w:sz="0" w:space="0" w:color="auto"/>
        <w:right w:val="none" w:sz="0" w:space="0" w:color="auto"/>
      </w:divBdr>
      <w:divsChild>
        <w:div w:id="269050668">
          <w:marLeft w:val="0"/>
          <w:marRight w:val="0"/>
          <w:marTop w:val="0"/>
          <w:marBottom w:val="0"/>
          <w:divBdr>
            <w:top w:val="none" w:sz="0" w:space="0" w:color="auto"/>
            <w:left w:val="none" w:sz="0" w:space="0" w:color="auto"/>
            <w:bottom w:val="none" w:sz="0" w:space="0" w:color="auto"/>
            <w:right w:val="none" w:sz="0" w:space="0" w:color="auto"/>
          </w:divBdr>
        </w:div>
        <w:div w:id="953291547">
          <w:marLeft w:val="0"/>
          <w:marRight w:val="0"/>
          <w:marTop w:val="0"/>
          <w:marBottom w:val="0"/>
          <w:divBdr>
            <w:top w:val="none" w:sz="0" w:space="0" w:color="auto"/>
            <w:left w:val="none" w:sz="0" w:space="0" w:color="auto"/>
            <w:bottom w:val="none" w:sz="0" w:space="0" w:color="auto"/>
            <w:right w:val="none" w:sz="0" w:space="0" w:color="auto"/>
          </w:divBdr>
        </w:div>
        <w:div w:id="1237979411">
          <w:marLeft w:val="0"/>
          <w:marRight w:val="0"/>
          <w:marTop w:val="0"/>
          <w:marBottom w:val="0"/>
          <w:divBdr>
            <w:top w:val="none" w:sz="0" w:space="0" w:color="auto"/>
            <w:left w:val="none" w:sz="0" w:space="0" w:color="auto"/>
            <w:bottom w:val="none" w:sz="0" w:space="0" w:color="auto"/>
            <w:right w:val="none" w:sz="0" w:space="0" w:color="auto"/>
          </w:divBdr>
        </w:div>
        <w:div w:id="1343782186">
          <w:marLeft w:val="0"/>
          <w:marRight w:val="0"/>
          <w:marTop w:val="0"/>
          <w:marBottom w:val="0"/>
          <w:divBdr>
            <w:top w:val="none" w:sz="0" w:space="0" w:color="auto"/>
            <w:left w:val="none" w:sz="0" w:space="0" w:color="auto"/>
            <w:bottom w:val="none" w:sz="0" w:space="0" w:color="auto"/>
            <w:right w:val="none" w:sz="0" w:space="0" w:color="auto"/>
          </w:divBdr>
        </w:div>
        <w:div w:id="1598126577">
          <w:marLeft w:val="0"/>
          <w:marRight w:val="0"/>
          <w:marTop w:val="0"/>
          <w:marBottom w:val="0"/>
          <w:divBdr>
            <w:top w:val="none" w:sz="0" w:space="0" w:color="auto"/>
            <w:left w:val="none" w:sz="0" w:space="0" w:color="auto"/>
            <w:bottom w:val="none" w:sz="0" w:space="0" w:color="auto"/>
            <w:right w:val="none" w:sz="0" w:space="0" w:color="auto"/>
          </w:divBdr>
        </w:div>
        <w:div w:id="2094546664">
          <w:marLeft w:val="0"/>
          <w:marRight w:val="0"/>
          <w:marTop w:val="0"/>
          <w:marBottom w:val="0"/>
          <w:divBdr>
            <w:top w:val="none" w:sz="0" w:space="0" w:color="auto"/>
            <w:left w:val="none" w:sz="0" w:space="0" w:color="auto"/>
            <w:bottom w:val="none" w:sz="0" w:space="0" w:color="auto"/>
            <w:right w:val="none" w:sz="0" w:space="0" w:color="auto"/>
          </w:divBdr>
        </w:div>
      </w:divsChild>
    </w:div>
    <w:div w:id="1492061366">
      <w:bodyDiv w:val="1"/>
      <w:marLeft w:val="0"/>
      <w:marRight w:val="0"/>
      <w:marTop w:val="0"/>
      <w:marBottom w:val="0"/>
      <w:divBdr>
        <w:top w:val="none" w:sz="0" w:space="0" w:color="auto"/>
        <w:left w:val="none" w:sz="0" w:space="0" w:color="auto"/>
        <w:bottom w:val="none" w:sz="0" w:space="0" w:color="auto"/>
        <w:right w:val="none" w:sz="0" w:space="0" w:color="auto"/>
      </w:divBdr>
    </w:div>
    <w:div w:id="1503162716">
      <w:bodyDiv w:val="1"/>
      <w:marLeft w:val="0"/>
      <w:marRight w:val="0"/>
      <w:marTop w:val="0"/>
      <w:marBottom w:val="0"/>
      <w:divBdr>
        <w:top w:val="none" w:sz="0" w:space="0" w:color="auto"/>
        <w:left w:val="none" w:sz="0" w:space="0" w:color="auto"/>
        <w:bottom w:val="none" w:sz="0" w:space="0" w:color="auto"/>
        <w:right w:val="none" w:sz="0" w:space="0" w:color="auto"/>
      </w:divBdr>
      <w:divsChild>
        <w:div w:id="1803035526">
          <w:marLeft w:val="0"/>
          <w:marRight w:val="0"/>
          <w:marTop w:val="0"/>
          <w:marBottom w:val="0"/>
          <w:divBdr>
            <w:top w:val="none" w:sz="0" w:space="0" w:color="auto"/>
            <w:left w:val="none" w:sz="0" w:space="0" w:color="auto"/>
            <w:bottom w:val="none" w:sz="0" w:space="0" w:color="auto"/>
            <w:right w:val="none" w:sz="0" w:space="0" w:color="auto"/>
          </w:divBdr>
        </w:div>
      </w:divsChild>
    </w:div>
    <w:div w:id="1540122113">
      <w:bodyDiv w:val="1"/>
      <w:marLeft w:val="0"/>
      <w:marRight w:val="0"/>
      <w:marTop w:val="0"/>
      <w:marBottom w:val="0"/>
      <w:divBdr>
        <w:top w:val="none" w:sz="0" w:space="0" w:color="auto"/>
        <w:left w:val="none" w:sz="0" w:space="0" w:color="auto"/>
        <w:bottom w:val="none" w:sz="0" w:space="0" w:color="auto"/>
        <w:right w:val="none" w:sz="0" w:space="0" w:color="auto"/>
      </w:divBdr>
    </w:div>
    <w:div w:id="1558934649">
      <w:bodyDiv w:val="1"/>
      <w:marLeft w:val="0"/>
      <w:marRight w:val="0"/>
      <w:marTop w:val="0"/>
      <w:marBottom w:val="0"/>
      <w:divBdr>
        <w:top w:val="none" w:sz="0" w:space="0" w:color="auto"/>
        <w:left w:val="none" w:sz="0" w:space="0" w:color="auto"/>
        <w:bottom w:val="none" w:sz="0" w:space="0" w:color="auto"/>
        <w:right w:val="none" w:sz="0" w:space="0" w:color="auto"/>
      </w:divBdr>
      <w:divsChild>
        <w:div w:id="1126125169">
          <w:marLeft w:val="0"/>
          <w:marRight w:val="0"/>
          <w:marTop w:val="0"/>
          <w:marBottom w:val="0"/>
          <w:divBdr>
            <w:top w:val="none" w:sz="0" w:space="0" w:color="auto"/>
            <w:left w:val="none" w:sz="0" w:space="0" w:color="auto"/>
            <w:bottom w:val="none" w:sz="0" w:space="0" w:color="auto"/>
            <w:right w:val="none" w:sz="0" w:space="0" w:color="auto"/>
          </w:divBdr>
          <w:divsChild>
            <w:div w:id="533348228">
              <w:marLeft w:val="0"/>
              <w:marRight w:val="0"/>
              <w:marTop w:val="0"/>
              <w:marBottom w:val="0"/>
              <w:divBdr>
                <w:top w:val="none" w:sz="0" w:space="0" w:color="auto"/>
                <w:left w:val="none" w:sz="0" w:space="0" w:color="auto"/>
                <w:bottom w:val="none" w:sz="0" w:space="0" w:color="auto"/>
                <w:right w:val="none" w:sz="0" w:space="0" w:color="auto"/>
              </w:divBdr>
              <w:divsChild>
                <w:div w:id="1738673123">
                  <w:marLeft w:val="0"/>
                  <w:marRight w:val="0"/>
                  <w:marTop w:val="0"/>
                  <w:marBottom w:val="0"/>
                  <w:divBdr>
                    <w:top w:val="none" w:sz="0" w:space="0" w:color="auto"/>
                    <w:left w:val="none" w:sz="0" w:space="0" w:color="auto"/>
                    <w:bottom w:val="none" w:sz="0" w:space="0" w:color="auto"/>
                    <w:right w:val="none" w:sz="0" w:space="0" w:color="auto"/>
                  </w:divBdr>
                  <w:divsChild>
                    <w:div w:id="19384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50965">
      <w:bodyDiv w:val="1"/>
      <w:marLeft w:val="0"/>
      <w:marRight w:val="0"/>
      <w:marTop w:val="0"/>
      <w:marBottom w:val="0"/>
      <w:divBdr>
        <w:top w:val="none" w:sz="0" w:space="0" w:color="auto"/>
        <w:left w:val="none" w:sz="0" w:space="0" w:color="auto"/>
        <w:bottom w:val="none" w:sz="0" w:space="0" w:color="auto"/>
        <w:right w:val="none" w:sz="0" w:space="0" w:color="auto"/>
      </w:divBdr>
    </w:div>
    <w:div w:id="1621642660">
      <w:bodyDiv w:val="1"/>
      <w:marLeft w:val="0"/>
      <w:marRight w:val="0"/>
      <w:marTop w:val="0"/>
      <w:marBottom w:val="0"/>
      <w:divBdr>
        <w:top w:val="none" w:sz="0" w:space="0" w:color="auto"/>
        <w:left w:val="none" w:sz="0" w:space="0" w:color="auto"/>
        <w:bottom w:val="none" w:sz="0" w:space="0" w:color="auto"/>
        <w:right w:val="none" w:sz="0" w:space="0" w:color="auto"/>
      </w:divBdr>
    </w:div>
    <w:div w:id="1725983644">
      <w:bodyDiv w:val="1"/>
      <w:marLeft w:val="0"/>
      <w:marRight w:val="0"/>
      <w:marTop w:val="0"/>
      <w:marBottom w:val="0"/>
      <w:divBdr>
        <w:top w:val="none" w:sz="0" w:space="0" w:color="auto"/>
        <w:left w:val="none" w:sz="0" w:space="0" w:color="auto"/>
        <w:bottom w:val="none" w:sz="0" w:space="0" w:color="auto"/>
        <w:right w:val="none" w:sz="0" w:space="0" w:color="auto"/>
      </w:divBdr>
      <w:divsChild>
        <w:div w:id="605696510">
          <w:marLeft w:val="0"/>
          <w:marRight w:val="0"/>
          <w:marTop w:val="0"/>
          <w:marBottom w:val="0"/>
          <w:divBdr>
            <w:top w:val="none" w:sz="0" w:space="0" w:color="auto"/>
            <w:left w:val="none" w:sz="0" w:space="0" w:color="auto"/>
            <w:bottom w:val="none" w:sz="0" w:space="0" w:color="auto"/>
            <w:right w:val="none" w:sz="0" w:space="0" w:color="auto"/>
          </w:divBdr>
          <w:divsChild>
            <w:div w:id="10738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933">
      <w:bodyDiv w:val="1"/>
      <w:marLeft w:val="0"/>
      <w:marRight w:val="0"/>
      <w:marTop w:val="0"/>
      <w:marBottom w:val="0"/>
      <w:divBdr>
        <w:top w:val="none" w:sz="0" w:space="0" w:color="auto"/>
        <w:left w:val="none" w:sz="0" w:space="0" w:color="auto"/>
        <w:bottom w:val="none" w:sz="0" w:space="0" w:color="auto"/>
        <w:right w:val="none" w:sz="0" w:space="0" w:color="auto"/>
      </w:divBdr>
      <w:divsChild>
        <w:div w:id="315956236">
          <w:marLeft w:val="0"/>
          <w:marRight w:val="0"/>
          <w:marTop w:val="0"/>
          <w:marBottom w:val="0"/>
          <w:divBdr>
            <w:top w:val="none" w:sz="0" w:space="0" w:color="auto"/>
            <w:left w:val="none" w:sz="0" w:space="0" w:color="auto"/>
            <w:bottom w:val="none" w:sz="0" w:space="0" w:color="auto"/>
            <w:right w:val="none" w:sz="0" w:space="0" w:color="auto"/>
          </w:divBdr>
        </w:div>
        <w:div w:id="1021515705">
          <w:marLeft w:val="0"/>
          <w:marRight w:val="0"/>
          <w:marTop w:val="0"/>
          <w:marBottom w:val="0"/>
          <w:divBdr>
            <w:top w:val="none" w:sz="0" w:space="0" w:color="auto"/>
            <w:left w:val="none" w:sz="0" w:space="0" w:color="auto"/>
            <w:bottom w:val="none" w:sz="0" w:space="0" w:color="auto"/>
            <w:right w:val="none" w:sz="0" w:space="0" w:color="auto"/>
          </w:divBdr>
        </w:div>
        <w:div w:id="1424060860">
          <w:marLeft w:val="0"/>
          <w:marRight w:val="0"/>
          <w:marTop w:val="0"/>
          <w:marBottom w:val="0"/>
          <w:divBdr>
            <w:top w:val="none" w:sz="0" w:space="0" w:color="auto"/>
            <w:left w:val="none" w:sz="0" w:space="0" w:color="auto"/>
            <w:bottom w:val="none" w:sz="0" w:space="0" w:color="auto"/>
            <w:right w:val="none" w:sz="0" w:space="0" w:color="auto"/>
          </w:divBdr>
        </w:div>
        <w:div w:id="1638758890">
          <w:marLeft w:val="0"/>
          <w:marRight w:val="0"/>
          <w:marTop w:val="0"/>
          <w:marBottom w:val="0"/>
          <w:divBdr>
            <w:top w:val="none" w:sz="0" w:space="0" w:color="auto"/>
            <w:left w:val="none" w:sz="0" w:space="0" w:color="auto"/>
            <w:bottom w:val="none" w:sz="0" w:space="0" w:color="auto"/>
            <w:right w:val="none" w:sz="0" w:space="0" w:color="auto"/>
          </w:divBdr>
        </w:div>
        <w:div w:id="1758556037">
          <w:marLeft w:val="0"/>
          <w:marRight w:val="0"/>
          <w:marTop w:val="0"/>
          <w:marBottom w:val="0"/>
          <w:divBdr>
            <w:top w:val="none" w:sz="0" w:space="0" w:color="auto"/>
            <w:left w:val="none" w:sz="0" w:space="0" w:color="auto"/>
            <w:bottom w:val="none" w:sz="0" w:space="0" w:color="auto"/>
            <w:right w:val="none" w:sz="0" w:space="0" w:color="auto"/>
          </w:divBdr>
        </w:div>
        <w:div w:id="1787043384">
          <w:marLeft w:val="0"/>
          <w:marRight w:val="0"/>
          <w:marTop w:val="0"/>
          <w:marBottom w:val="0"/>
          <w:divBdr>
            <w:top w:val="none" w:sz="0" w:space="0" w:color="auto"/>
            <w:left w:val="none" w:sz="0" w:space="0" w:color="auto"/>
            <w:bottom w:val="none" w:sz="0" w:space="0" w:color="auto"/>
            <w:right w:val="none" w:sz="0" w:space="0" w:color="auto"/>
          </w:divBdr>
          <w:divsChild>
            <w:div w:id="280190330">
              <w:marLeft w:val="0"/>
              <w:marRight w:val="0"/>
              <w:marTop w:val="0"/>
              <w:marBottom w:val="0"/>
              <w:divBdr>
                <w:top w:val="none" w:sz="0" w:space="0" w:color="auto"/>
                <w:left w:val="none" w:sz="0" w:space="0" w:color="auto"/>
                <w:bottom w:val="none" w:sz="0" w:space="0" w:color="auto"/>
                <w:right w:val="none" w:sz="0" w:space="0" w:color="auto"/>
              </w:divBdr>
            </w:div>
            <w:div w:id="965354341">
              <w:marLeft w:val="0"/>
              <w:marRight w:val="0"/>
              <w:marTop w:val="0"/>
              <w:marBottom w:val="0"/>
              <w:divBdr>
                <w:top w:val="none" w:sz="0" w:space="0" w:color="auto"/>
                <w:left w:val="none" w:sz="0" w:space="0" w:color="auto"/>
                <w:bottom w:val="none" w:sz="0" w:space="0" w:color="auto"/>
                <w:right w:val="none" w:sz="0" w:space="0" w:color="auto"/>
              </w:divBdr>
            </w:div>
          </w:divsChild>
        </w:div>
        <w:div w:id="2011784875">
          <w:marLeft w:val="0"/>
          <w:marRight w:val="0"/>
          <w:marTop w:val="0"/>
          <w:marBottom w:val="0"/>
          <w:divBdr>
            <w:top w:val="none" w:sz="0" w:space="0" w:color="auto"/>
            <w:left w:val="none" w:sz="0" w:space="0" w:color="auto"/>
            <w:bottom w:val="none" w:sz="0" w:space="0" w:color="auto"/>
            <w:right w:val="none" w:sz="0" w:space="0" w:color="auto"/>
          </w:divBdr>
        </w:div>
      </w:divsChild>
    </w:div>
    <w:div w:id="1740859785">
      <w:bodyDiv w:val="1"/>
      <w:marLeft w:val="0"/>
      <w:marRight w:val="0"/>
      <w:marTop w:val="0"/>
      <w:marBottom w:val="0"/>
      <w:divBdr>
        <w:top w:val="none" w:sz="0" w:space="0" w:color="auto"/>
        <w:left w:val="none" w:sz="0" w:space="0" w:color="auto"/>
        <w:bottom w:val="none" w:sz="0" w:space="0" w:color="auto"/>
        <w:right w:val="none" w:sz="0" w:space="0" w:color="auto"/>
      </w:divBdr>
    </w:div>
    <w:div w:id="1865943288">
      <w:bodyDiv w:val="1"/>
      <w:marLeft w:val="0"/>
      <w:marRight w:val="0"/>
      <w:marTop w:val="0"/>
      <w:marBottom w:val="0"/>
      <w:divBdr>
        <w:top w:val="none" w:sz="0" w:space="0" w:color="auto"/>
        <w:left w:val="none" w:sz="0" w:space="0" w:color="auto"/>
        <w:bottom w:val="none" w:sz="0" w:space="0" w:color="auto"/>
        <w:right w:val="none" w:sz="0" w:space="0" w:color="auto"/>
      </w:divBdr>
      <w:divsChild>
        <w:div w:id="2104954554">
          <w:marLeft w:val="0"/>
          <w:marRight w:val="0"/>
          <w:marTop w:val="0"/>
          <w:marBottom w:val="0"/>
          <w:divBdr>
            <w:top w:val="none" w:sz="0" w:space="0" w:color="auto"/>
            <w:left w:val="none" w:sz="0" w:space="0" w:color="auto"/>
            <w:bottom w:val="none" w:sz="0" w:space="0" w:color="auto"/>
            <w:right w:val="none" w:sz="0" w:space="0" w:color="auto"/>
          </w:divBdr>
          <w:divsChild>
            <w:div w:id="1631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70866">
      <w:bodyDiv w:val="1"/>
      <w:marLeft w:val="0"/>
      <w:marRight w:val="0"/>
      <w:marTop w:val="0"/>
      <w:marBottom w:val="0"/>
      <w:divBdr>
        <w:top w:val="none" w:sz="0" w:space="0" w:color="auto"/>
        <w:left w:val="none" w:sz="0" w:space="0" w:color="auto"/>
        <w:bottom w:val="none" w:sz="0" w:space="0" w:color="auto"/>
        <w:right w:val="none" w:sz="0" w:space="0" w:color="auto"/>
      </w:divBdr>
      <w:divsChild>
        <w:div w:id="309755078">
          <w:marLeft w:val="0"/>
          <w:marRight w:val="0"/>
          <w:marTop w:val="0"/>
          <w:marBottom w:val="0"/>
          <w:divBdr>
            <w:top w:val="none" w:sz="0" w:space="0" w:color="auto"/>
            <w:left w:val="none" w:sz="0" w:space="0" w:color="auto"/>
            <w:bottom w:val="none" w:sz="0" w:space="0" w:color="auto"/>
            <w:right w:val="none" w:sz="0" w:space="0" w:color="auto"/>
          </w:divBdr>
        </w:div>
      </w:divsChild>
    </w:div>
    <w:div w:id="1993214123">
      <w:bodyDiv w:val="1"/>
      <w:marLeft w:val="0"/>
      <w:marRight w:val="0"/>
      <w:marTop w:val="0"/>
      <w:marBottom w:val="0"/>
      <w:divBdr>
        <w:top w:val="none" w:sz="0" w:space="0" w:color="auto"/>
        <w:left w:val="none" w:sz="0" w:space="0" w:color="auto"/>
        <w:bottom w:val="none" w:sz="0" w:space="0" w:color="auto"/>
        <w:right w:val="none" w:sz="0" w:space="0" w:color="auto"/>
      </w:divBdr>
      <w:divsChild>
        <w:div w:id="583074054">
          <w:marLeft w:val="0"/>
          <w:marRight w:val="0"/>
          <w:marTop w:val="0"/>
          <w:marBottom w:val="0"/>
          <w:divBdr>
            <w:top w:val="none" w:sz="0" w:space="0" w:color="auto"/>
            <w:left w:val="none" w:sz="0" w:space="0" w:color="auto"/>
            <w:bottom w:val="none" w:sz="0" w:space="0" w:color="auto"/>
            <w:right w:val="none" w:sz="0" w:space="0" w:color="auto"/>
          </w:divBdr>
        </w:div>
        <w:div w:id="935865931">
          <w:marLeft w:val="0"/>
          <w:marRight w:val="0"/>
          <w:marTop w:val="0"/>
          <w:marBottom w:val="0"/>
          <w:divBdr>
            <w:top w:val="none" w:sz="0" w:space="0" w:color="auto"/>
            <w:left w:val="none" w:sz="0" w:space="0" w:color="auto"/>
            <w:bottom w:val="none" w:sz="0" w:space="0" w:color="auto"/>
            <w:right w:val="none" w:sz="0" w:space="0" w:color="auto"/>
          </w:divBdr>
        </w:div>
        <w:div w:id="1037047079">
          <w:marLeft w:val="0"/>
          <w:marRight w:val="0"/>
          <w:marTop w:val="0"/>
          <w:marBottom w:val="0"/>
          <w:divBdr>
            <w:top w:val="none" w:sz="0" w:space="0" w:color="auto"/>
            <w:left w:val="none" w:sz="0" w:space="0" w:color="auto"/>
            <w:bottom w:val="none" w:sz="0" w:space="0" w:color="auto"/>
            <w:right w:val="none" w:sz="0" w:space="0" w:color="auto"/>
          </w:divBdr>
        </w:div>
        <w:div w:id="1285766930">
          <w:marLeft w:val="0"/>
          <w:marRight w:val="0"/>
          <w:marTop w:val="0"/>
          <w:marBottom w:val="0"/>
          <w:divBdr>
            <w:top w:val="none" w:sz="0" w:space="0" w:color="auto"/>
            <w:left w:val="none" w:sz="0" w:space="0" w:color="auto"/>
            <w:bottom w:val="none" w:sz="0" w:space="0" w:color="auto"/>
            <w:right w:val="none" w:sz="0" w:space="0" w:color="auto"/>
          </w:divBdr>
        </w:div>
        <w:div w:id="1779448394">
          <w:marLeft w:val="0"/>
          <w:marRight w:val="0"/>
          <w:marTop w:val="0"/>
          <w:marBottom w:val="0"/>
          <w:divBdr>
            <w:top w:val="none" w:sz="0" w:space="0" w:color="auto"/>
            <w:left w:val="none" w:sz="0" w:space="0" w:color="auto"/>
            <w:bottom w:val="none" w:sz="0" w:space="0" w:color="auto"/>
            <w:right w:val="none" w:sz="0" w:space="0" w:color="auto"/>
          </w:divBdr>
        </w:div>
        <w:div w:id="1969503129">
          <w:marLeft w:val="0"/>
          <w:marRight w:val="0"/>
          <w:marTop w:val="0"/>
          <w:marBottom w:val="0"/>
          <w:divBdr>
            <w:top w:val="none" w:sz="0" w:space="0" w:color="auto"/>
            <w:left w:val="none" w:sz="0" w:space="0" w:color="auto"/>
            <w:bottom w:val="none" w:sz="0" w:space="0" w:color="auto"/>
            <w:right w:val="none" w:sz="0" w:space="0" w:color="auto"/>
          </w:divBdr>
          <w:divsChild>
            <w:div w:id="1431699853">
              <w:marLeft w:val="0"/>
              <w:marRight w:val="0"/>
              <w:marTop w:val="0"/>
              <w:marBottom w:val="0"/>
              <w:divBdr>
                <w:top w:val="none" w:sz="0" w:space="0" w:color="auto"/>
                <w:left w:val="none" w:sz="0" w:space="0" w:color="auto"/>
                <w:bottom w:val="none" w:sz="0" w:space="0" w:color="auto"/>
                <w:right w:val="none" w:sz="0" w:space="0" w:color="auto"/>
              </w:divBdr>
            </w:div>
            <w:div w:id="1626472687">
              <w:marLeft w:val="0"/>
              <w:marRight w:val="0"/>
              <w:marTop w:val="0"/>
              <w:marBottom w:val="0"/>
              <w:divBdr>
                <w:top w:val="none" w:sz="0" w:space="0" w:color="auto"/>
                <w:left w:val="none" w:sz="0" w:space="0" w:color="auto"/>
                <w:bottom w:val="none" w:sz="0" w:space="0" w:color="auto"/>
                <w:right w:val="none" w:sz="0" w:space="0" w:color="auto"/>
              </w:divBdr>
            </w:div>
          </w:divsChild>
        </w:div>
        <w:div w:id="1977711953">
          <w:marLeft w:val="0"/>
          <w:marRight w:val="0"/>
          <w:marTop w:val="0"/>
          <w:marBottom w:val="0"/>
          <w:divBdr>
            <w:top w:val="none" w:sz="0" w:space="0" w:color="auto"/>
            <w:left w:val="none" w:sz="0" w:space="0" w:color="auto"/>
            <w:bottom w:val="none" w:sz="0" w:space="0" w:color="auto"/>
            <w:right w:val="none" w:sz="0" w:space="0" w:color="auto"/>
          </w:divBdr>
        </w:div>
      </w:divsChild>
    </w:div>
    <w:div w:id="2020041528">
      <w:bodyDiv w:val="1"/>
      <w:marLeft w:val="0"/>
      <w:marRight w:val="0"/>
      <w:marTop w:val="0"/>
      <w:marBottom w:val="0"/>
      <w:divBdr>
        <w:top w:val="none" w:sz="0" w:space="0" w:color="auto"/>
        <w:left w:val="none" w:sz="0" w:space="0" w:color="auto"/>
        <w:bottom w:val="none" w:sz="0" w:space="0" w:color="auto"/>
        <w:right w:val="none" w:sz="0" w:space="0" w:color="auto"/>
      </w:divBdr>
    </w:div>
    <w:div w:id="2062442275">
      <w:bodyDiv w:val="1"/>
      <w:marLeft w:val="0"/>
      <w:marRight w:val="0"/>
      <w:marTop w:val="0"/>
      <w:marBottom w:val="0"/>
      <w:divBdr>
        <w:top w:val="none" w:sz="0" w:space="0" w:color="auto"/>
        <w:left w:val="none" w:sz="0" w:space="0" w:color="auto"/>
        <w:bottom w:val="none" w:sz="0" w:space="0" w:color="auto"/>
        <w:right w:val="none" w:sz="0" w:space="0" w:color="auto"/>
      </w:divBdr>
    </w:div>
    <w:div w:id="2131774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60CB-1794-4A8F-9D4B-978FB3E6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33533</Words>
  <Characters>201201</Characters>
  <Application>Microsoft Office Word</Application>
  <DocSecurity>0</DocSecurity>
  <Lines>1676</Lines>
  <Paragraphs>468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Gąsecka</dc:creator>
  <cp:keywords/>
  <dc:description/>
  <cp:lastModifiedBy>Grażyna D. Grabowska</cp:lastModifiedBy>
  <cp:revision>2</cp:revision>
  <cp:lastPrinted>2021-04-27T09:42:00Z</cp:lastPrinted>
  <dcterms:created xsi:type="dcterms:W3CDTF">2023-05-16T12:30:00Z</dcterms:created>
  <dcterms:modified xsi:type="dcterms:W3CDTF">2023-05-16T12:30:00Z</dcterms:modified>
</cp:coreProperties>
</file>