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183DD" w14:textId="77A2ED2F" w:rsidR="00C91482" w:rsidRPr="00034EB5" w:rsidRDefault="00C91482" w:rsidP="00034EB5">
      <w:pPr>
        <w:keepNext/>
        <w:widowControl/>
        <w:autoSpaceDE/>
        <w:autoSpaceDN/>
        <w:adjustRightInd/>
        <w:spacing w:before="120"/>
        <w:jc w:val="center"/>
        <w:rPr>
          <w:rFonts w:eastAsia="Times New Roman" w:cs="Times New Roman"/>
          <w:bCs/>
          <w:caps/>
          <w:kern w:val="24"/>
          <w:szCs w:val="24"/>
        </w:rPr>
      </w:pPr>
      <w:r w:rsidRPr="00034EB5">
        <w:rPr>
          <w:rFonts w:eastAsia="Times New Roman" w:cs="Times New Roman"/>
          <w:bCs/>
          <w:caps/>
          <w:kern w:val="24"/>
          <w:szCs w:val="24"/>
        </w:rPr>
        <w:t>Uzasadnienie</w:t>
      </w:r>
    </w:p>
    <w:p w14:paraId="1B5C7C05" w14:textId="5695D991"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Potrzeba wprowadzenia projektowanych rozwiązań wynika zarówno z konieczności zapewnienia Siłom Zbrojnym Rzeczypospolitej Polskiej (</w:t>
      </w:r>
      <w:r w:rsidR="00323A2E">
        <w:rPr>
          <w:rFonts w:eastAsia="Calibri" w:cs="Times New Roman"/>
          <w:szCs w:val="24"/>
          <w:lang w:eastAsia="en-US"/>
        </w:rPr>
        <w:t>dalej jako „</w:t>
      </w:r>
      <w:r w:rsidRPr="00AC50C1">
        <w:rPr>
          <w:rFonts w:eastAsia="Calibri" w:cs="Times New Roman"/>
          <w:color w:val="000000" w:themeColor="text1"/>
          <w:szCs w:val="24"/>
          <w:lang w:eastAsia="en-US"/>
        </w:rPr>
        <w:t>SZ RP</w:t>
      </w:r>
      <w:r w:rsidR="00323A2E">
        <w:rPr>
          <w:rFonts w:eastAsia="Calibri" w:cs="Times New Roman"/>
          <w:szCs w:val="24"/>
          <w:lang w:eastAsia="en-US"/>
        </w:rPr>
        <w:t>”</w:t>
      </w:r>
      <w:r w:rsidRPr="00323A2E">
        <w:rPr>
          <w:rFonts w:eastAsia="Calibri" w:cs="Times New Roman"/>
          <w:szCs w:val="24"/>
          <w:lang w:eastAsia="en-US"/>
        </w:rPr>
        <w:t xml:space="preserve">) możliwości skutecznego oddziaływania na zagrożenia terrorystyczne z morza i powietrza, których nie można zneutralizować środkami pozostającymi w dyspozycji ministra właściwego do spraw wewnętrznych, jak i z konieczności zapewnienia </w:t>
      </w:r>
      <w:r w:rsidR="00F801A7">
        <w:rPr>
          <w:rFonts w:eastAsia="Calibri" w:cs="Times New Roman"/>
          <w:szCs w:val="24"/>
          <w:lang w:eastAsia="en-US"/>
        </w:rPr>
        <w:t>p</w:t>
      </w:r>
      <w:r w:rsidRPr="00323A2E">
        <w:rPr>
          <w:rFonts w:eastAsia="Calibri" w:cs="Times New Roman"/>
          <w:szCs w:val="24"/>
          <w:lang w:eastAsia="en-US"/>
        </w:rPr>
        <w:t>aństwu możliwości korzystania ze zdolności SZ RP do przeciwdziałania współczesnym zagrożeniom dla bezpieczeństwa państwa, które wym</w:t>
      </w:r>
      <w:r w:rsidR="00034EB5">
        <w:rPr>
          <w:rFonts w:eastAsia="Calibri" w:cs="Times New Roman"/>
          <w:szCs w:val="24"/>
          <w:lang w:eastAsia="en-US"/>
        </w:rPr>
        <w:t xml:space="preserve">ykają się ustalonym schematom i </w:t>
      </w:r>
      <w:r w:rsidRPr="00323A2E">
        <w:rPr>
          <w:rFonts w:eastAsia="Calibri" w:cs="Times New Roman"/>
          <w:szCs w:val="24"/>
          <w:lang w:eastAsia="en-US"/>
        </w:rPr>
        <w:t xml:space="preserve">uniemożliwiają podejmowanie działania w ramach </w:t>
      </w:r>
      <w:r w:rsidR="00034EB5">
        <w:rPr>
          <w:rFonts w:eastAsia="Calibri" w:cs="Times New Roman"/>
          <w:szCs w:val="24"/>
          <w:lang w:eastAsia="en-US"/>
        </w:rPr>
        <w:t>istniejącego porządku prawnego.</w:t>
      </w:r>
    </w:p>
    <w:p w14:paraId="460E9146" w14:textId="44251A4C"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 xml:space="preserve">Brak </w:t>
      </w:r>
      <w:r w:rsidR="009072CF">
        <w:rPr>
          <w:rFonts w:eastAsia="Calibri" w:cs="Times New Roman"/>
          <w:szCs w:val="24"/>
          <w:lang w:eastAsia="en-US"/>
        </w:rPr>
        <w:t xml:space="preserve">jest </w:t>
      </w:r>
      <w:r w:rsidRPr="00323A2E">
        <w:rPr>
          <w:rFonts w:eastAsia="Calibri" w:cs="Times New Roman"/>
          <w:szCs w:val="24"/>
          <w:lang w:eastAsia="en-US"/>
        </w:rPr>
        <w:t>przepisów prawnych upoważniających do użycia SZ RP w</w:t>
      </w:r>
      <w:r w:rsidR="00F801A7">
        <w:rPr>
          <w:rFonts w:eastAsia="Calibri" w:cs="Times New Roman"/>
          <w:szCs w:val="24"/>
          <w:lang w:eastAsia="en-US"/>
        </w:rPr>
        <w:t xml:space="preserve"> </w:t>
      </w:r>
      <w:r w:rsidRPr="00323A2E">
        <w:rPr>
          <w:rFonts w:eastAsia="Calibri" w:cs="Times New Roman"/>
          <w:szCs w:val="24"/>
          <w:lang w:eastAsia="en-US"/>
        </w:rPr>
        <w:t>celu neutralizacji tych zagrożeń, przy jednoczesnym braku możliwości zastosowania w tym celu innych środków. Państwo powinno mieć możliwość wykorzystania SZ RP do zapewnienia bezpieczeństwa zewnętrznego, co wiąże się z koniecznością zapewnienia tym siłom możliwości skutecznego operowania w czasie pokoju oraz oddziaływania na zagrożenia dla bezpieczeństwa państwa, których nie można zneutralizować środkami pozostającymi w</w:t>
      </w:r>
      <w:r w:rsidR="00F801A7">
        <w:rPr>
          <w:rFonts w:eastAsia="Calibri" w:cs="Times New Roman"/>
          <w:szCs w:val="24"/>
          <w:lang w:eastAsia="en-US"/>
        </w:rPr>
        <w:t xml:space="preserve"> </w:t>
      </w:r>
      <w:r w:rsidRPr="00323A2E">
        <w:rPr>
          <w:rFonts w:eastAsia="Calibri" w:cs="Times New Roman"/>
          <w:szCs w:val="24"/>
          <w:lang w:eastAsia="en-US"/>
        </w:rPr>
        <w:t>dyspozycji ministra właściwego do spraw wewnętrznych. Projektowane zmiany mają charakter systemowy i zmierz</w:t>
      </w:r>
      <w:r w:rsidR="00034EB5">
        <w:rPr>
          <w:rFonts w:eastAsia="Calibri" w:cs="Times New Roman"/>
          <w:szCs w:val="24"/>
          <w:lang w:eastAsia="en-US"/>
        </w:rPr>
        <w:t xml:space="preserve">ają do uregulowania sytuacji, w </w:t>
      </w:r>
      <w:r w:rsidRPr="00323A2E">
        <w:rPr>
          <w:rFonts w:eastAsia="Calibri" w:cs="Times New Roman"/>
          <w:szCs w:val="24"/>
          <w:lang w:eastAsia="en-US"/>
        </w:rPr>
        <w:t>których SZ RP mogą prowadzić w czasie pokoju działania mające na celu zwię</w:t>
      </w:r>
      <w:r w:rsidR="00034EB5">
        <w:rPr>
          <w:rFonts w:eastAsia="Calibri" w:cs="Times New Roman"/>
          <w:szCs w:val="24"/>
          <w:lang w:eastAsia="en-US"/>
        </w:rPr>
        <w:t>kszenie bezpieczeństwa państwa.</w:t>
      </w:r>
    </w:p>
    <w:p w14:paraId="37E812E1" w14:textId="07F57924"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To, że taki atak nie miał jeszcze w naszym kraju miejsca, nie oznacza, że państwo nie powinno mieć rozwiązań prawnych, z których w takiej sytuacji będzie można skorzystać. Obowiązujące przepisy nie zapewniają również w wystarczający sposób bezpieczeństwa prawnego dowódcom i żołnierzom podejmującym działania w ramach neutralizacji zagrożeń. Projektowane zmiany mają charakter systemowy i zmierzają do uregulowania sytuacji, w których SZ RP mogą zostać użyte do neutralizacji zagrożenia terrorystycznego no</w:t>
      </w:r>
      <w:r w:rsidR="00034EB5">
        <w:rPr>
          <w:rFonts w:eastAsia="Calibri" w:cs="Times New Roman"/>
          <w:szCs w:val="24"/>
          <w:lang w:eastAsia="en-US"/>
        </w:rPr>
        <w:t>rmowanego zmienianymi ustawami.</w:t>
      </w:r>
    </w:p>
    <w:p w14:paraId="5D292385" w14:textId="6289646B"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Należy podkreślić, że projektowane przepisy mają także zapewnić możliwość skutecznego oddziaływania SZ RP na zagrożenia związane z atakami na szeroko pojętą infrastrukturę energetyczną znajdującą się na morzu, tj.: międzysystemowy Gazociąg Bałtycki (</w:t>
      </w:r>
      <w:r w:rsidRPr="00323A2E">
        <w:rPr>
          <w:rFonts w:eastAsia="Calibri" w:cs="Times New Roman"/>
          <w:i/>
          <w:iCs/>
          <w:szCs w:val="24"/>
          <w:lang w:eastAsia="en-US"/>
        </w:rPr>
        <w:t>Baltic Pipe</w:t>
      </w:r>
      <w:r w:rsidRPr="00323A2E">
        <w:rPr>
          <w:rFonts w:eastAsia="Calibri" w:cs="Times New Roman"/>
          <w:szCs w:val="24"/>
          <w:lang w:eastAsia="en-US"/>
        </w:rPr>
        <w:t xml:space="preserve">), obiekty, urządzenia i instalacje wchodzące w skład infrastruktury zapewniającej dostęp do portów o podstawowym znaczeniu dla gospodarki narodowej, a także wykorzystywane w wyłącznej strefie ekonomicznej: sztuczne wyspy, wszelkiego rodzaju konstrukcje i urządzenia przeznaczone do rozpoznawania lub eksploatacji zasobów, morskie </w:t>
      </w:r>
      <w:r w:rsidRPr="00323A2E">
        <w:rPr>
          <w:rFonts w:eastAsia="Calibri" w:cs="Times New Roman"/>
          <w:szCs w:val="24"/>
          <w:lang w:eastAsia="en-US"/>
        </w:rPr>
        <w:lastRenderedPageBreak/>
        <w:t xml:space="preserve">farmy wiatrowe, podmorskie sieci elektroenergetyczne i światłowodowe, rurociągi, a także </w:t>
      </w:r>
      <w:r w:rsidR="00034EB5">
        <w:rPr>
          <w:rFonts w:eastAsia="Calibri" w:cs="Times New Roman"/>
          <w:szCs w:val="24"/>
          <w:lang w:eastAsia="en-US"/>
        </w:rPr>
        <w:t>związaną z nimi infrastrukturę.</w:t>
      </w:r>
    </w:p>
    <w:p w14:paraId="0E4480BB" w14:textId="79EC8B45"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Projektowane przepisy mają na celu umożliwienie SZ RP podejmowani</w:t>
      </w:r>
      <w:r w:rsidR="00F801A7">
        <w:rPr>
          <w:rFonts w:eastAsia="Calibri" w:cs="Times New Roman"/>
          <w:szCs w:val="24"/>
          <w:lang w:eastAsia="en-US"/>
        </w:rPr>
        <w:t>a</w:t>
      </w:r>
      <w:r w:rsidRPr="00323A2E">
        <w:rPr>
          <w:rFonts w:eastAsia="Calibri" w:cs="Times New Roman"/>
          <w:szCs w:val="24"/>
          <w:lang w:eastAsia="en-US"/>
        </w:rPr>
        <w:t xml:space="preserve"> działań mających na celu uniemożliwienie przeprowadzenia ataków skutkujących uszkodzeniem infrastruktury krytycznej, takich jak atak na Nord Stream, które spowodowałyby ograniczenie przepływu gazu ziemnego niezbędnego do zapewnienia prawidłowego funkcjonowania gospodarki. W</w:t>
      </w:r>
      <w:r w:rsidR="00F801A7">
        <w:rPr>
          <w:rFonts w:eastAsia="Calibri" w:cs="Times New Roman"/>
          <w:szCs w:val="24"/>
          <w:lang w:eastAsia="en-US"/>
        </w:rPr>
        <w:t xml:space="preserve"> </w:t>
      </w:r>
      <w:r w:rsidRPr="00323A2E">
        <w:rPr>
          <w:rFonts w:eastAsia="Calibri" w:cs="Times New Roman"/>
          <w:szCs w:val="24"/>
          <w:lang w:eastAsia="en-US"/>
        </w:rPr>
        <w:t xml:space="preserve">związku z tym </w:t>
      </w:r>
      <w:r w:rsidR="00F801A7" w:rsidRPr="00323A2E">
        <w:rPr>
          <w:rFonts w:eastAsia="Calibri" w:cs="Times New Roman"/>
          <w:szCs w:val="24"/>
          <w:lang w:eastAsia="en-US"/>
        </w:rPr>
        <w:t xml:space="preserve">jest </w:t>
      </w:r>
      <w:r w:rsidRPr="00323A2E">
        <w:rPr>
          <w:rFonts w:eastAsia="Calibri" w:cs="Times New Roman"/>
          <w:szCs w:val="24"/>
          <w:lang w:eastAsia="en-US"/>
        </w:rPr>
        <w:t>niezbędne zabezpieczenie międzysystemowego Gazociągu Bałtyckiego (</w:t>
      </w:r>
      <w:r w:rsidRPr="00323A2E">
        <w:rPr>
          <w:rFonts w:eastAsia="Calibri" w:cs="Times New Roman"/>
          <w:i/>
          <w:szCs w:val="24"/>
          <w:lang w:eastAsia="en-US"/>
        </w:rPr>
        <w:t>Baltic Pipe</w:t>
      </w:r>
      <w:r w:rsidRPr="00323A2E">
        <w:rPr>
          <w:rFonts w:eastAsia="Calibri" w:cs="Times New Roman"/>
          <w:szCs w:val="24"/>
          <w:lang w:eastAsia="en-US"/>
        </w:rPr>
        <w:t xml:space="preserve">) oraz innej infrastruktury w polskiej strefie ekonomicznej </w:t>
      </w:r>
      <w:r w:rsidR="00F801A7">
        <w:rPr>
          <w:rFonts w:eastAsia="Calibri" w:cs="Times New Roman"/>
          <w:szCs w:val="24"/>
          <w:lang w:eastAsia="en-US"/>
        </w:rPr>
        <w:t xml:space="preserve">w </w:t>
      </w:r>
      <w:r w:rsidRPr="00323A2E">
        <w:rPr>
          <w:rFonts w:eastAsia="Calibri" w:cs="Times New Roman"/>
          <w:szCs w:val="24"/>
          <w:lang w:eastAsia="en-US"/>
        </w:rPr>
        <w:t>cel</w:t>
      </w:r>
      <w:r w:rsidR="00F801A7">
        <w:rPr>
          <w:rFonts w:eastAsia="Calibri" w:cs="Times New Roman"/>
          <w:szCs w:val="24"/>
          <w:lang w:eastAsia="en-US"/>
        </w:rPr>
        <w:t>u</w:t>
      </w:r>
      <w:r w:rsidRPr="00323A2E">
        <w:rPr>
          <w:rFonts w:eastAsia="Calibri" w:cs="Times New Roman"/>
          <w:szCs w:val="24"/>
          <w:lang w:eastAsia="en-US"/>
        </w:rPr>
        <w:t xml:space="preserve"> zapewnienia nieprzerwanych dostaw tego surowca. Do tej infrastruktury należy także zaliczyć infrastrukturę energetyczną znajdującą się na morzu, tj. wykorzystywane w wyłącznej strefie ekonomicznej sztuczne wyspy, wszelkiego rodzaju konstrukcje i urządzenia przeznaczone do rozpoznawania lub eksploatacji zasobów, przedsięwzięcia w zakresie gospodarczego badania i</w:t>
      </w:r>
      <w:r w:rsidR="002F34B1">
        <w:rPr>
          <w:rFonts w:eastAsia="Calibri" w:cs="Times New Roman"/>
          <w:szCs w:val="24"/>
          <w:lang w:eastAsia="en-US"/>
        </w:rPr>
        <w:t> </w:t>
      </w:r>
      <w:r w:rsidRPr="00323A2E">
        <w:rPr>
          <w:rFonts w:eastAsia="Calibri" w:cs="Times New Roman"/>
          <w:szCs w:val="24"/>
          <w:lang w:eastAsia="en-US"/>
        </w:rPr>
        <w:t xml:space="preserve">eksploatacji wyłącznej strefy ekonomicznej, a także wykorzystywane w celach energetycznych morskie farmy wiatrowe i zespoły urządzeń służących do wyprowadzenia mocy. Zagrożenie atakami na </w:t>
      </w:r>
      <w:r w:rsidR="009072CF">
        <w:rPr>
          <w:rFonts w:eastAsia="Calibri" w:cs="Times New Roman"/>
          <w:szCs w:val="24"/>
          <w:lang w:eastAsia="en-US"/>
        </w:rPr>
        <w:t>tę</w:t>
      </w:r>
      <w:r w:rsidRPr="00323A2E">
        <w:rPr>
          <w:rFonts w:eastAsia="Calibri" w:cs="Times New Roman"/>
          <w:szCs w:val="24"/>
          <w:lang w:eastAsia="en-US"/>
        </w:rPr>
        <w:t xml:space="preserve"> infrastrukturę jest realne i m</w:t>
      </w:r>
      <w:r w:rsidR="002F34B1">
        <w:rPr>
          <w:rFonts w:eastAsia="Calibri" w:cs="Times New Roman"/>
          <w:szCs w:val="24"/>
          <w:lang w:eastAsia="en-US"/>
        </w:rPr>
        <w:t>oże nastąpić w każdym czasie, w </w:t>
      </w:r>
      <w:r w:rsidRPr="00323A2E">
        <w:rPr>
          <w:rFonts w:eastAsia="Calibri" w:cs="Times New Roman"/>
          <w:szCs w:val="24"/>
          <w:lang w:eastAsia="en-US"/>
        </w:rPr>
        <w:t xml:space="preserve">związku z czym </w:t>
      </w:r>
      <w:r w:rsidR="00F801A7" w:rsidRPr="00323A2E">
        <w:rPr>
          <w:rFonts w:eastAsia="Calibri" w:cs="Times New Roman"/>
          <w:szCs w:val="24"/>
          <w:lang w:eastAsia="en-US"/>
        </w:rPr>
        <w:t xml:space="preserve">jest </w:t>
      </w:r>
      <w:r w:rsidRPr="00323A2E">
        <w:rPr>
          <w:rFonts w:eastAsia="Calibri" w:cs="Times New Roman"/>
          <w:szCs w:val="24"/>
          <w:lang w:eastAsia="en-US"/>
        </w:rPr>
        <w:t>niezbędne wprowadzenie właściwych procedur umożliwiających m.in. użycie SZ RP do wsparcia Straży Granicznej w ochronie tej infrastruktury.</w:t>
      </w:r>
    </w:p>
    <w:p w14:paraId="750B507C" w14:textId="77777777"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W projekcie zaproponowano także przepisy dotyczące zapobiegania niebezpieczeństwom, które mogą grozić terminalowi regazyfikacyjnemu skroplonego gazu ziemnego w Świnoujściu.</w:t>
      </w:r>
    </w:p>
    <w:p w14:paraId="4E1B9AFC" w14:textId="7D76DA4E"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Calibri" w:cs="Times New Roman"/>
          <w:b/>
          <w:szCs w:val="24"/>
          <w:lang w:eastAsia="en-US"/>
        </w:rPr>
        <w:t xml:space="preserve">W ramach zmian w ustawie </w:t>
      </w:r>
      <w:r w:rsidRPr="00323A2E">
        <w:rPr>
          <w:rFonts w:eastAsia="Times New Roman" w:cs="Times New Roman"/>
          <w:b/>
          <w:szCs w:val="24"/>
        </w:rPr>
        <w:t xml:space="preserve">z dnia 4 września 2008 r. </w:t>
      </w:r>
      <w:r w:rsidRPr="00323A2E">
        <w:rPr>
          <w:rFonts w:eastAsia="Calibri" w:cs="Times New Roman"/>
          <w:b/>
          <w:szCs w:val="24"/>
          <w:lang w:eastAsia="en-US"/>
        </w:rPr>
        <w:t>o ochronie żeglugi i portów morskich</w:t>
      </w:r>
      <w:r w:rsidRPr="00323A2E">
        <w:rPr>
          <w:rFonts w:eastAsia="Calibri" w:cs="Times New Roman"/>
          <w:szCs w:val="24"/>
          <w:lang w:eastAsia="en-US"/>
        </w:rPr>
        <w:t xml:space="preserve"> </w:t>
      </w:r>
      <w:r w:rsidRPr="00323A2E">
        <w:rPr>
          <w:rFonts w:eastAsia="Times New Roman" w:cs="Times New Roman"/>
          <w:szCs w:val="24"/>
        </w:rPr>
        <w:t>(</w:t>
      </w:r>
      <w:r w:rsidRPr="00B53914">
        <w:rPr>
          <w:rFonts w:eastAsia="Times New Roman" w:cs="Times New Roman"/>
          <w:szCs w:val="24"/>
        </w:rPr>
        <w:t>Dz. U. z 2022 r. poz. 2257</w:t>
      </w:r>
      <w:r w:rsidR="00323A2E" w:rsidRPr="00B53914">
        <w:rPr>
          <w:rFonts w:cs="Times New Roman"/>
          <w:szCs w:val="24"/>
        </w:rPr>
        <w:t>, z późn. zm.</w:t>
      </w:r>
      <w:r w:rsidRPr="00B53914">
        <w:rPr>
          <w:rFonts w:eastAsia="Times New Roman" w:cs="Times New Roman"/>
          <w:szCs w:val="24"/>
        </w:rPr>
        <w:t xml:space="preserve">) </w:t>
      </w:r>
      <w:r w:rsidRPr="00323A2E">
        <w:rPr>
          <w:rFonts w:eastAsia="Calibri" w:cs="Times New Roman"/>
          <w:szCs w:val="24"/>
          <w:lang w:eastAsia="en-US"/>
        </w:rPr>
        <w:t>n</w:t>
      </w:r>
      <w:r w:rsidRPr="00323A2E">
        <w:rPr>
          <w:rFonts w:eastAsia="Times New Roman" w:cs="Times New Roman"/>
          <w:szCs w:val="24"/>
        </w:rPr>
        <w:t>owelizowany jest art. 27, który przewiduje szczególne uprawnienia dla Ministra Obrony Narodowej ukierunkowane na zapobiegnięcie lub minimalizowanie skutków zdarzenia o charakterze terrorystycznym. Na podstawie tego przepisu Minister Obrony Narodowej może wydać decyzję o zastosowaniu przez SZ RP na polskich obszarach morskich niezbędnych środków (obecnie definiowanych jako środki przymusu bezpośredniego, broń i inne uzbrojenie), do zatopienia statku lub obiektu pływającego włącznie, w celu zapobieżenia, ogranic</w:t>
      </w:r>
      <w:r w:rsidR="002F34B1">
        <w:rPr>
          <w:rFonts w:eastAsia="Times New Roman" w:cs="Times New Roman"/>
          <w:szCs w:val="24"/>
        </w:rPr>
        <w:t>zenia lub usunięcia poważnego i </w:t>
      </w:r>
      <w:r w:rsidRPr="00323A2E">
        <w:rPr>
          <w:rFonts w:eastAsia="Times New Roman" w:cs="Times New Roman"/>
          <w:szCs w:val="24"/>
        </w:rPr>
        <w:t>bezpośredniego niebezpieczeństwa grożącego statkom, obiektom portowym i portom oraz związanej z nimi infrastrukturze, a także:</w:t>
      </w:r>
    </w:p>
    <w:p w14:paraId="14158BCB" w14:textId="77777777" w:rsidR="00C91482" w:rsidRPr="00323A2E" w:rsidRDefault="00C91482" w:rsidP="00034EB5">
      <w:pPr>
        <w:widowControl/>
        <w:numPr>
          <w:ilvl w:val="0"/>
          <w:numId w:val="1"/>
        </w:numPr>
        <w:autoSpaceDE/>
        <w:autoSpaceDN/>
        <w:adjustRightInd/>
        <w:spacing w:before="120"/>
        <w:contextualSpacing/>
        <w:jc w:val="both"/>
        <w:rPr>
          <w:rFonts w:eastAsia="Times New Roman" w:cs="Times New Roman"/>
          <w:szCs w:val="24"/>
        </w:rPr>
      </w:pPr>
      <w:r w:rsidRPr="00323A2E">
        <w:rPr>
          <w:rFonts w:eastAsia="Times New Roman" w:cs="Times New Roman"/>
          <w:szCs w:val="24"/>
        </w:rPr>
        <w:t>międzysystemowemu Gazociągowi Bałtyckiemu (</w:t>
      </w:r>
      <w:r w:rsidRPr="00FD0BE9">
        <w:rPr>
          <w:rFonts w:eastAsia="Times New Roman" w:cs="Times New Roman"/>
          <w:i/>
          <w:szCs w:val="24"/>
        </w:rPr>
        <w:t>Baltic Pipe</w:t>
      </w:r>
      <w:r w:rsidRPr="00323A2E">
        <w:rPr>
          <w:rFonts w:eastAsia="Times New Roman" w:cs="Times New Roman"/>
          <w:szCs w:val="24"/>
        </w:rPr>
        <w:t xml:space="preserve">) stanowiącemu połączenie systemów przesyłowych Rzeczypospolitej Polskiej i Królestwa Danii wraz </w:t>
      </w:r>
      <w:r w:rsidRPr="00323A2E">
        <w:rPr>
          <w:rFonts w:eastAsia="Times New Roman" w:cs="Times New Roman"/>
          <w:szCs w:val="24"/>
        </w:rPr>
        <w:lastRenderedPageBreak/>
        <w:t>z infrastrukturą niezbędną do jego obsługi na terenie obszarów morskich Rzeczypospolitej Polskiej,</w:t>
      </w:r>
    </w:p>
    <w:p w14:paraId="19A0A0D9" w14:textId="77777777" w:rsidR="00C91482" w:rsidRPr="00323A2E" w:rsidRDefault="00C91482" w:rsidP="00034EB5">
      <w:pPr>
        <w:widowControl/>
        <w:numPr>
          <w:ilvl w:val="0"/>
          <w:numId w:val="1"/>
        </w:numPr>
        <w:autoSpaceDE/>
        <w:autoSpaceDN/>
        <w:adjustRightInd/>
        <w:spacing w:before="120"/>
        <w:contextualSpacing/>
        <w:jc w:val="both"/>
        <w:rPr>
          <w:rFonts w:eastAsia="Times New Roman" w:cs="Times New Roman"/>
          <w:szCs w:val="24"/>
        </w:rPr>
      </w:pPr>
      <w:r w:rsidRPr="00323A2E">
        <w:rPr>
          <w:rFonts w:eastAsia="Times New Roman" w:cs="Times New Roman"/>
          <w:szCs w:val="24"/>
        </w:rPr>
        <w:t>obiektom, urządzeniom i instalacjom wchodzącym w skład infrastruktury zapewniającej dostęp do portów o podstawowym znaczeniu dla gospodarki narodowej,</w:t>
      </w:r>
    </w:p>
    <w:p w14:paraId="42475DDA" w14:textId="583BB3A9" w:rsidR="00C91482" w:rsidRDefault="00C91482" w:rsidP="00034EB5">
      <w:pPr>
        <w:widowControl/>
        <w:numPr>
          <w:ilvl w:val="0"/>
          <w:numId w:val="1"/>
        </w:numPr>
        <w:autoSpaceDE/>
        <w:autoSpaceDN/>
        <w:adjustRightInd/>
        <w:spacing w:before="120"/>
        <w:contextualSpacing/>
        <w:jc w:val="both"/>
        <w:rPr>
          <w:rFonts w:eastAsia="Times New Roman" w:cs="Times New Roman"/>
          <w:szCs w:val="24"/>
        </w:rPr>
      </w:pPr>
      <w:r w:rsidRPr="00323A2E">
        <w:rPr>
          <w:rFonts w:eastAsia="Times New Roman" w:cs="Times New Roman"/>
          <w:szCs w:val="24"/>
        </w:rPr>
        <w:t>wykorzystywanym w wyłącznej strefie ekonomicznej sztucznym wyspom, wszelkiego rodzaju konstrukcjom i urządzeniom przeznaczonym do rozpoznawania lub eksploatacji zasobów, jak również innym przedsięwzięciom w zakresie gospodarczego badania i eksploatacji wyłącznej strefy ekonomicznej, w szczególności w celach energetycznych, w tym morskim farmom wiatrowym w rozumieniu art. 3 pkt 3 ustawy z dnia 17 grudnia 2020 r. o promowaniu wytwarzania energii elektrycznej w morskich farmach wiatrowych (</w:t>
      </w:r>
      <w:r w:rsidRPr="00B53914">
        <w:rPr>
          <w:rFonts w:eastAsia="Times New Roman" w:cs="Times New Roman"/>
          <w:szCs w:val="24"/>
        </w:rPr>
        <w:t>Dz. U. z 2022 r. poz. 1050</w:t>
      </w:r>
      <w:r w:rsidR="00323A2E" w:rsidRPr="00B53914">
        <w:rPr>
          <w:rFonts w:eastAsia="Times New Roman" w:cs="Times New Roman"/>
          <w:szCs w:val="24"/>
        </w:rPr>
        <w:t>, z późn. zm.</w:t>
      </w:r>
      <w:r w:rsidRPr="00B53914">
        <w:rPr>
          <w:rFonts w:eastAsia="Times New Roman" w:cs="Times New Roman"/>
          <w:szCs w:val="24"/>
        </w:rPr>
        <w:t xml:space="preserve">) </w:t>
      </w:r>
      <w:r w:rsidRPr="00323A2E">
        <w:rPr>
          <w:rFonts w:eastAsia="Times New Roman" w:cs="Times New Roman"/>
          <w:szCs w:val="24"/>
        </w:rPr>
        <w:t>i zespołom urządzeń służącym do wyprowadzenia mocy w rozumieniu art. 3 pkt 13 ustawy z dnia 17 grudnia 2020 r. o promowaniu wytwarzania energii elektrycznej w morskich farmach wiatrowych, oraz podmorskim sieciom elektroenergetycznym i światłowodowym lub rurociągom, a także związanej z nimi infrastruktu</w:t>
      </w:r>
      <w:r w:rsidR="004E24D5">
        <w:rPr>
          <w:rFonts w:eastAsia="Times New Roman" w:cs="Times New Roman"/>
          <w:szCs w:val="24"/>
        </w:rPr>
        <w:t>rze</w:t>
      </w:r>
      <w:r w:rsidR="00C55151">
        <w:rPr>
          <w:rFonts w:eastAsia="Times New Roman" w:cs="Times New Roman"/>
          <w:szCs w:val="24"/>
        </w:rPr>
        <w:t>,</w:t>
      </w:r>
    </w:p>
    <w:p w14:paraId="3B5BD125" w14:textId="3DCFF103" w:rsidR="00E10C05" w:rsidRPr="00323A2E" w:rsidRDefault="00E10C05" w:rsidP="00034EB5">
      <w:pPr>
        <w:widowControl/>
        <w:numPr>
          <w:ilvl w:val="0"/>
          <w:numId w:val="1"/>
        </w:numPr>
        <w:autoSpaceDE/>
        <w:autoSpaceDN/>
        <w:adjustRightInd/>
        <w:spacing w:before="120"/>
        <w:contextualSpacing/>
        <w:jc w:val="both"/>
        <w:rPr>
          <w:rFonts w:eastAsia="Times New Roman" w:cs="Times New Roman"/>
          <w:szCs w:val="24"/>
        </w:rPr>
      </w:pPr>
      <w:r w:rsidRPr="00E10C05">
        <w:rPr>
          <w:rFonts w:eastAsia="Times New Roman" w:cs="Times New Roman"/>
          <w:szCs w:val="24"/>
        </w:rPr>
        <w:t>terminalowi regazyfikacyjnemu skroplonego gazu ziemnego w Świnoujściu</w:t>
      </w:r>
    </w:p>
    <w:p w14:paraId="46E856CD" w14:textId="0A7CA143" w:rsidR="00C91482" w:rsidRPr="00323A2E" w:rsidRDefault="00C55151" w:rsidP="00034EB5">
      <w:pPr>
        <w:widowControl/>
        <w:autoSpaceDE/>
        <w:autoSpaceDN/>
        <w:adjustRightInd/>
        <w:spacing w:before="120"/>
        <w:jc w:val="both"/>
        <w:rPr>
          <w:rFonts w:eastAsia="Times New Roman" w:cs="Times New Roman"/>
          <w:szCs w:val="24"/>
        </w:rPr>
      </w:pPr>
      <w:r>
        <w:rPr>
          <w:rFonts w:eastAsia="Times New Roman" w:cs="Times New Roman"/>
          <w:szCs w:val="24"/>
        </w:rPr>
        <w:t>–</w:t>
      </w:r>
      <w:r w:rsidR="00C91482" w:rsidRPr="00323A2E">
        <w:rPr>
          <w:rFonts w:eastAsia="Times New Roman" w:cs="Times New Roman"/>
          <w:szCs w:val="24"/>
        </w:rPr>
        <w:t xml:space="preserve"> powstałego na skutek użycia tego statku lub obiektu </w:t>
      </w:r>
      <w:r w:rsidR="002F34B1">
        <w:rPr>
          <w:rFonts w:eastAsia="Times New Roman" w:cs="Times New Roman"/>
          <w:szCs w:val="24"/>
        </w:rPr>
        <w:t>pływającego jako środka ataku o </w:t>
      </w:r>
      <w:r w:rsidR="00C91482" w:rsidRPr="00323A2E">
        <w:rPr>
          <w:rFonts w:eastAsia="Times New Roman" w:cs="Times New Roman"/>
          <w:szCs w:val="24"/>
        </w:rPr>
        <w:t xml:space="preserve">charakterze terrorystycznym. Jak wskazuje literalna treść przepisu, działanie Ministra Obrony Narodowej w tym zakresie </w:t>
      </w:r>
      <w:r w:rsidR="001F349F" w:rsidRPr="00323A2E">
        <w:rPr>
          <w:rFonts w:eastAsia="Times New Roman" w:cs="Times New Roman"/>
          <w:szCs w:val="24"/>
        </w:rPr>
        <w:t xml:space="preserve">jest </w:t>
      </w:r>
      <w:r w:rsidR="00C91482" w:rsidRPr="00323A2E">
        <w:rPr>
          <w:rFonts w:eastAsia="Times New Roman" w:cs="Times New Roman"/>
          <w:szCs w:val="24"/>
        </w:rPr>
        <w:t>ukierunkowane na</w:t>
      </w:r>
      <w:r>
        <w:rPr>
          <w:rFonts w:eastAsia="Times New Roman" w:cs="Times New Roman"/>
          <w:szCs w:val="24"/>
        </w:rPr>
        <w:t xml:space="preserve"> </w:t>
      </w:r>
      <w:r w:rsidR="00C91482" w:rsidRPr="00323A2E">
        <w:rPr>
          <w:rFonts w:eastAsia="Times New Roman" w:cs="Times New Roman"/>
          <w:szCs w:val="24"/>
        </w:rPr>
        <w:t>zapobieganie oraz ewentualnie na skuteczne zażegnanie zagrożenia o charakterze terrorystycznym.</w:t>
      </w:r>
    </w:p>
    <w:p w14:paraId="5A56D1CF" w14:textId="43D3351F" w:rsidR="00C91482" w:rsidRPr="00323A2E" w:rsidRDefault="00C91482" w:rsidP="00034EB5">
      <w:pPr>
        <w:widowControl/>
        <w:autoSpaceDE/>
        <w:autoSpaceDN/>
        <w:adjustRightInd/>
        <w:spacing w:before="120"/>
        <w:jc w:val="both"/>
        <w:rPr>
          <w:rFonts w:eastAsia="Times New Roman" w:cs="Times New Roman"/>
          <w:szCs w:val="24"/>
        </w:rPr>
      </w:pPr>
      <w:r w:rsidRPr="00323A2E">
        <w:rPr>
          <w:rFonts w:eastAsia="Times New Roman" w:cs="Times New Roman"/>
          <w:szCs w:val="24"/>
        </w:rPr>
        <w:t xml:space="preserve">Zgodnie z obecnym brzmieniem art. 27 w celu zapobieżenia, ograniczenia lub usunięcia poważnego i bezpośredniego niebezpieczeństwa grożącego statkom, obiektom portowym i portom oraz związanej z nimi infrastrukturze, powstałego na skutek użycia statku lub obiektu pływającego jako środka ataku terrorystycznego, w przypadku gdy siły i środki Straży Granicznej przewidziane w </w:t>
      </w:r>
      <w:r w:rsidRPr="00323A2E">
        <w:rPr>
          <w:rFonts w:eastAsia="Times New Roman" w:cs="Times New Roman"/>
          <w:iCs/>
          <w:szCs w:val="24"/>
        </w:rPr>
        <w:t>ustawie</w:t>
      </w:r>
      <w:r w:rsidRPr="00323A2E">
        <w:rPr>
          <w:rFonts w:eastAsia="Times New Roman" w:cs="Times New Roman"/>
          <w:szCs w:val="24"/>
        </w:rPr>
        <w:t xml:space="preserve"> z dnia 12 października 1990 r. o Straży Granicznej (</w:t>
      </w:r>
      <w:r w:rsidR="002F34B1">
        <w:rPr>
          <w:rFonts w:eastAsia="Times New Roman" w:cs="Times New Roman"/>
          <w:szCs w:val="24"/>
        </w:rPr>
        <w:t>Dz. </w:t>
      </w:r>
      <w:r w:rsidRPr="00B53914">
        <w:rPr>
          <w:rFonts w:eastAsia="Times New Roman" w:cs="Times New Roman"/>
          <w:szCs w:val="24"/>
        </w:rPr>
        <w:t>U. z 2022 r. poz. 1061, z późn. zm.)</w:t>
      </w:r>
      <w:r w:rsidRPr="00323A2E">
        <w:rPr>
          <w:rFonts w:eastAsia="Times New Roman" w:cs="Times New Roman"/>
          <w:szCs w:val="24"/>
        </w:rPr>
        <w:t xml:space="preserve"> są niewystarczające lub mogą okazać się niewystarczające, Minister Obrony Narodowej może wydać decyzję o zastosowaniu na polskich obszarach morskich niezbędnych środków, do zatopienia tego statku lub obiektu pływającego włącznie.</w:t>
      </w:r>
    </w:p>
    <w:p w14:paraId="4FBBDC26" w14:textId="77777777" w:rsidR="00C91482" w:rsidRPr="00323A2E" w:rsidRDefault="00C91482" w:rsidP="00034EB5">
      <w:pPr>
        <w:widowControl/>
        <w:autoSpaceDE/>
        <w:autoSpaceDN/>
        <w:adjustRightInd/>
        <w:spacing w:before="120"/>
        <w:jc w:val="both"/>
        <w:rPr>
          <w:rFonts w:eastAsia="Times New Roman" w:cs="Times New Roman"/>
          <w:szCs w:val="24"/>
        </w:rPr>
      </w:pPr>
      <w:r w:rsidRPr="00F16EC1">
        <w:rPr>
          <w:rFonts w:eastAsia="Times New Roman" w:cs="Times New Roman"/>
          <w:szCs w:val="24"/>
        </w:rPr>
        <w:t xml:space="preserve">Ponadto, zgodnie z ust. 2 tego artykułu, Rada Ministrów określa, w drodze rozporządzenia, tryb </w:t>
      </w:r>
      <w:r w:rsidRPr="00323A2E">
        <w:rPr>
          <w:rFonts w:eastAsia="Times New Roman" w:cs="Times New Roman"/>
          <w:szCs w:val="24"/>
        </w:rPr>
        <w:t>postępowania przy stosowaniu środków, o których mowa w art. 27 ust. 1, i sposób współdziałania organów, mając na względzie:</w:t>
      </w:r>
    </w:p>
    <w:p w14:paraId="74F9717F" w14:textId="77777777" w:rsidR="00C91482" w:rsidRPr="00323A2E" w:rsidRDefault="00C91482" w:rsidP="00034EB5">
      <w:pPr>
        <w:widowControl/>
        <w:numPr>
          <w:ilvl w:val="0"/>
          <w:numId w:val="2"/>
        </w:numPr>
        <w:autoSpaceDE/>
        <w:autoSpaceDN/>
        <w:adjustRightInd/>
        <w:spacing w:before="120"/>
        <w:contextualSpacing/>
        <w:jc w:val="both"/>
        <w:rPr>
          <w:rFonts w:eastAsia="Times New Roman" w:cs="Times New Roman"/>
          <w:szCs w:val="24"/>
        </w:rPr>
      </w:pPr>
      <w:r w:rsidRPr="00323A2E">
        <w:rPr>
          <w:rFonts w:eastAsia="Times New Roman" w:cs="Times New Roman"/>
          <w:szCs w:val="24"/>
        </w:rPr>
        <w:lastRenderedPageBreak/>
        <w:t>zapewnienie prawidłowego sposobu zastosowania tych środków oraz użycia ich wyłącznie w przypadku braku możliwości zapewnienia przestrzegania prawa polskiego w inny sposób;</w:t>
      </w:r>
    </w:p>
    <w:p w14:paraId="20841138" w14:textId="77777777" w:rsidR="00C91482" w:rsidRPr="00323A2E" w:rsidRDefault="00C91482" w:rsidP="00034EB5">
      <w:pPr>
        <w:widowControl/>
        <w:numPr>
          <w:ilvl w:val="0"/>
          <w:numId w:val="2"/>
        </w:numPr>
        <w:autoSpaceDE/>
        <w:autoSpaceDN/>
        <w:adjustRightInd/>
        <w:spacing w:before="120"/>
        <w:contextualSpacing/>
        <w:jc w:val="both"/>
        <w:rPr>
          <w:rFonts w:eastAsia="Times New Roman" w:cs="Times New Roman"/>
          <w:szCs w:val="24"/>
        </w:rPr>
      </w:pPr>
      <w:r w:rsidRPr="00323A2E">
        <w:rPr>
          <w:rFonts w:eastAsia="Times New Roman" w:cs="Times New Roman"/>
          <w:szCs w:val="24"/>
        </w:rPr>
        <w:t>sprawność i skuteczność współdziałania organów chroniących obszary morskie Rzeczypospolitej Polskiej.</w:t>
      </w:r>
    </w:p>
    <w:p w14:paraId="05956365" w14:textId="5259838A" w:rsidR="00C91482" w:rsidRPr="00323A2E" w:rsidRDefault="00C91482" w:rsidP="00F16EC1">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Należy ocenić, że uprawnienie wskazane w art. 27, przysługujące od 2008 r. Ministrowi Obrony Narodowej, a konkretnie S</w:t>
      </w:r>
      <w:r w:rsidR="00323A2E">
        <w:rPr>
          <w:rFonts w:eastAsia="Times New Roman" w:cs="Times New Roman"/>
          <w:szCs w:val="24"/>
        </w:rPr>
        <w:t>Z</w:t>
      </w:r>
      <w:r w:rsidRPr="00323A2E">
        <w:rPr>
          <w:rFonts w:eastAsia="Times New Roman" w:cs="Times New Roman"/>
          <w:szCs w:val="24"/>
        </w:rPr>
        <w:t xml:space="preserve"> RP, do</w:t>
      </w:r>
      <w:r w:rsidR="00F16EC1">
        <w:rPr>
          <w:rFonts w:eastAsia="Times New Roman" w:cs="Times New Roman"/>
          <w:szCs w:val="24"/>
        </w:rPr>
        <w:t xml:space="preserve"> </w:t>
      </w:r>
      <w:r w:rsidRPr="00323A2E">
        <w:rPr>
          <w:rFonts w:eastAsia="Times New Roman" w:cs="Times New Roman"/>
          <w:szCs w:val="24"/>
        </w:rPr>
        <w:t xml:space="preserve">zatopienia statku lub obiektu pływającego, użytych jako środek ataku terrorystycznego, jest uprawnieniem bardzo istotnym, uwzględniając charakter tych obiektów powodujący praktycznie całkowity brak możliwości zatrzymania ich ruchu na krótkim odcinku przy odpowiednio dużym tonażu jednostki pływającej (jak również stopień skomplikowania konstrukcyjnego i topograficznego pokładów). Dlatego też to szczególne uprawnienie </w:t>
      </w:r>
      <w:r w:rsidRPr="00323A2E">
        <w:rPr>
          <w:rFonts w:eastAsia="Times New Roman" w:cs="Times New Roman"/>
          <w:b/>
          <w:szCs w:val="24"/>
        </w:rPr>
        <w:t>wykracza poza działania kontrt</w:t>
      </w:r>
      <w:r w:rsidR="002F34B1">
        <w:rPr>
          <w:rFonts w:eastAsia="Times New Roman" w:cs="Times New Roman"/>
          <w:b/>
          <w:szCs w:val="24"/>
        </w:rPr>
        <w:t>errorystyczne, o których mowa w </w:t>
      </w:r>
      <w:r w:rsidRPr="00323A2E">
        <w:rPr>
          <w:rFonts w:eastAsia="Times New Roman" w:cs="Times New Roman"/>
          <w:b/>
          <w:szCs w:val="24"/>
        </w:rPr>
        <w:t>ustawie z dnia 10 czerwca 2016 r. o działaniach antyterrorystycznych</w:t>
      </w:r>
      <w:r w:rsidRPr="00323A2E">
        <w:rPr>
          <w:rFonts w:eastAsia="Times New Roman" w:cs="Times New Roman"/>
          <w:szCs w:val="24"/>
        </w:rPr>
        <w:t xml:space="preserve"> (</w:t>
      </w:r>
      <w:r w:rsidRPr="00B53914">
        <w:rPr>
          <w:rFonts w:eastAsia="Times New Roman" w:cs="Times New Roman"/>
          <w:szCs w:val="24"/>
        </w:rPr>
        <w:t>Dz. U. z 202</w:t>
      </w:r>
      <w:r w:rsidR="00323A2E" w:rsidRPr="00B53914">
        <w:rPr>
          <w:rFonts w:eastAsia="Times New Roman" w:cs="Times New Roman"/>
          <w:szCs w:val="24"/>
        </w:rPr>
        <w:t>2</w:t>
      </w:r>
      <w:r w:rsidR="002F34B1">
        <w:rPr>
          <w:rFonts w:eastAsia="Times New Roman" w:cs="Times New Roman"/>
          <w:szCs w:val="24"/>
        </w:rPr>
        <w:t> </w:t>
      </w:r>
      <w:r w:rsidRPr="00B53914">
        <w:rPr>
          <w:rFonts w:eastAsia="Times New Roman" w:cs="Times New Roman"/>
          <w:szCs w:val="24"/>
        </w:rPr>
        <w:t>r. poz. 2632</w:t>
      </w:r>
      <w:r w:rsidRPr="00323A2E">
        <w:rPr>
          <w:rFonts w:eastAsia="Times New Roman" w:cs="Times New Roman"/>
          <w:szCs w:val="24"/>
        </w:rPr>
        <w:t>), które zostały zawężone tylko i wyłącznie do oddziaływania (w zasadzie tylko kinetycznego) wobec sprawców oraz osób przygotowujących lub pomagających w dokonaniu przestępstwa o charakterze terrorystycznym. Biorąc pod uwagę nie tylko fizyczną możliwość oddziaływania na samych sprawców (co w przypadku dużej jednostki pływającej nie musi wcale prowadzić do jej zatrzymania i przez to uniknięcia ataku terrorystycznego), ale wszystkie skutki</w:t>
      </w:r>
      <w:r w:rsidR="00F16EC1">
        <w:rPr>
          <w:rFonts w:eastAsia="Times New Roman" w:cs="Times New Roman"/>
          <w:szCs w:val="24"/>
        </w:rPr>
        <w:t>,</w:t>
      </w:r>
      <w:r w:rsidRPr="00323A2E">
        <w:rPr>
          <w:rFonts w:eastAsia="Times New Roman" w:cs="Times New Roman"/>
          <w:szCs w:val="24"/>
        </w:rPr>
        <w:t xml:space="preserve"> jakie wynikają z zatopienia jednostki pływającej, należy uznać, że działanie SZ RP </w:t>
      </w:r>
      <w:r w:rsidRPr="00323A2E">
        <w:rPr>
          <w:rFonts w:eastAsia="Times New Roman" w:cs="Times New Roman"/>
          <w:b/>
          <w:szCs w:val="24"/>
        </w:rPr>
        <w:t>będzie się w danej sytuacji mieściło w kategoriach podobnych do stanu wyższej konieczności</w:t>
      </w:r>
      <w:r w:rsidR="00034EB5">
        <w:rPr>
          <w:rFonts w:eastAsia="Times New Roman" w:cs="Times New Roman"/>
          <w:szCs w:val="24"/>
        </w:rPr>
        <w:t>.</w:t>
      </w:r>
    </w:p>
    <w:p w14:paraId="4F12C932" w14:textId="6113838B" w:rsidR="00C91482" w:rsidRPr="00323A2E" w:rsidRDefault="00C91482" w:rsidP="00034EB5">
      <w:pPr>
        <w:widowControl/>
        <w:autoSpaceDE/>
        <w:autoSpaceDN/>
        <w:adjustRightInd/>
        <w:spacing w:before="120"/>
        <w:ind w:firstLine="567"/>
        <w:contextualSpacing/>
        <w:jc w:val="both"/>
        <w:rPr>
          <w:rFonts w:eastAsia="Calibri" w:cs="Times New Roman"/>
          <w:bCs/>
          <w:szCs w:val="24"/>
        </w:rPr>
      </w:pPr>
      <w:r w:rsidRPr="00323A2E">
        <w:rPr>
          <w:rFonts w:eastAsia="Calibri" w:cs="Times New Roman"/>
          <w:bCs/>
          <w:szCs w:val="24"/>
        </w:rPr>
        <w:t>Należy wskazać, że normowana w art. 27 sytuacja jest odmienna od sytuacji dotyczącej statku powietrznego. Ze względu na możliwość podjęcia akcji ratowniczej uszkodzenie prowadzące do zatrzymania, a nawet zatopienia, statku pływającego nie musi zawsze oznaczać śmierci osób znajdujących się na pokładzie. Tym bardziej wszystkie prowadzone działania będą zmierzały do minimalizacji skutków działań</w:t>
      </w:r>
      <w:r w:rsidR="00F16EC1">
        <w:rPr>
          <w:rFonts w:eastAsia="Calibri" w:cs="Times New Roman"/>
          <w:bCs/>
          <w:szCs w:val="24"/>
        </w:rPr>
        <w:t xml:space="preserve"> </w:t>
      </w:r>
      <w:r w:rsidRPr="00323A2E">
        <w:rPr>
          <w:rFonts w:eastAsia="Calibri" w:cs="Times New Roman"/>
          <w:bCs/>
          <w:szCs w:val="24"/>
        </w:rPr>
        <w:t>przez podjęcie w sposób</w:t>
      </w:r>
      <w:r w:rsidR="00034EB5">
        <w:rPr>
          <w:rFonts w:eastAsia="Calibri" w:cs="Times New Roman"/>
          <w:bCs/>
          <w:szCs w:val="24"/>
        </w:rPr>
        <w:t xml:space="preserve"> niezwłoczny akcji ratowniczej.</w:t>
      </w:r>
    </w:p>
    <w:p w14:paraId="1EBD6326" w14:textId="212F4C82"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 xml:space="preserve">Zmiany w </w:t>
      </w:r>
      <w:r w:rsidR="00B55B7F" w:rsidRPr="00B55B7F">
        <w:rPr>
          <w:rStyle w:val="Ppogrubienie"/>
        </w:rPr>
        <w:t>ustawie z dnia 4 września 2008 r. o ochronie żeglugi i portów morskich</w:t>
      </w:r>
      <w:r w:rsidRPr="00323A2E">
        <w:rPr>
          <w:rFonts w:eastAsia="Times New Roman" w:cs="Times New Roman"/>
          <w:szCs w:val="24"/>
        </w:rPr>
        <w:t xml:space="preserve"> sprowadzają się w istocie do przeniesienia do ustawy podstawowych uprawnień obecnie ujętych </w:t>
      </w:r>
      <w:r w:rsidRPr="00323A2E">
        <w:rPr>
          <w:rFonts w:eastAsia="Times New Roman" w:cs="Times New Roman"/>
          <w:b/>
          <w:szCs w:val="24"/>
        </w:rPr>
        <w:t>w rozporządzeniu Rady Minist</w:t>
      </w:r>
      <w:r w:rsidR="002F34B1">
        <w:rPr>
          <w:rFonts w:eastAsia="Times New Roman" w:cs="Times New Roman"/>
          <w:b/>
          <w:szCs w:val="24"/>
        </w:rPr>
        <w:t xml:space="preserve">rów z dnia 9 sierpnia 2010 r. w </w:t>
      </w:r>
      <w:r w:rsidRPr="00323A2E">
        <w:rPr>
          <w:rFonts w:eastAsia="Times New Roman" w:cs="Times New Roman"/>
          <w:b/>
          <w:szCs w:val="24"/>
        </w:rPr>
        <w:t>sprawie trybu postępowania i sposobu współdziałania organów w celu zapobieżenia niebezpieczeństwu grożącemu statkom, obiektom por</w:t>
      </w:r>
      <w:r w:rsidR="002F34B1">
        <w:rPr>
          <w:rFonts w:eastAsia="Times New Roman" w:cs="Times New Roman"/>
          <w:b/>
          <w:szCs w:val="24"/>
        </w:rPr>
        <w:t xml:space="preserve">towym i portom oraz związanej z </w:t>
      </w:r>
      <w:r w:rsidRPr="00323A2E">
        <w:rPr>
          <w:rFonts w:eastAsia="Times New Roman" w:cs="Times New Roman"/>
          <w:b/>
          <w:szCs w:val="24"/>
        </w:rPr>
        <w:t xml:space="preserve">nimi infrastrukturze, powstałego na skutek użycia statku lub obiektu pływającego jako środka ataku </w:t>
      </w:r>
      <w:r w:rsidRPr="00323A2E">
        <w:rPr>
          <w:rFonts w:eastAsia="Times New Roman" w:cs="Times New Roman"/>
          <w:b/>
          <w:szCs w:val="24"/>
        </w:rPr>
        <w:lastRenderedPageBreak/>
        <w:t xml:space="preserve">terrorystycznego </w:t>
      </w:r>
      <w:r w:rsidRPr="00560483">
        <w:t>(</w:t>
      </w:r>
      <w:r w:rsidRPr="00B53914">
        <w:t>Dz. U. z 2015 r. poz. 1139</w:t>
      </w:r>
      <w:r w:rsidRPr="00560483">
        <w:t>).</w:t>
      </w:r>
      <w:r w:rsidRPr="00323A2E">
        <w:rPr>
          <w:rFonts w:eastAsia="Times New Roman" w:cs="Times New Roman"/>
          <w:b/>
          <w:szCs w:val="24"/>
        </w:rPr>
        <w:t xml:space="preserve"> </w:t>
      </w:r>
      <w:r w:rsidRPr="00F16EC1">
        <w:rPr>
          <w:rFonts w:eastAsia="Times New Roman" w:cs="Times New Roman"/>
          <w:szCs w:val="24"/>
        </w:rPr>
        <w:t>W nowelizowany</w:t>
      </w:r>
      <w:r w:rsidR="00B55B7F" w:rsidRPr="00F16EC1">
        <w:rPr>
          <w:rFonts w:eastAsia="Times New Roman" w:cs="Times New Roman"/>
          <w:szCs w:val="24"/>
        </w:rPr>
        <w:t xml:space="preserve">ch przepisach </w:t>
      </w:r>
      <w:r w:rsidRPr="00323A2E">
        <w:rPr>
          <w:rFonts w:eastAsia="Times New Roman" w:cs="Times New Roman"/>
          <w:szCs w:val="24"/>
        </w:rPr>
        <w:t>przewidziano niezbędne mechanizmy mające wyeliminować zbyt dużą swobodę w</w:t>
      </w:r>
      <w:r w:rsidR="00B55B7F">
        <w:rPr>
          <w:rFonts w:eastAsia="Times New Roman" w:cs="Times New Roman"/>
          <w:szCs w:val="24"/>
        </w:rPr>
        <w:t> </w:t>
      </w:r>
      <w:r w:rsidR="002F34B1">
        <w:rPr>
          <w:rFonts w:eastAsia="Times New Roman" w:cs="Times New Roman"/>
          <w:szCs w:val="24"/>
        </w:rPr>
        <w:t>podejmowaniu decyzji o </w:t>
      </w:r>
      <w:r w:rsidRPr="00323A2E">
        <w:rPr>
          <w:rFonts w:eastAsia="Times New Roman" w:cs="Times New Roman"/>
          <w:szCs w:val="24"/>
        </w:rPr>
        <w:t xml:space="preserve">użyciu środków przymusu bezpośredniego, broni i innego uzbrojenia, które mogłyby być uznane za nadmierne i przez to nieakceptowalnie niebezpieczne dla osób postronnych. Są one bowiem ukierunkowane na neutralizację zagrożenia (w tym fizyczną), co z racji specyfiki może obejmować pozbawienie życia nie tylko terrorystów, ale również skutkować narażeniem na niebezpieczeństwo osób postronnych (nastąpi ingerencja w sferę najbardziej istotnych praw człowieka </w:t>
      </w:r>
      <w:r w:rsidR="00E10C05">
        <w:rPr>
          <w:rFonts w:eastAsia="Times New Roman" w:cs="Times New Roman"/>
          <w:szCs w:val="24"/>
        </w:rPr>
        <w:t>−</w:t>
      </w:r>
      <w:r w:rsidRPr="00323A2E">
        <w:rPr>
          <w:rFonts w:eastAsia="Times New Roman" w:cs="Times New Roman"/>
          <w:szCs w:val="24"/>
        </w:rPr>
        <w:t xml:space="preserve"> prawo do nietykalności i wolności osobistej, prawo do życia). Narażenie to jest jednak konieczne dla zażegnania bezpośredniego zagrożenia, w tym narażonych osób postronnych, ze strony terrorystów. Dlatego tak jak</w:t>
      </w:r>
      <w:r w:rsidR="002F34B1">
        <w:rPr>
          <w:rFonts w:eastAsia="Times New Roman" w:cs="Times New Roman"/>
          <w:szCs w:val="24"/>
        </w:rPr>
        <w:t xml:space="preserve"> dotychczas było to określone w </w:t>
      </w:r>
      <w:r w:rsidR="00E13060">
        <w:rPr>
          <w:rFonts w:eastAsia="Times New Roman" w:cs="Times New Roman"/>
          <w:szCs w:val="24"/>
        </w:rPr>
        <w:t>przywołanym</w:t>
      </w:r>
      <w:r w:rsidR="00E13060" w:rsidRPr="00323A2E">
        <w:rPr>
          <w:rFonts w:eastAsia="Times New Roman" w:cs="Times New Roman"/>
          <w:szCs w:val="24"/>
        </w:rPr>
        <w:t xml:space="preserve"> </w:t>
      </w:r>
      <w:r w:rsidRPr="00323A2E">
        <w:rPr>
          <w:rFonts w:eastAsia="Times New Roman" w:cs="Times New Roman"/>
          <w:szCs w:val="24"/>
        </w:rPr>
        <w:t>rozporządzeniu</w:t>
      </w:r>
      <w:r w:rsidR="00E13060">
        <w:rPr>
          <w:rFonts w:eastAsia="Times New Roman" w:cs="Times New Roman"/>
          <w:szCs w:val="24"/>
        </w:rPr>
        <w:t xml:space="preserve"> Rady Ministrów</w:t>
      </w:r>
      <w:r w:rsidRPr="00323A2E">
        <w:rPr>
          <w:rFonts w:eastAsia="Times New Roman" w:cs="Times New Roman"/>
          <w:szCs w:val="24"/>
        </w:rPr>
        <w:t>, stosowanie niezbędnych środków musi następować w sposób:</w:t>
      </w:r>
    </w:p>
    <w:p w14:paraId="6291766E" w14:textId="77777777" w:rsidR="00C91482" w:rsidRPr="00323A2E" w:rsidRDefault="00C91482" w:rsidP="00034EB5">
      <w:pPr>
        <w:widowControl/>
        <w:numPr>
          <w:ilvl w:val="0"/>
          <w:numId w:val="3"/>
        </w:numPr>
        <w:autoSpaceDE/>
        <w:autoSpaceDN/>
        <w:adjustRightInd/>
        <w:spacing w:before="120"/>
        <w:contextualSpacing/>
        <w:jc w:val="both"/>
        <w:rPr>
          <w:rFonts w:eastAsia="Times New Roman" w:cs="Times New Roman"/>
          <w:szCs w:val="24"/>
        </w:rPr>
      </w:pPr>
      <w:r w:rsidRPr="00323A2E">
        <w:rPr>
          <w:rFonts w:eastAsia="Times New Roman" w:cs="Times New Roman"/>
          <w:szCs w:val="24"/>
        </w:rPr>
        <w:t>minimalizujący spowodowanie zagrożenia życia lub zdrowia dla osób postronnych;</w:t>
      </w:r>
    </w:p>
    <w:p w14:paraId="01793AB3" w14:textId="77777777" w:rsidR="00C91482" w:rsidRPr="00323A2E" w:rsidRDefault="00C91482" w:rsidP="00034EB5">
      <w:pPr>
        <w:widowControl/>
        <w:numPr>
          <w:ilvl w:val="0"/>
          <w:numId w:val="3"/>
        </w:numPr>
        <w:autoSpaceDE/>
        <w:autoSpaceDN/>
        <w:adjustRightInd/>
        <w:spacing w:before="120"/>
        <w:ind w:left="709"/>
        <w:contextualSpacing/>
        <w:jc w:val="both"/>
        <w:rPr>
          <w:rFonts w:eastAsia="Times New Roman" w:cs="Times New Roman"/>
          <w:szCs w:val="24"/>
        </w:rPr>
      </w:pPr>
      <w:r w:rsidRPr="00323A2E">
        <w:rPr>
          <w:rFonts w:eastAsia="Times New Roman" w:cs="Times New Roman"/>
          <w:szCs w:val="24"/>
        </w:rPr>
        <w:t>wyrządzający możliwie najmniejszą szkodę osobom, przeciwko którym środki zostały użyte;</w:t>
      </w:r>
    </w:p>
    <w:p w14:paraId="22CD8540" w14:textId="77777777" w:rsidR="00C91482" w:rsidRPr="00323A2E" w:rsidRDefault="00C91482" w:rsidP="00034EB5">
      <w:pPr>
        <w:widowControl/>
        <w:numPr>
          <w:ilvl w:val="0"/>
          <w:numId w:val="3"/>
        </w:numPr>
        <w:autoSpaceDE/>
        <w:autoSpaceDN/>
        <w:adjustRightInd/>
        <w:spacing w:before="120"/>
        <w:ind w:left="709"/>
        <w:contextualSpacing/>
        <w:jc w:val="both"/>
        <w:rPr>
          <w:rFonts w:eastAsia="Times New Roman" w:cs="Times New Roman"/>
          <w:szCs w:val="24"/>
        </w:rPr>
      </w:pPr>
      <w:r w:rsidRPr="00323A2E">
        <w:rPr>
          <w:rFonts w:eastAsia="Times New Roman" w:cs="Times New Roman"/>
          <w:szCs w:val="24"/>
        </w:rPr>
        <w:t>ograniczający zniszczenie statku lub obiektu pływającego użytego jako środek ataku o charakterze terrorystycznym, innych statków oraz infrastruktury portowej.</w:t>
      </w:r>
    </w:p>
    <w:p w14:paraId="0B6744C3" w14:textId="1EAE6598"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Wprowadzenie powyższych ograniczeń dotyczących fizycznego oddziaływania na sprawców zdarzenia o charakterze terrorystycznym (pkt 2), a przede wszystkim osoby postronne (pkt 1)</w:t>
      </w:r>
      <w:r w:rsidR="00E10C05">
        <w:rPr>
          <w:rFonts w:eastAsia="Times New Roman" w:cs="Times New Roman"/>
          <w:szCs w:val="24"/>
        </w:rPr>
        <w:t>,</w:t>
      </w:r>
      <w:r w:rsidRPr="00323A2E">
        <w:rPr>
          <w:rFonts w:eastAsia="Times New Roman" w:cs="Times New Roman"/>
          <w:szCs w:val="24"/>
        </w:rPr>
        <w:t xml:space="preserve"> bezwzględnie wskazuje, że </w:t>
      </w:r>
      <w:r w:rsidR="00B55B7F">
        <w:rPr>
          <w:rFonts w:eastAsia="Times New Roman" w:cs="Times New Roman"/>
          <w:szCs w:val="24"/>
        </w:rPr>
        <w:t xml:space="preserve">projektowana regulacja </w:t>
      </w:r>
      <w:r w:rsidRPr="00323A2E">
        <w:rPr>
          <w:rFonts w:eastAsia="Times New Roman" w:cs="Times New Roman"/>
          <w:szCs w:val="24"/>
        </w:rPr>
        <w:t xml:space="preserve">stanowi w istocie regulację szczególną wobec ustawy </w:t>
      </w:r>
      <w:r w:rsidR="005332AC">
        <w:rPr>
          <w:rFonts w:eastAsia="Times New Roman" w:cs="Times New Roman"/>
          <w:szCs w:val="24"/>
        </w:rPr>
        <w:t xml:space="preserve">z dnia 10 czerwca 2016 r. </w:t>
      </w:r>
      <w:r w:rsidRPr="00323A2E">
        <w:rPr>
          <w:rFonts w:eastAsia="Times New Roman" w:cs="Times New Roman"/>
          <w:szCs w:val="24"/>
        </w:rPr>
        <w:t>o działaniach antyterrorystycznych, przyznając SZ</w:t>
      </w:r>
      <w:r w:rsidR="00B55B7F">
        <w:rPr>
          <w:rFonts w:eastAsia="Times New Roman" w:cs="Times New Roman"/>
          <w:szCs w:val="24"/>
        </w:rPr>
        <w:t xml:space="preserve"> </w:t>
      </w:r>
      <w:r w:rsidRPr="00323A2E">
        <w:rPr>
          <w:rFonts w:eastAsia="Times New Roman" w:cs="Times New Roman"/>
          <w:szCs w:val="24"/>
        </w:rPr>
        <w:t>RP szersze uprawnienia obejmujące możliwość zatopienia jednostki pływającej z osobami na pokładzie.</w:t>
      </w:r>
      <w:r w:rsidR="00B55B7F">
        <w:rPr>
          <w:rFonts w:eastAsia="Times New Roman" w:cs="Times New Roman"/>
          <w:szCs w:val="24"/>
        </w:rPr>
        <w:t xml:space="preserve"> </w:t>
      </w:r>
      <w:r w:rsidRPr="00323A2E">
        <w:rPr>
          <w:rFonts w:eastAsia="Times New Roman" w:cs="Times New Roman"/>
          <w:szCs w:val="24"/>
        </w:rPr>
        <w:t>Nie należy jednak tego rozwiązania rozumieć jako rutynowego działania SZ RP, jest to regulacja przewi</w:t>
      </w:r>
      <w:r w:rsidR="002F34B1">
        <w:rPr>
          <w:rFonts w:eastAsia="Times New Roman" w:cs="Times New Roman"/>
          <w:szCs w:val="24"/>
        </w:rPr>
        <w:t>dziana na wyjątkową sytuację, w </w:t>
      </w:r>
      <w:r w:rsidRPr="00323A2E">
        <w:rPr>
          <w:rFonts w:eastAsia="Times New Roman" w:cs="Times New Roman"/>
          <w:szCs w:val="24"/>
        </w:rPr>
        <w:t>której państwo nie będzie dysponowało żadnymi innymi</w:t>
      </w:r>
      <w:r w:rsidR="00034EB5">
        <w:rPr>
          <w:rFonts w:eastAsia="Times New Roman" w:cs="Times New Roman"/>
          <w:szCs w:val="24"/>
        </w:rPr>
        <w:t xml:space="preserve"> możliwościami jej rozwiązania.</w:t>
      </w:r>
    </w:p>
    <w:p w14:paraId="13C5B61F" w14:textId="0ACE6B8F"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 xml:space="preserve">Wprowadzenie powyższych ograniczeń w kinetycznym oddziaływaniu na osoby </w:t>
      </w:r>
      <w:r w:rsidRPr="00323A2E">
        <w:rPr>
          <w:rFonts w:eastAsia="Calibri" w:cs="Times New Roman"/>
          <w:szCs w:val="24"/>
          <w:lang w:eastAsia="en-US"/>
        </w:rPr>
        <w:t>w trakcie</w:t>
      </w:r>
      <w:r w:rsidRPr="00323A2E">
        <w:rPr>
          <w:rFonts w:eastAsia="Times New Roman" w:cs="Times New Roman"/>
          <w:szCs w:val="24"/>
        </w:rPr>
        <w:t xml:space="preserve"> zapobiegania, ograniczenia lub usunięcia poważnego i bezpośredniego niebezpieczeństwa grożącego statkom, obiektom portowym i portom oraz związanej z nimi infrastrukturze, powstałego na skutek użycia statku lub obiektu pływającego jako środka ataku terrorystycznego było konieczne, bowiem cel</w:t>
      </w:r>
      <w:r w:rsidR="00157D6F">
        <w:rPr>
          <w:rFonts w:eastAsia="Times New Roman" w:cs="Times New Roman"/>
          <w:szCs w:val="24"/>
        </w:rPr>
        <w:t>,</w:t>
      </w:r>
      <w:r w:rsidRPr="00323A2E">
        <w:rPr>
          <w:rFonts w:eastAsia="Times New Roman" w:cs="Times New Roman"/>
          <w:szCs w:val="24"/>
        </w:rPr>
        <w:t xml:space="preserve"> jaki SZ</w:t>
      </w:r>
      <w:r w:rsidR="00157D6F">
        <w:rPr>
          <w:rFonts w:eastAsia="Times New Roman" w:cs="Times New Roman"/>
          <w:szCs w:val="24"/>
        </w:rPr>
        <w:t xml:space="preserve"> </w:t>
      </w:r>
      <w:r w:rsidRPr="00323A2E">
        <w:rPr>
          <w:rFonts w:eastAsia="Times New Roman" w:cs="Times New Roman"/>
          <w:szCs w:val="24"/>
        </w:rPr>
        <w:t>RP mają osiągnąć</w:t>
      </w:r>
      <w:r w:rsidR="00426C05">
        <w:rPr>
          <w:rFonts w:eastAsia="Times New Roman" w:cs="Times New Roman"/>
          <w:szCs w:val="24"/>
        </w:rPr>
        <w:t>,</w:t>
      </w:r>
      <w:r w:rsidRPr="00323A2E">
        <w:rPr>
          <w:rFonts w:eastAsia="Times New Roman" w:cs="Times New Roman"/>
          <w:szCs w:val="24"/>
        </w:rPr>
        <w:t xml:space="preserve"> praktycznie zawsze </w:t>
      </w:r>
      <w:r w:rsidR="00157D6F" w:rsidRPr="00323A2E">
        <w:rPr>
          <w:rFonts w:eastAsia="Times New Roman" w:cs="Times New Roman"/>
          <w:szCs w:val="24"/>
        </w:rPr>
        <w:t xml:space="preserve">będzie </w:t>
      </w:r>
      <w:r w:rsidRPr="00323A2E">
        <w:rPr>
          <w:rFonts w:eastAsia="Times New Roman" w:cs="Times New Roman"/>
          <w:szCs w:val="24"/>
        </w:rPr>
        <w:t>wymagał fizycznej likwidacji terrorystów. Jest bowiem oczywiste, że terroryści</w:t>
      </w:r>
      <w:r w:rsidR="00751250">
        <w:rPr>
          <w:rFonts w:eastAsia="Times New Roman" w:cs="Times New Roman"/>
          <w:szCs w:val="24"/>
        </w:rPr>
        <w:t>,</w:t>
      </w:r>
      <w:r w:rsidRPr="00323A2E">
        <w:rPr>
          <w:rFonts w:eastAsia="Times New Roman" w:cs="Times New Roman"/>
          <w:szCs w:val="24"/>
        </w:rPr>
        <w:t xml:space="preserve"> dokonując zamachu</w:t>
      </w:r>
      <w:r w:rsidR="00751250">
        <w:rPr>
          <w:rFonts w:eastAsia="Times New Roman" w:cs="Times New Roman"/>
          <w:szCs w:val="24"/>
        </w:rPr>
        <w:t>,</w:t>
      </w:r>
      <w:r w:rsidRPr="00323A2E">
        <w:rPr>
          <w:rFonts w:eastAsia="Times New Roman" w:cs="Times New Roman"/>
          <w:szCs w:val="24"/>
        </w:rPr>
        <w:t xml:space="preserve"> </w:t>
      </w:r>
      <w:r w:rsidR="00157D6F" w:rsidRPr="00323A2E">
        <w:rPr>
          <w:rFonts w:eastAsia="Times New Roman" w:cs="Times New Roman"/>
          <w:szCs w:val="24"/>
        </w:rPr>
        <w:t xml:space="preserve">są </w:t>
      </w:r>
      <w:r w:rsidRPr="00323A2E">
        <w:rPr>
          <w:rFonts w:eastAsia="Times New Roman" w:cs="Times New Roman"/>
          <w:szCs w:val="24"/>
        </w:rPr>
        <w:t xml:space="preserve">gotowi na śmierć i jak wskazują doświadczenia z ostatnich lat </w:t>
      </w:r>
      <w:r w:rsidR="003B30A7" w:rsidRPr="00323A2E">
        <w:rPr>
          <w:rFonts w:eastAsia="Times New Roman" w:cs="Times New Roman"/>
          <w:szCs w:val="24"/>
        </w:rPr>
        <w:t xml:space="preserve">są </w:t>
      </w:r>
      <w:r w:rsidRPr="00323A2E">
        <w:rPr>
          <w:rFonts w:eastAsia="Times New Roman" w:cs="Times New Roman"/>
          <w:szCs w:val="24"/>
        </w:rPr>
        <w:lastRenderedPageBreak/>
        <w:t>przygotowani do prowadzenia walki w celu uniemożliwienia służbom porządkowym za</w:t>
      </w:r>
      <w:r w:rsidR="00034EB5">
        <w:rPr>
          <w:rFonts w:eastAsia="Times New Roman" w:cs="Times New Roman"/>
          <w:szCs w:val="24"/>
        </w:rPr>
        <w:t>pobiegnięcia dokonania zamachu.</w:t>
      </w:r>
    </w:p>
    <w:p w14:paraId="22E88F77" w14:textId="34A6FC97" w:rsidR="00C91482" w:rsidRPr="00323A2E" w:rsidRDefault="00C91482" w:rsidP="00157D6F">
      <w:pPr>
        <w:widowControl/>
        <w:autoSpaceDE/>
        <w:autoSpaceDN/>
        <w:adjustRightInd/>
        <w:spacing w:before="120"/>
        <w:jc w:val="both"/>
        <w:rPr>
          <w:rFonts w:eastAsia="Times New Roman" w:cs="Times New Roman"/>
          <w:szCs w:val="24"/>
        </w:rPr>
      </w:pPr>
      <w:r w:rsidRPr="00323A2E">
        <w:rPr>
          <w:rFonts w:eastAsia="Times New Roman" w:cs="Times New Roman"/>
          <w:szCs w:val="24"/>
        </w:rPr>
        <w:t xml:space="preserve">Używają w tym celu broni i innych niebezpiecznych narzędzi, nie tylko wobec funkcjonariuszy służb publicznych, ale i osób cywilnych. Z tych względów </w:t>
      </w:r>
      <w:r w:rsidR="00157D6F" w:rsidRPr="00323A2E">
        <w:rPr>
          <w:rFonts w:eastAsia="Times New Roman" w:cs="Times New Roman"/>
          <w:szCs w:val="24"/>
        </w:rPr>
        <w:t xml:space="preserve">było </w:t>
      </w:r>
      <w:r w:rsidRPr="00323A2E">
        <w:rPr>
          <w:rFonts w:eastAsia="Times New Roman" w:cs="Times New Roman"/>
          <w:szCs w:val="24"/>
        </w:rPr>
        <w:t xml:space="preserve">konieczne uwzględnienie faktu, że realizacja celu wskazanego w art. 27 </w:t>
      </w:r>
      <w:r w:rsidR="00B55B7F">
        <w:rPr>
          <w:rFonts w:eastAsia="Times New Roman" w:cs="Times New Roman"/>
          <w:szCs w:val="24"/>
        </w:rPr>
        <w:t xml:space="preserve">i </w:t>
      </w:r>
      <w:r w:rsidR="00157D6F">
        <w:rPr>
          <w:rFonts w:eastAsia="Times New Roman" w:cs="Times New Roman"/>
          <w:szCs w:val="24"/>
        </w:rPr>
        <w:t xml:space="preserve">kolejnych artykułach </w:t>
      </w:r>
      <w:r w:rsidRPr="00323A2E">
        <w:rPr>
          <w:rFonts w:eastAsia="Times New Roman" w:cs="Times New Roman"/>
          <w:szCs w:val="24"/>
        </w:rPr>
        <w:t xml:space="preserve">ustawy </w:t>
      </w:r>
      <w:r w:rsidR="00442E8C">
        <w:rPr>
          <w:rFonts w:eastAsia="Times New Roman" w:cs="Times New Roman"/>
          <w:szCs w:val="24"/>
        </w:rPr>
        <w:t>z dnia 4 września 2008</w:t>
      </w:r>
      <w:r w:rsidR="000A64AD">
        <w:rPr>
          <w:rFonts w:eastAsia="Times New Roman" w:cs="Times New Roman"/>
          <w:szCs w:val="24"/>
        </w:rPr>
        <w:t> </w:t>
      </w:r>
      <w:r w:rsidR="00442E8C">
        <w:rPr>
          <w:rFonts w:eastAsia="Times New Roman" w:cs="Times New Roman"/>
          <w:szCs w:val="24"/>
        </w:rPr>
        <w:t xml:space="preserve">r. </w:t>
      </w:r>
      <w:r w:rsidRPr="00323A2E">
        <w:rPr>
          <w:rFonts w:eastAsia="Times New Roman" w:cs="Times New Roman"/>
          <w:szCs w:val="24"/>
        </w:rPr>
        <w:t xml:space="preserve">o ochronie żeglugi i portów morskich praktycznie nie może się odbyć bez fizycznego oddziaływania na terrorystów (a którego skutkiem może być zagrożenie zdrowia i życia osób postronnych), stąd </w:t>
      </w:r>
      <w:r w:rsidR="00157D6F" w:rsidRPr="00323A2E">
        <w:rPr>
          <w:rFonts w:eastAsia="Times New Roman" w:cs="Times New Roman"/>
          <w:szCs w:val="24"/>
        </w:rPr>
        <w:t xml:space="preserve">było </w:t>
      </w:r>
      <w:r w:rsidRPr="00323A2E">
        <w:rPr>
          <w:rFonts w:eastAsia="Times New Roman" w:cs="Times New Roman"/>
          <w:szCs w:val="24"/>
        </w:rPr>
        <w:t>konieczne wprowadzenie niezbędnych ograniczeń dotyczących użycia środków będących na wyposażeniu SZ RP. Ograniczenia te muszą być zawarte w ustawie, a nie rozporządzeniu, jako element uprawnienia SZ RP do ingerencji w konstytucyjne prawa człowieka.</w:t>
      </w:r>
    </w:p>
    <w:p w14:paraId="4ED497A7" w14:textId="02F91613" w:rsidR="00C91482" w:rsidRPr="00323A2E" w:rsidRDefault="00C91482" w:rsidP="00034EB5">
      <w:pPr>
        <w:widowControl/>
        <w:suppressAutoHyphens/>
        <w:spacing w:before="120"/>
        <w:ind w:firstLine="567"/>
        <w:jc w:val="both"/>
        <w:rPr>
          <w:rFonts w:eastAsia="Times New Roman" w:cs="Times New Roman"/>
          <w:szCs w:val="24"/>
        </w:rPr>
      </w:pPr>
      <w:r w:rsidRPr="00323A2E">
        <w:rPr>
          <w:rFonts w:eastAsia="Times New Roman" w:cs="Times New Roman"/>
          <w:szCs w:val="24"/>
        </w:rPr>
        <w:t>O ile dotychczas użyte sformułowanie „</w:t>
      </w:r>
      <w:r w:rsidRPr="00B55B7F">
        <w:rPr>
          <w:rStyle w:val="Kkursywa"/>
        </w:rPr>
        <w:t>do zatopienia tego statku lub obiektu pływającego włącznie</w:t>
      </w:r>
      <w:r w:rsidRPr="00323A2E">
        <w:rPr>
          <w:rFonts w:eastAsia="Times New Roman" w:cs="Times New Roman"/>
          <w:szCs w:val="24"/>
        </w:rPr>
        <w:t>” wskazuje ewidentnie, że SZ</w:t>
      </w:r>
      <w:r w:rsidR="00157D6F">
        <w:rPr>
          <w:rFonts w:eastAsia="Times New Roman" w:cs="Times New Roman"/>
          <w:szCs w:val="24"/>
        </w:rPr>
        <w:t xml:space="preserve"> </w:t>
      </w:r>
      <w:r w:rsidRPr="00323A2E">
        <w:rPr>
          <w:rFonts w:eastAsia="Times New Roman" w:cs="Times New Roman"/>
          <w:szCs w:val="24"/>
        </w:rPr>
        <w:t xml:space="preserve">RP </w:t>
      </w:r>
      <w:r w:rsidR="00157D6F" w:rsidRPr="00323A2E">
        <w:rPr>
          <w:rFonts w:eastAsia="Times New Roman" w:cs="Times New Roman"/>
          <w:szCs w:val="24"/>
        </w:rPr>
        <w:t xml:space="preserve">były </w:t>
      </w:r>
      <w:r w:rsidRPr="00323A2E">
        <w:rPr>
          <w:rFonts w:eastAsia="Times New Roman" w:cs="Times New Roman"/>
          <w:szCs w:val="24"/>
        </w:rPr>
        <w:t>uprawnione do użycia siły wojskowej wobec osób</w:t>
      </w:r>
      <w:r w:rsidR="00157D6F">
        <w:rPr>
          <w:rFonts w:eastAsia="Times New Roman" w:cs="Times New Roman"/>
          <w:szCs w:val="24"/>
        </w:rPr>
        <w:t>,</w:t>
      </w:r>
      <w:r w:rsidRPr="00323A2E">
        <w:rPr>
          <w:rFonts w:eastAsia="Times New Roman" w:cs="Times New Roman"/>
          <w:szCs w:val="24"/>
        </w:rPr>
        <w:t xml:space="preserve"> z pozbawieniem życia terrorystów włącznie, to jednak </w:t>
      </w:r>
      <w:r w:rsidR="00157D6F" w:rsidRPr="00323A2E">
        <w:rPr>
          <w:rFonts w:eastAsia="Times New Roman" w:cs="Times New Roman"/>
          <w:szCs w:val="24"/>
        </w:rPr>
        <w:t xml:space="preserve">jest </w:t>
      </w:r>
      <w:r w:rsidRPr="00323A2E">
        <w:rPr>
          <w:rFonts w:eastAsia="Times New Roman" w:cs="Times New Roman"/>
          <w:szCs w:val="24"/>
        </w:rPr>
        <w:t xml:space="preserve">zasadne uzupełnienie dotychczasowych uprawnień SZ RP o wyraźnie wskazanie, że ograniczeń co do użycia środków przymusu bezpośredniego, broni i innego uzbrojenia (użycie tych środków powinno być traktowane jako środek ostateczny i następować w sposób wyrządzający możliwie najmniejszą szkodę osobom, przeciwko którym środki zostały użyte, oraz ograniczający zniszczenie statku lub obiektu pływającego użytego jako środek ataku o charakterze terrorystycznym, innych statków, obiektów portowych i portów oraz związanej z nimi infrastruktury) nie stosuje się, jeżeli jest to niezbędne do przeciwdziałania bezpośredniemu, bezprawnemu, gwałtownemu zamachowi na życie lub zdrowie człowieka lub do uwolnienia zakładnika. Jest to odpowiednik uprawnienia do specjalnego użycia broni przysługującego m.in. policjantom, o którym mowa w ustawie </w:t>
      </w:r>
      <w:r w:rsidR="00EA77E1">
        <w:rPr>
          <w:rFonts w:eastAsia="Times New Roman" w:cs="Times New Roman"/>
          <w:szCs w:val="24"/>
        </w:rPr>
        <w:t xml:space="preserve">z dnia 10 czerwca 2016 r. </w:t>
      </w:r>
      <w:r w:rsidRPr="00323A2E">
        <w:rPr>
          <w:rFonts w:eastAsia="Times New Roman" w:cs="Times New Roman"/>
          <w:szCs w:val="24"/>
        </w:rPr>
        <w:t>o dz</w:t>
      </w:r>
      <w:r w:rsidR="00034EB5">
        <w:rPr>
          <w:rFonts w:eastAsia="Times New Roman" w:cs="Times New Roman"/>
          <w:szCs w:val="24"/>
        </w:rPr>
        <w:t xml:space="preserve">iałaniach </w:t>
      </w:r>
      <w:r w:rsidR="00034EB5" w:rsidRPr="00281490">
        <w:rPr>
          <w:rFonts w:eastAsia="Times New Roman" w:cs="Times New Roman"/>
          <w:szCs w:val="24"/>
        </w:rPr>
        <w:t>antyterrorystycznych.</w:t>
      </w:r>
    </w:p>
    <w:p w14:paraId="4CCAD030" w14:textId="28D07912" w:rsidR="00C91482" w:rsidRPr="00323A2E" w:rsidRDefault="00C91482" w:rsidP="00034EB5">
      <w:pPr>
        <w:widowControl/>
        <w:suppressAutoHyphens/>
        <w:spacing w:before="120"/>
        <w:ind w:firstLine="567"/>
        <w:jc w:val="both"/>
        <w:rPr>
          <w:rFonts w:eastAsia="Times New Roman" w:cs="Times New Roman"/>
          <w:szCs w:val="24"/>
        </w:rPr>
      </w:pPr>
      <w:r w:rsidRPr="00323A2E">
        <w:rPr>
          <w:rFonts w:eastAsia="Times New Roman" w:cs="Times New Roman"/>
          <w:szCs w:val="24"/>
        </w:rPr>
        <w:t>Należy jednak podkreślić, że zgodnie z projektowaną regulacją prawny nakaz minimalizowania spowodowania zagrożenia życia lub zdrowia osób postronnych będzie obowiązywał w każdej sytuacji. Nie będzie zatem wyłączony nawet w szczególnych przypadkach wskazanych powyżej, tj. bezpośredniego, bezprawnego, gwałtownego zamachu na życie lub zdrowie człowieka.</w:t>
      </w:r>
    </w:p>
    <w:p w14:paraId="1BA19835" w14:textId="6A72D07E" w:rsidR="00C91482" w:rsidRPr="00323A2E" w:rsidRDefault="00C91482" w:rsidP="00034EB5">
      <w:pPr>
        <w:widowControl/>
        <w:suppressAutoHyphens/>
        <w:spacing w:before="120"/>
        <w:ind w:firstLine="567"/>
        <w:jc w:val="both"/>
        <w:rPr>
          <w:rFonts w:eastAsia="Times New Roman" w:cs="Times New Roman"/>
          <w:bCs/>
          <w:szCs w:val="24"/>
        </w:rPr>
      </w:pPr>
      <w:r w:rsidRPr="00323A2E">
        <w:rPr>
          <w:rFonts w:eastAsia="Times New Roman" w:cs="Times New Roman"/>
          <w:bCs/>
          <w:szCs w:val="24"/>
        </w:rPr>
        <w:t>Wskazać też należy, że powyższe sformułowanie stanowi w istocie odpowiednik regulacji art. 11 ust. 4 ustawy z dnia 11 marca 2022 r. o obronie Ojczyzny (</w:t>
      </w:r>
      <w:r w:rsidR="002F34B1">
        <w:rPr>
          <w:rFonts w:eastAsia="Times New Roman" w:cs="Times New Roman"/>
          <w:bCs/>
          <w:szCs w:val="24"/>
        </w:rPr>
        <w:t>Dz. U. poz. </w:t>
      </w:r>
      <w:r w:rsidRPr="00751250">
        <w:rPr>
          <w:rFonts w:eastAsia="Times New Roman" w:cs="Times New Roman"/>
          <w:bCs/>
          <w:szCs w:val="24"/>
        </w:rPr>
        <w:t>2305</w:t>
      </w:r>
      <w:r w:rsidR="002F34B1">
        <w:rPr>
          <w:rFonts w:eastAsia="Times New Roman" w:cs="Times New Roman"/>
          <w:bCs/>
          <w:szCs w:val="24"/>
        </w:rPr>
        <w:t>, z </w:t>
      </w:r>
      <w:r w:rsidR="00323A2E" w:rsidRPr="00751250">
        <w:rPr>
          <w:rFonts w:eastAsia="Times New Roman" w:cs="Times New Roman"/>
          <w:bCs/>
          <w:szCs w:val="24"/>
        </w:rPr>
        <w:t>późn. zm.</w:t>
      </w:r>
      <w:r w:rsidRPr="00323A2E">
        <w:rPr>
          <w:rFonts w:eastAsia="Times New Roman" w:cs="Times New Roman"/>
          <w:bCs/>
          <w:szCs w:val="24"/>
        </w:rPr>
        <w:t xml:space="preserve">), przez który nastąpiło zdefiniowanie uprawnień do użycia i wykorzystania </w:t>
      </w:r>
      <w:r w:rsidRPr="00323A2E">
        <w:rPr>
          <w:rFonts w:eastAsia="Times New Roman" w:cs="Times New Roman"/>
          <w:bCs/>
          <w:szCs w:val="24"/>
        </w:rPr>
        <w:lastRenderedPageBreak/>
        <w:t>środków przymusu bezpośredniego i</w:t>
      </w:r>
      <w:r w:rsidR="000B1897">
        <w:rPr>
          <w:rFonts w:eastAsia="Times New Roman" w:cs="Times New Roman"/>
          <w:bCs/>
          <w:szCs w:val="24"/>
        </w:rPr>
        <w:t xml:space="preserve"> </w:t>
      </w:r>
      <w:r w:rsidRPr="00323A2E">
        <w:rPr>
          <w:rFonts w:eastAsia="Times New Roman" w:cs="Times New Roman"/>
          <w:bCs/>
          <w:szCs w:val="24"/>
        </w:rPr>
        <w:t>broni przez oddziały i pododdziały Wojsk Specjalnych w działaniach kontrterrorystycznych. Przepis ten wskazuje, że pododdziały te mają prawo stosowania środków przymusu bezpośredniego, użycia broni i innego uzbrojenia, z uwzględnieniem okoliczności i celu wykonania tych zadań, w sposób adekwatny do zagrożenia oraz w granicach zasad określonych w wiążących Rzeczpospolitą Polską ratyfikowanych umowach międzynarodowych oraz międzynarodowym prawie zwyczajowym. Zakres uprawnień jest zatem tożsamy z uprawnieniem wynikającym z art. 27</w:t>
      </w:r>
      <w:r w:rsidR="00B55B7F">
        <w:rPr>
          <w:rFonts w:eastAsia="Times New Roman" w:cs="Times New Roman"/>
          <w:bCs/>
          <w:szCs w:val="24"/>
        </w:rPr>
        <w:t xml:space="preserve"> oraz </w:t>
      </w:r>
      <w:r w:rsidR="002F34B1">
        <w:rPr>
          <w:rFonts w:eastAsia="Times New Roman" w:cs="Times New Roman"/>
          <w:bCs/>
          <w:szCs w:val="24"/>
        </w:rPr>
        <w:t>art. </w:t>
      </w:r>
      <w:r w:rsidR="00B55B7F" w:rsidRPr="00B55B7F">
        <w:rPr>
          <w:rFonts w:eastAsia="Times New Roman" w:cs="Times New Roman"/>
          <w:bCs/>
          <w:szCs w:val="24"/>
        </w:rPr>
        <w:t>27</w:t>
      </w:r>
      <w:r w:rsidR="00B55B7F" w:rsidRPr="00B55B7F">
        <w:rPr>
          <w:rFonts w:eastAsia="Times New Roman" w:cs="Times New Roman"/>
          <w:bCs/>
          <w:szCs w:val="24"/>
          <w:vertAlign w:val="superscript"/>
        </w:rPr>
        <w:t>1</w:t>
      </w:r>
      <w:r w:rsidRPr="00323A2E">
        <w:rPr>
          <w:rFonts w:eastAsia="Times New Roman" w:cs="Times New Roman"/>
          <w:bCs/>
          <w:szCs w:val="24"/>
        </w:rPr>
        <w:t xml:space="preserve"> ustawy </w:t>
      </w:r>
      <w:r w:rsidR="0028163E">
        <w:rPr>
          <w:rFonts w:eastAsia="Times New Roman" w:cs="Times New Roman"/>
          <w:bCs/>
          <w:szCs w:val="24"/>
        </w:rPr>
        <w:t xml:space="preserve">z dnia 4 września 2008 r. </w:t>
      </w:r>
      <w:r w:rsidRPr="00323A2E">
        <w:rPr>
          <w:rFonts w:eastAsia="Times New Roman" w:cs="Times New Roman"/>
          <w:bCs/>
          <w:szCs w:val="24"/>
        </w:rPr>
        <w:t xml:space="preserve">o ochronie żeglugi i portów morskich, według którego Minister Obrony Narodowej może wydać decyzję o zastosowaniu przez SZ RP na polskich obszarach morskich niezbędnych środków (czyli środków przymusu bezpośredniego, broni i innego uzbrojenia pozostającego na wyposażeniu SZ RP), do zatopienia statku lub obiektu pływającego włącznie. Jednocześnie przewidziano, że w celu zapobieżenia, ograniczenia lub usunięcia poważnego i bezpośredniego niebezpieczeństwa grożącego statkom, obiektom portowym i portom oraz związanej z nimi infrastrukturze, powstałego na skutek działania obcych wojskowych okrętów wojennych lub obcych wojskowych obiektów pływających, Minister Obrony Narodowej może podjąć decyzję o zastosowaniu przez SZ RP na polskich obszarach morskich niezbędnych środków, do zatopienia tego okrętu wojennego lub obcego wojskowego obiektu pływającego włącznie. Nie można wykluczyć czysto militarnego zagrożenia dla żeglugi i portów ze strony innego państwa, </w:t>
      </w:r>
      <w:r w:rsidR="002F254B">
        <w:rPr>
          <w:rFonts w:eastAsia="Times New Roman" w:cs="Times New Roman"/>
          <w:bCs/>
          <w:szCs w:val="24"/>
        </w:rPr>
        <w:t>pr</w:t>
      </w:r>
      <w:r w:rsidRPr="00323A2E">
        <w:rPr>
          <w:rFonts w:eastAsia="Times New Roman" w:cs="Times New Roman"/>
          <w:bCs/>
          <w:szCs w:val="24"/>
        </w:rPr>
        <w:t>z</w:t>
      </w:r>
      <w:r w:rsidR="002F254B">
        <w:rPr>
          <w:rFonts w:eastAsia="Times New Roman" w:cs="Times New Roman"/>
          <w:bCs/>
          <w:szCs w:val="24"/>
        </w:rPr>
        <w:t>e</w:t>
      </w:r>
      <w:r w:rsidRPr="00323A2E">
        <w:rPr>
          <w:rFonts w:eastAsia="Times New Roman" w:cs="Times New Roman"/>
          <w:bCs/>
          <w:szCs w:val="24"/>
        </w:rPr>
        <w:t>pisy te stanowią więc logiczne uzupełnienie katalogu uprawnień oraz wskazują organ właściwy do podjęcia decyzji. Poważne i bezpośrednie niebezpieczeństwo grożące statkom, obiektom portowym i portom oraz związanej z nimi infrastrukturze, powstałe na skutek działania obcych wojskowych okrętów wojennych lub obcych wojskowych obiektów pływających, należy uznać za wrogie i uruchamiają</w:t>
      </w:r>
      <w:r w:rsidR="00034EB5">
        <w:rPr>
          <w:rFonts w:eastAsia="Times New Roman" w:cs="Times New Roman"/>
          <w:bCs/>
          <w:szCs w:val="24"/>
        </w:rPr>
        <w:t>ce prawo państwa do samoobrony.</w:t>
      </w:r>
    </w:p>
    <w:p w14:paraId="2158E9C5" w14:textId="0BD65A48" w:rsidR="00C91482" w:rsidRPr="00323A2E" w:rsidRDefault="000B1897" w:rsidP="00034EB5">
      <w:pPr>
        <w:widowControl/>
        <w:autoSpaceDE/>
        <w:autoSpaceDN/>
        <w:adjustRightInd/>
        <w:spacing w:before="120"/>
        <w:ind w:firstLine="567"/>
        <w:jc w:val="both"/>
        <w:rPr>
          <w:rFonts w:eastAsia="Times New Roman" w:cs="Times New Roman"/>
          <w:szCs w:val="24"/>
        </w:rPr>
      </w:pPr>
      <w:r>
        <w:rPr>
          <w:rFonts w:eastAsia="Times New Roman" w:cs="Times New Roman"/>
          <w:szCs w:val="24"/>
        </w:rPr>
        <w:t xml:space="preserve">Na podstawie </w:t>
      </w:r>
      <w:r w:rsidR="00C91482" w:rsidRPr="00323A2E">
        <w:rPr>
          <w:rFonts w:eastAsia="Times New Roman" w:cs="Times New Roman"/>
          <w:szCs w:val="24"/>
        </w:rPr>
        <w:t>podobn</w:t>
      </w:r>
      <w:r>
        <w:rPr>
          <w:rFonts w:eastAsia="Times New Roman" w:cs="Times New Roman"/>
          <w:szCs w:val="24"/>
        </w:rPr>
        <w:t>ych</w:t>
      </w:r>
      <w:r w:rsidR="00C91482" w:rsidRPr="00323A2E">
        <w:rPr>
          <w:rFonts w:eastAsia="Times New Roman" w:cs="Times New Roman"/>
          <w:szCs w:val="24"/>
        </w:rPr>
        <w:t xml:space="preserve"> założe</w:t>
      </w:r>
      <w:r>
        <w:rPr>
          <w:rFonts w:eastAsia="Times New Roman" w:cs="Times New Roman"/>
          <w:szCs w:val="24"/>
        </w:rPr>
        <w:t>ń</w:t>
      </w:r>
      <w:r w:rsidR="00C91482" w:rsidRPr="00323A2E">
        <w:rPr>
          <w:rFonts w:eastAsia="Times New Roman" w:cs="Times New Roman"/>
          <w:szCs w:val="24"/>
        </w:rPr>
        <w:t>, tj. poszanowania wolności i praw jednostki oraz ingerencji w te prawa</w:t>
      </w:r>
      <w:r w:rsidR="007F34CC">
        <w:rPr>
          <w:rFonts w:eastAsia="Times New Roman" w:cs="Times New Roman"/>
          <w:szCs w:val="24"/>
        </w:rPr>
        <w:t>,</w:t>
      </w:r>
      <w:r w:rsidR="00C91482" w:rsidRPr="00323A2E">
        <w:rPr>
          <w:rFonts w:eastAsia="Times New Roman" w:cs="Times New Roman"/>
          <w:szCs w:val="24"/>
        </w:rPr>
        <w:t xml:space="preserve"> tylko w bezwzględnej ostateczności, kiedy inne środki nie mogą być zastosowane w celu skutecznej eliminacji zagrożenia dla życia i zdrowia osób postronnych oraz po wnikliwym rozpatrzeniu okoliczności danego zdarzenia</w:t>
      </w:r>
      <w:r>
        <w:rPr>
          <w:rFonts w:eastAsia="Times New Roman" w:cs="Times New Roman"/>
          <w:szCs w:val="24"/>
        </w:rPr>
        <w:t>,</w:t>
      </w:r>
      <w:r w:rsidR="002F34B1">
        <w:rPr>
          <w:rFonts w:eastAsia="Times New Roman" w:cs="Times New Roman"/>
          <w:szCs w:val="24"/>
        </w:rPr>
        <w:t xml:space="preserve"> wprowadza się zmiany w </w:t>
      </w:r>
      <w:r w:rsidR="00C91482" w:rsidRPr="00323A2E">
        <w:rPr>
          <w:rFonts w:eastAsia="Times New Roman" w:cs="Times New Roman"/>
          <w:szCs w:val="24"/>
        </w:rPr>
        <w:t>aktualnie obowiązujących przepisach dotyczących reagowania w przestrzeni powietrznej</w:t>
      </w:r>
      <w:r w:rsidR="00B55B7F">
        <w:rPr>
          <w:rFonts w:eastAsia="Times New Roman" w:cs="Times New Roman"/>
          <w:szCs w:val="24"/>
        </w:rPr>
        <w:t>, to jest w</w:t>
      </w:r>
      <w:r w:rsidR="002F34B1">
        <w:rPr>
          <w:rFonts w:eastAsia="Calibri" w:cs="Times New Roman"/>
          <w:b/>
          <w:szCs w:val="24"/>
          <w:lang w:eastAsia="en-US"/>
        </w:rPr>
        <w:t> </w:t>
      </w:r>
      <w:r w:rsidR="00C91482" w:rsidRPr="00323A2E">
        <w:rPr>
          <w:rFonts w:eastAsia="Calibri" w:cs="Times New Roman"/>
          <w:b/>
          <w:szCs w:val="24"/>
          <w:lang w:eastAsia="en-US"/>
        </w:rPr>
        <w:t>ustawie z dnia 12 października 1990 r. o ochronie granicy państwowej (</w:t>
      </w:r>
      <w:r w:rsidR="002F34B1">
        <w:rPr>
          <w:rFonts w:eastAsia="Calibri" w:cs="Times New Roman"/>
          <w:b/>
          <w:szCs w:val="24"/>
          <w:lang w:eastAsia="en-US"/>
        </w:rPr>
        <w:t>Dz. U. z 2022 </w:t>
      </w:r>
      <w:r w:rsidR="00C91482" w:rsidRPr="00705A91">
        <w:rPr>
          <w:rFonts w:eastAsia="Calibri" w:cs="Times New Roman"/>
          <w:b/>
          <w:szCs w:val="24"/>
          <w:lang w:eastAsia="en-US"/>
        </w:rPr>
        <w:t>r. poz. 295</w:t>
      </w:r>
      <w:r w:rsidR="00C91482" w:rsidRPr="00323A2E">
        <w:rPr>
          <w:rFonts w:eastAsia="Calibri" w:cs="Times New Roman"/>
          <w:b/>
          <w:szCs w:val="24"/>
          <w:lang w:eastAsia="en-US"/>
        </w:rPr>
        <w:t>)</w:t>
      </w:r>
      <w:r w:rsidR="00C91482" w:rsidRPr="00323A2E">
        <w:rPr>
          <w:rFonts w:eastAsia="Calibri" w:cs="Times New Roman"/>
          <w:szCs w:val="24"/>
          <w:lang w:eastAsia="en-US"/>
        </w:rPr>
        <w:t>.</w:t>
      </w:r>
    </w:p>
    <w:p w14:paraId="6B0CED1A" w14:textId="4A8D3861" w:rsidR="00C91482" w:rsidRPr="00323A2E" w:rsidRDefault="00C91482" w:rsidP="00034EB5">
      <w:pPr>
        <w:widowControl/>
        <w:suppressAutoHyphens/>
        <w:spacing w:before="120"/>
        <w:ind w:firstLine="567"/>
        <w:jc w:val="both"/>
        <w:rPr>
          <w:rFonts w:eastAsia="Times New Roman" w:cs="Times New Roman"/>
          <w:bCs/>
          <w:szCs w:val="24"/>
        </w:rPr>
      </w:pPr>
      <w:r w:rsidRPr="00323A2E">
        <w:rPr>
          <w:rFonts w:eastAsia="Times New Roman" w:cs="Times New Roman"/>
          <w:bCs/>
          <w:szCs w:val="24"/>
        </w:rPr>
        <w:t xml:space="preserve">Obowiązujące regulacje ustawy </w:t>
      </w:r>
      <w:r w:rsidR="000B1897">
        <w:rPr>
          <w:rFonts w:eastAsia="Times New Roman" w:cs="Times New Roman"/>
          <w:bCs/>
          <w:szCs w:val="24"/>
        </w:rPr>
        <w:t xml:space="preserve">z dnia 12 października 1990 r. </w:t>
      </w:r>
      <w:r w:rsidRPr="00323A2E">
        <w:rPr>
          <w:rFonts w:eastAsia="Times New Roman" w:cs="Times New Roman"/>
          <w:bCs/>
          <w:szCs w:val="24"/>
        </w:rPr>
        <w:t xml:space="preserve">o ochronie granicy państwowej zawierają postanowienia w zakresie oddziaływania na obcy wojskowy statek </w:t>
      </w:r>
      <w:r w:rsidRPr="00323A2E">
        <w:rPr>
          <w:rFonts w:eastAsia="Times New Roman" w:cs="Times New Roman"/>
          <w:bCs/>
          <w:szCs w:val="24"/>
        </w:rPr>
        <w:lastRenderedPageBreak/>
        <w:t>powietrzny oraz obcy cywilny statek powietrzny. Wzajemne przenikanie się regulacji w tym zakresie znacząco osłabia możliwości działania SZ RP. Zasadn</w:t>
      </w:r>
      <w:r w:rsidR="004E081B">
        <w:rPr>
          <w:rFonts w:eastAsia="Times New Roman" w:cs="Times New Roman"/>
          <w:bCs/>
          <w:szCs w:val="24"/>
        </w:rPr>
        <w:t>e</w:t>
      </w:r>
      <w:r w:rsidRPr="00323A2E">
        <w:rPr>
          <w:rFonts w:eastAsia="Times New Roman" w:cs="Times New Roman"/>
          <w:bCs/>
          <w:szCs w:val="24"/>
        </w:rPr>
        <w:t xml:space="preserve"> jest zatem rozdzielenie tych dwóch rodzajów oddziaływania, inne bowiem muszą być przesłanki stosowane do oddziaływania na statek powietrzny w celu przeciwdziałania wojskowej działalności obcego państwa mogącej wypełniać znamiona ataku na Rzeczpospolitą Polską, a inne do oddziaływania na obiekt cywilny nielegalnie przekraczający granicę. Odmiennie niż obecnie, w projektowanym nowym brzmieniu art. 18b ust. 3 pkt 2</w:t>
      </w:r>
      <w:r w:rsidR="00B84A7F">
        <w:rPr>
          <w:rFonts w:eastAsia="Times New Roman" w:cs="Times New Roman"/>
          <w:bCs/>
          <w:szCs w:val="24"/>
        </w:rPr>
        <w:t>,</w:t>
      </w:r>
      <w:r w:rsidRPr="00323A2E">
        <w:rPr>
          <w:rFonts w:eastAsia="Times New Roman" w:cs="Times New Roman"/>
          <w:bCs/>
          <w:szCs w:val="24"/>
        </w:rPr>
        <w:t xml:space="preserve"> uregulowano przypadki, w których obcy wojskowy statek powietrzny może być zniszczony bez dokonania czynności, o których mowa w ust. 2 i w ust. 3 pkt 1 tego artykułu, mianowicie jeżeli:</w:t>
      </w:r>
    </w:p>
    <w:p w14:paraId="69F0E3AC" w14:textId="77777777" w:rsidR="00C91482" w:rsidRPr="00323A2E" w:rsidRDefault="00C91482" w:rsidP="00034EB5">
      <w:pPr>
        <w:widowControl/>
        <w:numPr>
          <w:ilvl w:val="0"/>
          <w:numId w:val="4"/>
        </w:numPr>
        <w:suppressAutoHyphens/>
        <w:autoSpaceDE/>
        <w:autoSpaceDN/>
        <w:adjustRightInd/>
        <w:spacing w:before="120"/>
        <w:jc w:val="both"/>
        <w:rPr>
          <w:rFonts w:eastAsia="Times New Roman" w:cs="Times New Roman"/>
          <w:bCs/>
          <w:szCs w:val="24"/>
        </w:rPr>
      </w:pPr>
      <w:r w:rsidRPr="00323A2E">
        <w:rPr>
          <w:rFonts w:eastAsia="Times New Roman" w:cs="Times New Roman"/>
          <w:bCs/>
          <w:szCs w:val="24"/>
        </w:rPr>
        <w:t>dokonuje zbrojnego ataku na terytorium Rzeczypospolitej Polskiej,</w:t>
      </w:r>
    </w:p>
    <w:p w14:paraId="595B269C" w14:textId="77777777" w:rsidR="00C91482" w:rsidRPr="00323A2E" w:rsidRDefault="00C91482" w:rsidP="00034EB5">
      <w:pPr>
        <w:widowControl/>
        <w:numPr>
          <w:ilvl w:val="0"/>
          <w:numId w:val="4"/>
        </w:numPr>
        <w:suppressAutoHyphens/>
        <w:autoSpaceDE/>
        <w:autoSpaceDN/>
        <w:adjustRightInd/>
        <w:spacing w:before="120"/>
        <w:jc w:val="both"/>
        <w:rPr>
          <w:rFonts w:eastAsia="Times New Roman" w:cs="Times New Roman"/>
          <w:bCs/>
          <w:szCs w:val="24"/>
        </w:rPr>
      </w:pPr>
      <w:r w:rsidRPr="00323A2E">
        <w:rPr>
          <w:rFonts w:eastAsia="Times New Roman" w:cs="Times New Roman"/>
          <w:bCs/>
          <w:szCs w:val="24"/>
        </w:rPr>
        <w:t>manewruje na pozycję dogodną do ataku, o którym mowa w lit. a,</w:t>
      </w:r>
    </w:p>
    <w:p w14:paraId="18E50272" w14:textId="6281A36A" w:rsidR="00C91482" w:rsidRPr="00323A2E" w:rsidRDefault="00034EB5" w:rsidP="00A83BC2">
      <w:pPr>
        <w:widowControl/>
        <w:suppressAutoHyphens/>
        <w:spacing w:before="120"/>
        <w:ind w:firstLine="510"/>
        <w:jc w:val="both"/>
        <w:rPr>
          <w:rFonts w:eastAsia="Times New Roman" w:cs="Times New Roman"/>
          <w:bCs/>
          <w:szCs w:val="24"/>
        </w:rPr>
      </w:pPr>
      <w:r>
        <w:rPr>
          <w:rFonts w:eastAsia="Times New Roman" w:cs="Times New Roman"/>
          <w:bCs/>
          <w:szCs w:val="24"/>
        </w:rPr>
        <w:t>c)</w:t>
      </w:r>
      <w:r>
        <w:rPr>
          <w:rFonts w:eastAsia="Times New Roman" w:cs="Times New Roman"/>
          <w:bCs/>
          <w:szCs w:val="24"/>
        </w:rPr>
        <w:tab/>
      </w:r>
      <w:r w:rsidR="00C91482" w:rsidRPr="00323A2E">
        <w:rPr>
          <w:rFonts w:eastAsia="Times New Roman" w:cs="Times New Roman"/>
          <w:bCs/>
          <w:szCs w:val="24"/>
        </w:rPr>
        <w:t>wykonuje lot rozpoznawczy mający na celu umożliwienie podjęcia działań, o których mowa w lit. a.</w:t>
      </w:r>
    </w:p>
    <w:p w14:paraId="249B85BD" w14:textId="2C68AAF4" w:rsidR="00C91482" w:rsidRPr="00323A2E" w:rsidRDefault="00C91482" w:rsidP="00034EB5">
      <w:pPr>
        <w:widowControl/>
        <w:autoSpaceDE/>
        <w:autoSpaceDN/>
        <w:adjustRightInd/>
        <w:spacing w:before="120"/>
        <w:jc w:val="both"/>
        <w:rPr>
          <w:rFonts w:eastAsia="Calibri" w:cs="Times New Roman"/>
          <w:szCs w:val="24"/>
          <w:lang w:eastAsia="en-US"/>
        </w:rPr>
      </w:pPr>
      <w:bookmarkStart w:id="0" w:name="_Hlk73359083"/>
      <w:r w:rsidRPr="00323A2E">
        <w:rPr>
          <w:rFonts w:eastAsia="Calibri" w:cs="Times New Roman"/>
          <w:szCs w:val="24"/>
          <w:lang w:eastAsia="en-US"/>
        </w:rPr>
        <w:t>W wyżej wskazanym art. 18b ust. 3 pkt 2 ujęto wyłącznie zdarzenia, które należy uznać za wrogie i uruchamiające prawo państwa do samoobrony. Zrezygnowano z używania terminologii tożsamej z przesłankami wprowadzania stanu wojennego i ogłaszania stanu wojny, ponieważ decyzja</w:t>
      </w:r>
      <w:r w:rsidR="00D7348F">
        <w:rPr>
          <w:rFonts w:eastAsia="Calibri" w:cs="Times New Roman"/>
          <w:szCs w:val="24"/>
          <w:lang w:eastAsia="en-US"/>
        </w:rPr>
        <w:t>,</w:t>
      </w:r>
      <w:r w:rsidRPr="00323A2E">
        <w:rPr>
          <w:rFonts w:eastAsia="Calibri" w:cs="Times New Roman"/>
          <w:szCs w:val="24"/>
          <w:lang w:eastAsia="en-US"/>
        </w:rPr>
        <w:t xml:space="preserve"> czy dane zdarzenie zostanie uznane za napaść zbrojną lub agresję nie należy do SZ RP, natomiast wszystkie trzy przypadki wypełnia</w:t>
      </w:r>
      <w:r w:rsidR="002F34B1">
        <w:rPr>
          <w:rFonts w:eastAsia="Calibri" w:cs="Times New Roman"/>
          <w:szCs w:val="24"/>
          <w:lang w:eastAsia="en-US"/>
        </w:rPr>
        <w:t>ją znamiona napaści zbrojnej, o </w:t>
      </w:r>
      <w:r w:rsidRPr="00323A2E">
        <w:rPr>
          <w:rFonts w:eastAsia="Calibri" w:cs="Times New Roman"/>
          <w:szCs w:val="24"/>
          <w:lang w:eastAsia="en-US"/>
        </w:rPr>
        <w:t>której mowa w Karcie Narodów Zjednoczonych.</w:t>
      </w:r>
    </w:p>
    <w:bookmarkEnd w:id="0"/>
    <w:p w14:paraId="7D667195" w14:textId="761B114B"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 xml:space="preserve">Sytuacja dotycząca obiektu cywilnego </w:t>
      </w:r>
      <w:r w:rsidR="00D7348F" w:rsidRPr="00323A2E">
        <w:rPr>
          <w:rFonts w:eastAsia="Times New Roman" w:cs="Times New Roman"/>
          <w:szCs w:val="24"/>
        </w:rPr>
        <w:t xml:space="preserve">jest </w:t>
      </w:r>
      <w:r w:rsidRPr="00323A2E">
        <w:rPr>
          <w:rFonts w:eastAsia="Times New Roman" w:cs="Times New Roman"/>
          <w:szCs w:val="24"/>
        </w:rPr>
        <w:t>obwarowan</w:t>
      </w:r>
      <w:r w:rsidR="00D7348F">
        <w:rPr>
          <w:rFonts w:eastAsia="Times New Roman" w:cs="Times New Roman"/>
          <w:szCs w:val="24"/>
        </w:rPr>
        <w:t>a</w:t>
      </w:r>
      <w:r w:rsidRPr="00323A2E">
        <w:rPr>
          <w:rFonts w:eastAsia="Times New Roman" w:cs="Times New Roman"/>
          <w:szCs w:val="24"/>
        </w:rPr>
        <w:t xml:space="preserve"> nieporównywalnie większymi ograniczeniami w celu bezwzględnego poszanowania praw i wolności jednostki, przy jednoczesnym zapewnieniu niezbędnej możliwości służb państwowych do przeciwdziałania zagrożeniu dla osób postronnych będących wynikiem wykorzystania obcego cywilnego statku powietrznego jako</w:t>
      </w:r>
      <w:r w:rsidR="00034EB5">
        <w:rPr>
          <w:rFonts w:eastAsia="Times New Roman" w:cs="Times New Roman"/>
          <w:szCs w:val="24"/>
        </w:rPr>
        <w:t xml:space="preserve"> środka ataku terrorystycznego.</w:t>
      </w:r>
    </w:p>
    <w:p w14:paraId="1AB8D1D6" w14:textId="197D16D3" w:rsidR="00C91482" w:rsidRPr="00D80E4F" w:rsidRDefault="00C91482" w:rsidP="00B22A59">
      <w:pPr>
        <w:widowControl/>
        <w:autoSpaceDE/>
        <w:autoSpaceDN/>
        <w:adjustRightInd/>
        <w:spacing w:before="120"/>
        <w:ind w:firstLine="567"/>
        <w:jc w:val="both"/>
        <w:rPr>
          <w:rFonts w:eastAsia="Times New Roman" w:cs="Times New Roman"/>
          <w:szCs w:val="24"/>
        </w:rPr>
      </w:pPr>
      <w:r w:rsidRPr="00323A2E">
        <w:rPr>
          <w:rFonts w:eastAsia="Calibri" w:cs="Times New Roman"/>
          <w:szCs w:val="24"/>
          <w:lang w:eastAsia="en-US"/>
        </w:rPr>
        <w:t xml:space="preserve">Proponowane zmiany wprowadzają regulacje prawne zgodne z wytycznymi zawartymi w wyroku Trybunału Konstytucyjnego </w:t>
      </w:r>
      <w:r w:rsidRPr="00323A2E">
        <w:rPr>
          <w:rFonts w:eastAsia="Times New Roman" w:cs="Times New Roman"/>
          <w:szCs w:val="24"/>
        </w:rPr>
        <w:t>z dnia 30 września 2008 r.</w:t>
      </w:r>
      <w:r w:rsidR="004B68AC">
        <w:rPr>
          <w:rFonts w:eastAsia="Times New Roman" w:cs="Times New Roman"/>
          <w:szCs w:val="24"/>
        </w:rPr>
        <w:t>,</w:t>
      </w:r>
      <w:r w:rsidRPr="00323A2E">
        <w:rPr>
          <w:rFonts w:eastAsia="Times New Roman" w:cs="Times New Roman"/>
          <w:szCs w:val="24"/>
        </w:rPr>
        <w:t xml:space="preserve"> K 44/07, na skutek którego wyeliminowano z polskiego porządku prawnego art. 122a ustawy</w:t>
      </w:r>
      <w:r w:rsidR="00B22A59">
        <w:rPr>
          <w:rFonts w:eastAsia="Times New Roman" w:cs="Times New Roman"/>
          <w:szCs w:val="24"/>
        </w:rPr>
        <w:t xml:space="preserve"> z dnia 24 maja 2013 r.</w:t>
      </w:r>
      <w:r w:rsidRPr="00323A2E">
        <w:rPr>
          <w:rFonts w:eastAsia="Times New Roman" w:cs="Times New Roman"/>
          <w:szCs w:val="24"/>
        </w:rPr>
        <w:t xml:space="preserve"> </w:t>
      </w:r>
      <w:r w:rsidR="00B22A59">
        <w:rPr>
          <w:rFonts w:eastAsia="Times New Roman" w:cs="Times New Roman"/>
          <w:szCs w:val="24"/>
        </w:rPr>
        <w:t>–</w:t>
      </w:r>
      <w:r w:rsidRPr="00323A2E">
        <w:rPr>
          <w:rFonts w:eastAsia="Times New Roman" w:cs="Times New Roman"/>
          <w:szCs w:val="24"/>
        </w:rPr>
        <w:t xml:space="preserve"> Prawo lotnicze. Trybunał Konstytucyjny zakwestionował możliwość zestrzelenia pasażerskiego statku powietrznego w sytuacji zagrożenia bezpieczeństwa państwa oraz jego użycia do celów sprzecznych z prawem, ponieważ tak określone</w:t>
      </w:r>
      <w:r w:rsidRPr="00323A2E">
        <w:rPr>
          <w:rFonts w:eastAsia="Times New Roman" w:cs="Times New Roman"/>
          <w:b/>
          <w:szCs w:val="24"/>
        </w:rPr>
        <w:t xml:space="preserve"> </w:t>
      </w:r>
      <w:r w:rsidRPr="00323A2E">
        <w:rPr>
          <w:rFonts w:eastAsia="Times New Roman" w:cs="Times New Roman"/>
          <w:szCs w:val="24"/>
        </w:rPr>
        <w:t>przesłanki były bowiem zbyt ogólne i dopuszczały poświęcenie życia dla ochrony dóbr o niższej wartości.</w:t>
      </w:r>
      <w:r w:rsidRPr="00323A2E">
        <w:rPr>
          <w:rFonts w:eastAsia="Times New Roman" w:cs="Times New Roman"/>
          <w:b/>
          <w:szCs w:val="24"/>
        </w:rPr>
        <w:t xml:space="preserve"> </w:t>
      </w:r>
      <w:r w:rsidRPr="00323A2E">
        <w:rPr>
          <w:rFonts w:eastAsia="Times New Roman" w:cs="Times New Roman"/>
          <w:szCs w:val="24"/>
        </w:rPr>
        <w:t xml:space="preserve">Jednocześnie Trybunał </w:t>
      </w:r>
      <w:r w:rsidR="00B22A59">
        <w:rPr>
          <w:rFonts w:eastAsia="Times New Roman" w:cs="Times New Roman"/>
          <w:szCs w:val="24"/>
        </w:rPr>
        <w:t xml:space="preserve">Konstytucyjny </w:t>
      </w:r>
      <w:r w:rsidRPr="00323A2E">
        <w:rPr>
          <w:rFonts w:eastAsia="Times New Roman" w:cs="Times New Roman"/>
          <w:szCs w:val="24"/>
        </w:rPr>
        <w:t>potwierdził, że</w:t>
      </w:r>
      <w:r w:rsidRPr="00323A2E">
        <w:rPr>
          <w:rFonts w:eastAsia="Times New Roman" w:cs="Times New Roman"/>
          <w:b/>
          <w:szCs w:val="24"/>
        </w:rPr>
        <w:t xml:space="preserve"> </w:t>
      </w:r>
      <w:r w:rsidRPr="00323A2E">
        <w:rPr>
          <w:rFonts w:eastAsia="Calibri" w:cs="Times New Roman"/>
          <w:szCs w:val="24"/>
          <w:lang w:eastAsia="en-US"/>
        </w:rPr>
        <w:t xml:space="preserve">istnieją instrumenty prawne pozwalające na </w:t>
      </w:r>
      <w:r w:rsidRPr="00323A2E">
        <w:rPr>
          <w:rFonts w:eastAsia="Calibri" w:cs="Times New Roman"/>
          <w:szCs w:val="24"/>
          <w:lang w:eastAsia="en-US"/>
        </w:rPr>
        <w:lastRenderedPageBreak/>
        <w:t xml:space="preserve">reagowanie na stany zagrożenia takie jak instytucja stanu wyższej konieczności oraz </w:t>
      </w:r>
      <w:r w:rsidR="009A1E1B">
        <w:rPr>
          <w:rFonts w:eastAsia="Calibri" w:cs="Times New Roman"/>
          <w:szCs w:val="24"/>
          <w:lang w:eastAsia="en-US"/>
        </w:rPr>
        <w:t>−</w:t>
      </w:r>
      <w:r w:rsidR="00B55B7F">
        <w:rPr>
          <w:rFonts w:eastAsia="Calibri" w:cs="Times New Roman"/>
          <w:szCs w:val="24"/>
          <w:lang w:eastAsia="en-US"/>
        </w:rPr>
        <w:t xml:space="preserve"> </w:t>
      </w:r>
      <w:r w:rsidRPr="00323A2E">
        <w:rPr>
          <w:rFonts w:eastAsia="Calibri" w:cs="Times New Roman"/>
          <w:szCs w:val="24"/>
          <w:lang w:eastAsia="en-US"/>
        </w:rPr>
        <w:t xml:space="preserve">w wypadku, gdy na pokładzie statku powietrznego znajdują się wyłącznie zamachowcy </w:t>
      </w:r>
      <w:r w:rsidR="009A1E1B">
        <w:rPr>
          <w:rFonts w:eastAsia="Calibri" w:cs="Times New Roman"/>
          <w:szCs w:val="24"/>
          <w:lang w:eastAsia="en-US"/>
        </w:rPr>
        <w:t>−</w:t>
      </w:r>
      <w:r w:rsidRPr="00323A2E">
        <w:rPr>
          <w:rFonts w:eastAsia="Calibri" w:cs="Times New Roman"/>
          <w:szCs w:val="24"/>
          <w:lang w:eastAsia="en-US"/>
        </w:rPr>
        <w:t xml:space="preserve"> obrony koniecznej. Instytucja obrony koniecznej została wprowadzona do ustawy </w:t>
      </w:r>
      <w:r w:rsidR="00B22A59">
        <w:rPr>
          <w:rFonts w:eastAsia="Calibri" w:cs="Times New Roman"/>
          <w:szCs w:val="24"/>
          <w:lang w:eastAsia="en-US"/>
        </w:rPr>
        <w:t xml:space="preserve">z dnia </w:t>
      </w:r>
      <w:r w:rsidR="00B22A59" w:rsidRPr="00BA0B68">
        <w:t>12 października 1990 r.</w:t>
      </w:r>
      <w:r w:rsidR="00B22A59">
        <w:rPr>
          <w:rFonts w:eastAsia="Calibri" w:cs="Times New Roman"/>
          <w:szCs w:val="24"/>
          <w:lang w:eastAsia="en-US"/>
        </w:rPr>
        <w:t xml:space="preserve"> </w:t>
      </w:r>
      <w:r w:rsidRPr="00323A2E">
        <w:rPr>
          <w:rFonts w:eastAsia="Calibri" w:cs="Times New Roman"/>
          <w:szCs w:val="24"/>
          <w:lang w:eastAsia="en-US"/>
        </w:rPr>
        <w:t>o ochronie granicy państwowej w art. 18b ust. 2a, przewidując możliwość zestrzelenia statku powietrznego, który nie posiada żadnych osób na pokładzie lub na pokładzie którego znajdują się wyłącznie osoby zamierzające użyć tego statku powietrznego jako środka ataku</w:t>
      </w:r>
      <w:r w:rsidR="00034EB5">
        <w:rPr>
          <w:rFonts w:eastAsia="Calibri" w:cs="Times New Roman"/>
          <w:szCs w:val="24"/>
          <w:lang w:eastAsia="en-US"/>
        </w:rPr>
        <w:t xml:space="preserve"> o</w:t>
      </w:r>
      <w:r w:rsidR="00D80E4F">
        <w:rPr>
          <w:rFonts w:eastAsia="Calibri" w:cs="Times New Roman"/>
          <w:szCs w:val="24"/>
          <w:lang w:eastAsia="en-US"/>
        </w:rPr>
        <w:t xml:space="preserve"> </w:t>
      </w:r>
      <w:r w:rsidR="00034EB5">
        <w:rPr>
          <w:rFonts w:eastAsia="Calibri" w:cs="Times New Roman"/>
          <w:szCs w:val="24"/>
          <w:lang w:eastAsia="en-US"/>
        </w:rPr>
        <w:t>charakterze terrorystycznym.</w:t>
      </w:r>
    </w:p>
    <w:p w14:paraId="3F56BEBB" w14:textId="555E6D10"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Obecna nowelizacja utrzymuje te regulacje.</w:t>
      </w:r>
    </w:p>
    <w:p w14:paraId="7DDFEA6A" w14:textId="75698905"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 xml:space="preserve">Należy podkreślić, że niniejszy projekt jest zgodny z wytycznymi z </w:t>
      </w:r>
      <w:r w:rsidR="00C25D47">
        <w:rPr>
          <w:rFonts w:eastAsia="Calibri" w:cs="Times New Roman"/>
          <w:szCs w:val="24"/>
          <w:lang w:eastAsia="en-US"/>
        </w:rPr>
        <w:t>przywołanego</w:t>
      </w:r>
      <w:r w:rsidRPr="00323A2E">
        <w:rPr>
          <w:rFonts w:eastAsia="Calibri" w:cs="Times New Roman"/>
          <w:szCs w:val="24"/>
          <w:lang w:eastAsia="en-US"/>
        </w:rPr>
        <w:t xml:space="preserve"> wyroku T</w:t>
      </w:r>
      <w:r w:rsidR="00D80E4F">
        <w:rPr>
          <w:rFonts w:eastAsia="Calibri" w:cs="Times New Roman"/>
          <w:szCs w:val="24"/>
          <w:lang w:eastAsia="en-US"/>
        </w:rPr>
        <w:t xml:space="preserve">rybunału </w:t>
      </w:r>
      <w:r w:rsidRPr="00323A2E">
        <w:rPr>
          <w:rFonts w:eastAsia="Calibri" w:cs="Times New Roman"/>
          <w:szCs w:val="24"/>
          <w:lang w:eastAsia="en-US"/>
        </w:rPr>
        <w:t>K</w:t>
      </w:r>
      <w:r w:rsidR="00D80E4F">
        <w:rPr>
          <w:rFonts w:eastAsia="Calibri" w:cs="Times New Roman"/>
          <w:szCs w:val="24"/>
          <w:lang w:eastAsia="en-US"/>
        </w:rPr>
        <w:t>onstytucyjnego</w:t>
      </w:r>
      <w:r w:rsidRPr="00323A2E">
        <w:rPr>
          <w:rFonts w:eastAsia="Calibri" w:cs="Times New Roman"/>
          <w:szCs w:val="24"/>
          <w:lang w:eastAsia="en-US"/>
        </w:rPr>
        <w:t>. Po nowelizacji nadal nie będzie możliwe zestrzelenie statku powietrznego z choćby jedną osobą postronną na pokładzie.</w:t>
      </w:r>
    </w:p>
    <w:p w14:paraId="1230E696" w14:textId="0FA89EAE"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Zgodnie z wyrokiem T</w:t>
      </w:r>
      <w:r w:rsidR="00D80E4F">
        <w:rPr>
          <w:rFonts w:eastAsia="Calibri" w:cs="Times New Roman"/>
          <w:szCs w:val="24"/>
          <w:lang w:eastAsia="en-US"/>
        </w:rPr>
        <w:t xml:space="preserve">rybunału </w:t>
      </w:r>
      <w:r w:rsidRPr="00323A2E">
        <w:rPr>
          <w:rFonts w:eastAsia="Calibri" w:cs="Times New Roman"/>
          <w:szCs w:val="24"/>
          <w:lang w:eastAsia="en-US"/>
        </w:rPr>
        <w:t>K</w:t>
      </w:r>
      <w:r w:rsidR="00D80E4F">
        <w:rPr>
          <w:rFonts w:eastAsia="Calibri" w:cs="Times New Roman"/>
          <w:szCs w:val="24"/>
          <w:lang w:eastAsia="en-US"/>
        </w:rPr>
        <w:t>onstytucyjnego</w:t>
      </w:r>
      <w:r w:rsidRPr="00323A2E">
        <w:rPr>
          <w:rFonts w:eastAsia="Calibri" w:cs="Times New Roman"/>
          <w:szCs w:val="24"/>
          <w:lang w:eastAsia="en-US"/>
        </w:rPr>
        <w:t xml:space="preserve"> w projekcie rozróżniono sytuację, gdy na pokładzie statku powietrznego znajdują się jedynie osoby, które zamierzają użyć tego statku powietrznego jako środka ataku terrorystycznego</w:t>
      </w:r>
      <w:r w:rsidR="00D80E4F">
        <w:rPr>
          <w:rFonts w:eastAsia="Calibri" w:cs="Times New Roman"/>
          <w:szCs w:val="24"/>
          <w:lang w:eastAsia="en-US"/>
        </w:rPr>
        <w:t>,</w:t>
      </w:r>
      <w:r w:rsidRPr="00323A2E">
        <w:rPr>
          <w:rFonts w:eastAsia="Calibri" w:cs="Times New Roman"/>
          <w:szCs w:val="24"/>
          <w:lang w:eastAsia="en-US"/>
        </w:rPr>
        <w:t xml:space="preserve"> oraz sytuację, gdy na pokładzie znajduje się także załoga oraz pasażerowie. Zasadność, a nawet konieczność odrębnego potraktowania zamachowców wynika z tego, że zamachowcy „</w:t>
      </w:r>
      <w:r w:rsidRPr="00323A2E">
        <w:rPr>
          <w:rFonts w:eastAsia="Calibri" w:cs="Times New Roman"/>
          <w:i/>
          <w:szCs w:val="24"/>
          <w:lang w:eastAsia="en-US"/>
        </w:rPr>
        <w:t>z własnej woli zdecydowali się zginąć, narażając przy tym życie niewinnych ludzi. Jeśli zostaną zestrzeleni, zginą w walce, którą sami wywołali. Nie można więc o nich powiedzieć, że zostali potraktowani przedmiotowo</w:t>
      </w:r>
      <w:r w:rsidR="002F34B1">
        <w:rPr>
          <w:rFonts w:eastAsia="Calibri" w:cs="Times New Roman"/>
          <w:szCs w:val="24"/>
          <w:lang w:eastAsia="en-US"/>
        </w:rPr>
        <w:t>” (</w:t>
      </w:r>
      <w:r w:rsidRPr="00323A2E">
        <w:rPr>
          <w:rFonts w:eastAsia="Calibri" w:cs="Times New Roman"/>
          <w:szCs w:val="24"/>
          <w:lang w:eastAsia="en-US"/>
        </w:rPr>
        <w:t>wyrok T</w:t>
      </w:r>
      <w:r w:rsidR="00D80E4F">
        <w:rPr>
          <w:rFonts w:eastAsia="Calibri" w:cs="Times New Roman"/>
          <w:szCs w:val="24"/>
          <w:lang w:eastAsia="en-US"/>
        </w:rPr>
        <w:t xml:space="preserve">rybunału </w:t>
      </w:r>
      <w:r w:rsidRPr="00323A2E">
        <w:rPr>
          <w:rFonts w:eastAsia="Calibri" w:cs="Times New Roman"/>
          <w:szCs w:val="24"/>
          <w:lang w:eastAsia="en-US"/>
        </w:rPr>
        <w:t>K</w:t>
      </w:r>
      <w:r w:rsidR="00D80E4F">
        <w:rPr>
          <w:rFonts w:eastAsia="Calibri" w:cs="Times New Roman"/>
          <w:szCs w:val="24"/>
          <w:lang w:eastAsia="en-US"/>
        </w:rPr>
        <w:t>onstytucyjnego</w:t>
      </w:r>
      <w:r w:rsidR="00C25D47">
        <w:rPr>
          <w:rFonts w:eastAsia="Calibri" w:cs="Times New Roman"/>
          <w:szCs w:val="24"/>
          <w:lang w:eastAsia="en-US"/>
        </w:rPr>
        <w:t xml:space="preserve"> z </w:t>
      </w:r>
      <w:r w:rsidR="00C25D47" w:rsidRPr="00323A2E">
        <w:rPr>
          <w:rFonts w:eastAsia="Times New Roman" w:cs="Times New Roman"/>
          <w:szCs w:val="24"/>
        </w:rPr>
        <w:t>dnia 30 września 2008 r.</w:t>
      </w:r>
      <w:r w:rsidR="00C25D47">
        <w:rPr>
          <w:rFonts w:eastAsia="Times New Roman" w:cs="Times New Roman"/>
          <w:szCs w:val="24"/>
        </w:rPr>
        <w:t>,</w:t>
      </w:r>
      <w:r w:rsidR="00C25D47" w:rsidRPr="00323A2E">
        <w:rPr>
          <w:rFonts w:eastAsia="Times New Roman" w:cs="Times New Roman"/>
          <w:szCs w:val="24"/>
        </w:rPr>
        <w:t xml:space="preserve"> K 44/07</w:t>
      </w:r>
      <w:r w:rsidRPr="00323A2E">
        <w:rPr>
          <w:rFonts w:eastAsia="Calibri" w:cs="Times New Roman"/>
          <w:szCs w:val="24"/>
          <w:lang w:eastAsia="en-US"/>
        </w:rPr>
        <w:t>).</w:t>
      </w:r>
    </w:p>
    <w:p w14:paraId="790AC88D" w14:textId="52817798"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Ponadto w celu zapewnienia, aby zasady wykonywania lotu były określone w akcie rangi ustawowej wprowadza się ust. 3a w art. 18a w brzmieniu:</w:t>
      </w:r>
    </w:p>
    <w:p w14:paraId="2DBCD50A" w14:textId="1124BC87" w:rsidR="00C91482" w:rsidRPr="00323A2E" w:rsidRDefault="00C91482" w:rsidP="00034EB5">
      <w:pPr>
        <w:widowControl/>
        <w:suppressAutoHyphens/>
        <w:spacing w:before="120"/>
        <w:ind w:left="510"/>
        <w:jc w:val="both"/>
        <w:rPr>
          <w:rFonts w:eastAsia="Times New Roman" w:cs="Times New Roman"/>
          <w:szCs w:val="24"/>
        </w:rPr>
      </w:pPr>
      <w:r w:rsidRPr="00323A2E">
        <w:rPr>
          <w:rFonts w:eastAsia="Times New Roman" w:cs="Times New Roman"/>
          <w:szCs w:val="24"/>
        </w:rPr>
        <w:t>„</w:t>
      </w:r>
      <w:r w:rsidRPr="00323A2E">
        <w:rPr>
          <w:rFonts w:eastAsia="Times New Roman" w:cs="Times New Roman"/>
          <w:i/>
          <w:szCs w:val="24"/>
        </w:rPr>
        <w:t xml:space="preserve">3a. Lot, na który Dowódca Operacyjny Rodzajów Sił Zbrojnych udzielił zezwolenia, może być wykonany w przestrzeni powietrznej Rzeczypospolitej Polskiej dostępnej dla ruchu lotniczego zgodnie z zasadami korzystania z tej przestrzeni określonymi w ustawie z dnia 3 lipca 2002 r. </w:t>
      </w:r>
      <w:r w:rsidR="009A1E1B">
        <w:rPr>
          <w:rFonts w:eastAsia="Times New Roman" w:cs="Times New Roman"/>
          <w:i/>
          <w:szCs w:val="24"/>
        </w:rPr>
        <w:t>−</w:t>
      </w:r>
      <w:r w:rsidRPr="00323A2E">
        <w:rPr>
          <w:rFonts w:eastAsia="Times New Roman" w:cs="Times New Roman"/>
          <w:i/>
          <w:szCs w:val="24"/>
        </w:rPr>
        <w:t xml:space="preserve"> Prawo lotnicze, a także określonymi w ratyfikowanych przez Rzeczpospolitą Polską umowach międzynarodowy</w:t>
      </w:r>
      <w:r w:rsidR="002F34B1">
        <w:rPr>
          <w:rFonts w:eastAsia="Times New Roman" w:cs="Times New Roman"/>
          <w:i/>
          <w:szCs w:val="24"/>
        </w:rPr>
        <w:t>ch i innych umowach zawartych w </w:t>
      </w:r>
      <w:r w:rsidRPr="00323A2E">
        <w:rPr>
          <w:rFonts w:eastAsia="Times New Roman" w:cs="Times New Roman"/>
          <w:i/>
          <w:szCs w:val="24"/>
        </w:rPr>
        <w:t>sposób przez nie dopuszczony.</w:t>
      </w:r>
      <w:r w:rsidRPr="00323A2E">
        <w:rPr>
          <w:rFonts w:eastAsia="Times New Roman" w:cs="Times New Roman"/>
          <w:szCs w:val="24"/>
        </w:rPr>
        <w:t>”.</w:t>
      </w:r>
    </w:p>
    <w:p w14:paraId="4045B860" w14:textId="77777777" w:rsidR="00C91482" w:rsidRPr="00323A2E" w:rsidRDefault="00C91482" w:rsidP="00034EB5">
      <w:pPr>
        <w:widowControl/>
        <w:suppressAutoHyphens/>
        <w:spacing w:before="120"/>
        <w:jc w:val="both"/>
        <w:rPr>
          <w:rFonts w:eastAsia="Times New Roman" w:cs="Times New Roman"/>
          <w:szCs w:val="24"/>
        </w:rPr>
      </w:pPr>
      <w:r w:rsidRPr="00323A2E">
        <w:rPr>
          <w:rFonts w:eastAsia="Times New Roman" w:cs="Times New Roman"/>
          <w:szCs w:val="24"/>
        </w:rPr>
        <w:t>Powyższe zapisy są obecnie ujęte w rozporządzeniu, co zostało zakwestionowane przez Rządowe Centrum Legislacji.</w:t>
      </w:r>
    </w:p>
    <w:p w14:paraId="4DBF0940" w14:textId="070AC1B2"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b/>
          <w:szCs w:val="24"/>
        </w:rPr>
        <w:t>Konsekwentnie proponuje się wprowadzeni</w:t>
      </w:r>
      <w:r w:rsidR="002F34B1">
        <w:rPr>
          <w:rFonts w:eastAsia="Times New Roman" w:cs="Times New Roman"/>
          <w:b/>
          <w:szCs w:val="24"/>
        </w:rPr>
        <w:t>e do ustawy z dnia 3 lipca 2002 </w:t>
      </w:r>
      <w:r w:rsidRPr="00323A2E">
        <w:rPr>
          <w:rFonts w:eastAsia="Times New Roman" w:cs="Times New Roman"/>
          <w:b/>
          <w:szCs w:val="24"/>
        </w:rPr>
        <w:t xml:space="preserve">r. </w:t>
      </w:r>
      <w:r w:rsidR="00F27801">
        <w:rPr>
          <w:rFonts w:eastAsia="Times New Roman" w:cs="Times New Roman"/>
          <w:b/>
          <w:szCs w:val="24"/>
        </w:rPr>
        <w:t>–</w:t>
      </w:r>
      <w:r w:rsidR="00D80E4F">
        <w:rPr>
          <w:rFonts w:eastAsia="Times New Roman" w:cs="Times New Roman"/>
          <w:b/>
          <w:szCs w:val="24"/>
        </w:rPr>
        <w:t xml:space="preserve"> </w:t>
      </w:r>
      <w:r w:rsidRPr="00323A2E">
        <w:rPr>
          <w:rFonts w:eastAsia="Times New Roman" w:cs="Times New Roman"/>
          <w:b/>
          <w:szCs w:val="24"/>
        </w:rPr>
        <w:t xml:space="preserve">Prawo lotnicze </w:t>
      </w:r>
      <w:r w:rsidRPr="00560483">
        <w:t>(</w:t>
      </w:r>
      <w:r w:rsidRPr="00705A91">
        <w:t xml:space="preserve">Dz. U. z 2022 r. poz. 1235, z późn. zm.), </w:t>
      </w:r>
      <w:r w:rsidRPr="00560483">
        <w:t>na</w:t>
      </w:r>
      <w:r w:rsidRPr="00323A2E">
        <w:rPr>
          <w:rFonts w:eastAsia="Times New Roman" w:cs="Times New Roman"/>
          <w:szCs w:val="24"/>
        </w:rPr>
        <w:t xml:space="preserve"> tych samych zasadach co reagowanie kinetyczne wobec obcego cywilnego statku powietrznego przekraczającego </w:t>
      </w:r>
      <w:r w:rsidRPr="00323A2E">
        <w:rPr>
          <w:rFonts w:eastAsia="Times New Roman" w:cs="Times New Roman"/>
          <w:szCs w:val="24"/>
        </w:rPr>
        <w:lastRenderedPageBreak/>
        <w:t>nielegalnie granicę państwową, możliwości oddziaływania kinetycznego na cywilny statek powietrzny (bez względu na przynależność narodową), który wykonuje lot w przestrzeni powietrznej Rzeczypospolitej Polskiej (nie przekraczając granicy państwowej) w sytuacji jego wykorzystania jako</w:t>
      </w:r>
      <w:r w:rsidR="00034EB5">
        <w:rPr>
          <w:rFonts w:eastAsia="Times New Roman" w:cs="Times New Roman"/>
          <w:szCs w:val="24"/>
        </w:rPr>
        <w:t xml:space="preserve"> środka ataku terrorystycznego.</w:t>
      </w:r>
    </w:p>
    <w:p w14:paraId="34D2B5F1" w14:textId="0A1D487A"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Należy dodać, że we wskazanym wyżej wyroku z dnia 30 września 2008 r. Trybunał Konstytucyjny nie wykluczył możliwości wprowadzenia ograniczenia prawa do życia. Wprowadzanie jakichkolwiek ograniczeń wymaga jednak – z uwagi na szczególny charakter wartości, o której traktuje – równie szczególnej rozwagi. Zdaniem T</w:t>
      </w:r>
      <w:r w:rsidR="00D80E4F">
        <w:rPr>
          <w:rFonts w:eastAsia="Times New Roman" w:cs="Times New Roman"/>
          <w:szCs w:val="24"/>
        </w:rPr>
        <w:t xml:space="preserve">rybunału </w:t>
      </w:r>
      <w:r w:rsidRPr="00323A2E">
        <w:rPr>
          <w:rFonts w:eastAsia="Times New Roman" w:cs="Times New Roman"/>
          <w:szCs w:val="24"/>
        </w:rPr>
        <w:t>K</w:t>
      </w:r>
      <w:r w:rsidR="00D80E4F">
        <w:rPr>
          <w:rFonts w:eastAsia="Times New Roman" w:cs="Times New Roman"/>
          <w:szCs w:val="24"/>
        </w:rPr>
        <w:t>onstytucyjnego</w:t>
      </w:r>
      <w:r w:rsidRPr="00323A2E">
        <w:rPr>
          <w:rFonts w:eastAsia="Times New Roman" w:cs="Times New Roman"/>
          <w:szCs w:val="24"/>
        </w:rPr>
        <w:t xml:space="preserve"> dotyczy to po pierwsze przesłanki „konieczności”, która „musi być interpretowana szczególnie restryktywnie, w kierunku zbieżnym z kryterium „absolutnej konieczności”, a po drugie względy na ochronę dóbr usprawiedliwiających ograniczenie analizowanego prawa musiałyby spełniać wymóg „symetrii dó</w:t>
      </w:r>
      <w:r w:rsidR="00034EB5">
        <w:rPr>
          <w:rFonts w:eastAsia="Times New Roman" w:cs="Times New Roman"/>
          <w:szCs w:val="24"/>
        </w:rPr>
        <w:t>br: poświęcanego i ratowanego”.</w:t>
      </w:r>
    </w:p>
    <w:p w14:paraId="129AA24A" w14:textId="35F46CCB" w:rsidR="00C91482" w:rsidRPr="00323A2E" w:rsidRDefault="00C91482" w:rsidP="00034EB5">
      <w:pPr>
        <w:widowControl/>
        <w:autoSpaceDE/>
        <w:autoSpaceDN/>
        <w:adjustRightInd/>
        <w:spacing w:before="120"/>
        <w:ind w:firstLine="567"/>
        <w:jc w:val="both"/>
        <w:rPr>
          <w:rFonts w:eastAsia="Times New Roman" w:cs="Times New Roman"/>
          <w:szCs w:val="24"/>
        </w:rPr>
      </w:pPr>
      <w:r w:rsidRPr="00323A2E">
        <w:rPr>
          <w:rFonts w:eastAsia="Times New Roman" w:cs="Times New Roman"/>
          <w:szCs w:val="24"/>
        </w:rPr>
        <w:t>W ocenie projektodawcy wyżej wskazane wytyczne T</w:t>
      </w:r>
      <w:r w:rsidR="00A172FA">
        <w:rPr>
          <w:rFonts w:eastAsia="Times New Roman" w:cs="Times New Roman"/>
          <w:szCs w:val="24"/>
        </w:rPr>
        <w:t xml:space="preserve">rybunału </w:t>
      </w:r>
      <w:r w:rsidRPr="00323A2E">
        <w:rPr>
          <w:rFonts w:eastAsia="Times New Roman" w:cs="Times New Roman"/>
          <w:szCs w:val="24"/>
        </w:rPr>
        <w:t>K</w:t>
      </w:r>
      <w:r w:rsidR="00A172FA">
        <w:rPr>
          <w:rFonts w:eastAsia="Times New Roman" w:cs="Times New Roman"/>
          <w:szCs w:val="24"/>
        </w:rPr>
        <w:t>onstytucyjnego</w:t>
      </w:r>
      <w:r w:rsidRPr="00323A2E">
        <w:rPr>
          <w:rFonts w:eastAsia="Times New Roman" w:cs="Times New Roman"/>
          <w:szCs w:val="24"/>
        </w:rPr>
        <w:t xml:space="preserve"> znajdują odzwierciedlenie w proponowanych regulacjach art. 18b ustawy </w:t>
      </w:r>
      <w:r w:rsidR="00A172FA">
        <w:rPr>
          <w:rFonts w:eastAsia="Times New Roman" w:cs="Times New Roman"/>
          <w:szCs w:val="24"/>
        </w:rPr>
        <w:t xml:space="preserve">z dnia </w:t>
      </w:r>
      <w:r w:rsidR="00A172FA" w:rsidRPr="00A172FA">
        <w:rPr>
          <w:rFonts w:eastAsia="Times New Roman" w:cs="Times New Roman"/>
          <w:szCs w:val="24"/>
        </w:rPr>
        <w:t xml:space="preserve">12 października 1990 r. </w:t>
      </w:r>
      <w:r w:rsidRPr="00323A2E">
        <w:rPr>
          <w:rFonts w:eastAsia="Times New Roman" w:cs="Times New Roman"/>
          <w:szCs w:val="24"/>
        </w:rPr>
        <w:t>o ochronie granicy państwowej i art. 122b ustawy</w:t>
      </w:r>
      <w:r w:rsidR="002F34B1">
        <w:rPr>
          <w:rFonts w:eastAsia="Times New Roman" w:cs="Times New Roman"/>
          <w:szCs w:val="24"/>
        </w:rPr>
        <w:t xml:space="preserve"> z dnia 3 lipca 2002 </w:t>
      </w:r>
      <w:r w:rsidR="00A172FA">
        <w:rPr>
          <w:rFonts w:eastAsia="Times New Roman" w:cs="Times New Roman"/>
          <w:szCs w:val="24"/>
        </w:rPr>
        <w:t>r.</w:t>
      </w:r>
      <w:r w:rsidRPr="00323A2E">
        <w:rPr>
          <w:rFonts w:eastAsia="Times New Roman" w:cs="Times New Roman"/>
          <w:szCs w:val="24"/>
        </w:rPr>
        <w:t xml:space="preserve"> – Prawo lotnicze. Proponuje się, aby zniszczenie obcego cywilnego statku powietrznego </w:t>
      </w:r>
      <w:r w:rsidR="00A172FA" w:rsidRPr="00323A2E">
        <w:rPr>
          <w:rFonts w:eastAsia="Times New Roman" w:cs="Times New Roman"/>
          <w:szCs w:val="24"/>
        </w:rPr>
        <w:t xml:space="preserve">było </w:t>
      </w:r>
      <w:r w:rsidRPr="00323A2E">
        <w:rPr>
          <w:rFonts w:eastAsia="Times New Roman" w:cs="Times New Roman"/>
          <w:szCs w:val="24"/>
        </w:rPr>
        <w:t xml:space="preserve">możliwe tylko w sytuacji ostatecznej, </w:t>
      </w:r>
      <w:r w:rsidRPr="00323A2E">
        <w:rPr>
          <w:rFonts w:eastAsia="Times New Roman" w:cs="Times New Roman"/>
          <w:i/>
          <w:szCs w:val="24"/>
        </w:rPr>
        <w:t>ultima ratio</w:t>
      </w:r>
      <w:r w:rsidRPr="00323A2E">
        <w:rPr>
          <w:rFonts w:eastAsia="Times New Roman" w:cs="Times New Roman"/>
          <w:szCs w:val="24"/>
        </w:rPr>
        <w:t>, gdy atakowi o charakterze terrorystycznym nie można zapobiec za pomocą innych środków, a na pokładzie samolotu nie ma żadnych osób lub na pokładzie znajdują się wyłącznie osoby zamierzające użyć tego statku jako środka ataku</w:t>
      </w:r>
      <w:r w:rsidR="00034EB5">
        <w:rPr>
          <w:rFonts w:eastAsia="Times New Roman" w:cs="Times New Roman"/>
          <w:szCs w:val="24"/>
        </w:rPr>
        <w:t xml:space="preserve"> o charakterze terrorystycznym.</w:t>
      </w:r>
    </w:p>
    <w:p w14:paraId="5150AC26" w14:textId="72523086"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2E7996">
        <w:rPr>
          <w:rFonts w:eastAsia="Calibri" w:cs="Times New Roman"/>
          <w:b/>
          <w:szCs w:val="24"/>
          <w:lang w:eastAsia="en-US"/>
        </w:rPr>
        <w:t xml:space="preserve">W ramach zmian w ustawie </w:t>
      </w:r>
      <w:r w:rsidRPr="002E7996">
        <w:rPr>
          <w:rFonts w:eastAsia="Times New Roman" w:cs="Times New Roman"/>
          <w:b/>
          <w:szCs w:val="24"/>
          <w:lang w:eastAsia="en-US"/>
        </w:rPr>
        <w:t xml:space="preserve">z dnia 12 października 1990 r. o </w:t>
      </w:r>
      <w:r w:rsidRPr="002E7996">
        <w:rPr>
          <w:rFonts w:eastAsia="Times New Roman" w:cs="Times New Roman"/>
          <w:b/>
          <w:iCs/>
          <w:szCs w:val="24"/>
          <w:lang w:eastAsia="en-US"/>
        </w:rPr>
        <w:t>Straży Granicznej</w:t>
      </w:r>
      <w:r w:rsidRPr="00247507">
        <w:rPr>
          <w:rFonts w:eastAsia="Calibri" w:cs="Times New Roman"/>
          <w:szCs w:val="24"/>
          <w:lang w:eastAsia="en-US"/>
        </w:rPr>
        <w:t xml:space="preserve"> </w:t>
      </w:r>
      <w:r w:rsidRPr="00323A2E">
        <w:rPr>
          <w:rFonts w:eastAsia="Calibri" w:cs="Times New Roman"/>
          <w:szCs w:val="24"/>
          <w:lang w:eastAsia="en-US"/>
        </w:rPr>
        <w:t>proponuje się dodanie przepisów umożliwiających użycie SZ</w:t>
      </w:r>
      <w:r w:rsidR="00C10B1B">
        <w:rPr>
          <w:rFonts w:eastAsia="Calibri" w:cs="Times New Roman"/>
          <w:szCs w:val="24"/>
          <w:lang w:eastAsia="en-US"/>
        </w:rPr>
        <w:t xml:space="preserve"> </w:t>
      </w:r>
      <w:r w:rsidRPr="00323A2E">
        <w:rPr>
          <w:rFonts w:eastAsia="Calibri" w:cs="Times New Roman"/>
          <w:szCs w:val="24"/>
          <w:lang w:eastAsia="en-US"/>
        </w:rPr>
        <w:t>RP na zasadach analogicznych do obecnie obowiązujących art. 11b i art. 11c, z tym, że w przypadku gdy wymagają tego względy obronności państwa lub nienaruszalności granicy państwowej. Przesłanki, tryb oraz zakres uprawnień również zostały zaprojektowane w sposób analogiczny do obowiązujących rozwiązań. Użycie SZ RP będzie następowało na podstawie postanowienia Prezydenta Rzeczypospolitej Polskiej wydanego na wniosek Prezesa Rady Ministrów. W przypadkach niecierpiących zwłoki decyzję o użyciu oddziałów i pododdziałów SZ RP będzie podejmował Minister Obrony Narodowej, na wniosek ministra właściwego do spraw wewnętrznych określający zakres i formę pomocy, zawiadamiając o niej niezwłocznie Prezydenta R</w:t>
      </w:r>
      <w:r w:rsidR="009A28CF">
        <w:rPr>
          <w:rFonts w:eastAsia="Calibri" w:cs="Times New Roman"/>
          <w:szCs w:val="24"/>
          <w:lang w:eastAsia="en-US"/>
        </w:rPr>
        <w:t xml:space="preserve">zeczypospolitej </w:t>
      </w:r>
      <w:r w:rsidRPr="00323A2E">
        <w:rPr>
          <w:rFonts w:eastAsia="Calibri" w:cs="Times New Roman"/>
          <w:szCs w:val="24"/>
          <w:lang w:eastAsia="en-US"/>
        </w:rPr>
        <w:t xml:space="preserve">P i Prezesa Rady Ministrów. Prezydent Rzeczypospolitej Polskiej w takim przypadku niezwłocznie wyda postanowienie o zatwierdzeniu lub uchyleniu decyzji Ministra Obrony Narodowej. Przewiduje się, że żołnierzom SZ RP będą przysługiwały </w:t>
      </w:r>
      <w:r w:rsidRPr="00323A2E">
        <w:rPr>
          <w:rFonts w:eastAsia="Times New Roman" w:cs="Times New Roman"/>
          <w:szCs w:val="24"/>
        </w:rPr>
        <w:t xml:space="preserve">uprawnienia </w:t>
      </w:r>
      <w:r w:rsidRPr="00323A2E">
        <w:rPr>
          <w:rFonts w:eastAsia="Times New Roman" w:cs="Times New Roman"/>
          <w:szCs w:val="24"/>
        </w:rPr>
        <w:lastRenderedPageBreak/>
        <w:t xml:space="preserve">funkcjonariuszy </w:t>
      </w:r>
      <w:r w:rsidRPr="00323A2E">
        <w:rPr>
          <w:rFonts w:eastAsia="Times New Roman" w:cs="Times New Roman"/>
          <w:iCs/>
          <w:szCs w:val="24"/>
        </w:rPr>
        <w:t>Straży Granicznej</w:t>
      </w:r>
      <w:r w:rsidRPr="00323A2E">
        <w:rPr>
          <w:rFonts w:eastAsia="Times New Roman" w:cs="Times New Roman"/>
          <w:szCs w:val="24"/>
        </w:rPr>
        <w:t xml:space="preserve"> określone w art. 11 ust. 1 pkt 2, 4</w:t>
      </w:r>
      <w:r w:rsidR="009A1E1B">
        <w:rPr>
          <w:rFonts w:eastAsia="Times New Roman" w:cs="Times New Roman"/>
          <w:szCs w:val="24"/>
        </w:rPr>
        <w:t>−</w:t>
      </w:r>
      <w:r w:rsidRPr="00323A2E">
        <w:rPr>
          <w:rFonts w:eastAsia="Times New Roman" w:cs="Times New Roman"/>
          <w:szCs w:val="24"/>
        </w:rPr>
        <w:t>5a, 5b lit. a i b, pkt 6, 7, 7a i 10, art. 14</w:t>
      </w:r>
      <w:r w:rsidR="009A1E1B">
        <w:rPr>
          <w:rFonts w:eastAsia="Times New Roman" w:cs="Times New Roman"/>
          <w:szCs w:val="24"/>
        </w:rPr>
        <w:t>−</w:t>
      </w:r>
      <w:r w:rsidRPr="00323A2E">
        <w:rPr>
          <w:rFonts w:eastAsia="Times New Roman" w:cs="Times New Roman"/>
          <w:szCs w:val="24"/>
        </w:rPr>
        <w:t>18 oraz art. 23</w:t>
      </w:r>
      <w:r w:rsidR="00266DE3">
        <w:rPr>
          <w:rFonts w:eastAsia="Times New Roman" w:cs="Times New Roman"/>
          <w:szCs w:val="24"/>
        </w:rPr>
        <w:t xml:space="preserve"> ustawy z dnia 12 października 1990 r. o Straży Granicznej</w:t>
      </w:r>
      <w:r w:rsidRPr="00323A2E">
        <w:rPr>
          <w:rFonts w:eastAsia="Times New Roman" w:cs="Times New Roman"/>
          <w:szCs w:val="24"/>
        </w:rPr>
        <w:t xml:space="preserve">. Korzystanie z tych uprawnień będzie następowało na zasadach i w trybie określonych dla funkcjonariuszy </w:t>
      </w:r>
      <w:r w:rsidRPr="00323A2E">
        <w:rPr>
          <w:rFonts w:eastAsia="Times New Roman" w:cs="Times New Roman"/>
          <w:iCs/>
          <w:szCs w:val="24"/>
        </w:rPr>
        <w:t>Straży Granicznej. Proponowane rozwiązani</w:t>
      </w:r>
      <w:r w:rsidR="00F27801">
        <w:rPr>
          <w:rFonts w:eastAsia="Times New Roman" w:cs="Times New Roman"/>
          <w:iCs/>
          <w:szCs w:val="24"/>
        </w:rPr>
        <w:t>a</w:t>
      </w:r>
      <w:r w:rsidRPr="00323A2E">
        <w:rPr>
          <w:rFonts w:eastAsia="Times New Roman" w:cs="Times New Roman"/>
          <w:iCs/>
          <w:szCs w:val="24"/>
        </w:rPr>
        <w:t xml:space="preserve"> są analogiczne do obecnie istniejących. Poza przepisami dotyczącymi udzielania pomocy Straży Granicznej wprowadza się regulację, która stanowić będzie podstawę do prowadzenia samodzielnych działań przez SZ RP </w:t>
      </w:r>
      <w:r w:rsidRPr="00323A2E">
        <w:rPr>
          <w:rFonts w:eastAsia="Calibri" w:cs="Times New Roman"/>
          <w:szCs w:val="24"/>
          <w:lang w:eastAsia="en-US"/>
        </w:rPr>
        <w:t>na polskich obszarach morskich</w:t>
      </w:r>
      <w:r w:rsidR="003F341B">
        <w:rPr>
          <w:rFonts w:eastAsia="Calibri" w:cs="Times New Roman"/>
          <w:szCs w:val="24"/>
          <w:lang w:eastAsia="en-US"/>
        </w:rPr>
        <w:t>,</w:t>
      </w:r>
      <w:r w:rsidRPr="00323A2E">
        <w:rPr>
          <w:rFonts w:eastAsia="Calibri" w:cs="Times New Roman"/>
          <w:szCs w:val="24"/>
          <w:lang w:eastAsia="en-US"/>
        </w:rPr>
        <w:t xml:space="preserve"> </w:t>
      </w:r>
      <w:r w:rsidRPr="00323A2E">
        <w:rPr>
          <w:rFonts w:eastAsia="Times New Roman" w:cs="Times New Roman"/>
          <w:iCs/>
          <w:szCs w:val="24"/>
        </w:rPr>
        <w:t>w</w:t>
      </w:r>
      <w:r w:rsidRPr="00323A2E">
        <w:rPr>
          <w:rFonts w:eastAsia="Calibri" w:cs="Times New Roman"/>
          <w:szCs w:val="24"/>
          <w:lang w:eastAsia="en-US"/>
        </w:rPr>
        <w:t xml:space="preserve"> przypadku gdy wymagają tego względy obronności państwa lub nienaruszalności granicy państwowej, jeżeli uz</w:t>
      </w:r>
      <w:r w:rsidR="002F34B1">
        <w:rPr>
          <w:rFonts w:eastAsia="Calibri" w:cs="Times New Roman"/>
          <w:szCs w:val="24"/>
          <w:lang w:eastAsia="en-US"/>
        </w:rPr>
        <w:t>asadnia to rodzaj zagrożenia. W </w:t>
      </w:r>
      <w:r w:rsidRPr="00323A2E">
        <w:rPr>
          <w:rFonts w:eastAsia="Calibri" w:cs="Times New Roman"/>
          <w:szCs w:val="24"/>
          <w:lang w:eastAsia="en-US"/>
        </w:rPr>
        <w:t>takim przypadku SZ RP będą działały zgodnie ze swoim zakresem kompetencji, w ramach uprawnień określonych w art. 11 ust. 4 ustawy z dnia 11 marca 2022 r. o obronie Ojczyzny</w:t>
      </w:r>
      <w:r w:rsidRPr="00E34887">
        <w:rPr>
          <w:rFonts w:eastAsia="Calibri" w:cs="Times New Roman"/>
          <w:szCs w:val="24"/>
          <w:lang w:eastAsia="en-US"/>
        </w:rPr>
        <w:t xml:space="preserve">. </w:t>
      </w:r>
      <w:r w:rsidR="002F34B1">
        <w:rPr>
          <w:rFonts w:eastAsia="Calibri" w:cs="Times New Roman"/>
          <w:szCs w:val="24"/>
          <w:lang w:eastAsia="en-US"/>
        </w:rPr>
        <w:t>W </w:t>
      </w:r>
      <w:r w:rsidRPr="00323A2E">
        <w:rPr>
          <w:rFonts w:eastAsia="Calibri" w:cs="Times New Roman"/>
          <w:szCs w:val="24"/>
          <w:lang w:eastAsia="en-US"/>
        </w:rPr>
        <w:t xml:space="preserve">związku z pogarszającą się sytuacją bezpieczeństwa oraz zagrożeniami pojawiającymi się na polskich obszarach morskich nie można wykluczyć, że </w:t>
      </w:r>
      <w:r w:rsidR="009F1E79" w:rsidRPr="00323A2E">
        <w:rPr>
          <w:rFonts w:eastAsia="Calibri" w:cs="Times New Roman"/>
          <w:szCs w:val="24"/>
          <w:lang w:eastAsia="en-US"/>
        </w:rPr>
        <w:t xml:space="preserve">będzie </w:t>
      </w:r>
      <w:r w:rsidRPr="00323A2E">
        <w:rPr>
          <w:rFonts w:eastAsia="Calibri" w:cs="Times New Roman"/>
          <w:szCs w:val="24"/>
          <w:lang w:eastAsia="en-US"/>
        </w:rPr>
        <w:t>konieczne podejmowanie działań o charakterze obronnym, a nie policyjnym. Zaproponowane rozwiązanie wypełni istniejącą lukę prawną w zakresie możliwości użycia SZ RP na polskich obszarach morskich.</w:t>
      </w:r>
    </w:p>
    <w:p w14:paraId="1EE921A5" w14:textId="2D186409" w:rsidR="00C91482" w:rsidRPr="00323A2E" w:rsidRDefault="00C91482" w:rsidP="00034EB5">
      <w:pPr>
        <w:widowControl/>
        <w:autoSpaceDE/>
        <w:autoSpaceDN/>
        <w:adjustRightInd/>
        <w:spacing w:before="120"/>
        <w:ind w:firstLine="567"/>
        <w:jc w:val="both"/>
        <w:rPr>
          <w:rFonts w:eastAsia="Calibri" w:cs="Times New Roman"/>
          <w:szCs w:val="24"/>
          <w:lang w:eastAsia="en-US"/>
        </w:rPr>
      </w:pPr>
      <w:r w:rsidRPr="00323A2E">
        <w:rPr>
          <w:rFonts w:eastAsia="Calibri" w:cs="Times New Roman"/>
          <w:szCs w:val="24"/>
          <w:lang w:eastAsia="en-US"/>
        </w:rPr>
        <w:t xml:space="preserve">Projektowana ustawa nowelizuje także przepisy </w:t>
      </w:r>
      <w:r w:rsidR="002F34B1">
        <w:rPr>
          <w:rFonts w:eastAsia="Calibri" w:cs="Times New Roman"/>
          <w:b/>
          <w:szCs w:val="24"/>
          <w:lang w:eastAsia="en-US"/>
        </w:rPr>
        <w:t>ustawy z dnia 24 maja 2013 </w:t>
      </w:r>
      <w:r w:rsidRPr="00323A2E">
        <w:rPr>
          <w:rFonts w:eastAsia="Calibri" w:cs="Times New Roman"/>
          <w:b/>
          <w:szCs w:val="24"/>
          <w:lang w:eastAsia="en-US"/>
        </w:rPr>
        <w:t>r. o środkach przymusu bezpośredniego i broni palnej</w:t>
      </w:r>
      <w:r w:rsidRPr="00323A2E">
        <w:rPr>
          <w:rFonts w:eastAsia="Calibri" w:cs="Times New Roman"/>
          <w:szCs w:val="24"/>
          <w:lang w:eastAsia="en-US"/>
        </w:rPr>
        <w:t xml:space="preserve"> (</w:t>
      </w:r>
      <w:r w:rsidRPr="00DB4C4E">
        <w:rPr>
          <w:rFonts w:eastAsia="Calibri" w:cs="Times New Roman"/>
          <w:szCs w:val="24"/>
          <w:lang w:eastAsia="en-US"/>
        </w:rPr>
        <w:t>Dz. U. z 202</w:t>
      </w:r>
      <w:r w:rsidR="00560483" w:rsidRPr="00DB4C4E">
        <w:rPr>
          <w:rFonts w:eastAsia="Calibri" w:cs="Times New Roman"/>
          <w:szCs w:val="24"/>
          <w:lang w:eastAsia="en-US"/>
        </w:rPr>
        <w:t>3</w:t>
      </w:r>
      <w:r w:rsidRPr="00DB4C4E">
        <w:rPr>
          <w:rFonts w:eastAsia="Calibri" w:cs="Times New Roman"/>
          <w:szCs w:val="24"/>
          <w:lang w:eastAsia="en-US"/>
        </w:rPr>
        <w:t xml:space="preserve"> r. poz. </w:t>
      </w:r>
      <w:r w:rsidR="00560483" w:rsidRPr="00DB4C4E">
        <w:rPr>
          <w:rFonts w:eastAsia="Calibri" w:cs="Times New Roman"/>
          <w:szCs w:val="24"/>
          <w:lang w:eastAsia="en-US"/>
        </w:rPr>
        <w:t>202</w:t>
      </w:r>
      <w:r w:rsidRPr="00DB4C4E">
        <w:rPr>
          <w:rFonts w:eastAsia="Calibri" w:cs="Times New Roman"/>
          <w:szCs w:val="24"/>
          <w:lang w:eastAsia="en-US"/>
        </w:rPr>
        <w:t xml:space="preserve">, z późn. zm.). </w:t>
      </w:r>
      <w:r w:rsidRPr="00323A2E">
        <w:rPr>
          <w:rFonts w:eastAsia="Calibri" w:cs="Times New Roman"/>
          <w:szCs w:val="24"/>
          <w:lang w:eastAsia="en-US"/>
        </w:rPr>
        <w:t xml:space="preserve">Katalog włączeń stosowania przepisów tej ustawy wskazany w jej art. 3 powinien zostać uzupełniony o </w:t>
      </w:r>
      <w:r w:rsidRPr="00323A2E">
        <w:rPr>
          <w:rFonts w:eastAsia="Times New Roman" w:cs="Times New Roman"/>
          <w:szCs w:val="24"/>
        </w:rPr>
        <w:t xml:space="preserve">działania żołnierzy SZ RP, o których mowa w ustawie </w:t>
      </w:r>
      <w:r w:rsidRPr="00323A2E">
        <w:rPr>
          <w:rFonts w:eastAsia="Calibri" w:cs="Times New Roman"/>
          <w:szCs w:val="24"/>
          <w:lang w:eastAsia="en-US"/>
        </w:rPr>
        <w:t xml:space="preserve">z dnia 3 lipca 2002 r. </w:t>
      </w:r>
      <w:r w:rsidR="009A1E1B">
        <w:rPr>
          <w:rFonts w:eastAsia="Calibri" w:cs="Times New Roman"/>
          <w:szCs w:val="24"/>
          <w:lang w:eastAsia="en-US"/>
        </w:rPr>
        <w:t>−</w:t>
      </w:r>
      <w:r w:rsidRPr="00323A2E">
        <w:rPr>
          <w:rFonts w:eastAsia="Calibri" w:cs="Times New Roman"/>
          <w:szCs w:val="24"/>
          <w:lang w:eastAsia="en-US"/>
        </w:rPr>
        <w:t xml:space="preserve"> Prawo lotnicze i ustawie z dnia 4 września 2008 r. o ochronie żeglugi i portów morskich.</w:t>
      </w:r>
    </w:p>
    <w:p w14:paraId="70BC89BC" w14:textId="35985FFF" w:rsidR="00C91482" w:rsidRPr="00323A2E" w:rsidRDefault="00C91482" w:rsidP="00034EB5">
      <w:pPr>
        <w:widowControl/>
        <w:autoSpaceDE/>
        <w:autoSpaceDN/>
        <w:adjustRightInd/>
        <w:spacing w:before="120"/>
        <w:ind w:firstLine="567"/>
        <w:jc w:val="both"/>
        <w:rPr>
          <w:rFonts w:eastAsia="Calibri" w:cs="Times New Roman"/>
          <w:bCs/>
          <w:szCs w:val="24"/>
          <w:lang w:eastAsia="en-US"/>
        </w:rPr>
      </w:pPr>
      <w:r w:rsidRPr="005A4A3E">
        <w:rPr>
          <w:rFonts w:eastAsia="Calibri" w:cs="Times New Roman"/>
          <w:szCs w:val="24"/>
          <w:lang w:eastAsia="en-US"/>
        </w:rPr>
        <w:t>Proponuje się także (na wniosek M</w:t>
      </w:r>
      <w:r w:rsidR="005A4A3E">
        <w:rPr>
          <w:rFonts w:eastAsia="Calibri" w:cs="Times New Roman"/>
          <w:szCs w:val="24"/>
          <w:lang w:eastAsia="en-US"/>
        </w:rPr>
        <w:t xml:space="preserve">inistra </w:t>
      </w:r>
      <w:r w:rsidRPr="005A4A3E">
        <w:rPr>
          <w:rFonts w:eastAsia="Calibri" w:cs="Times New Roman"/>
          <w:szCs w:val="24"/>
          <w:lang w:eastAsia="en-US"/>
        </w:rPr>
        <w:t>S</w:t>
      </w:r>
      <w:r w:rsidR="005A4A3E">
        <w:rPr>
          <w:rFonts w:eastAsia="Calibri" w:cs="Times New Roman"/>
          <w:szCs w:val="24"/>
          <w:lang w:eastAsia="en-US"/>
        </w:rPr>
        <w:t xml:space="preserve">praw </w:t>
      </w:r>
      <w:r w:rsidRPr="005A4A3E">
        <w:rPr>
          <w:rFonts w:eastAsia="Calibri" w:cs="Times New Roman"/>
          <w:szCs w:val="24"/>
          <w:lang w:eastAsia="en-US"/>
        </w:rPr>
        <w:t>W</w:t>
      </w:r>
      <w:r w:rsidR="005A4A3E">
        <w:rPr>
          <w:rFonts w:eastAsia="Calibri" w:cs="Times New Roman"/>
          <w:szCs w:val="24"/>
          <w:lang w:eastAsia="en-US"/>
        </w:rPr>
        <w:t xml:space="preserve">ewnętrznych </w:t>
      </w:r>
      <w:r w:rsidRPr="005A4A3E">
        <w:rPr>
          <w:rFonts w:eastAsia="Calibri" w:cs="Times New Roman"/>
          <w:szCs w:val="24"/>
          <w:lang w:eastAsia="en-US"/>
        </w:rPr>
        <w:t>i</w:t>
      </w:r>
      <w:r w:rsidR="005A4A3E">
        <w:rPr>
          <w:rFonts w:eastAsia="Calibri" w:cs="Times New Roman"/>
          <w:szCs w:val="24"/>
          <w:lang w:eastAsia="en-US"/>
        </w:rPr>
        <w:t xml:space="preserve"> </w:t>
      </w:r>
      <w:r w:rsidRPr="005A4A3E">
        <w:rPr>
          <w:rFonts w:eastAsia="Calibri" w:cs="Times New Roman"/>
          <w:szCs w:val="24"/>
          <w:lang w:eastAsia="en-US"/>
        </w:rPr>
        <w:t>A</w:t>
      </w:r>
      <w:r w:rsidR="005A4A3E">
        <w:rPr>
          <w:rFonts w:eastAsia="Calibri" w:cs="Times New Roman"/>
          <w:szCs w:val="24"/>
          <w:lang w:eastAsia="en-US"/>
        </w:rPr>
        <w:t>dministracji</w:t>
      </w:r>
      <w:r w:rsidRPr="005A4A3E">
        <w:rPr>
          <w:rFonts w:eastAsia="Calibri" w:cs="Times New Roman"/>
          <w:szCs w:val="24"/>
          <w:lang w:eastAsia="en-US"/>
        </w:rPr>
        <w:t xml:space="preserve">) nowelizację </w:t>
      </w:r>
      <w:r w:rsidRPr="00323A2E">
        <w:rPr>
          <w:rFonts w:eastAsia="Calibri" w:cs="Times New Roman"/>
          <w:szCs w:val="24"/>
          <w:lang w:eastAsia="en-US"/>
        </w:rPr>
        <w:t xml:space="preserve">art. 24 ustawy </w:t>
      </w:r>
      <w:bookmarkStart w:id="1" w:name="_Hlk115949937"/>
      <w:r w:rsidRPr="00323A2E">
        <w:rPr>
          <w:rFonts w:eastAsia="Calibri" w:cs="Times New Roman"/>
          <w:bCs/>
          <w:szCs w:val="24"/>
          <w:lang w:eastAsia="en-US"/>
        </w:rPr>
        <w:t>z dnia 10 czerwca 2016 r. o działaniach antyterrorystycznych</w:t>
      </w:r>
      <w:bookmarkEnd w:id="1"/>
      <w:r w:rsidRPr="00323A2E">
        <w:rPr>
          <w:rFonts w:eastAsia="Calibri" w:cs="Times New Roman"/>
          <w:bCs/>
          <w:szCs w:val="24"/>
          <w:lang w:eastAsia="en-US"/>
        </w:rPr>
        <w:t>. Obszar prowadzenia działań antyterrorystycznych na morzu rozszerzony zostanie o całość obszaru wyłącznej strefy ekonomicznej. Polska strefa odpowiedzialności SAR – w której obecnie mogą być prowadzone działania – nie pokrywa się z całym obszarem polskiej wyłącznej strefy ekonomicznej. Należy mieć na uwadze, że w polskiej wyłącznej strefie ekonomicznej, w tym także tej jej części wyłączonej z SAR</w:t>
      </w:r>
      <w:r w:rsidR="002F34B1">
        <w:rPr>
          <w:rFonts w:eastAsia="Calibri" w:cs="Times New Roman"/>
          <w:bCs/>
          <w:szCs w:val="24"/>
          <w:lang w:eastAsia="en-US"/>
        </w:rPr>
        <w:t>, umiejscowione są urządzenia i </w:t>
      </w:r>
      <w:r w:rsidRPr="00323A2E">
        <w:rPr>
          <w:rFonts w:eastAsia="Calibri" w:cs="Times New Roman"/>
          <w:bCs/>
          <w:szCs w:val="24"/>
          <w:lang w:eastAsia="en-US"/>
        </w:rPr>
        <w:t>infrastruktura wydobywcza i energetyczna, które mogą być celem ataku o charakterze terrorystycznym. Tym samym istnieje potrzeba objęcia całej wyłącznej strefy ekonomicznej możliwością prowadzenia działań na zasadach określonych w</w:t>
      </w:r>
      <w:r w:rsidR="002F34B1">
        <w:rPr>
          <w:rFonts w:eastAsia="Calibri" w:cs="Times New Roman"/>
          <w:bCs/>
          <w:szCs w:val="24"/>
          <w:lang w:eastAsia="en-US"/>
        </w:rPr>
        <w:t xml:space="preserve"> ustawie z dnia 10 czerwca 2016 </w:t>
      </w:r>
      <w:r w:rsidRPr="00323A2E">
        <w:rPr>
          <w:rFonts w:eastAsia="Calibri" w:cs="Times New Roman"/>
          <w:bCs/>
          <w:szCs w:val="24"/>
          <w:lang w:eastAsia="en-US"/>
        </w:rPr>
        <w:t>r. o działaniach antyterrorystycznych.</w:t>
      </w:r>
    </w:p>
    <w:p w14:paraId="0BFCE67D" w14:textId="328371C8"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 xml:space="preserve">Przeprowadzone analizy bezpieczeństwa Terminalu LNG </w:t>
      </w:r>
      <w:r w:rsidR="00E445F3" w:rsidRPr="00E445F3">
        <w:rPr>
          <w:rFonts w:eastAsia="Calibri" w:cs="Times New Roman"/>
          <w:color w:val="000000"/>
          <w:spacing w:val="-2"/>
          <w:szCs w:val="24"/>
          <w:lang w:eastAsia="en-US"/>
        </w:rPr>
        <w:t xml:space="preserve">im. Prezydenta Lecha Kaczyńskiego </w:t>
      </w:r>
      <w:r w:rsidRPr="00323A2E">
        <w:rPr>
          <w:rFonts w:eastAsia="Calibri" w:cs="Times New Roman"/>
          <w:color w:val="000000"/>
          <w:spacing w:val="-2"/>
          <w:szCs w:val="24"/>
          <w:lang w:eastAsia="en-US"/>
        </w:rPr>
        <w:t xml:space="preserve">w Świnoujściu, w świetle aktualnej sytuacji międzynarodowej i zwiększonego ryzyka ataków terrorystycznych lub sabotażowych na obiekty infrastruktury energetycznej </w:t>
      </w:r>
      <w:r w:rsidRPr="00323A2E">
        <w:rPr>
          <w:rFonts w:eastAsia="Calibri" w:cs="Times New Roman"/>
          <w:color w:val="000000"/>
          <w:spacing w:val="-2"/>
          <w:szCs w:val="24"/>
          <w:lang w:eastAsia="en-US"/>
        </w:rPr>
        <w:lastRenderedPageBreak/>
        <w:t>położone nad Morzem Bałtyckim, ujawniły konieczność rozbudowy infrastruktury s</w:t>
      </w:r>
      <w:r w:rsidR="00034EB5">
        <w:rPr>
          <w:rFonts w:eastAsia="Calibri" w:cs="Times New Roman"/>
          <w:color w:val="000000"/>
          <w:spacing w:val="-2"/>
          <w:szCs w:val="24"/>
          <w:lang w:eastAsia="en-US"/>
        </w:rPr>
        <w:t>łużącej ochronie tych obiektów.</w:t>
      </w:r>
    </w:p>
    <w:p w14:paraId="00230030" w14:textId="0A2A4718"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Jak wynika z przepisów ustawy z dnia 4 września 2008 r. o ochronie żeglugi i portów morskich, formacją</w:t>
      </w:r>
      <w:r w:rsidR="00EF6AD1">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która w pierwszym rzędzie odpowiada za zapobieżenie, ograniczenie lub usunięcie poważnego i bezpośredniego niebezpieczeństwa grożącego statkom, obiektom portowym i portom oraz związanej z nimi infrastrukturze, powstałego na skutek użycia statku lub obiektu pływającego jako środka ataku terrorystycznego</w:t>
      </w:r>
      <w:r w:rsidR="00EF6AD1">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jest Straż Graniczna. Wprowadzenie przepisu pozwalającego na budowę budynku Straży Granicznej do </w:t>
      </w:r>
      <w:r w:rsidRPr="00176DB0">
        <w:rPr>
          <w:rStyle w:val="Ppogrubienie"/>
        </w:rPr>
        <w:t>ustawy z dnia 24 kwietnia 2009 r. o inwestycjach w zakresie terminalu regazyfikacyjnego skroplonego gazu ziemnego w Świnoujściu</w:t>
      </w:r>
      <w:r w:rsidRPr="00323A2E">
        <w:rPr>
          <w:rFonts w:eastAsia="Calibri" w:cs="Times New Roman"/>
          <w:color w:val="000000"/>
          <w:spacing w:val="-2"/>
          <w:szCs w:val="24"/>
          <w:lang w:eastAsia="en-US"/>
        </w:rPr>
        <w:t xml:space="preserve"> </w:t>
      </w:r>
      <w:r w:rsidRPr="00DB4C4E">
        <w:rPr>
          <w:rFonts w:eastAsia="Calibri" w:cs="Times New Roman"/>
          <w:color w:val="000000"/>
          <w:spacing w:val="-2"/>
          <w:szCs w:val="24"/>
          <w:lang w:eastAsia="en-US"/>
        </w:rPr>
        <w:t>(Dz. U. z 2021 r. poz. 1836</w:t>
      </w:r>
      <w:r w:rsidR="00176DB0" w:rsidRPr="00DB4C4E">
        <w:rPr>
          <w:rFonts w:eastAsia="Calibri" w:cs="Times New Roman"/>
          <w:color w:val="000000"/>
          <w:spacing w:val="-2"/>
          <w:szCs w:val="24"/>
          <w:lang w:eastAsia="en-US"/>
        </w:rPr>
        <w:t>, z późn. zm.</w:t>
      </w:r>
      <w:r w:rsidRPr="00DB4C4E">
        <w:rPr>
          <w:rFonts w:eastAsia="Calibri" w:cs="Times New Roman"/>
          <w:color w:val="000000"/>
          <w:spacing w:val="-2"/>
          <w:szCs w:val="24"/>
          <w:lang w:eastAsia="en-US"/>
        </w:rPr>
        <w:t>)</w:t>
      </w:r>
      <w:r w:rsidR="00C51B41" w:rsidRPr="00DB4C4E">
        <w:rPr>
          <w:rFonts w:eastAsia="Calibri" w:cs="Times New Roman"/>
          <w:color w:val="000000"/>
          <w:spacing w:val="-2"/>
          <w:szCs w:val="24"/>
          <w:lang w:eastAsia="en-US"/>
        </w:rPr>
        <w:t xml:space="preserve">, </w:t>
      </w:r>
      <w:r w:rsidR="00C51B41" w:rsidRPr="00C51B41">
        <w:rPr>
          <w:rFonts w:eastAsia="Calibri" w:cs="Times New Roman"/>
          <w:color w:val="000000"/>
          <w:spacing w:val="-2"/>
          <w:szCs w:val="24"/>
          <w:lang w:eastAsia="en-US"/>
        </w:rPr>
        <w:t>zwanej dalej „</w:t>
      </w:r>
      <w:r w:rsidR="00C51B41" w:rsidRPr="00DB4C4E">
        <w:rPr>
          <w:rFonts w:eastAsia="Calibri" w:cs="Times New Roman"/>
          <w:color w:val="000000"/>
          <w:spacing w:val="-2"/>
          <w:szCs w:val="24"/>
          <w:lang w:eastAsia="en-US"/>
        </w:rPr>
        <w:t>specustawą terminalową</w:t>
      </w:r>
      <w:r w:rsidR="00C51B41" w:rsidRPr="00C51B41">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pozwoli na realizację inwestycji w przyspieszonym trybie. Po wybudowaniu przez Operatora Gazociągów Przesyłowych GAZ-SYSTEM S.A. z siedzibą w Warszawie budynek będzie wykorzystywany do ochrony infrastruktury należącej do tej spółki</w:t>
      </w:r>
      <w:r w:rsidR="00787220">
        <w:rPr>
          <w:rFonts w:eastAsia="Calibri" w:cs="Times New Roman"/>
          <w:color w:val="000000"/>
          <w:spacing w:val="-2"/>
          <w:szCs w:val="24"/>
          <w:lang w:eastAsia="en-US"/>
        </w:rPr>
        <w:t xml:space="preserve"> </w:t>
      </w:r>
      <w:r w:rsidRPr="00323A2E">
        <w:rPr>
          <w:rFonts w:eastAsia="Calibri" w:cs="Times New Roman"/>
          <w:color w:val="000000"/>
          <w:spacing w:val="-2"/>
          <w:szCs w:val="24"/>
          <w:lang w:eastAsia="en-US"/>
        </w:rPr>
        <w:t>będącej operatorem systemu przesyłowego gazowego.</w:t>
      </w:r>
    </w:p>
    <w:p w14:paraId="59CADC72" w14:textId="0B4015FA"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 xml:space="preserve">Aktualnie jednostki pływające Straży Granicznej w Świnoujściu wykorzystują obiekt będący w zarządzie </w:t>
      </w:r>
      <w:r w:rsidRPr="00787220">
        <w:rPr>
          <w:rFonts w:eastAsia="Calibri" w:cs="Times New Roman"/>
          <w:color w:val="000000"/>
          <w:spacing w:val="-2"/>
          <w:szCs w:val="24"/>
          <w:lang w:eastAsia="en-US"/>
        </w:rPr>
        <w:t>SAR</w:t>
      </w:r>
      <w:r w:rsidRPr="00323A2E">
        <w:rPr>
          <w:rFonts w:eastAsia="Calibri" w:cs="Times New Roman"/>
          <w:color w:val="000000"/>
          <w:spacing w:val="-2"/>
          <w:szCs w:val="24"/>
          <w:lang w:eastAsia="en-US"/>
        </w:rPr>
        <w:t xml:space="preserve"> (Morska Służba Poszukiwania i Ratownictwa) i zlokalizowane przy nim nabrzeże. Obiekt ten nie jest własnością Służby Granicznej i nie znajduje się w trwałym zarządzie tej służby, w związku z czym umożliwia bazowanie jedynie dyżurnej jednostki pływającej Straży Granicznej (obsada jednej łodzi składa </w:t>
      </w:r>
      <w:r w:rsidR="00034EB5">
        <w:rPr>
          <w:rFonts w:eastAsia="Calibri" w:cs="Times New Roman"/>
          <w:color w:val="000000"/>
          <w:spacing w:val="-2"/>
          <w:szCs w:val="24"/>
          <w:lang w:eastAsia="en-US"/>
        </w:rPr>
        <w:t>się z około 4 funkcjonariuszy).</w:t>
      </w:r>
    </w:p>
    <w:p w14:paraId="50A45B57" w14:textId="18700E85"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Ponieważ aktualna lokalizacja znajduje się ok. 7 kabli morskich (w przybliże</w:t>
      </w:r>
      <w:r w:rsidR="002F34B1">
        <w:rPr>
          <w:rFonts w:eastAsia="Calibri" w:cs="Times New Roman"/>
          <w:color w:val="000000"/>
          <w:spacing w:val="-2"/>
          <w:szCs w:val="24"/>
          <w:lang w:eastAsia="en-US"/>
        </w:rPr>
        <w:t>niu ok. </w:t>
      </w:r>
      <w:r w:rsidRPr="00323A2E">
        <w:rPr>
          <w:rFonts w:eastAsia="Calibri" w:cs="Times New Roman"/>
          <w:color w:val="000000"/>
          <w:spacing w:val="-2"/>
          <w:szCs w:val="24"/>
          <w:lang w:eastAsia="en-US"/>
        </w:rPr>
        <w:t>1,5 km) od wejścia do basenu portowego LNG, to dotarcie jednostki pływającej Straży Granicznej do tego basenu może potrwać w okresie letnim nawet 20 minut, z uwagi na przecinające się tory wodne prowadzące do portów morskich w Szczecinie i Świnoujś</w:t>
      </w:r>
      <w:r w:rsidR="002F34B1">
        <w:rPr>
          <w:rFonts w:eastAsia="Calibri" w:cs="Times New Roman"/>
          <w:color w:val="000000"/>
          <w:spacing w:val="-2"/>
          <w:szCs w:val="24"/>
          <w:lang w:eastAsia="en-US"/>
        </w:rPr>
        <w:t>ciu. W okresie zimowym, z </w:t>
      </w:r>
      <w:r w:rsidRPr="00323A2E">
        <w:rPr>
          <w:rFonts w:eastAsia="Calibri" w:cs="Times New Roman"/>
          <w:color w:val="000000"/>
          <w:spacing w:val="-2"/>
          <w:szCs w:val="24"/>
          <w:lang w:eastAsia="en-US"/>
        </w:rPr>
        <w:t>uwagi na płynącą krę lodową, okres ten może być jeszcze dłuższy. Czas reakcji należy uznać za niewystarczający, aby zareagować w przypadku celowych działań intruza, zagrażających bezpieczeństwu terminala od strony wody.</w:t>
      </w:r>
    </w:p>
    <w:p w14:paraId="4C51046D" w14:textId="77777777"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 xml:space="preserve">Powstanie stałej bazy dla jednostek Straży Granicznej na terenie basenu portowego umożliwi: </w:t>
      </w:r>
    </w:p>
    <w:p w14:paraId="5B23B20C" w14:textId="109B2F4F"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stałą obecność i dyżurowanie jednostek Straży Granicznej w miejscu objętym ochroną (24/7 przez cały rok);</w:t>
      </w:r>
    </w:p>
    <w:p w14:paraId="03725825" w14:textId="5A10D452"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lastRenderedPageBreak/>
        <w:t>liczoną w minutach gotowość do podjęcia interwencji w sytuacji nagłego wtargnięcia intruza (np. innej jednostki pływające – łodzi motorowej, skutera wodnego) na teren chroniony;</w:t>
      </w:r>
    </w:p>
    <w:p w14:paraId="54AC387D" w14:textId="45E2EE43"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skrócenie do minimum czasu wyjścia jednostki pływającej Straży Granicznej w morze</w:t>
      </w:r>
      <w:r w:rsidR="00827C03">
        <w:rPr>
          <w:rFonts w:eastAsia="Calibri" w:cs="Times New Roman"/>
          <w:color w:val="000000"/>
          <w:spacing w:val="-2"/>
          <w:szCs w:val="24"/>
          <w:lang w:eastAsia="en-US"/>
        </w:rPr>
        <w:t xml:space="preserve"> (</w:t>
      </w:r>
      <w:r w:rsidRPr="00323A2E">
        <w:rPr>
          <w:rFonts w:eastAsia="Calibri" w:cs="Times New Roman"/>
          <w:color w:val="000000"/>
          <w:spacing w:val="-2"/>
          <w:szCs w:val="24"/>
          <w:lang w:eastAsia="en-US"/>
        </w:rPr>
        <w:t>rejon basenu portowego</w:t>
      </w:r>
      <w:r w:rsidR="00827C03">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w celu podjęcia interwencji, w sytuacji zaobserwowania, przy pomocy dostępnych systemów nadzoru, zbliżającego się obiektu mogącego zagrozić bezpieczeństwu </w:t>
      </w:r>
      <w:r w:rsidR="0030716D">
        <w:rPr>
          <w:rFonts w:eastAsia="Calibri" w:cs="Times New Roman"/>
          <w:color w:val="000000"/>
          <w:spacing w:val="-2"/>
          <w:szCs w:val="24"/>
          <w:lang w:eastAsia="en-US"/>
        </w:rPr>
        <w:t>t</w:t>
      </w:r>
      <w:r w:rsidRPr="00323A2E">
        <w:rPr>
          <w:rFonts w:eastAsia="Calibri" w:cs="Times New Roman"/>
          <w:color w:val="000000"/>
          <w:spacing w:val="-2"/>
          <w:szCs w:val="24"/>
          <w:lang w:eastAsia="en-US"/>
        </w:rPr>
        <w:t>erminal</w:t>
      </w:r>
      <w:r w:rsidR="003933BB">
        <w:rPr>
          <w:rFonts w:eastAsia="Calibri" w:cs="Times New Roman"/>
          <w:color w:val="000000"/>
          <w:spacing w:val="-2"/>
          <w:szCs w:val="24"/>
          <w:lang w:eastAsia="en-US"/>
        </w:rPr>
        <w:t>u</w:t>
      </w:r>
      <w:r w:rsidRPr="00323A2E">
        <w:rPr>
          <w:rFonts w:eastAsia="Calibri" w:cs="Times New Roman"/>
          <w:color w:val="000000"/>
          <w:spacing w:val="-2"/>
          <w:szCs w:val="24"/>
          <w:lang w:eastAsia="en-US"/>
        </w:rPr>
        <w:t>, w tym procesom rozładowania tankowca LNG;</w:t>
      </w:r>
    </w:p>
    <w:p w14:paraId="6E000453" w14:textId="3D50EDAD"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stały dostęp służby dyżurnej Straży Granicznej (24/7) do systemów bezpieczeństwa funkcjonujących na terenie terminalu;</w:t>
      </w:r>
    </w:p>
    <w:p w14:paraId="11B2DA18" w14:textId="0211205B"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dyżurowanie kilku jednostek pływających o różnej wielkości (wraz z załogą), co zwiększy znacząco potencjał sił i środków do ochrony terminalu od strony wody;</w:t>
      </w:r>
    </w:p>
    <w:p w14:paraId="15657A9A" w14:textId="2DDB5B28" w:rsidR="00C91482" w:rsidRPr="003933BB" w:rsidRDefault="00C91482" w:rsidP="00A56013">
      <w:pPr>
        <w:pStyle w:val="Akapitzlist"/>
        <w:widowControl/>
        <w:numPr>
          <w:ilvl w:val="0"/>
          <w:numId w:val="13"/>
        </w:numPr>
        <w:autoSpaceDE/>
        <w:autoSpaceDN/>
        <w:adjustRightInd/>
        <w:spacing w:before="120"/>
        <w:ind w:left="709"/>
        <w:jc w:val="both"/>
        <w:rPr>
          <w:rFonts w:eastAsia="Calibri"/>
          <w:lang w:eastAsia="en-US"/>
        </w:rPr>
      </w:pPr>
      <w:r w:rsidRPr="00323A2E">
        <w:rPr>
          <w:rFonts w:eastAsia="Calibri" w:cs="Times New Roman"/>
          <w:color w:val="000000"/>
          <w:spacing w:val="-2"/>
          <w:szCs w:val="24"/>
          <w:lang w:eastAsia="en-US"/>
        </w:rPr>
        <w:t>w razie podniesienia stopni alarmowych</w:t>
      </w:r>
      <w:r w:rsidR="00827C03">
        <w:rPr>
          <w:rFonts w:eastAsia="Calibri" w:cs="Times New Roman"/>
          <w:color w:val="000000"/>
          <w:spacing w:val="-2"/>
          <w:szCs w:val="24"/>
          <w:lang w:eastAsia="en-US"/>
        </w:rPr>
        <w:t xml:space="preserve"> (</w:t>
      </w:r>
      <w:r w:rsidRPr="00323A2E">
        <w:rPr>
          <w:rFonts w:eastAsia="Calibri" w:cs="Times New Roman"/>
          <w:color w:val="000000"/>
          <w:spacing w:val="-2"/>
          <w:szCs w:val="24"/>
          <w:lang w:eastAsia="en-US"/>
        </w:rPr>
        <w:t>zagrożenia</w:t>
      </w:r>
      <w:r w:rsidR="00827C03">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w:t>
      </w:r>
      <w:r w:rsidR="00A56013">
        <w:rPr>
          <w:rFonts w:eastAsia="Calibri" w:cs="Times New Roman"/>
          <w:color w:val="000000"/>
          <w:spacing w:val="-2"/>
          <w:szCs w:val="24"/>
          <w:lang w:eastAsia="en-US"/>
        </w:rPr>
        <w:t>–</w:t>
      </w:r>
      <w:r w:rsidRPr="00323A2E">
        <w:rPr>
          <w:rFonts w:eastAsia="Calibri" w:cs="Times New Roman"/>
          <w:color w:val="000000"/>
          <w:spacing w:val="-2"/>
          <w:szCs w:val="24"/>
          <w:lang w:eastAsia="en-US"/>
        </w:rPr>
        <w:t xml:space="preserve"> </w:t>
      </w:r>
      <w:r w:rsidRPr="00952527">
        <w:rPr>
          <w:rFonts w:eastAsia="Calibri" w:cs="Times New Roman"/>
          <w:color w:val="000000"/>
          <w:spacing w:val="-2"/>
          <w:szCs w:val="24"/>
          <w:lang w:eastAsia="en-US"/>
        </w:rPr>
        <w:t>zwiększenie sił Straży Granicznej np. o funkcjonariuszy Wydziału Zabezpieczenia Działań (</w:t>
      </w:r>
      <w:r w:rsidRPr="003933BB">
        <w:rPr>
          <w:rFonts w:eastAsia="Calibri"/>
          <w:lang w:eastAsia="en-US"/>
        </w:rPr>
        <w:t>WZD), którzy są przeszkoleni do działań o charakterze antyterrorystycznym, włącznie z wykonywaniem zadań pod powierzchnią wody;</w:t>
      </w:r>
    </w:p>
    <w:p w14:paraId="711D1C0A" w14:textId="4C0C56B8" w:rsidR="00C91482" w:rsidRPr="00323A2E" w:rsidRDefault="00C91482" w:rsidP="00034EB5">
      <w:pPr>
        <w:pStyle w:val="Akapitzlist"/>
        <w:widowControl/>
        <w:numPr>
          <w:ilvl w:val="0"/>
          <w:numId w:val="13"/>
        </w:numPr>
        <w:autoSpaceDE/>
        <w:autoSpaceDN/>
        <w:adjustRightInd/>
        <w:spacing w:before="120"/>
        <w:ind w:left="709"/>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efektywne współdziałanie Straży Granicznej ze służbą ochrony.</w:t>
      </w:r>
    </w:p>
    <w:p w14:paraId="04C9B162" w14:textId="2177F8BF" w:rsidR="00C91482"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 xml:space="preserve">W związku z powyższym </w:t>
      </w:r>
      <w:bookmarkStart w:id="2" w:name="_Hlk116390746"/>
      <w:r w:rsidRPr="00323A2E">
        <w:rPr>
          <w:rFonts w:eastAsia="Calibri" w:cs="Times New Roman"/>
          <w:color w:val="000000"/>
          <w:spacing w:val="-2"/>
          <w:szCs w:val="24"/>
          <w:lang w:eastAsia="en-US"/>
        </w:rPr>
        <w:t xml:space="preserve">budowa budynku dla załóg jednostek pływających Straży Granicznej, wraz z nabrzeżem dla postoju jednostek pływających Straży Granicznej na terenie portu morskiego w Świnoujściu, w bezpośrednim otoczeniu Terminalu LNG </w:t>
      </w:r>
      <w:r w:rsidR="00E445F3" w:rsidRPr="00E445F3">
        <w:rPr>
          <w:rFonts w:eastAsia="Calibri" w:cs="Times New Roman"/>
          <w:color w:val="000000"/>
          <w:spacing w:val="-2"/>
          <w:szCs w:val="24"/>
          <w:lang w:eastAsia="en-US"/>
        </w:rPr>
        <w:t xml:space="preserve">im. Prezydenta Lecha Kaczyńskiego </w:t>
      </w:r>
      <w:r w:rsidRPr="00323A2E">
        <w:rPr>
          <w:rFonts w:eastAsia="Calibri" w:cs="Times New Roman"/>
          <w:color w:val="000000"/>
          <w:spacing w:val="-2"/>
          <w:szCs w:val="24"/>
          <w:lang w:eastAsia="en-US"/>
        </w:rPr>
        <w:t>w Świnoujściu, pozwoli na skuteczniejszą realizację wskazanego powyżej zadania w odniesieniu dla kluczowej dla bezpieczeństwa energetycznego R</w:t>
      </w:r>
      <w:r w:rsidR="00320DF2">
        <w:rPr>
          <w:rFonts w:eastAsia="Calibri" w:cs="Times New Roman"/>
          <w:color w:val="000000"/>
          <w:spacing w:val="-2"/>
          <w:szCs w:val="24"/>
          <w:lang w:eastAsia="en-US"/>
        </w:rPr>
        <w:t xml:space="preserve">zeczypospolitej </w:t>
      </w:r>
      <w:r w:rsidRPr="00323A2E">
        <w:rPr>
          <w:rFonts w:eastAsia="Calibri" w:cs="Times New Roman"/>
          <w:color w:val="000000"/>
          <w:spacing w:val="-2"/>
          <w:szCs w:val="24"/>
          <w:lang w:eastAsia="en-US"/>
        </w:rPr>
        <w:t>P</w:t>
      </w:r>
      <w:r w:rsidR="00320DF2">
        <w:rPr>
          <w:rFonts w:eastAsia="Calibri" w:cs="Times New Roman"/>
          <w:color w:val="000000"/>
          <w:spacing w:val="-2"/>
          <w:szCs w:val="24"/>
          <w:lang w:eastAsia="en-US"/>
        </w:rPr>
        <w:t>olskiej</w:t>
      </w:r>
      <w:r w:rsidRPr="00323A2E">
        <w:rPr>
          <w:rFonts w:eastAsia="Calibri" w:cs="Times New Roman"/>
          <w:color w:val="000000"/>
          <w:spacing w:val="-2"/>
          <w:szCs w:val="24"/>
          <w:lang w:eastAsia="en-US"/>
        </w:rPr>
        <w:t xml:space="preserve"> infrastruktury energetycznej.</w:t>
      </w:r>
      <w:bookmarkEnd w:id="2"/>
    </w:p>
    <w:p w14:paraId="5F42E3CC" w14:textId="01CAF6BB" w:rsidR="00C51B41" w:rsidRPr="00C51B41" w:rsidRDefault="00C51B41" w:rsidP="00034EB5">
      <w:pPr>
        <w:widowControl/>
        <w:autoSpaceDE/>
        <w:autoSpaceDN/>
        <w:adjustRightInd/>
        <w:spacing w:before="120"/>
        <w:ind w:firstLine="567"/>
        <w:jc w:val="both"/>
        <w:rPr>
          <w:rFonts w:eastAsia="Calibri" w:cs="Times New Roman"/>
          <w:color w:val="000000"/>
          <w:spacing w:val="-2"/>
          <w:szCs w:val="24"/>
          <w:lang w:eastAsia="en-US"/>
        </w:rPr>
      </w:pPr>
      <w:r w:rsidRPr="00C51B41">
        <w:rPr>
          <w:rFonts w:eastAsia="Calibri" w:cs="Times New Roman"/>
          <w:color w:val="000000"/>
          <w:spacing w:val="-2"/>
          <w:szCs w:val="24"/>
          <w:lang w:eastAsia="en-US"/>
        </w:rPr>
        <w:t xml:space="preserve">Celem zmiany </w:t>
      </w:r>
      <w:r w:rsidRPr="00162861">
        <w:rPr>
          <w:rStyle w:val="Ppogrubienie"/>
        </w:rPr>
        <w:t>ustawy dnia 5 lipca 2018 r. o zmianie ustawy o inwestycjach w zakresie terminalu regazyfikacyjnego skroplonego gazu ziemnego w Świnoujściu oraz niektórych innych ustaw</w:t>
      </w:r>
      <w:r w:rsidRPr="00C51B41">
        <w:rPr>
          <w:rFonts w:eastAsia="Calibri" w:cs="Times New Roman"/>
          <w:color w:val="000000"/>
          <w:spacing w:val="-2"/>
          <w:szCs w:val="24"/>
          <w:lang w:eastAsia="en-US"/>
        </w:rPr>
        <w:t xml:space="preserve"> (</w:t>
      </w:r>
      <w:r w:rsidRPr="003933BB">
        <w:rPr>
          <w:rFonts w:eastAsia="Calibri" w:cs="Times New Roman"/>
          <w:color w:val="000000"/>
          <w:spacing w:val="-2"/>
          <w:szCs w:val="24"/>
          <w:lang w:eastAsia="en-US"/>
        </w:rPr>
        <w:t>Dz. U. poz. 1590</w:t>
      </w:r>
      <w:r w:rsidR="00560483" w:rsidRPr="003933BB">
        <w:rPr>
          <w:rFonts w:eastAsia="Calibri" w:cs="Times New Roman"/>
          <w:color w:val="000000"/>
          <w:spacing w:val="-2"/>
          <w:szCs w:val="24"/>
          <w:lang w:eastAsia="en-US"/>
        </w:rPr>
        <w:t>, z późn. zm.</w:t>
      </w:r>
      <w:r w:rsidRPr="003933BB">
        <w:rPr>
          <w:rFonts w:eastAsia="Calibri" w:cs="Times New Roman"/>
          <w:color w:val="000000"/>
          <w:spacing w:val="-2"/>
          <w:szCs w:val="24"/>
          <w:lang w:eastAsia="en-US"/>
        </w:rPr>
        <w:t xml:space="preserve">), </w:t>
      </w:r>
      <w:r w:rsidRPr="00C51B41">
        <w:rPr>
          <w:rFonts w:eastAsia="Calibri" w:cs="Times New Roman"/>
          <w:color w:val="000000"/>
          <w:spacing w:val="-2"/>
          <w:szCs w:val="24"/>
          <w:lang w:eastAsia="en-US"/>
        </w:rPr>
        <w:t>zwanej dalej „</w:t>
      </w:r>
      <w:r w:rsidRPr="003933BB">
        <w:rPr>
          <w:rFonts w:eastAsia="Calibri" w:cs="Times New Roman"/>
          <w:color w:val="000000"/>
          <w:spacing w:val="-2"/>
          <w:szCs w:val="24"/>
          <w:lang w:eastAsia="en-US"/>
        </w:rPr>
        <w:t>ustawą zmieniającą specustawę</w:t>
      </w:r>
      <w:r w:rsidRPr="00C51B41">
        <w:rPr>
          <w:rFonts w:eastAsia="Calibri" w:cs="Times New Roman"/>
          <w:color w:val="000000"/>
          <w:spacing w:val="-2"/>
          <w:szCs w:val="24"/>
          <w:lang w:eastAsia="en-US"/>
        </w:rPr>
        <w:t>”, jest zapewnienie środków na finansowanie odszkodowań za nieruchomości, które na podstawie specustawy terminalowej przeszły na własność Skarbu Państwa, w przypadku gdy postępowanie w sprawie ustalenia wysokości odszkodowania zostało wszczęte i nie zostało zakończone ostateczną decyzją przed dniem 27 maja 2021 r.</w:t>
      </w:r>
    </w:p>
    <w:p w14:paraId="2429F070" w14:textId="18D0EEF4" w:rsidR="00C51B41" w:rsidRPr="00C51B41" w:rsidRDefault="00C51B41" w:rsidP="00320DF2">
      <w:pPr>
        <w:widowControl/>
        <w:autoSpaceDE/>
        <w:autoSpaceDN/>
        <w:adjustRightInd/>
        <w:spacing w:before="120"/>
        <w:ind w:firstLine="567"/>
        <w:jc w:val="both"/>
        <w:rPr>
          <w:rFonts w:eastAsia="Calibri" w:cs="Times New Roman"/>
          <w:color w:val="000000"/>
          <w:spacing w:val="-2"/>
          <w:szCs w:val="24"/>
          <w:lang w:eastAsia="en-US"/>
        </w:rPr>
      </w:pPr>
      <w:r w:rsidRPr="00C51B41">
        <w:rPr>
          <w:rFonts w:eastAsia="Calibri" w:cs="Times New Roman"/>
          <w:color w:val="000000"/>
          <w:spacing w:val="-2"/>
          <w:szCs w:val="24"/>
          <w:lang w:eastAsia="en-US"/>
        </w:rPr>
        <w:t>Art. 5 ust. 1 pkt 6</w:t>
      </w:r>
      <w:r w:rsidR="004B2BC9">
        <w:rPr>
          <w:rFonts w:eastAsia="Calibri" w:cs="Times New Roman"/>
          <w:color w:val="000000"/>
          <w:spacing w:val="-2"/>
          <w:szCs w:val="24"/>
          <w:lang w:eastAsia="en-US"/>
        </w:rPr>
        <w:t>−</w:t>
      </w:r>
      <w:r w:rsidRPr="00C51B41">
        <w:rPr>
          <w:rFonts w:eastAsia="Calibri" w:cs="Times New Roman"/>
          <w:color w:val="000000"/>
          <w:spacing w:val="-2"/>
          <w:szCs w:val="24"/>
          <w:lang w:eastAsia="en-US"/>
        </w:rPr>
        <w:t>10 ustawy zmieniającej specustawę określa maksymalny limit wydatków z budżetu państwa, w latach 2023</w:t>
      </w:r>
      <w:r w:rsidR="004B2BC9">
        <w:rPr>
          <w:rFonts w:eastAsia="Calibri" w:cs="Times New Roman"/>
          <w:color w:val="000000"/>
          <w:spacing w:val="-2"/>
          <w:szCs w:val="24"/>
          <w:lang w:eastAsia="en-US"/>
        </w:rPr>
        <w:t>−</w:t>
      </w:r>
      <w:r w:rsidRPr="00C51B41">
        <w:rPr>
          <w:rFonts w:eastAsia="Calibri" w:cs="Times New Roman"/>
          <w:color w:val="000000"/>
          <w:spacing w:val="-2"/>
          <w:szCs w:val="24"/>
          <w:lang w:eastAsia="en-US"/>
        </w:rPr>
        <w:t>2027, przeznaczonych na wypłatę odszkodowań za nieruchomości, których własność przeszła na Skarb Państwa na podstawie specustawy terminalowej. Z dniem 27 maja 2021 r. w życie weszła ust</w:t>
      </w:r>
      <w:r w:rsidR="002F34B1">
        <w:rPr>
          <w:rFonts w:eastAsia="Calibri" w:cs="Times New Roman"/>
          <w:color w:val="000000"/>
          <w:spacing w:val="-2"/>
          <w:szCs w:val="24"/>
          <w:lang w:eastAsia="en-US"/>
        </w:rPr>
        <w:t>awa, która zmieniała m.in. art. </w:t>
      </w:r>
      <w:r w:rsidRPr="00C51B41">
        <w:rPr>
          <w:rFonts w:eastAsia="Calibri" w:cs="Times New Roman"/>
          <w:color w:val="000000"/>
          <w:spacing w:val="-2"/>
          <w:szCs w:val="24"/>
          <w:lang w:eastAsia="en-US"/>
        </w:rPr>
        <w:t xml:space="preserve">23 </w:t>
      </w:r>
      <w:r w:rsidRPr="00C51B41">
        <w:rPr>
          <w:rFonts w:eastAsia="Calibri" w:cs="Times New Roman"/>
          <w:color w:val="000000"/>
          <w:spacing w:val="-2"/>
          <w:szCs w:val="24"/>
          <w:lang w:eastAsia="en-US"/>
        </w:rPr>
        <w:lastRenderedPageBreak/>
        <w:t>ust.</w:t>
      </w:r>
      <w:r w:rsidR="002F34B1">
        <w:rPr>
          <w:rFonts w:eastAsia="Calibri" w:cs="Times New Roman"/>
          <w:color w:val="000000"/>
          <w:spacing w:val="-2"/>
          <w:szCs w:val="24"/>
          <w:lang w:eastAsia="en-US"/>
        </w:rPr>
        <w:t> </w:t>
      </w:r>
      <w:r w:rsidRPr="00C51B41">
        <w:rPr>
          <w:rFonts w:eastAsia="Calibri" w:cs="Times New Roman"/>
          <w:color w:val="000000"/>
          <w:spacing w:val="-2"/>
          <w:szCs w:val="24"/>
          <w:lang w:eastAsia="en-US"/>
        </w:rPr>
        <w:t>12 specustawy terminalowej. Wyżej opisana zmiana przeniosła ciężar pokrycia kosztów odszkodowania za nieruchomości wywłaszczone w trybie specustawy terminalowej ze Skarbu Państwa na inwestora przygotowującego i realizującego inwestycje w trybie tej specustawy. W przepisie art. 23 ust. 2 wyżej opisanej ustawy określono jednak, że: „do wszczętych i niezakończonych przed dniem wejścia w życie niniejszej ustawy decyzją ostateczną postępowań w sprawie ustalenia wysokości odszkodowań, o których mowa w a</w:t>
      </w:r>
      <w:r w:rsidR="002F34B1">
        <w:rPr>
          <w:rFonts w:eastAsia="Calibri" w:cs="Times New Roman"/>
          <w:color w:val="000000"/>
          <w:spacing w:val="-2"/>
          <w:szCs w:val="24"/>
          <w:lang w:eastAsia="en-US"/>
        </w:rPr>
        <w:t>rt. 20 ust. 3, 4 i 12 oraz art. </w:t>
      </w:r>
      <w:r w:rsidRPr="00C51B41">
        <w:rPr>
          <w:rFonts w:eastAsia="Calibri" w:cs="Times New Roman"/>
          <w:color w:val="000000"/>
          <w:spacing w:val="-2"/>
          <w:szCs w:val="24"/>
          <w:lang w:eastAsia="en-US"/>
        </w:rPr>
        <w:t>22 ust. 2 ustawy zmienianej w art. 4, art. 19 ust. 3</w:t>
      </w:r>
      <w:r w:rsidR="00320DF2">
        <w:rPr>
          <w:rFonts w:eastAsia="Calibri" w:cs="Times New Roman"/>
          <w:color w:val="000000"/>
          <w:spacing w:val="-2"/>
          <w:szCs w:val="24"/>
          <w:lang w:eastAsia="en-US"/>
        </w:rPr>
        <w:t>–</w:t>
      </w:r>
      <w:r w:rsidRPr="00C51B41">
        <w:rPr>
          <w:rFonts w:eastAsia="Calibri" w:cs="Times New Roman"/>
          <w:color w:val="000000"/>
          <w:spacing w:val="-2"/>
          <w:szCs w:val="24"/>
          <w:lang w:eastAsia="en-US"/>
        </w:rPr>
        <w:t xml:space="preserve">5 oraz art. 20 </w:t>
      </w:r>
      <w:r w:rsidR="002F34B1">
        <w:rPr>
          <w:rFonts w:eastAsia="Calibri" w:cs="Times New Roman"/>
          <w:color w:val="000000"/>
          <w:spacing w:val="-2"/>
          <w:szCs w:val="24"/>
          <w:lang w:eastAsia="en-US"/>
        </w:rPr>
        <w:t>ust. 3 ustawy zmienianej w art. </w:t>
      </w:r>
      <w:r w:rsidRPr="00C51B41">
        <w:rPr>
          <w:rFonts w:eastAsia="Calibri" w:cs="Times New Roman"/>
          <w:color w:val="000000"/>
          <w:spacing w:val="-2"/>
          <w:szCs w:val="24"/>
          <w:lang w:eastAsia="en-US"/>
        </w:rPr>
        <w:t>5 oraz art. 26 ust. 3, 4 i 12 ustawy zmienianej w art. 8, stosuje s</w:t>
      </w:r>
      <w:r w:rsidR="002F34B1">
        <w:rPr>
          <w:rFonts w:eastAsia="Calibri" w:cs="Times New Roman"/>
          <w:color w:val="000000"/>
          <w:spacing w:val="-2"/>
          <w:szCs w:val="24"/>
          <w:lang w:eastAsia="en-US"/>
        </w:rPr>
        <w:t>ię przepisy ustawy zmienianej w art. </w:t>
      </w:r>
      <w:r w:rsidRPr="00C51B41">
        <w:rPr>
          <w:rFonts w:eastAsia="Calibri" w:cs="Times New Roman"/>
          <w:color w:val="000000"/>
          <w:spacing w:val="-2"/>
          <w:szCs w:val="24"/>
          <w:lang w:eastAsia="en-US"/>
        </w:rPr>
        <w:t>4, art. 5 oraz art. 8, w brzmieniu dotychczasowym”. W związku z powyższym w przypadku wszczęcia postępowania w sprawie ustalenia wysokości odszkodowania przed dniem w</w:t>
      </w:r>
      <w:r w:rsidR="002F34B1">
        <w:rPr>
          <w:rFonts w:eastAsia="Calibri" w:cs="Times New Roman"/>
          <w:color w:val="000000"/>
          <w:spacing w:val="-2"/>
          <w:szCs w:val="24"/>
          <w:lang w:eastAsia="en-US"/>
        </w:rPr>
        <w:t>ejścia w </w:t>
      </w:r>
      <w:r w:rsidRPr="00C51B41">
        <w:rPr>
          <w:rFonts w:eastAsia="Calibri" w:cs="Times New Roman"/>
          <w:color w:val="000000"/>
          <w:spacing w:val="-2"/>
          <w:szCs w:val="24"/>
          <w:lang w:eastAsia="en-US"/>
        </w:rPr>
        <w:t xml:space="preserve">życie tej ustawy </w:t>
      </w:r>
      <w:r w:rsidR="004B2BC9">
        <w:rPr>
          <w:rFonts w:eastAsia="Calibri" w:cs="Times New Roman"/>
          <w:color w:val="000000"/>
          <w:spacing w:val="-2"/>
          <w:szCs w:val="24"/>
          <w:lang w:eastAsia="en-US"/>
        </w:rPr>
        <w:t>−</w:t>
      </w:r>
      <w:r w:rsidRPr="00C51B41">
        <w:rPr>
          <w:rFonts w:eastAsia="Calibri" w:cs="Times New Roman"/>
          <w:color w:val="000000"/>
          <w:spacing w:val="-2"/>
          <w:szCs w:val="24"/>
          <w:lang w:eastAsia="en-US"/>
        </w:rPr>
        <w:t xml:space="preserve"> to jest przed dniem 27 maja 2021 r.</w:t>
      </w:r>
      <w:r w:rsidR="00D73FF9">
        <w:rPr>
          <w:rFonts w:eastAsia="Calibri" w:cs="Times New Roman"/>
          <w:color w:val="000000"/>
          <w:spacing w:val="-2"/>
          <w:szCs w:val="24"/>
          <w:lang w:eastAsia="en-US"/>
        </w:rPr>
        <w:t xml:space="preserve"> –</w:t>
      </w:r>
      <w:r w:rsidRPr="00C51B41">
        <w:rPr>
          <w:rFonts w:eastAsia="Calibri" w:cs="Times New Roman"/>
          <w:color w:val="000000"/>
          <w:spacing w:val="-2"/>
          <w:szCs w:val="24"/>
          <w:lang w:eastAsia="en-US"/>
        </w:rPr>
        <w:t xml:space="preserve"> to na Skarbie Państwa spoczywa obowiązek wypłaty odszkodowania wywłaszczonemu po</w:t>
      </w:r>
      <w:r w:rsidR="002F34B1">
        <w:rPr>
          <w:rFonts w:eastAsia="Calibri" w:cs="Times New Roman"/>
          <w:color w:val="000000"/>
          <w:spacing w:val="-2"/>
          <w:szCs w:val="24"/>
          <w:lang w:eastAsia="en-US"/>
        </w:rPr>
        <w:t>dmiotowi. W związku z tym, że w </w:t>
      </w:r>
      <w:r w:rsidRPr="00C51B41">
        <w:rPr>
          <w:rFonts w:eastAsia="Calibri" w:cs="Times New Roman"/>
          <w:color w:val="000000"/>
          <w:spacing w:val="-2"/>
          <w:szCs w:val="24"/>
          <w:lang w:eastAsia="en-US"/>
        </w:rPr>
        <w:t xml:space="preserve">dalszym ciągu </w:t>
      </w:r>
      <w:r w:rsidR="00320DF2" w:rsidRPr="00C51B41">
        <w:rPr>
          <w:rFonts w:eastAsia="Calibri" w:cs="Times New Roman"/>
          <w:color w:val="000000"/>
          <w:spacing w:val="-2"/>
          <w:szCs w:val="24"/>
          <w:lang w:eastAsia="en-US"/>
        </w:rPr>
        <w:t xml:space="preserve">są </w:t>
      </w:r>
      <w:r w:rsidRPr="00C51B41">
        <w:rPr>
          <w:rFonts w:eastAsia="Calibri" w:cs="Times New Roman"/>
          <w:color w:val="000000"/>
          <w:spacing w:val="-2"/>
          <w:szCs w:val="24"/>
          <w:lang w:eastAsia="en-US"/>
        </w:rPr>
        <w:t xml:space="preserve">prowadzone, wszczęte przed dniem 27 maja 2021 r., postępowania w sprawie ustalenia wysokości wynagrodzenia, </w:t>
      </w:r>
      <w:r w:rsidR="00320DF2" w:rsidRPr="00C51B41">
        <w:rPr>
          <w:rFonts w:eastAsia="Calibri" w:cs="Times New Roman"/>
          <w:color w:val="000000"/>
          <w:spacing w:val="-2"/>
          <w:szCs w:val="24"/>
          <w:lang w:eastAsia="en-US"/>
        </w:rPr>
        <w:t xml:space="preserve">jest </w:t>
      </w:r>
      <w:r w:rsidRPr="00C51B41">
        <w:rPr>
          <w:rFonts w:eastAsia="Calibri" w:cs="Times New Roman"/>
          <w:color w:val="000000"/>
          <w:spacing w:val="-2"/>
          <w:szCs w:val="24"/>
          <w:lang w:eastAsia="en-US"/>
        </w:rPr>
        <w:t>konieczne zabezpieczenie środków na wypłatę odszkodowania w tych postępowaniach, co umożliwi proponowa</w:t>
      </w:r>
      <w:r w:rsidR="00034EB5">
        <w:rPr>
          <w:rFonts w:eastAsia="Calibri" w:cs="Times New Roman"/>
          <w:color w:val="000000"/>
          <w:spacing w:val="-2"/>
          <w:szCs w:val="24"/>
          <w:lang w:eastAsia="en-US"/>
        </w:rPr>
        <w:t>na zmiana art. 5 ust. 1 ustawy.</w:t>
      </w:r>
    </w:p>
    <w:p w14:paraId="77F9BEAB" w14:textId="2ACB82B2" w:rsidR="00C51B41" w:rsidRPr="00C51B41" w:rsidRDefault="00C51B41" w:rsidP="00034EB5">
      <w:pPr>
        <w:widowControl/>
        <w:autoSpaceDE/>
        <w:autoSpaceDN/>
        <w:adjustRightInd/>
        <w:spacing w:before="120"/>
        <w:ind w:firstLine="567"/>
        <w:jc w:val="both"/>
        <w:rPr>
          <w:rFonts w:eastAsia="Calibri" w:cs="Times New Roman"/>
          <w:color w:val="000000"/>
          <w:spacing w:val="-2"/>
          <w:szCs w:val="24"/>
          <w:lang w:eastAsia="en-US"/>
        </w:rPr>
      </w:pPr>
      <w:r w:rsidRPr="00C51B41">
        <w:rPr>
          <w:rFonts w:eastAsia="Calibri" w:cs="Times New Roman"/>
          <w:color w:val="000000"/>
          <w:spacing w:val="-2"/>
          <w:szCs w:val="24"/>
          <w:lang w:eastAsia="en-US"/>
        </w:rPr>
        <w:t xml:space="preserve">W związku z koniecznością pilnego zagwarantowania środków na wyżej opisany cel związany z wypłatą odszkodowań </w:t>
      </w:r>
      <w:r w:rsidR="00320DF2" w:rsidRPr="00C51B41">
        <w:rPr>
          <w:rFonts w:eastAsia="Calibri" w:cs="Times New Roman"/>
          <w:color w:val="000000"/>
          <w:spacing w:val="-2"/>
          <w:szCs w:val="24"/>
          <w:lang w:eastAsia="en-US"/>
        </w:rPr>
        <w:t xml:space="preserve">jest </w:t>
      </w:r>
      <w:r w:rsidRPr="00C51B41">
        <w:rPr>
          <w:rFonts w:eastAsia="Calibri" w:cs="Times New Roman"/>
          <w:color w:val="000000"/>
          <w:spacing w:val="-2"/>
          <w:szCs w:val="24"/>
          <w:lang w:eastAsia="en-US"/>
        </w:rPr>
        <w:t xml:space="preserve">niezbędne niezwłoczne wejście w życie art. 5 ust. 1 ustawy w proponowanym brzmieniu. Zaproponowana zmiana pozwala na realizację przez państwo spoczywających na nim, polegających na zaspokojeniu roszczeń związanych z pozbawianiem własności, obowiązków wobec podmiotów wywłaszczonych i przyjąć należy, że zastosowanie krótszego od przewidzianego w projekcie ustawy okresu </w:t>
      </w:r>
      <w:r w:rsidRPr="009A3776">
        <w:rPr>
          <w:rFonts w:eastAsia="Calibri" w:cs="Times New Roman"/>
          <w:i/>
          <w:color w:val="000000"/>
          <w:spacing w:val="-2"/>
          <w:szCs w:val="24"/>
          <w:lang w:eastAsia="en-US"/>
        </w:rPr>
        <w:t>vacatio legis</w:t>
      </w:r>
      <w:r w:rsidRPr="00C51B41">
        <w:rPr>
          <w:rFonts w:eastAsia="Calibri" w:cs="Times New Roman"/>
          <w:color w:val="000000"/>
          <w:spacing w:val="-2"/>
          <w:szCs w:val="24"/>
          <w:lang w:eastAsia="en-US"/>
        </w:rPr>
        <w:t xml:space="preserve"> </w:t>
      </w:r>
      <w:r w:rsidR="00320DF2" w:rsidRPr="00C51B41">
        <w:rPr>
          <w:rFonts w:eastAsia="Calibri" w:cs="Times New Roman"/>
          <w:color w:val="000000"/>
          <w:spacing w:val="-2"/>
          <w:szCs w:val="24"/>
          <w:lang w:eastAsia="en-US"/>
        </w:rPr>
        <w:t xml:space="preserve">jest </w:t>
      </w:r>
      <w:r w:rsidRPr="00C51B41">
        <w:rPr>
          <w:rFonts w:eastAsia="Calibri" w:cs="Times New Roman"/>
          <w:color w:val="000000"/>
          <w:spacing w:val="-2"/>
          <w:szCs w:val="24"/>
          <w:lang w:eastAsia="en-US"/>
        </w:rPr>
        <w:t>uzasadnione ważnym interesem państwa, a zasady demokratycznego państwa praw</w:t>
      </w:r>
      <w:r w:rsidR="00320DF2">
        <w:rPr>
          <w:rFonts w:eastAsia="Calibri" w:cs="Times New Roman"/>
          <w:color w:val="000000"/>
          <w:spacing w:val="-2"/>
          <w:szCs w:val="24"/>
          <w:lang w:eastAsia="en-US"/>
        </w:rPr>
        <w:t>nego</w:t>
      </w:r>
      <w:r w:rsidRPr="00C51B41">
        <w:rPr>
          <w:rFonts w:eastAsia="Calibri" w:cs="Times New Roman"/>
          <w:color w:val="000000"/>
          <w:spacing w:val="-2"/>
          <w:szCs w:val="24"/>
          <w:lang w:eastAsia="en-US"/>
        </w:rPr>
        <w:t xml:space="preserve"> nie stoją na przeszkodzie skróceniu tego okresu.</w:t>
      </w:r>
    </w:p>
    <w:p w14:paraId="48A6B8EB" w14:textId="727483FD" w:rsidR="00C91482" w:rsidRPr="00323A2E" w:rsidRDefault="00C91482" w:rsidP="00034EB5">
      <w:pPr>
        <w:widowControl/>
        <w:autoSpaceDE/>
        <w:autoSpaceDN/>
        <w:adjustRightInd/>
        <w:spacing w:before="120"/>
        <w:ind w:firstLine="567"/>
        <w:jc w:val="both"/>
        <w:rPr>
          <w:rFonts w:eastAsia="Calibri" w:cs="Times New Roman"/>
          <w:color w:val="000000"/>
          <w:spacing w:val="-2"/>
          <w:szCs w:val="24"/>
          <w:lang w:eastAsia="en-US"/>
        </w:rPr>
      </w:pPr>
      <w:r w:rsidRPr="00323A2E">
        <w:rPr>
          <w:rFonts w:eastAsia="Calibri" w:cs="Times New Roman"/>
          <w:color w:val="000000"/>
          <w:spacing w:val="-2"/>
          <w:szCs w:val="24"/>
          <w:lang w:eastAsia="en-US"/>
        </w:rPr>
        <w:t>Przepisy ustawy będą miały wpływ na wewnętrzne procedury działania SZ RP. Są to rozkazy, instrukcje i wytyczne o charakterze niejawnym.</w:t>
      </w:r>
    </w:p>
    <w:p w14:paraId="3F10F1AD" w14:textId="79AA45DC" w:rsidR="00C91482" w:rsidRPr="00323A2E" w:rsidRDefault="00C91482" w:rsidP="00034EB5">
      <w:pPr>
        <w:widowControl/>
        <w:suppressAutoHyphens/>
        <w:spacing w:before="120"/>
        <w:ind w:firstLine="567"/>
        <w:jc w:val="both"/>
        <w:rPr>
          <w:rFonts w:eastAsia="Times New Roman" w:cs="Times New Roman"/>
          <w:bCs/>
          <w:szCs w:val="24"/>
        </w:rPr>
      </w:pPr>
      <w:r w:rsidRPr="00323A2E">
        <w:rPr>
          <w:rFonts w:eastAsia="Times New Roman" w:cs="Times New Roman"/>
          <w:bCs/>
          <w:szCs w:val="24"/>
        </w:rPr>
        <w:t>Planuje się, aby wejście w życie ustawy nastąpiło po upływie 30 dni od dnia ogłoszenia</w:t>
      </w:r>
      <w:r w:rsidR="008D336C">
        <w:rPr>
          <w:rFonts w:eastAsia="Times New Roman" w:cs="Times New Roman"/>
          <w:bCs/>
          <w:szCs w:val="24"/>
        </w:rPr>
        <w:t>,</w:t>
      </w:r>
      <w:r w:rsidR="008D336C" w:rsidRPr="008D336C">
        <w:rPr>
          <w:rFonts w:cs="Times New Roman"/>
          <w:bCs/>
        </w:rPr>
        <w:t xml:space="preserve"> </w:t>
      </w:r>
      <w:r w:rsidR="008D336C" w:rsidRPr="008D336C">
        <w:rPr>
          <w:rFonts w:eastAsia="Times New Roman" w:cs="Times New Roman"/>
          <w:bCs/>
          <w:szCs w:val="24"/>
        </w:rPr>
        <w:t>z wyjątkiem art. 8, którego wejście w życie ma nastąpić po upływie 14 dni od dnia ogłoszenia</w:t>
      </w:r>
      <w:r w:rsidRPr="00323A2E">
        <w:rPr>
          <w:rFonts w:eastAsia="Times New Roman" w:cs="Times New Roman"/>
          <w:bCs/>
          <w:szCs w:val="24"/>
        </w:rPr>
        <w:t>.</w:t>
      </w:r>
    </w:p>
    <w:p w14:paraId="08145FAE" w14:textId="1A9883DB" w:rsidR="00C91482" w:rsidRPr="00323A2E" w:rsidRDefault="00C91482" w:rsidP="00034EB5">
      <w:pPr>
        <w:widowControl/>
        <w:suppressAutoHyphens/>
        <w:spacing w:before="120"/>
        <w:ind w:firstLine="567"/>
        <w:jc w:val="both"/>
        <w:rPr>
          <w:rFonts w:eastAsia="Times New Roman" w:cs="Times New Roman"/>
          <w:bCs/>
          <w:szCs w:val="24"/>
        </w:rPr>
      </w:pPr>
      <w:r w:rsidRPr="00323A2E">
        <w:rPr>
          <w:rFonts w:eastAsia="Times New Roman" w:cs="Times New Roman"/>
          <w:bCs/>
          <w:szCs w:val="24"/>
        </w:rPr>
        <w:t>Zawarte w projekcie regulacje nie stanowią przepisów technicznych w rozumieniu rozporządzenia Rady Ministrów z dnia 23 grudnia 2002 r. w sprawie sposobu funkcjonowania krajowego systemu notyfikacji norm i aktów pr</w:t>
      </w:r>
      <w:r w:rsidR="002F34B1">
        <w:rPr>
          <w:rFonts w:eastAsia="Times New Roman" w:cs="Times New Roman"/>
          <w:bCs/>
          <w:szCs w:val="24"/>
        </w:rPr>
        <w:t xml:space="preserve">awnych (Dz. U. poz. 2039 oraz z </w:t>
      </w:r>
      <w:r w:rsidRPr="00323A2E">
        <w:rPr>
          <w:rFonts w:eastAsia="Times New Roman" w:cs="Times New Roman"/>
          <w:bCs/>
          <w:szCs w:val="24"/>
        </w:rPr>
        <w:t>2004 r. poz. 597), dlatego też projekt ustawy nie podlega procedurze notyfikacji.</w:t>
      </w:r>
    </w:p>
    <w:p w14:paraId="10A743EC" w14:textId="41E5E0CE" w:rsidR="00C91482" w:rsidRPr="00323A2E" w:rsidRDefault="00C91482" w:rsidP="00034EB5">
      <w:pPr>
        <w:widowControl/>
        <w:suppressAutoHyphens/>
        <w:spacing w:before="120"/>
        <w:ind w:firstLine="567"/>
        <w:jc w:val="both"/>
        <w:rPr>
          <w:rFonts w:eastAsia="Times New Roman" w:cs="Times New Roman"/>
          <w:szCs w:val="24"/>
        </w:rPr>
      </w:pPr>
      <w:r w:rsidRPr="00323A2E">
        <w:rPr>
          <w:rFonts w:eastAsia="Times New Roman" w:cs="Times New Roman"/>
          <w:szCs w:val="24"/>
        </w:rPr>
        <w:lastRenderedPageBreak/>
        <w:t>Zgodnie z art. 5 ustawy z dnia 7 lipca 2005 r. o działalności lobbingowej w procesie stanowienia prawa (Dz. U. z 2017 r. poz. 248</w:t>
      </w:r>
      <w:r w:rsidR="002F34B1">
        <w:rPr>
          <w:rFonts w:eastAsia="Times New Roman" w:cs="Times New Roman"/>
          <w:szCs w:val="24"/>
        </w:rPr>
        <w:t xml:space="preserve">) projekt został udostępniony w </w:t>
      </w:r>
      <w:bookmarkStart w:id="3" w:name="_GoBack"/>
      <w:bookmarkEnd w:id="3"/>
      <w:r w:rsidRPr="00323A2E">
        <w:rPr>
          <w:rFonts w:eastAsia="Times New Roman" w:cs="Times New Roman"/>
          <w:szCs w:val="24"/>
        </w:rPr>
        <w:t>Biuletynie Informacji Publicznej na stronie internetowej Rządowego Centrum Legislacji</w:t>
      </w:r>
      <w:r w:rsidR="009320A3">
        <w:rPr>
          <w:rFonts w:eastAsia="Times New Roman" w:cs="Times New Roman"/>
          <w:szCs w:val="24"/>
        </w:rPr>
        <w:t>,</w:t>
      </w:r>
      <w:r w:rsidRPr="00323A2E">
        <w:rPr>
          <w:rFonts w:eastAsia="Times New Roman" w:cs="Times New Roman"/>
          <w:szCs w:val="24"/>
        </w:rPr>
        <w:t xml:space="preserve"> w zakładce Rządowy Proces Legislacyjny. W tym trybie uwag nie zgłoszono.</w:t>
      </w:r>
    </w:p>
    <w:p w14:paraId="7BE56090" w14:textId="23D1D624" w:rsidR="00C91482" w:rsidRPr="00323A2E" w:rsidRDefault="00C91482" w:rsidP="00034EB5">
      <w:pPr>
        <w:widowControl/>
        <w:suppressAutoHyphens/>
        <w:spacing w:before="120"/>
        <w:ind w:firstLine="567"/>
        <w:jc w:val="both"/>
        <w:rPr>
          <w:rFonts w:eastAsia="Times New Roman" w:cs="Times New Roman"/>
          <w:bCs/>
          <w:szCs w:val="24"/>
        </w:rPr>
      </w:pPr>
      <w:r w:rsidRPr="00323A2E">
        <w:rPr>
          <w:rFonts w:eastAsia="Times New Roman" w:cs="Times New Roman"/>
          <w:bCs/>
          <w:szCs w:val="24"/>
        </w:rPr>
        <w:t>Projektowane zmiany nie będą miały wpływu na działalność mikro</w:t>
      </w:r>
      <w:r w:rsidR="00320DF2">
        <w:rPr>
          <w:rFonts w:eastAsia="Times New Roman" w:cs="Times New Roman"/>
          <w:bCs/>
          <w:szCs w:val="24"/>
        </w:rPr>
        <w:t>-</w:t>
      </w:r>
      <w:r w:rsidRPr="00323A2E">
        <w:rPr>
          <w:rFonts w:eastAsia="Times New Roman" w:cs="Times New Roman"/>
          <w:bCs/>
          <w:szCs w:val="24"/>
        </w:rPr>
        <w:t>, średnich i małych przedsiębiorców. Projektowana ustawa nie dotyczy majątkowych praw i obowiązków przedsiębiorców lub praw i obowiązków przedsiębiorców wobec organów administracji publicznej</w:t>
      </w:r>
      <w:r w:rsidR="00034EB5">
        <w:rPr>
          <w:rFonts w:eastAsia="Times New Roman" w:cs="Times New Roman"/>
          <w:bCs/>
          <w:szCs w:val="24"/>
        </w:rPr>
        <w:t>.</w:t>
      </w:r>
    </w:p>
    <w:p w14:paraId="29B67E7B" w14:textId="71520961" w:rsidR="00C91482" w:rsidRPr="00323A2E" w:rsidRDefault="00C91482" w:rsidP="00034EB5">
      <w:pPr>
        <w:widowControl/>
        <w:suppressAutoHyphens/>
        <w:spacing w:before="120"/>
        <w:ind w:firstLine="567"/>
        <w:jc w:val="both"/>
        <w:rPr>
          <w:rFonts w:eastAsia="Times New Roman" w:cs="Times New Roman"/>
          <w:szCs w:val="24"/>
        </w:rPr>
      </w:pPr>
      <w:r w:rsidRPr="00323A2E">
        <w:rPr>
          <w:rFonts w:eastAsia="Times New Roman" w:cs="Times New Roman"/>
          <w:szCs w:val="24"/>
        </w:rPr>
        <w:t>Projektowana ustawa nie wymaga przedstawiania właściwym organom i instytucjom Unii Europejskiej, w tym Europejskiemu Bankowi Centralnemu, w celu uzyskania opinii, dokonania powiadomienia</w:t>
      </w:r>
      <w:r w:rsidR="00034EB5">
        <w:rPr>
          <w:rFonts w:eastAsia="Times New Roman" w:cs="Times New Roman"/>
          <w:szCs w:val="24"/>
        </w:rPr>
        <w:t>, konsultacji albo uzgodnienia.</w:t>
      </w:r>
    </w:p>
    <w:p w14:paraId="0BFAD19D" w14:textId="3BE7D4D8" w:rsidR="00261A16" w:rsidRPr="00034EB5" w:rsidRDefault="00C91482" w:rsidP="00034EB5">
      <w:pPr>
        <w:widowControl/>
        <w:suppressAutoHyphens/>
        <w:spacing w:before="120"/>
        <w:ind w:firstLine="567"/>
        <w:jc w:val="both"/>
        <w:rPr>
          <w:rFonts w:eastAsia="Times New Roman" w:cs="Times New Roman"/>
          <w:szCs w:val="24"/>
        </w:rPr>
      </w:pPr>
      <w:r w:rsidRPr="00323A2E">
        <w:rPr>
          <w:rFonts w:eastAsia="Times New Roman" w:cs="Times New Roman"/>
          <w:szCs w:val="24"/>
        </w:rPr>
        <w:t>Projekt ustawy nie jest sprzeczny z prawem Unii Europejskiej.</w:t>
      </w:r>
    </w:p>
    <w:sectPr w:rsidR="00261A16" w:rsidRPr="00034EB5" w:rsidSect="00034EB5">
      <w:footerReference w:type="default" r:id="rId10"/>
      <w:footnotePr>
        <w:numRestart w:val="eachSect"/>
      </w:footnotePr>
      <w:pgSz w:w="11906" w:h="16838"/>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2C7DA" w14:textId="77777777" w:rsidR="00500CA2" w:rsidRDefault="00500CA2">
      <w:r>
        <w:separator/>
      </w:r>
    </w:p>
  </w:endnote>
  <w:endnote w:type="continuationSeparator" w:id="0">
    <w:p w14:paraId="0D3D565D" w14:textId="77777777" w:rsidR="00500CA2" w:rsidRDefault="00500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930673"/>
      <w:docPartObj>
        <w:docPartGallery w:val="Page Numbers (Bottom of Page)"/>
        <w:docPartUnique/>
      </w:docPartObj>
    </w:sdtPr>
    <w:sdtEndPr/>
    <w:sdtContent>
      <w:p w14:paraId="1FA69577" w14:textId="5D17BC50" w:rsidR="00034EB5" w:rsidRDefault="00034EB5" w:rsidP="00034EB5">
        <w:pPr>
          <w:pStyle w:val="Stopka"/>
          <w:jc w:val="center"/>
        </w:pPr>
        <w:r>
          <w:fldChar w:fldCharType="begin"/>
        </w:r>
        <w:r>
          <w:instrText>PAGE   \* MERGEFORMAT</w:instrText>
        </w:r>
        <w:r>
          <w:fldChar w:fldCharType="separate"/>
        </w:r>
        <w:r w:rsidR="002F34B1">
          <w:rPr>
            <w:noProof/>
          </w:rPr>
          <w:t>15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E4D38" w14:textId="77777777" w:rsidR="00500CA2" w:rsidRDefault="00500CA2">
      <w:r>
        <w:separator/>
      </w:r>
    </w:p>
  </w:footnote>
  <w:footnote w:type="continuationSeparator" w:id="0">
    <w:p w14:paraId="07A1D8D7" w14:textId="77777777" w:rsidR="00500CA2" w:rsidRDefault="00500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73974"/>
    <w:multiLevelType w:val="hybridMultilevel"/>
    <w:tmpl w:val="8BBE9A0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C724617"/>
    <w:multiLevelType w:val="hybridMultilevel"/>
    <w:tmpl w:val="77F68E02"/>
    <w:lvl w:ilvl="0" w:tplc="3ED0223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392A41E7"/>
    <w:multiLevelType w:val="hybridMultilevel"/>
    <w:tmpl w:val="3BF802B0"/>
    <w:lvl w:ilvl="0" w:tplc="680E46FE">
      <w:start w:val="1"/>
      <w:numFmt w:val="decimal"/>
      <w:lvlText w:val="%1."/>
      <w:lvlJc w:val="left"/>
      <w:pPr>
        <w:tabs>
          <w:tab w:val="num" w:pos="360"/>
        </w:tabs>
        <w:ind w:left="360" w:hanging="360"/>
      </w:pPr>
      <w:rPr>
        <w:b/>
      </w:rPr>
    </w:lvl>
    <w:lvl w:ilvl="1" w:tplc="97401D4E">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E88273D"/>
    <w:multiLevelType w:val="hybridMultilevel"/>
    <w:tmpl w:val="AD448358"/>
    <w:lvl w:ilvl="0" w:tplc="FC5E281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4FB1917"/>
    <w:multiLevelType w:val="hybridMultilevel"/>
    <w:tmpl w:val="1EE46E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562F0FF1"/>
    <w:multiLevelType w:val="hybridMultilevel"/>
    <w:tmpl w:val="87E248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68B4C32"/>
    <w:multiLevelType w:val="hybridMultilevel"/>
    <w:tmpl w:val="DD4A09B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8115909"/>
    <w:multiLevelType w:val="hybridMultilevel"/>
    <w:tmpl w:val="E3CCB73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9E74C8F"/>
    <w:multiLevelType w:val="hybridMultilevel"/>
    <w:tmpl w:val="C48A5426"/>
    <w:lvl w:ilvl="0" w:tplc="C2AA8A22">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A204872"/>
    <w:multiLevelType w:val="hybridMultilevel"/>
    <w:tmpl w:val="B23415F0"/>
    <w:lvl w:ilvl="0" w:tplc="5736137C">
      <w:start w:val="1"/>
      <w:numFmt w:val="lowerLetter"/>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10" w15:restartNumberingAfterBreak="0">
    <w:nsid w:val="75A212B3"/>
    <w:multiLevelType w:val="hybridMultilevel"/>
    <w:tmpl w:val="00B22C9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76B97BEC"/>
    <w:multiLevelType w:val="hybridMultilevel"/>
    <w:tmpl w:val="0E50668C"/>
    <w:lvl w:ilvl="0" w:tplc="04150011">
      <w:start w:val="1"/>
      <w:numFmt w:val="decimal"/>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0"/>
  </w:num>
  <w:num w:numId="13">
    <w:abstractNumId w:val="10"/>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48A"/>
    <w:rsid w:val="000012DA"/>
    <w:rsid w:val="0000246E"/>
    <w:rsid w:val="00003862"/>
    <w:rsid w:val="00005A5C"/>
    <w:rsid w:val="00006486"/>
    <w:rsid w:val="00012A35"/>
    <w:rsid w:val="00016099"/>
    <w:rsid w:val="00017DC2"/>
    <w:rsid w:val="00021522"/>
    <w:rsid w:val="00023471"/>
    <w:rsid w:val="00023F13"/>
    <w:rsid w:val="00030634"/>
    <w:rsid w:val="000319C1"/>
    <w:rsid w:val="00031A8B"/>
    <w:rsid w:val="00031BCA"/>
    <w:rsid w:val="000330FA"/>
    <w:rsid w:val="0003362F"/>
    <w:rsid w:val="00034EB5"/>
    <w:rsid w:val="00036B63"/>
    <w:rsid w:val="00037E1A"/>
    <w:rsid w:val="00043495"/>
    <w:rsid w:val="00046A75"/>
    <w:rsid w:val="00047312"/>
    <w:rsid w:val="000508BD"/>
    <w:rsid w:val="000517AB"/>
    <w:rsid w:val="0005288C"/>
    <w:rsid w:val="0005339C"/>
    <w:rsid w:val="0005571B"/>
    <w:rsid w:val="00057AB3"/>
    <w:rsid w:val="00060076"/>
    <w:rsid w:val="00060432"/>
    <w:rsid w:val="00060D87"/>
    <w:rsid w:val="000615A5"/>
    <w:rsid w:val="0006219C"/>
    <w:rsid w:val="00064E4C"/>
    <w:rsid w:val="00066901"/>
    <w:rsid w:val="00071BEE"/>
    <w:rsid w:val="000736CD"/>
    <w:rsid w:val="0007533B"/>
    <w:rsid w:val="0007545D"/>
    <w:rsid w:val="00075F66"/>
    <w:rsid w:val="000760BF"/>
    <w:rsid w:val="0007613E"/>
    <w:rsid w:val="00076BFC"/>
    <w:rsid w:val="000814A7"/>
    <w:rsid w:val="0008557B"/>
    <w:rsid w:val="00085CE7"/>
    <w:rsid w:val="00086171"/>
    <w:rsid w:val="000906EE"/>
    <w:rsid w:val="00090EA6"/>
    <w:rsid w:val="00091BA2"/>
    <w:rsid w:val="000944EF"/>
    <w:rsid w:val="00096D89"/>
    <w:rsid w:val="0009732D"/>
    <w:rsid w:val="000973F0"/>
    <w:rsid w:val="000A1296"/>
    <w:rsid w:val="000A1C27"/>
    <w:rsid w:val="000A1DAD"/>
    <w:rsid w:val="000A2649"/>
    <w:rsid w:val="000A323B"/>
    <w:rsid w:val="000A64AD"/>
    <w:rsid w:val="000B1897"/>
    <w:rsid w:val="000B298D"/>
    <w:rsid w:val="000B5B2D"/>
    <w:rsid w:val="000B5DCE"/>
    <w:rsid w:val="000C05BA"/>
    <w:rsid w:val="000C0E8F"/>
    <w:rsid w:val="000C4BC4"/>
    <w:rsid w:val="000C6ACE"/>
    <w:rsid w:val="000D0110"/>
    <w:rsid w:val="000D2468"/>
    <w:rsid w:val="000D318A"/>
    <w:rsid w:val="000D6173"/>
    <w:rsid w:val="000D6F83"/>
    <w:rsid w:val="000D756B"/>
    <w:rsid w:val="000E25CC"/>
    <w:rsid w:val="000E3694"/>
    <w:rsid w:val="000E490F"/>
    <w:rsid w:val="000E6241"/>
    <w:rsid w:val="000F1D61"/>
    <w:rsid w:val="000F2BE3"/>
    <w:rsid w:val="000F3D0D"/>
    <w:rsid w:val="000F411E"/>
    <w:rsid w:val="000F6ED4"/>
    <w:rsid w:val="000F7A6E"/>
    <w:rsid w:val="001042BA"/>
    <w:rsid w:val="00106D03"/>
    <w:rsid w:val="00110465"/>
    <w:rsid w:val="00110628"/>
    <w:rsid w:val="0011245A"/>
    <w:rsid w:val="001127BD"/>
    <w:rsid w:val="0011493E"/>
    <w:rsid w:val="00115B72"/>
    <w:rsid w:val="001209EC"/>
    <w:rsid w:val="00120A9E"/>
    <w:rsid w:val="00123EDA"/>
    <w:rsid w:val="00125A9C"/>
    <w:rsid w:val="001270A2"/>
    <w:rsid w:val="00131237"/>
    <w:rsid w:val="001329AC"/>
    <w:rsid w:val="00132D6E"/>
    <w:rsid w:val="00134CA0"/>
    <w:rsid w:val="00137979"/>
    <w:rsid w:val="0014026F"/>
    <w:rsid w:val="00147A47"/>
    <w:rsid w:val="00147AA1"/>
    <w:rsid w:val="001520CF"/>
    <w:rsid w:val="00153963"/>
    <w:rsid w:val="0015667C"/>
    <w:rsid w:val="00157110"/>
    <w:rsid w:val="0015742A"/>
    <w:rsid w:val="00157D6F"/>
    <w:rsid w:val="00157DA1"/>
    <w:rsid w:val="00162861"/>
    <w:rsid w:val="00163147"/>
    <w:rsid w:val="00164C57"/>
    <w:rsid w:val="00164C9D"/>
    <w:rsid w:val="001711E6"/>
    <w:rsid w:val="0017128C"/>
    <w:rsid w:val="00172F7A"/>
    <w:rsid w:val="00173150"/>
    <w:rsid w:val="00173390"/>
    <w:rsid w:val="001736F0"/>
    <w:rsid w:val="00173BB3"/>
    <w:rsid w:val="001740D0"/>
    <w:rsid w:val="001743D9"/>
    <w:rsid w:val="001745D9"/>
    <w:rsid w:val="00174F2C"/>
    <w:rsid w:val="00176DB0"/>
    <w:rsid w:val="00180F2A"/>
    <w:rsid w:val="00184B91"/>
    <w:rsid w:val="00184D4A"/>
    <w:rsid w:val="00186EC1"/>
    <w:rsid w:val="001872A7"/>
    <w:rsid w:val="00191E1F"/>
    <w:rsid w:val="001936BC"/>
    <w:rsid w:val="0019473B"/>
    <w:rsid w:val="001952B1"/>
    <w:rsid w:val="00196E39"/>
    <w:rsid w:val="00197649"/>
    <w:rsid w:val="001A01FB"/>
    <w:rsid w:val="001A10E9"/>
    <w:rsid w:val="001A183D"/>
    <w:rsid w:val="001A2B65"/>
    <w:rsid w:val="001A3CD3"/>
    <w:rsid w:val="001A5BEF"/>
    <w:rsid w:val="001A7F15"/>
    <w:rsid w:val="001B312A"/>
    <w:rsid w:val="001B342E"/>
    <w:rsid w:val="001C1832"/>
    <w:rsid w:val="001C188C"/>
    <w:rsid w:val="001C4D76"/>
    <w:rsid w:val="001C6882"/>
    <w:rsid w:val="001D1783"/>
    <w:rsid w:val="001D4651"/>
    <w:rsid w:val="001D53CD"/>
    <w:rsid w:val="001D55A3"/>
    <w:rsid w:val="001D5AF5"/>
    <w:rsid w:val="001E1E73"/>
    <w:rsid w:val="001E4E0C"/>
    <w:rsid w:val="001E526D"/>
    <w:rsid w:val="001E5655"/>
    <w:rsid w:val="001F1832"/>
    <w:rsid w:val="001F220F"/>
    <w:rsid w:val="001F25B3"/>
    <w:rsid w:val="001F349F"/>
    <w:rsid w:val="001F6616"/>
    <w:rsid w:val="00202BD4"/>
    <w:rsid w:val="00204A97"/>
    <w:rsid w:val="002114EF"/>
    <w:rsid w:val="002166AD"/>
    <w:rsid w:val="00217871"/>
    <w:rsid w:val="00221ED8"/>
    <w:rsid w:val="002231EA"/>
    <w:rsid w:val="00223FDF"/>
    <w:rsid w:val="002279C0"/>
    <w:rsid w:val="00231111"/>
    <w:rsid w:val="0023727E"/>
    <w:rsid w:val="00242081"/>
    <w:rsid w:val="00243702"/>
    <w:rsid w:val="00243777"/>
    <w:rsid w:val="002441CD"/>
    <w:rsid w:val="00247253"/>
    <w:rsid w:val="00247507"/>
    <w:rsid w:val="002501A3"/>
    <w:rsid w:val="0025166C"/>
    <w:rsid w:val="002555D4"/>
    <w:rsid w:val="00261A16"/>
    <w:rsid w:val="00263522"/>
    <w:rsid w:val="00264EC6"/>
    <w:rsid w:val="00266DE3"/>
    <w:rsid w:val="00267EC5"/>
    <w:rsid w:val="00271013"/>
    <w:rsid w:val="00273624"/>
    <w:rsid w:val="00273FE4"/>
    <w:rsid w:val="002765B4"/>
    <w:rsid w:val="00276A94"/>
    <w:rsid w:val="00281490"/>
    <w:rsid w:val="0028163E"/>
    <w:rsid w:val="00283488"/>
    <w:rsid w:val="0029405D"/>
    <w:rsid w:val="00294FA6"/>
    <w:rsid w:val="00295A6F"/>
    <w:rsid w:val="002A20C4"/>
    <w:rsid w:val="002A54EB"/>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17"/>
    <w:rsid w:val="002D7188"/>
    <w:rsid w:val="002E19B2"/>
    <w:rsid w:val="002E1DE3"/>
    <w:rsid w:val="002E2AB6"/>
    <w:rsid w:val="002E3F34"/>
    <w:rsid w:val="002E4743"/>
    <w:rsid w:val="002E5F79"/>
    <w:rsid w:val="002E64FA"/>
    <w:rsid w:val="002E7996"/>
    <w:rsid w:val="002F0A00"/>
    <w:rsid w:val="002F0CFA"/>
    <w:rsid w:val="002F254B"/>
    <w:rsid w:val="002F34B1"/>
    <w:rsid w:val="002F669F"/>
    <w:rsid w:val="00301C97"/>
    <w:rsid w:val="0030716D"/>
    <w:rsid w:val="0031004C"/>
    <w:rsid w:val="003105F6"/>
    <w:rsid w:val="00311297"/>
    <w:rsid w:val="003113BE"/>
    <w:rsid w:val="003122CA"/>
    <w:rsid w:val="003148FD"/>
    <w:rsid w:val="00315F42"/>
    <w:rsid w:val="00320DF2"/>
    <w:rsid w:val="00321080"/>
    <w:rsid w:val="00321E2B"/>
    <w:rsid w:val="00322D45"/>
    <w:rsid w:val="00323A2E"/>
    <w:rsid w:val="0032569A"/>
    <w:rsid w:val="00325A1F"/>
    <w:rsid w:val="003268F9"/>
    <w:rsid w:val="00330BAF"/>
    <w:rsid w:val="00334E3A"/>
    <w:rsid w:val="003361DD"/>
    <w:rsid w:val="00341A6A"/>
    <w:rsid w:val="00342711"/>
    <w:rsid w:val="00342C90"/>
    <w:rsid w:val="00345B9C"/>
    <w:rsid w:val="00352DAE"/>
    <w:rsid w:val="00354EB9"/>
    <w:rsid w:val="003602AE"/>
    <w:rsid w:val="00360929"/>
    <w:rsid w:val="003647D5"/>
    <w:rsid w:val="00365959"/>
    <w:rsid w:val="003674B0"/>
    <w:rsid w:val="0037727C"/>
    <w:rsid w:val="00377E70"/>
    <w:rsid w:val="00380904"/>
    <w:rsid w:val="003814DF"/>
    <w:rsid w:val="003823EE"/>
    <w:rsid w:val="00382960"/>
    <w:rsid w:val="003846F7"/>
    <w:rsid w:val="003851ED"/>
    <w:rsid w:val="00385B39"/>
    <w:rsid w:val="00386785"/>
    <w:rsid w:val="00390E89"/>
    <w:rsid w:val="00391B1A"/>
    <w:rsid w:val="003933BB"/>
    <w:rsid w:val="00394423"/>
    <w:rsid w:val="00396942"/>
    <w:rsid w:val="00396B49"/>
    <w:rsid w:val="00396E3E"/>
    <w:rsid w:val="003A306E"/>
    <w:rsid w:val="003A60DC"/>
    <w:rsid w:val="003A6A46"/>
    <w:rsid w:val="003A7A63"/>
    <w:rsid w:val="003B000C"/>
    <w:rsid w:val="003B08FD"/>
    <w:rsid w:val="003B0F1D"/>
    <w:rsid w:val="003B30A7"/>
    <w:rsid w:val="003B4A57"/>
    <w:rsid w:val="003B5B94"/>
    <w:rsid w:val="003C0AD9"/>
    <w:rsid w:val="003C0ED0"/>
    <w:rsid w:val="003C1D49"/>
    <w:rsid w:val="003C35C4"/>
    <w:rsid w:val="003D12C2"/>
    <w:rsid w:val="003D31B9"/>
    <w:rsid w:val="003D3867"/>
    <w:rsid w:val="003D7A26"/>
    <w:rsid w:val="003E0D1A"/>
    <w:rsid w:val="003E19FB"/>
    <w:rsid w:val="003E2DA3"/>
    <w:rsid w:val="003E40AF"/>
    <w:rsid w:val="003F020D"/>
    <w:rsid w:val="003F03D9"/>
    <w:rsid w:val="003F2FBE"/>
    <w:rsid w:val="003F318D"/>
    <w:rsid w:val="003F341B"/>
    <w:rsid w:val="003F5BAE"/>
    <w:rsid w:val="003F6ED7"/>
    <w:rsid w:val="00401C84"/>
    <w:rsid w:val="00402843"/>
    <w:rsid w:val="00402F10"/>
    <w:rsid w:val="00403210"/>
    <w:rsid w:val="004035BB"/>
    <w:rsid w:val="004035EB"/>
    <w:rsid w:val="00406FF7"/>
    <w:rsid w:val="00407332"/>
    <w:rsid w:val="00407828"/>
    <w:rsid w:val="00413D8E"/>
    <w:rsid w:val="004140F2"/>
    <w:rsid w:val="00417B22"/>
    <w:rsid w:val="00421085"/>
    <w:rsid w:val="0042465E"/>
    <w:rsid w:val="00424DF7"/>
    <w:rsid w:val="00426C05"/>
    <w:rsid w:val="00432B76"/>
    <w:rsid w:val="00434D01"/>
    <w:rsid w:val="00435D26"/>
    <w:rsid w:val="004374FC"/>
    <w:rsid w:val="004377C4"/>
    <w:rsid w:val="00440A0D"/>
    <w:rsid w:val="00440C99"/>
    <w:rsid w:val="0044175C"/>
    <w:rsid w:val="00442E8C"/>
    <w:rsid w:val="00445F4D"/>
    <w:rsid w:val="004504C0"/>
    <w:rsid w:val="004550FB"/>
    <w:rsid w:val="0046111A"/>
    <w:rsid w:val="00462946"/>
    <w:rsid w:val="00462F7D"/>
    <w:rsid w:val="00463F43"/>
    <w:rsid w:val="00464B94"/>
    <w:rsid w:val="004653A8"/>
    <w:rsid w:val="00465A0B"/>
    <w:rsid w:val="0047077C"/>
    <w:rsid w:val="00470B05"/>
    <w:rsid w:val="0047207C"/>
    <w:rsid w:val="00472CD6"/>
    <w:rsid w:val="00474E3C"/>
    <w:rsid w:val="00477632"/>
    <w:rsid w:val="00480A58"/>
    <w:rsid w:val="00482151"/>
    <w:rsid w:val="00485FAD"/>
    <w:rsid w:val="004865E5"/>
    <w:rsid w:val="00487AED"/>
    <w:rsid w:val="00491EDF"/>
    <w:rsid w:val="00492A3F"/>
    <w:rsid w:val="00494F62"/>
    <w:rsid w:val="004A2001"/>
    <w:rsid w:val="004A3590"/>
    <w:rsid w:val="004A43F0"/>
    <w:rsid w:val="004B00A7"/>
    <w:rsid w:val="004B25E2"/>
    <w:rsid w:val="004B2BC9"/>
    <w:rsid w:val="004B34D7"/>
    <w:rsid w:val="004B5037"/>
    <w:rsid w:val="004B5836"/>
    <w:rsid w:val="004B5B2F"/>
    <w:rsid w:val="004B626A"/>
    <w:rsid w:val="004B660E"/>
    <w:rsid w:val="004B68AC"/>
    <w:rsid w:val="004C05BD"/>
    <w:rsid w:val="004C18FE"/>
    <w:rsid w:val="004C3B06"/>
    <w:rsid w:val="004C3F97"/>
    <w:rsid w:val="004C7EE7"/>
    <w:rsid w:val="004D08D9"/>
    <w:rsid w:val="004D1D14"/>
    <w:rsid w:val="004D2DEE"/>
    <w:rsid w:val="004D2E1F"/>
    <w:rsid w:val="004D7FD9"/>
    <w:rsid w:val="004E081B"/>
    <w:rsid w:val="004E1324"/>
    <w:rsid w:val="004E19A5"/>
    <w:rsid w:val="004E24D5"/>
    <w:rsid w:val="004E37E5"/>
    <w:rsid w:val="004E3FDB"/>
    <w:rsid w:val="004E748B"/>
    <w:rsid w:val="004F1F4A"/>
    <w:rsid w:val="004F296D"/>
    <w:rsid w:val="004F508B"/>
    <w:rsid w:val="004F695F"/>
    <w:rsid w:val="004F6CA4"/>
    <w:rsid w:val="00500752"/>
    <w:rsid w:val="00500CA2"/>
    <w:rsid w:val="00501A50"/>
    <w:rsid w:val="0050222D"/>
    <w:rsid w:val="00503AF3"/>
    <w:rsid w:val="00504036"/>
    <w:rsid w:val="0050696D"/>
    <w:rsid w:val="0051094B"/>
    <w:rsid w:val="005110D7"/>
    <w:rsid w:val="00511D99"/>
    <w:rsid w:val="005128D3"/>
    <w:rsid w:val="00512F38"/>
    <w:rsid w:val="00513C35"/>
    <w:rsid w:val="005147E8"/>
    <w:rsid w:val="005158F2"/>
    <w:rsid w:val="00526DFC"/>
    <w:rsid w:val="00526F43"/>
    <w:rsid w:val="00527651"/>
    <w:rsid w:val="00532A9B"/>
    <w:rsid w:val="005332AC"/>
    <w:rsid w:val="005363AB"/>
    <w:rsid w:val="00544EF4"/>
    <w:rsid w:val="00545E53"/>
    <w:rsid w:val="00546822"/>
    <w:rsid w:val="005479D9"/>
    <w:rsid w:val="005572BD"/>
    <w:rsid w:val="00557A12"/>
    <w:rsid w:val="00560483"/>
    <w:rsid w:val="00560AC7"/>
    <w:rsid w:val="00561AFB"/>
    <w:rsid w:val="00561FA8"/>
    <w:rsid w:val="005635ED"/>
    <w:rsid w:val="00565253"/>
    <w:rsid w:val="00570191"/>
    <w:rsid w:val="00570570"/>
    <w:rsid w:val="00571218"/>
    <w:rsid w:val="00572512"/>
    <w:rsid w:val="00573EE6"/>
    <w:rsid w:val="0057547F"/>
    <w:rsid w:val="005754EE"/>
    <w:rsid w:val="0057617E"/>
    <w:rsid w:val="00576497"/>
    <w:rsid w:val="0057667A"/>
    <w:rsid w:val="005835E7"/>
    <w:rsid w:val="0058397F"/>
    <w:rsid w:val="00583BF8"/>
    <w:rsid w:val="00585F33"/>
    <w:rsid w:val="00591124"/>
    <w:rsid w:val="0059129F"/>
    <w:rsid w:val="00597024"/>
    <w:rsid w:val="005A0274"/>
    <w:rsid w:val="005A095C"/>
    <w:rsid w:val="005A4A3E"/>
    <w:rsid w:val="005A669D"/>
    <w:rsid w:val="005A75D8"/>
    <w:rsid w:val="005B713E"/>
    <w:rsid w:val="005C03B6"/>
    <w:rsid w:val="005C0F7E"/>
    <w:rsid w:val="005C348E"/>
    <w:rsid w:val="005C5E56"/>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07F8B"/>
    <w:rsid w:val="00610C08"/>
    <w:rsid w:val="00611F74"/>
    <w:rsid w:val="00615772"/>
    <w:rsid w:val="00621256"/>
    <w:rsid w:val="00621FCC"/>
    <w:rsid w:val="00622E4B"/>
    <w:rsid w:val="006333DA"/>
    <w:rsid w:val="00635134"/>
    <w:rsid w:val="006356E2"/>
    <w:rsid w:val="0063793B"/>
    <w:rsid w:val="00640E8C"/>
    <w:rsid w:val="00642A65"/>
    <w:rsid w:val="00645DCE"/>
    <w:rsid w:val="006465AC"/>
    <w:rsid w:val="006465BF"/>
    <w:rsid w:val="00653B22"/>
    <w:rsid w:val="006579D4"/>
    <w:rsid w:val="00657BF4"/>
    <w:rsid w:val="006603FB"/>
    <w:rsid w:val="006608DF"/>
    <w:rsid w:val="006623AC"/>
    <w:rsid w:val="006678AF"/>
    <w:rsid w:val="006701EF"/>
    <w:rsid w:val="0067061B"/>
    <w:rsid w:val="00673BA5"/>
    <w:rsid w:val="00677AEA"/>
    <w:rsid w:val="00680058"/>
    <w:rsid w:val="00681F9F"/>
    <w:rsid w:val="006840EA"/>
    <w:rsid w:val="006844E2"/>
    <w:rsid w:val="00685267"/>
    <w:rsid w:val="006872AE"/>
    <w:rsid w:val="00690082"/>
    <w:rsid w:val="00690252"/>
    <w:rsid w:val="006946BB"/>
    <w:rsid w:val="006969FA"/>
    <w:rsid w:val="006A2987"/>
    <w:rsid w:val="006A35D5"/>
    <w:rsid w:val="006A62AE"/>
    <w:rsid w:val="006A748A"/>
    <w:rsid w:val="006C419E"/>
    <w:rsid w:val="006C4A31"/>
    <w:rsid w:val="006C5AC2"/>
    <w:rsid w:val="006C6AFB"/>
    <w:rsid w:val="006C78B6"/>
    <w:rsid w:val="006D2735"/>
    <w:rsid w:val="006D45B2"/>
    <w:rsid w:val="006E0FCC"/>
    <w:rsid w:val="006E1E96"/>
    <w:rsid w:val="006E5E21"/>
    <w:rsid w:val="006F000E"/>
    <w:rsid w:val="006F2648"/>
    <w:rsid w:val="006F2F10"/>
    <w:rsid w:val="006F482B"/>
    <w:rsid w:val="006F6311"/>
    <w:rsid w:val="00701952"/>
    <w:rsid w:val="00702556"/>
    <w:rsid w:val="0070277E"/>
    <w:rsid w:val="00702E35"/>
    <w:rsid w:val="00703BA1"/>
    <w:rsid w:val="00704156"/>
    <w:rsid w:val="00705A91"/>
    <w:rsid w:val="007069FC"/>
    <w:rsid w:val="00711221"/>
    <w:rsid w:val="00711F91"/>
    <w:rsid w:val="00712675"/>
    <w:rsid w:val="00713808"/>
    <w:rsid w:val="007151B6"/>
    <w:rsid w:val="0071520D"/>
    <w:rsid w:val="00715EDB"/>
    <w:rsid w:val="007160D5"/>
    <w:rsid w:val="007163FB"/>
    <w:rsid w:val="00716BAA"/>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250"/>
    <w:rsid w:val="00753B51"/>
    <w:rsid w:val="00756629"/>
    <w:rsid w:val="007575D2"/>
    <w:rsid w:val="00757B4F"/>
    <w:rsid w:val="00757B6A"/>
    <w:rsid w:val="007606A4"/>
    <w:rsid w:val="007610E0"/>
    <w:rsid w:val="00761DC5"/>
    <w:rsid w:val="007621AA"/>
    <w:rsid w:val="0076260A"/>
    <w:rsid w:val="00764A67"/>
    <w:rsid w:val="00770F6B"/>
    <w:rsid w:val="00771883"/>
    <w:rsid w:val="00776DC2"/>
    <w:rsid w:val="00780122"/>
    <w:rsid w:val="0078214B"/>
    <w:rsid w:val="00784342"/>
    <w:rsid w:val="0078498A"/>
    <w:rsid w:val="00787220"/>
    <w:rsid w:val="007878FE"/>
    <w:rsid w:val="00792207"/>
    <w:rsid w:val="00792B64"/>
    <w:rsid w:val="00792E29"/>
    <w:rsid w:val="0079379A"/>
    <w:rsid w:val="00794953"/>
    <w:rsid w:val="007A15A3"/>
    <w:rsid w:val="007A1F2F"/>
    <w:rsid w:val="007A2A5C"/>
    <w:rsid w:val="007A5150"/>
    <w:rsid w:val="007A5373"/>
    <w:rsid w:val="007A789F"/>
    <w:rsid w:val="007B73E4"/>
    <w:rsid w:val="007B75BC"/>
    <w:rsid w:val="007C0BD6"/>
    <w:rsid w:val="007C37B0"/>
    <w:rsid w:val="007C3806"/>
    <w:rsid w:val="007C5BB7"/>
    <w:rsid w:val="007D07D5"/>
    <w:rsid w:val="007D1C64"/>
    <w:rsid w:val="007D32DD"/>
    <w:rsid w:val="007D6DCE"/>
    <w:rsid w:val="007D72C4"/>
    <w:rsid w:val="007E2CFE"/>
    <w:rsid w:val="007E59C9"/>
    <w:rsid w:val="007E6557"/>
    <w:rsid w:val="007F0072"/>
    <w:rsid w:val="007F2EB6"/>
    <w:rsid w:val="007F34CC"/>
    <w:rsid w:val="007F54C3"/>
    <w:rsid w:val="007F790B"/>
    <w:rsid w:val="00802452"/>
    <w:rsid w:val="00802949"/>
    <w:rsid w:val="0080301E"/>
    <w:rsid w:val="0080365F"/>
    <w:rsid w:val="00804584"/>
    <w:rsid w:val="00812BE5"/>
    <w:rsid w:val="00817429"/>
    <w:rsid w:val="00821514"/>
    <w:rsid w:val="00821E35"/>
    <w:rsid w:val="00824591"/>
    <w:rsid w:val="00824AED"/>
    <w:rsid w:val="00826E99"/>
    <w:rsid w:val="00827820"/>
    <w:rsid w:val="00827C03"/>
    <w:rsid w:val="00831B8B"/>
    <w:rsid w:val="0083405D"/>
    <w:rsid w:val="008352D4"/>
    <w:rsid w:val="00836DB9"/>
    <w:rsid w:val="00837C67"/>
    <w:rsid w:val="008415B0"/>
    <w:rsid w:val="00842028"/>
    <w:rsid w:val="008436B8"/>
    <w:rsid w:val="008460B6"/>
    <w:rsid w:val="00850C9D"/>
    <w:rsid w:val="008517F2"/>
    <w:rsid w:val="00852B59"/>
    <w:rsid w:val="00856272"/>
    <w:rsid w:val="008563FF"/>
    <w:rsid w:val="0086018B"/>
    <w:rsid w:val="008611DD"/>
    <w:rsid w:val="008620DE"/>
    <w:rsid w:val="00866867"/>
    <w:rsid w:val="00872257"/>
    <w:rsid w:val="00874E13"/>
    <w:rsid w:val="008753E6"/>
    <w:rsid w:val="0087738C"/>
    <w:rsid w:val="008802AF"/>
    <w:rsid w:val="00881926"/>
    <w:rsid w:val="0088318F"/>
    <w:rsid w:val="0088331D"/>
    <w:rsid w:val="00884D38"/>
    <w:rsid w:val="008852B0"/>
    <w:rsid w:val="00885AE7"/>
    <w:rsid w:val="00886B60"/>
    <w:rsid w:val="00887889"/>
    <w:rsid w:val="00890A4D"/>
    <w:rsid w:val="008920FF"/>
    <w:rsid w:val="008926E8"/>
    <w:rsid w:val="00894F19"/>
    <w:rsid w:val="00896A10"/>
    <w:rsid w:val="008971B5"/>
    <w:rsid w:val="008A076E"/>
    <w:rsid w:val="008A24DF"/>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336C"/>
    <w:rsid w:val="008E171D"/>
    <w:rsid w:val="008E25FB"/>
    <w:rsid w:val="008E2785"/>
    <w:rsid w:val="008E78A3"/>
    <w:rsid w:val="008F0654"/>
    <w:rsid w:val="008F06CB"/>
    <w:rsid w:val="008F2E83"/>
    <w:rsid w:val="008F612A"/>
    <w:rsid w:val="0090293D"/>
    <w:rsid w:val="009034DE"/>
    <w:rsid w:val="00905396"/>
    <w:rsid w:val="0090605D"/>
    <w:rsid w:val="00906419"/>
    <w:rsid w:val="009072CF"/>
    <w:rsid w:val="00911468"/>
    <w:rsid w:val="00911574"/>
    <w:rsid w:val="00912889"/>
    <w:rsid w:val="00912EA6"/>
    <w:rsid w:val="00913A42"/>
    <w:rsid w:val="00914167"/>
    <w:rsid w:val="009143DB"/>
    <w:rsid w:val="00915065"/>
    <w:rsid w:val="00917CE5"/>
    <w:rsid w:val="009217C0"/>
    <w:rsid w:val="009243F0"/>
    <w:rsid w:val="00925241"/>
    <w:rsid w:val="00925CEC"/>
    <w:rsid w:val="00926A3F"/>
    <w:rsid w:val="0092794E"/>
    <w:rsid w:val="00930D30"/>
    <w:rsid w:val="009320A3"/>
    <w:rsid w:val="009332A2"/>
    <w:rsid w:val="00937598"/>
    <w:rsid w:val="0093790B"/>
    <w:rsid w:val="00943751"/>
    <w:rsid w:val="00946DD0"/>
    <w:rsid w:val="009509E6"/>
    <w:rsid w:val="00952018"/>
    <w:rsid w:val="00952527"/>
    <w:rsid w:val="00952800"/>
    <w:rsid w:val="0095300D"/>
    <w:rsid w:val="00956812"/>
    <w:rsid w:val="0095719A"/>
    <w:rsid w:val="009623E9"/>
    <w:rsid w:val="00963EEB"/>
    <w:rsid w:val="009648BC"/>
    <w:rsid w:val="00964C2F"/>
    <w:rsid w:val="00965F88"/>
    <w:rsid w:val="00984A96"/>
    <w:rsid w:val="00984E03"/>
    <w:rsid w:val="00987E85"/>
    <w:rsid w:val="009A0D12"/>
    <w:rsid w:val="009A1987"/>
    <w:rsid w:val="009A1E1B"/>
    <w:rsid w:val="009A28CF"/>
    <w:rsid w:val="009A2BEE"/>
    <w:rsid w:val="009A3776"/>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0753"/>
    <w:rsid w:val="009D3316"/>
    <w:rsid w:val="009D55AA"/>
    <w:rsid w:val="009E1754"/>
    <w:rsid w:val="009E3E77"/>
    <w:rsid w:val="009E3FAB"/>
    <w:rsid w:val="009E5B3F"/>
    <w:rsid w:val="009E7D90"/>
    <w:rsid w:val="009F1AB0"/>
    <w:rsid w:val="009F1E79"/>
    <w:rsid w:val="009F501D"/>
    <w:rsid w:val="009F5039"/>
    <w:rsid w:val="00A039D5"/>
    <w:rsid w:val="00A046AD"/>
    <w:rsid w:val="00A069F5"/>
    <w:rsid w:val="00A079C1"/>
    <w:rsid w:val="00A12520"/>
    <w:rsid w:val="00A130FD"/>
    <w:rsid w:val="00A13D6D"/>
    <w:rsid w:val="00A14769"/>
    <w:rsid w:val="00A16151"/>
    <w:rsid w:val="00A16EC6"/>
    <w:rsid w:val="00A172FA"/>
    <w:rsid w:val="00A17C06"/>
    <w:rsid w:val="00A2126E"/>
    <w:rsid w:val="00A21706"/>
    <w:rsid w:val="00A24FCC"/>
    <w:rsid w:val="00A26A90"/>
    <w:rsid w:val="00A26B27"/>
    <w:rsid w:val="00A30E4F"/>
    <w:rsid w:val="00A32253"/>
    <w:rsid w:val="00A3310E"/>
    <w:rsid w:val="00A333A0"/>
    <w:rsid w:val="00A37E70"/>
    <w:rsid w:val="00A437E1"/>
    <w:rsid w:val="00A45403"/>
    <w:rsid w:val="00A4685E"/>
    <w:rsid w:val="00A50CD4"/>
    <w:rsid w:val="00A51191"/>
    <w:rsid w:val="00A56013"/>
    <w:rsid w:val="00A56D62"/>
    <w:rsid w:val="00A56F07"/>
    <w:rsid w:val="00A5762C"/>
    <w:rsid w:val="00A600FC"/>
    <w:rsid w:val="00A60BCA"/>
    <w:rsid w:val="00A627B7"/>
    <w:rsid w:val="00A638DA"/>
    <w:rsid w:val="00A65B41"/>
    <w:rsid w:val="00A65E00"/>
    <w:rsid w:val="00A66A78"/>
    <w:rsid w:val="00A67098"/>
    <w:rsid w:val="00A73C72"/>
    <w:rsid w:val="00A7436E"/>
    <w:rsid w:val="00A74E96"/>
    <w:rsid w:val="00A75A8E"/>
    <w:rsid w:val="00A763A3"/>
    <w:rsid w:val="00A77C9B"/>
    <w:rsid w:val="00A823EE"/>
    <w:rsid w:val="00A824DD"/>
    <w:rsid w:val="00A83676"/>
    <w:rsid w:val="00A83B0E"/>
    <w:rsid w:val="00A83B7B"/>
    <w:rsid w:val="00A83BC2"/>
    <w:rsid w:val="00A84274"/>
    <w:rsid w:val="00A84973"/>
    <w:rsid w:val="00A850F3"/>
    <w:rsid w:val="00A864E3"/>
    <w:rsid w:val="00A8774A"/>
    <w:rsid w:val="00A94574"/>
    <w:rsid w:val="00A95936"/>
    <w:rsid w:val="00A96265"/>
    <w:rsid w:val="00A97084"/>
    <w:rsid w:val="00AA1C2C"/>
    <w:rsid w:val="00AA35F6"/>
    <w:rsid w:val="00AA49D6"/>
    <w:rsid w:val="00AA667C"/>
    <w:rsid w:val="00AA6E91"/>
    <w:rsid w:val="00AA7380"/>
    <w:rsid w:val="00AA7439"/>
    <w:rsid w:val="00AB047E"/>
    <w:rsid w:val="00AB0B0A"/>
    <w:rsid w:val="00AB0BB7"/>
    <w:rsid w:val="00AB1BB0"/>
    <w:rsid w:val="00AB209A"/>
    <w:rsid w:val="00AB22C6"/>
    <w:rsid w:val="00AB2AD0"/>
    <w:rsid w:val="00AB67FC"/>
    <w:rsid w:val="00AC00F2"/>
    <w:rsid w:val="00AC31B5"/>
    <w:rsid w:val="00AC343A"/>
    <w:rsid w:val="00AC4EA1"/>
    <w:rsid w:val="00AC50C1"/>
    <w:rsid w:val="00AC5381"/>
    <w:rsid w:val="00AC5920"/>
    <w:rsid w:val="00AD0E65"/>
    <w:rsid w:val="00AD2BF2"/>
    <w:rsid w:val="00AD4E90"/>
    <w:rsid w:val="00AD5422"/>
    <w:rsid w:val="00AE0D64"/>
    <w:rsid w:val="00AE4179"/>
    <w:rsid w:val="00AE4425"/>
    <w:rsid w:val="00AE4CB2"/>
    <w:rsid w:val="00AE4FBE"/>
    <w:rsid w:val="00AE650F"/>
    <w:rsid w:val="00AE6555"/>
    <w:rsid w:val="00AE7D16"/>
    <w:rsid w:val="00AF4CAA"/>
    <w:rsid w:val="00AF571A"/>
    <w:rsid w:val="00AF60A0"/>
    <w:rsid w:val="00AF67FC"/>
    <w:rsid w:val="00AF7DF5"/>
    <w:rsid w:val="00B006E5"/>
    <w:rsid w:val="00B00E55"/>
    <w:rsid w:val="00B01208"/>
    <w:rsid w:val="00B024C2"/>
    <w:rsid w:val="00B07700"/>
    <w:rsid w:val="00B13921"/>
    <w:rsid w:val="00B13BBA"/>
    <w:rsid w:val="00B1528C"/>
    <w:rsid w:val="00B16ACD"/>
    <w:rsid w:val="00B21487"/>
    <w:rsid w:val="00B22A59"/>
    <w:rsid w:val="00B232D1"/>
    <w:rsid w:val="00B24DB5"/>
    <w:rsid w:val="00B31F9E"/>
    <w:rsid w:val="00B3268F"/>
    <w:rsid w:val="00B32C2C"/>
    <w:rsid w:val="00B33A1A"/>
    <w:rsid w:val="00B33E6C"/>
    <w:rsid w:val="00B371CC"/>
    <w:rsid w:val="00B41CD9"/>
    <w:rsid w:val="00B427E6"/>
    <w:rsid w:val="00B428A6"/>
    <w:rsid w:val="00B43E1F"/>
    <w:rsid w:val="00B45FBC"/>
    <w:rsid w:val="00B5038F"/>
    <w:rsid w:val="00B51A7D"/>
    <w:rsid w:val="00B535C2"/>
    <w:rsid w:val="00B53914"/>
    <w:rsid w:val="00B55544"/>
    <w:rsid w:val="00B55B7F"/>
    <w:rsid w:val="00B642FC"/>
    <w:rsid w:val="00B64D26"/>
    <w:rsid w:val="00B64FBB"/>
    <w:rsid w:val="00B70E22"/>
    <w:rsid w:val="00B774CB"/>
    <w:rsid w:val="00B80402"/>
    <w:rsid w:val="00B80B9A"/>
    <w:rsid w:val="00B830B7"/>
    <w:rsid w:val="00B848EA"/>
    <w:rsid w:val="00B84A7F"/>
    <w:rsid w:val="00B84B2B"/>
    <w:rsid w:val="00B90500"/>
    <w:rsid w:val="00B9176C"/>
    <w:rsid w:val="00B935A4"/>
    <w:rsid w:val="00B95B3E"/>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58F0"/>
    <w:rsid w:val="00BF6589"/>
    <w:rsid w:val="00BF6F7F"/>
    <w:rsid w:val="00C00647"/>
    <w:rsid w:val="00C02764"/>
    <w:rsid w:val="00C0338D"/>
    <w:rsid w:val="00C045C0"/>
    <w:rsid w:val="00C04CEF"/>
    <w:rsid w:val="00C0662F"/>
    <w:rsid w:val="00C10B1B"/>
    <w:rsid w:val="00C11943"/>
    <w:rsid w:val="00C12E96"/>
    <w:rsid w:val="00C14763"/>
    <w:rsid w:val="00C16141"/>
    <w:rsid w:val="00C2363F"/>
    <w:rsid w:val="00C236C8"/>
    <w:rsid w:val="00C25D47"/>
    <w:rsid w:val="00C260B1"/>
    <w:rsid w:val="00C26E56"/>
    <w:rsid w:val="00C31406"/>
    <w:rsid w:val="00C37194"/>
    <w:rsid w:val="00C40637"/>
    <w:rsid w:val="00C40F6C"/>
    <w:rsid w:val="00C44426"/>
    <w:rsid w:val="00C445F3"/>
    <w:rsid w:val="00C451F4"/>
    <w:rsid w:val="00C45EB1"/>
    <w:rsid w:val="00C51B41"/>
    <w:rsid w:val="00C54A3A"/>
    <w:rsid w:val="00C55151"/>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1482"/>
    <w:rsid w:val="00C94CDD"/>
    <w:rsid w:val="00CA1596"/>
    <w:rsid w:val="00CB18D0"/>
    <w:rsid w:val="00CB1C8A"/>
    <w:rsid w:val="00CB24F5"/>
    <w:rsid w:val="00CB2663"/>
    <w:rsid w:val="00CB3BBE"/>
    <w:rsid w:val="00CB59E9"/>
    <w:rsid w:val="00CC0D6A"/>
    <w:rsid w:val="00CC3831"/>
    <w:rsid w:val="00CC3E3D"/>
    <w:rsid w:val="00CC45B3"/>
    <w:rsid w:val="00CC519B"/>
    <w:rsid w:val="00CD12C1"/>
    <w:rsid w:val="00CD214E"/>
    <w:rsid w:val="00CD46FA"/>
    <w:rsid w:val="00CD5973"/>
    <w:rsid w:val="00CE31A6"/>
    <w:rsid w:val="00CF09AA"/>
    <w:rsid w:val="00CF4813"/>
    <w:rsid w:val="00CF5233"/>
    <w:rsid w:val="00CF7D2B"/>
    <w:rsid w:val="00D029B8"/>
    <w:rsid w:val="00D02F60"/>
    <w:rsid w:val="00D0464E"/>
    <w:rsid w:val="00D04A96"/>
    <w:rsid w:val="00D07A7B"/>
    <w:rsid w:val="00D10E06"/>
    <w:rsid w:val="00D15197"/>
    <w:rsid w:val="00D16820"/>
    <w:rsid w:val="00D169C8"/>
    <w:rsid w:val="00D1793F"/>
    <w:rsid w:val="00D17BD4"/>
    <w:rsid w:val="00D20D01"/>
    <w:rsid w:val="00D22AF5"/>
    <w:rsid w:val="00D235EA"/>
    <w:rsid w:val="00D247A9"/>
    <w:rsid w:val="00D27E8F"/>
    <w:rsid w:val="00D32721"/>
    <w:rsid w:val="00D328DC"/>
    <w:rsid w:val="00D33387"/>
    <w:rsid w:val="00D35B57"/>
    <w:rsid w:val="00D37CA5"/>
    <w:rsid w:val="00D402FB"/>
    <w:rsid w:val="00D44BDE"/>
    <w:rsid w:val="00D47D7A"/>
    <w:rsid w:val="00D50ABD"/>
    <w:rsid w:val="00D55290"/>
    <w:rsid w:val="00D57791"/>
    <w:rsid w:val="00D6046A"/>
    <w:rsid w:val="00D62870"/>
    <w:rsid w:val="00D63EB6"/>
    <w:rsid w:val="00D655D9"/>
    <w:rsid w:val="00D65872"/>
    <w:rsid w:val="00D676F3"/>
    <w:rsid w:val="00D70EF5"/>
    <w:rsid w:val="00D71024"/>
    <w:rsid w:val="00D718D9"/>
    <w:rsid w:val="00D71A25"/>
    <w:rsid w:val="00D71FCF"/>
    <w:rsid w:val="00D72A54"/>
    <w:rsid w:val="00D72CC1"/>
    <w:rsid w:val="00D7348F"/>
    <w:rsid w:val="00D73FF9"/>
    <w:rsid w:val="00D76EC9"/>
    <w:rsid w:val="00D80E4F"/>
    <w:rsid w:val="00D80E7D"/>
    <w:rsid w:val="00D81397"/>
    <w:rsid w:val="00D848B9"/>
    <w:rsid w:val="00D86E75"/>
    <w:rsid w:val="00D87EAC"/>
    <w:rsid w:val="00D90E69"/>
    <w:rsid w:val="00D91368"/>
    <w:rsid w:val="00D93106"/>
    <w:rsid w:val="00D933E9"/>
    <w:rsid w:val="00D940E9"/>
    <w:rsid w:val="00D9505D"/>
    <w:rsid w:val="00D953D0"/>
    <w:rsid w:val="00D959F5"/>
    <w:rsid w:val="00D96884"/>
    <w:rsid w:val="00DA3FDD"/>
    <w:rsid w:val="00DA7017"/>
    <w:rsid w:val="00DA7028"/>
    <w:rsid w:val="00DB1AD2"/>
    <w:rsid w:val="00DB2B58"/>
    <w:rsid w:val="00DB4C4E"/>
    <w:rsid w:val="00DB5206"/>
    <w:rsid w:val="00DB6276"/>
    <w:rsid w:val="00DB63F5"/>
    <w:rsid w:val="00DB7CE1"/>
    <w:rsid w:val="00DC1C6B"/>
    <w:rsid w:val="00DC2C2E"/>
    <w:rsid w:val="00DC3FBB"/>
    <w:rsid w:val="00DC4AF0"/>
    <w:rsid w:val="00DC7886"/>
    <w:rsid w:val="00DD0CF2"/>
    <w:rsid w:val="00DE1554"/>
    <w:rsid w:val="00DE2901"/>
    <w:rsid w:val="00DE2C9C"/>
    <w:rsid w:val="00DE50B4"/>
    <w:rsid w:val="00DE54B8"/>
    <w:rsid w:val="00DE590F"/>
    <w:rsid w:val="00DE7DC1"/>
    <w:rsid w:val="00DF3F7E"/>
    <w:rsid w:val="00DF7648"/>
    <w:rsid w:val="00E007F9"/>
    <w:rsid w:val="00E00E29"/>
    <w:rsid w:val="00E02BAB"/>
    <w:rsid w:val="00E04CEB"/>
    <w:rsid w:val="00E060BC"/>
    <w:rsid w:val="00E10C05"/>
    <w:rsid w:val="00E11420"/>
    <w:rsid w:val="00E13060"/>
    <w:rsid w:val="00E132FB"/>
    <w:rsid w:val="00E142B4"/>
    <w:rsid w:val="00E170B7"/>
    <w:rsid w:val="00E177DD"/>
    <w:rsid w:val="00E20900"/>
    <w:rsid w:val="00E20C7F"/>
    <w:rsid w:val="00E2396E"/>
    <w:rsid w:val="00E24728"/>
    <w:rsid w:val="00E276AC"/>
    <w:rsid w:val="00E30900"/>
    <w:rsid w:val="00E3352E"/>
    <w:rsid w:val="00E34887"/>
    <w:rsid w:val="00E34A35"/>
    <w:rsid w:val="00E37C2F"/>
    <w:rsid w:val="00E41C28"/>
    <w:rsid w:val="00E445F3"/>
    <w:rsid w:val="00E46308"/>
    <w:rsid w:val="00E51E17"/>
    <w:rsid w:val="00E52453"/>
    <w:rsid w:val="00E52DAB"/>
    <w:rsid w:val="00E539B0"/>
    <w:rsid w:val="00E55994"/>
    <w:rsid w:val="00E60039"/>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5C5B"/>
    <w:rsid w:val="00E96E3F"/>
    <w:rsid w:val="00EA270C"/>
    <w:rsid w:val="00EA4974"/>
    <w:rsid w:val="00EA532E"/>
    <w:rsid w:val="00EA77E1"/>
    <w:rsid w:val="00EB06D9"/>
    <w:rsid w:val="00EB1776"/>
    <w:rsid w:val="00EB192B"/>
    <w:rsid w:val="00EB19ED"/>
    <w:rsid w:val="00EB1CAB"/>
    <w:rsid w:val="00EC0F5A"/>
    <w:rsid w:val="00EC2077"/>
    <w:rsid w:val="00EC4265"/>
    <w:rsid w:val="00EC4CEB"/>
    <w:rsid w:val="00EC659E"/>
    <w:rsid w:val="00EC7115"/>
    <w:rsid w:val="00ED2072"/>
    <w:rsid w:val="00ED2AE0"/>
    <w:rsid w:val="00ED5553"/>
    <w:rsid w:val="00ED5E36"/>
    <w:rsid w:val="00ED6961"/>
    <w:rsid w:val="00EE5692"/>
    <w:rsid w:val="00EF0B96"/>
    <w:rsid w:val="00EF3486"/>
    <w:rsid w:val="00EF405A"/>
    <w:rsid w:val="00EF47AF"/>
    <w:rsid w:val="00EF4CA7"/>
    <w:rsid w:val="00EF53B6"/>
    <w:rsid w:val="00EF6AD1"/>
    <w:rsid w:val="00F00B73"/>
    <w:rsid w:val="00F041C0"/>
    <w:rsid w:val="00F115CA"/>
    <w:rsid w:val="00F14817"/>
    <w:rsid w:val="00F14EBA"/>
    <w:rsid w:val="00F1510F"/>
    <w:rsid w:val="00F1533A"/>
    <w:rsid w:val="00F15E5A"/>
    <w:rsid w:val="00F16EC1"/>
    <w:rsid w:val="00F17F0A"/>
    <w:rsid w:val="00F237AF"/>
    <w:rsid w:val="00F2668F"/>
    <w:rsid w:val="00F2742F"/>
    <w:rsid w:val="00F2753B"/>
    <w:rsid w:val="00F27801"/>
    <w:rsid w:val="00F3051F"/>
    <w:rsid w:val="00F33F8B"/>
    <w:rsid w:val="00F340B2"/>
    <w:rsid w:val="00F42745"/>
    <w:rsid w:val="00F43390"/>
    <w:rsid w:val="00F443B2"/>
    <w:rsid w:val="00F44CF7"/>
    <w:rsid w:val="00F458D8"/>
    <w:rsid w:val="00F50237"/>
    <w:rsid w:val="00F53596"/>
    <w:rsid w:val="00F55BA8"/>
    <w:rsid w:val="00F55DB1"/>
    <w:rsid w:val="00F56ACA"/>
    <w:rsid w:val="00F600FE"/>
    <w:rsid w:val="00F609D6"/>
    <w:rsid w:val="00F62E4D"/>
    <w:rsid w:val="00F66B34"/>
    <w:rsid w:val="00F675B9"/>
    <w:rsid w:val="00F711C9"/>
    <w:rsid w:val="00F74C59"/>
    <w:rsid w:val="00F75C3A"/>
    <w:rsid w:val="00F801A7"/>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0CF"/>
    <w:rsid w:val="00FB248A"/>
    <w:rsid w:val="00FB2AF5"/>
    <w:rsid w:val="00FB2C2F"/>
    <w:rsid w:val="00FB305C"/>
    <w:rsid w:val="00FB3AD3"/>
    <w:rsid w:val="00FB6A33"/>
    <w:rsid w:val="00FC1045"/>
    <w:rsid w:val="00FC271E"/>
    <w:rsid w:val="00FC2E3D"/>
    <w:rsid w:val="00FC3BDE"/>
    <w:rsid w:val="00FD0BE9"/>
    <w:rsid w:val="00FD1DBE"/>
    <w:rsid w:val="00FD25A7"/>
    <w:rsid w:val="00FD27B6"/>
    <w:rsid w:val="00FD3689"/>
    <w:rsid w:val="00FD42A3"/>
    <w:rsid w:val="00FD541D"/>
    <w:rsid w:val="00FD7468"/>
    <w:rsid w:val="00FD7CE0"/>
    <w:rsid w:val="00FE0B3B"/>
    <w:rsid w:val="00FE1BE2"/>
    <w:rsid w:val="00FE44FC"/>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5A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3E19FB"/>
    <w:pPr>
      <w:spacing w:line="240" w:lineRule="auto"/>
    </w:pPr>
    <w:rPr>
      <w:rFonts w:ascii="Times New Roman" w:eastAsiaTheme="minorEastAsia" w:hAnsi="Times New Roman" w:cs="Arial"/>
      <w:szCs w:val="20"/>
    </w:rPr>
  </w:style>
  <w:style w:type="paragraph" w:styleId="Akapitzlist">
    <w:name w:val="List Paragraph"/>
    <w:basedOn w:val="Normalny"/>
    <w:uiPriority w:val="99"/>
    <w:semiHidden/>
    <w:rsid w:val="00323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530325">
      <w:bodyDiv w:val="1"/>
      <w:marLeft w:val="0"/>
      <w:marRight w:val="0"/>
      <w:marTop w:val="0"/>
      <w:marBottom w:val="0"/>
      <w:divBdr>
        <w:top w:val="none" w:sz="0" w:space="0" w:color="auto"/>
        <w:left w:val="none" w:sz="0" w:space="0" w:color="auto"/>
        <w:bottom w:val="none" w:sz="0" w:space="0" w:color="auto"/>
        <w:right w:val="none" w:sz="0" w:space="0" w:color="auto"/>
      </w:divBdr>
    </w:div>
    <w:div w:id="352612214">
      <w:bodyDiv w:val="1"/>
      <w:marLeft w:val="0"/>
      <w:marRight w:val="0"/>
      <w:marTop w:val="0"/>
      <w:marBottom w:val="0"/>
      <w:divBdr>
        <w:top w:val="none" w:sz="0" w:space="0" w:color="auto"/>
        <w:left w:val="none" w:sz="0" w:space="0" w:color="auto"/>
        <w:bottom w:val="none" w:sz="0" w:space="0" w:color="auto"/>
        <w:right w:val="none" w:sz="0" w:space="0" w:color="auto"/>
      </w:divBdr>
    </w:div>
    <w:div w:id="204474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89979B-5A6C-49CD-A2C6-EA724A2D6CB8}">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25BDAD0-8427-49CA-A62C-43CE4A75B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4918</Words>
  <Characters>31747</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36592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2023-05-16T06:22:00Z</dcterms:created>
  <dcterms:modified xsi:type="dcterms:W3CDTF">2023-05-16T13:52:00Z</dcterms:modified>
  <cp:category/>
</cp:coreProperties>
</file>