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57CD0B5" w14:textId="77777777" w:rsidR="006466AC" w:rsidRPr="00553C4E" w:rsidRDefault="007E26CA" w:rsidP="00553C4E">
      <w:pPr>
        <w:spacing w:before="120" w:after="0" w:line="360" w:lineRule="auto"/>
        <w:jc w:val="center"/>
        <w:rPr>
          <w:rFonts w:ascii="Times New Roman" w:hAnsi="Times New Roman" w:cs="Times New Roman"/>
          <w:sz w:val="24"/>
          <w:szCs w:val="24"/>
        </w:rPr>
      </w:pPr>
      <w:r w:rsidRPr="00553C4E">
        <w:rPr>
          <w:rFonts w:ascii="Times New Roman" w:hAnsi="Times New Roman" w:cs="Times New Roman"/>
          <w:sz w:val="24"/>
          <w:szCs w:val="24"/>
        </w:rPr>
        <w:t>UZASADNIENIE</w:t>
      </w:r>
    </w:p>
    <w:p w14:paraId="305F9090" w14:textId="77777777" w:rsidR="00CA19A7" w:rsidRPr="00553C4E" w:rsidRDefault="00CA19A7" w:rsidP="00553C4E">
      <w:pPr>
        <w:numPr>
          <w:ilvl w:val="0"/>
          <w:numId w:val="33"/>
        </w:numPr>
        <w:spacing w:before="120" w:after="0" w:line="360" w:lineRule="auto"/>
        <w:ind w:left="-284"/>
        <w:rPr>
          <w:rFonts w:ascii="Times New Roman" w:eastAsia="Calibri" w:hAnsi="Times New Roman" w:cs="Times New Roman"/>
          <w:b/>
          <w:sz w:val="24"/>
          <w:szCs w:val="24"/>
        </w:rPr>
      </w:pPr>
      <w:r w:rsidRPr="00553C4E">
        <w:rPr>
          <w:rFonts w:ascii="Times New Roman" w:eastAsia="Calibri" w:hAnsi="Times New Roman" w:cs="Times New Roman"/>
          <w:b/>
          <w:sz w:val="24"/>
          <w:szCs w:val="24"/>
        </w:rPr>
        <w:t>Cel regulacji</w:t>
      </w:r>
    </w:p>
    <w:p w14:paraId="5D39B1DD" w14:textId="49E077A9" w:rsidR="00CA19A7" w:rsidRPr="00553C4E" w:rsidRDefault="00CA19A7" w:rsidP="00553C4E">
      <w:pPr>
        <w:spacing w:before="120" w:after="0" w:line="360" w:lineRule="auto"/>
        <w:ind w:left="-284"/>
        <w:jc w:val="both"/>
        <w:rPr>
          <w:rFonts w:ascii="Times New Roman" w:eastAsia="Calibri" w:hAnsi="Times New Roman" w:cs="Times New Roman"/>
          <w:sz w:val="24"/>
          <w:szCs w:val="24"/>
        </w:rPr>
      </w:pPr>
      <w:r w:rsidRPr="00553C4E">
        <w:rPr>
          <w:rFonts w:ascii="Times New Roman" w:eastAsia="Calibri" w:hAnsi="Times New Roman" w:cs="Times New Roman"/>
          <w:sz w:val="24"/>
          <w:szCs w:val="24"/>
        </w:rPr>
        <w:t>Projektowana ustawa ma za zadanie wprowadzenie rozwiązań zapobiegających zaciągnięciu na skradzione dane identyfikujące osobę różnego rodzaju zobo</w:t>
      </w:r>
      <w:r w:rsidR="00F17B5B">
        <w:rPr>
          <w:rFonts w:ascii="Times New Roman" w:eastAsia="Calibri" w:hAnsi="Times New Roman" w:cs="Times New Roman"/>
          <w:sz w:val="24"/>
          <w:szCs w:val="24"/>
        </w:rPr>
        <w:t>wiązań w postaci np. kredytów i </w:t>
      </w:r>
      <w:r w:rsidRPr="00553C4E">
        <w:rPr>
          <w:rFonts w:ascii="Times New Roman" w:eastAsia="Calibri" w:hAnsi="Times New Roman" w:cs="Times New Roman"/>
          <w:sz w:val="24"/>
          <w:szCs w:val="24"/>
        </w:rPr>
        <w:t>pożyczek oraz otwierania rachunków rozliczeniowych przeznaczonych do wykorzyst</w:t>
      </w:r>
      <w:r w:rsidR="00F17B5B">
        <w:rPr>
          <w:rFonts w:ascii="Times New Roman" w:eastAsia="Calibri" w:hAnsi="Times New Roman" w:cs="Times New Roman"/>
          <w:sz w:val="24"/>
          <w:szCs w:val="24"/>
        </w:rPr>
        <w:t>ania w </w:t>
      </w:r>
      <w:r w:rsidRPr="00553C4E">
        <w:rPr>
          <w:rFonts w:ascii="Times New Roman" w:eastAsia="Calibri" w:hAnsi="Times New Roman" w:cs="Times New Roman"/>
          <w:sz w:val="24"/>
          <w:szCs w:val="24"/>
        </w:rPr>
        <w:t>działalności przestępczej. Regulacja ma również chronić prawa do nieruchomości przez nałożenie konieczności sprawdzania przez notariuszy czy numer PESEL jest zastrzeżony, w przypadku sprzedaży lub obciążania nieruchomości. Przygotowywane przepisy będą również dotyczyły weryfikowania zastrzeżenia numeru PESEL w przypadku wydawania przez przedsiębiorców telekomunikacyjnych duplikatów kart SIM. W przypadku zaciągnięcia powyższych zobowiązań lub podjęcia czynności pomimo zastrzeżonego numeru PESEL nastąpi zdjęcie odpowiedzialności za zobowiązania z osób, na rzecz których zostały zaciągnięte lub odmowa dokonania określonej czynności. Przyjęte rozwiązanie ma charakter prewencyjny oraz następczy. Będzie zapobiegać negatywnym skutkom kradzieży tożsamości (jeś</w:t>
      </w:r>
      <w:r w:rsidR="00F17B5B">
        <w:rPr>
          <w:rFonts w:ascii="Times New Roman" w:eastAsia="Calibri" w:hAnsi="Times New Roman" w:cs="Times New Roman"/>
          <w:sz w:val="24"/>
          <w:szCs w:val="24"/>
        </w:rPr>
        <w:t>li zaistnieją w </w:t>
      </w:r>
      <w:r w:rsidRPr="00553C4E">
        <w:rPr>
          <w:rFonts w:ascii="Times New Roman" w:eastAsia="Calibri" w:hAnsi="Times New Roman" w:cs="Times New Roman"/>
          <w:sz w:val="24"/>
          <w:szCs w:val="24"/>
        </w:rPr>
        <w:t xml:space="preserve">przyszłości) lub zmniejszy ich uciążliwość (jeśli takie zdarzenie już nastąpiło). Zastrzeżenie będzie mogło być weryfikowane także przy okazji innych czynności prawnych - również przez osoby fizyczne przy użyciu dedykowanej e-usługi, natomiast </w:t>
      </w:r>
      <w:r w:rsidRPr="00553C4E">
        <w:rPr>
          <w:rFonts w:ascii="Times New Roman" w:hAnsi="Times New Roman" w:cs="Times New Roman"/>
          <w:sz w:val="24"/>
          <w:szCs w:val="24"/>
        </w:rPr>
        <w:t xml:space="preserve">brak możliwości domagania się zaspokojenia roszczenia </w:t>
      </w:r>
      <w:r w:rsidRPr="00553C4E">
        <w:rPr>
          <w:rFonts w:ascii="Times New Roman" w:eastAsia="Calibri" w:hAnsi="Times New Roman" w:cs="Times New Roman"/>
          <w:sz w:val="24"/>
          <w:szCs w:val="24"/>
        </w:rPr>
        <w:t>znajdzie zastosowanie tylko w przypadkach wskazanych w przepisach szczególnych. Informacja o zastrzeżeniu numerów PESEL będzie gromadzona w oddzielnym rejestrze prowadzonym poza Systemem Rejestrów Państwowych</w:t>
      </w:r>
      <w:r w:rsidRPr="00553C4E">
        <w:rPr>
          <w:rFonts w:ascii="Times New Roman" w:eastAsia="Calibri" w:hAnsi="Times New Roman" w:cs="Times New Roman"/>
          <w:sz w:val="24"/>
          <w:szCs w:val="24"/>
          <w:vertAlign w:val="superscript"/>
        </w:rPr>
        <w:footnoteReference w:id="1"/>
      </w:r>
      <w:r w:rsidRPr="00553C4E">
        <w:rPr>
          <w:rFonts w:ascii="Times New Roman" w:eastAsia="Calibri" w:hAnsi="Times New Roman" w:cs="Times New Roman"/>
          <w:sz w:val="24"/>
          <w:szCs w:val="24"/>
        </w:rPr>
        <w:t>, dzięki czemu dostęp do niego nie będzie wymagał korzystania z dedykowanej sieci dostępowej (sieci wydzielonej). Niewątpliwie takie założenie przyczyni się do uproszczenia i przyspieszenia integracji systemów interesariuszy zewnętrznych oraz usprawni proces podłączenia zainteresowanych podmiotów do nowo utworzonego systemu.</w:t>
      </w:r>
    </w:p>
    <w:p w14:paraId="0969450E" w14:textId="77777777" w:rsidR="00CA19A7" w:rsidRPr="00553C4E" w:rsidRDefault="00CA19A7" w:rsidP="00553C4E">
      <w:pPr>
        <w:numPr>
          <w:ilvl w:val="0"/>
          <w:numId w:val="33"/>
        </w:numPr>
        <w:spacing w:before="120" w:after="0" w:line="360" w:lineRule="auto"/>
        <w:ind w:left="-284"/>
        <w:jc w:val="both"/>
        <w:rPr>
          <w:rFonts w:ascii="Times New Roman" w:eastAsia="Calibri" w:hAnsi="Times New Roman" w:cs="Times New Roman"/>
          <w:b/>
          <w:sz w:val="24"/>
          <w:szCs w:val="24"/>
        </w:rPr>
      </w:pPr>
      <w:r w:rsidRPr="00553C4E">
        <w:rPr>
          <w:rFonts w:ascii="Times New Roman" w:eastAsia="Calibri" w:hAnsi="Times New Roman" w:cs="Times New Roman"/>
          <w:b/>
          <w:sz w:val="24"/>
          <w:szCs w:val="24"/>
        </w:rPr>
        <w:t xml:space="preserve">Stan aktualny </w:t>
      </w:r>
    </w:p>
    <w:p w14:paraId="268ACE6E" w14:textId="0B28DBB0" w:rsidR="00CA19A7" w:rsidRPr="00553C4E" w:rsidRDefault="00CA19A7" w:rsidP="00553C4E">
      <w:pPr>
        <w:spacing w:before="120" w:after="0" w:line="360" w:lineRule="auto"/>
        <w:ind w:left="-284"/>
        <w:jc w:val="both"/>
        <w:rPr>
          <w:rFonts w:ascii="Times New Roman" w:eastAsia="Calibri" w:hAnsi="Times New Roman" w:cs="Times New Roman"/>
          <w:sz w:val="24"/>
          <w:szCs w:val="24"/>
        </w:rPr>
      </w:pPr>
      <w:r w:rsidRPr="00553C4E">
        <w:rPr>
          <w:rFonts w:ascii="Times New Roman" w:eastAsia="Calibri" w:hAnsi="Times New Roman" w:cs="Times New Roman"/>
          <w:sz w:val="24"/>
          <w:szCs w:val="24"/>
        </w:rPr>
        <w:t>Zawieranie umów np. na prowadzenie rachunku bankowego, umów kredytu i pożyczki należą niewątpliwie do powszechnie dokonywanych czynności prawnych. Aktualnie do prowadzenia tego rodzaju spraw (szczególnie w dobie pandemii COVID-19) coraz częściej wykorzystuje się elektroniczne kanały komunikacji. Posługiwanie się nimi nie wy</w:t>
      </w:r>
      <w:r w:rsidR="00F17B5B">
        <w:rPr>
          <w:rFonts w:ascii="Times New Roman" w:eastAsia="Calibri" w:hAnsi="Times New Roman" w:cs="Times New Roman"/>
          <w:sz w:val="24"/>
          <w:szCs w:val="24"/>
        </w:rPr>
        <w:t>maga osobistej wizyty klienta w </w:t>
      </w:r>
      <w:r w:rsidRPr="00553C4E">
        <w:rPr>
          <w:rFonts w:ascii="Times New Roman" w:eastAsia="Calibri" w:hAnsi="Times New Roman" w:cs="Times New Roman"/>
          <w:sz w:val="24"/>
          <w:szCs w:val="24"/>
        </w:rPr>
        <w:t xml:space="preserve">oddziale lub siedzibie konkretnej firmy lub instytucji. Tym samym stale wzrasta liczba osób korzystających z tej formy komunikacji na odległość a usługodawcy dążą do ułatwiania dostępu </w:t>
      </w:r>
      <w:r w:rsidRPr="00553C4E">
        <w:rPr>
          <w:rFonts w:ascii="Times New Roman" w:eastAsia="Calibri" w:hAnsi="Times New Roman" w:cs="Times New Roman"/>
          <w:sz w:val="24"/>
          <w:szCs w:val="24"/>
        </w:rPr>
        <w:lastRenderedPageBreak/>
        <w:t>np. do bankowości elektronicznej z poziomu smartfona (zakładanie konta na tzw. selfie, aplikacje mobilne do korzystania z usług bankowych, potwierdzanie operacji odciskiem linii papilarnych, potwierdzanie tożsamości tzw. przelewem weryfikacyjnym). W przypadku sprzedaży lub obciążania nieruchomości i praw z nią związanych konieczne jest stawiennictwo osobiste lub za pośrednictwem należycie umocowanego pełnomocnika. W przypadku wydawania duplikatów kart SIM w zależności od przedsiębiorcy istnieje możliwość załatwi</w:t>
      </w:r>
      <w:r w:rsidR="00F17B5B">
        <w:rPr>
          <w:rFonts w:ascii="Times New Roman" w:eastAsia="Calibri" w:hAnsi="Times New Roman" w:cs="Times New Roman"/>
          <w:sz w:val="24"/>
          <w:szCs w:val="24"/>
        </w:rPr>
        <w:t>enia tej sprawy osobiście np. w </w:t>
      </w:r>
      <w:r w:rsidRPr="00553C4E">
        <w:rPr>
          <w:rFonts w:ascii="Times New Roman" w:eastAsia="Calibri" w:hAnsi="Times New Roman" w:cs="Times New Roman"/>
          <w:sz w:val="24"/>
          <w:szCs w:val="24"/>
        </w:rPr>
        <w:t>salonie firmowym lub online.</w:t>
      </w:r>
    </w:p>
    <w:p w14:paraId="361E091C" w14:textId="74E7681A" w:rsidR="00CA19A7" w:rsidRPr="00553C4E" w:rsidRDefault="00CA19A7" w:rsidP="00553C4E">
      <w:pPr>
        <w:spacing w:before="120" w:after="0" w:line="360" w:lineRule="auto"/>
        <w:ind w:left="-284"/>
        <w:jc w:val="both"/>
        <w:rPr>
          <w:rFonts w:ascii="Times New Roman" w:eastAsia="Calibri" w:hAnsi="Times New Roman" w:cs="Times New Roman"/>
          <w:sz w:val="24"/>
          <w:szCs w:val="24"/>
        </w:rPr>
      </w:pPr>
      <w:r w:rsidRPr="00553C4E">
        <w:rPr>
          <w:rFonts w:ascii="Times New Roman" w:eastAsia="Calibri" w:hAnsi="Times New Roman" w:cs="Times New Roman"/>
          <w:sz w:val="24"/>
          <w:szCs w:val="24"/>
        </w:rPr>
        <w:t>W powyższych przypadkach zdarzają się sytuacje, że dane identyfikujące osobę zostają wykorzystane bez jej wiedzy i zgody np. do wyłudzenia przez przestępcę kredytu, pożyczki, dokonania sprzedaży nieruchomości, której właścicielem nie jest albo wydania duplikatu karty SIM osobie niebędącej rzeczywistym użytkownikiem (co w efekcie prowadzić może do przejęcia konta w bankowości elektronicznej przez uzyskanie dostępu do środka uwierzytelniania). Zdarzenia takie mają miejsce w momencie nieuprawnionego pozyskania danych jednoznacznie identyfikujących osobę (wyciek danych, zgubienie lub kradzież dowodu osobistego, paszportu lub prawa jazdy albo wejście w posiadanie danych dotyczących nieruchomości</w:t>
      </w:r>
      <w:r w:rsidRPr="00553C4E">
        <w:rPr>
          <w:rFonts w:ascii="Times New Roman" w:eastAsia="Calibri" w:hAnsi="Times New Roman" w:cs="Times New Roman"/>
          <w:sz w:val="24"/>
          <w:szCs w:val="24"/>
          <w:vertAlign w:val="superscript"/>
        </w:rPr>
        <w:footnoteReference w:id="2"/>
      </w:r>
      <w:r w:rsidRPr="00553C4E">
        <w:rPr>
          <w:rFonts w:ascii="Times New Roman" w:eastAsia="Calibri" w:hAnsi="Times New Roman" w:cs="Times New Roman"/>
          <w:sz w:val="24"/>
          <w:szCs w:val="24"/>
        </w:rPr>
        <w:t>). Przestępcy wykorzystują do tego celu również podrobione lub przerobione dokumenty tożsamości (potocznie nazywane „kolekcjonerskimi” - nie zawierają często wizerunku pokrzywdzonego właściciela danych, lecz tzw. „słupa”, którym często jest np. osoba bezdomna, uzależniona od alkoholu lub narkotyków albo nieporadna). Dokumenty takie, mimo wprowadzenia w ustawie z dnia 22 listopada 2018 r. o dokumentach publicznych (Dz. U. z 2022 r., poz. 1394 i 1415 ) rozwiązań penalizujących wytwarzanie, oferowanie, zbywanie lub przechowywanie w celu zbycia repliki dokumentu publicznego, są ciągle dostępne do nabycia za pośrednictwem niektórych zagranicznych witryn internetowych</w:t>
      </w:r>
      <w:r w:rsidRPr="00553C4E">
        <w:rPr>
          <w:rFonts w:ascii="Times New Roman" w:eastAsia="Calibri" w:hAnsi="Times New Roman" w:cs="Times New Roman"/>
          <w:sz w:val="24"/>
          <w:szCs w:val="24"/>
          <w:vertAlign w:val="superscript"/>
        </w:rPr>
        <w:footnoteReference w:id="3"/>
      </w:r>
      <w:r w:rsidRPr="00553C4E">
        <w:rPr>
          <w:rFonts w:ascii="Times New Roman" w:eastAsia="Calibri" w:hAnsi="Times New Roman" w:cs="Times New Roman"/>
          <w:sz w:val="24"/>
          <w:szCs w:val="24"/>
        </w:rPr>
        <w:t xml:space="preserve"> i mogą zawierać czę</w:t>
      </w:r>
      <w:r w:rsidR="00F17B5B">
        <w:rPr>
          <w:rFonts w:ascii="Times New Roman" w:eastAsia="Calibri" w:hAnsi="Times New Roman" w:cs="Times New Roman"/>
          <w:sz w:val="24"/>
          <w:szCs w:val="24"/>
        </w:rPr>
        <w:t>ść cech dokumentu imitujących w </w:t>
      </w:r>
      <w:r w:rsidRPr="00553C4E">
        <w:rPr>
          <w:rFonts w:ascii="Times New Roman" w:eastAsia="Calibri" w:hAnsi="Times New Roman" w:cs="Times New Roman"/>
          <w:sz w:val="24"/>
          <w:szCs w:val="24"/>
        </w:rPr>
        <w:t xml:space="preserve">sposób mniej lub bardziej udolny jego zabezpieczenia. Możliwa jest ponadto sytuacja, w której pracownicy podmiotów udzielających kredytów i pożyczek albo kurierzy dostarczający umowy do podpisu klienta nie będą w stanie odróżnić takiego dokumentu od autentycznego – szczególnie w przypadku, gdy przed zawarciem umowy wymagane jest tylko przesłanie skanu lub kserokopii dokumentu tożsamości zamiast okazanie bezpośrednio w siedzibie </w:t>
      </w:r>
      <w:r w:rsidR="00F17B5B">
        <w:rPr>
          <w:rFonts w:ascii="Times New Roman" w:eastAsia="Calibri" w:hAnsi="Times New Roman" w:cs="Times New Roman"/>
          <w:sz w:val="24"/>
          <w:szCs w:val="24"/>
        </w:rPr>
        <w:t>instytucji. Zgodnie z </w:t>
      </w:r>
      <w:r w:rsidRPr="00553C4E">
        <w:rPr>
          <w:rFonts w:ascii="Times New Roman" w:eastAsia="Calibri" w:hAnsi="Times New Roman" w:cs="Times New Roman"/>
          <w:sz w:val="24"/>
          <w:szCs w:val="24"/>
        </w:rPr>
        <w:t>informacją podaną przez administratorów chronpesel.pl w dniu 22 lipca 2019 r. (data dostępu: 5 sierpnia 2022 r.)</w:t>
      </w:r>
      <w:r w:rsidRPr="00553C4E">
        <w:rPr>
          <w:rFonts w:ascii="Times New Roman" w:eastAsia="Calibri" w:hAnsi="Times New Roman" w:cs="Times New Roman"/>
          <w:sz w:val="24"/>
          <w:szCs w:val="24"/>
          <w:vertAlign w:val="superscript"/>
        </w:rPr>
        <w:footnoteReference w:id="4"/>
      </w:r>
      <w:r w:rsidRPr="00553C4E">
        <w:rPr>
          <w:rFonts w:ascii="Times New Roman" w:eastAsia="Calibri" w:hAnsi="Times New Roman" w:cs="Times New Roman"/>
          <w:sz w:val="24"/>
          <w:szCs w:val="24"/>
        </w:rPr>
        <w:t xml:space="preserve"> corocznie udaremniane jest 6000 prób wyłudzeń na fałszywe dokumenty. Do </w:t>
      </w:r>
      <w:r w:rsidRPr="00553C4E">
        <w:rPr>
          <w:rFonts w:ascii="Times New Roman" w:eastAsia="Calibri" w:hAnsi="Times New Roman" w:cs="Times New Roman"/>
          <w:sz w:val="24"/>
          <w:szCs w:val="24"/>
        </w:rPr>
        <w:lastRenderedPageBreak/>
        <w:t>mediów trafiają również inne przypadki tego rodzaju działalności, często podejmowanej na znaczną skalę, które udaje się udaremnić dopiero po pewnym czasie, kiedy odwrócenie negatywnych skutków jest czasochłonne i trudne</w:t>
      </w:r>
      <w:r w:rsidRPr="00553C4E">
        <w:rPr>
          <w:rFonts w:ascii="Times New Roman" w:eastAsia="Calibri" w:hAnsi="Times New Roman" w:cs="Times New Roman"/>
          <w:sz w:val="24"/>
          <w:szCs w:val="24"/>
          <w:vertAlign w:val="superscript"/>
        </w:rPr>
        <w:footnoteReference w:id="5"/>
      </w:r>
      <w:r w:rsidR="00553C4E">
        <w:rPr>
          <w:rFonts w:ascii="Times New Roman" w:eastAsia="Calibri" w:hAnsi="Times New Roman" w:cs="Times New Roman"/>
          <w:sz w:val="24"/>
          <w:szCs w:val="24"/>
        </w:rPr>
        <w:t>.</w:t>
      </w:r>
    </w:p>
    <w:p w14:paraId="39504506" w14:textId="487B9682" w:rsidR="00CA19A7" w:rsidRPr="00553C4E" w:rsidRDefault="00CA19A7" w:rsidP="00553C4E">
      <w:pPr>
        <w:spacing w:before="120" w:after="0" w:line="360" w:lineRule="auto"/>
        <w:ind w:left="-284"/>
        <w:jc w:val="both"/>
        <w:rPr>
          <w:rFonts w:ascii="Times New Roman" w:eastAsia="Calibri" w:hAnsi="Times New Roman" w:cs="Times New Roman"/>
          <w:sz w:val="24"/>
          <w:szCs w:val="24"/>
        </w:rPr>
      </w:pPr>
      <w:r w:rsidRPr="00553C4E">
        <w:rPr>
          <w:rFonts w:ascii="Times New Roman" w:eastAsia="Calibri" w:hAnsi="Times New Roman" w:cs="Times New Roman"/>
          <w:sz w:val="24"/>
          <w:szCs w:val="24"/>
        </w:rPr>
        <w:t>Nieco mniejsze ryzyko istnieje w sytuacji sprzedaży lub obciążenia nieruchomości i praw z nią związanych przez osobę podającą się za właściciela i posługującą się podrobionym dokumentem tożsamości, ponieważ notariusze z racji wykonywanego zaw</w:t>
      </w:r>
      <w:r w:rsidR="00F17B5B">
        <w:rPr>
          <w:rFonts w:ascii="Times New Roman" w:eastAsia="Calibri" w:hAnsi="Times New Roman" w:cs="Times New Roman"/>
          <w:sz w:val="24"/>
          <w:szCs w:val="24"/>
        </w:rPr>
        <w:t>odu najczęściej spotykają się z </w:t>
      </w:r>
      <w:r w:rsidRPr="00553C4E">
        <w:rPr>
          <w:rFonts w:ascii="Times New Roman" w:eastAsia="Calibri" w:hAnsi="Times New Roman" w:cs="Times New Roman"/>
          <w:sz w:val="24"/>
          <w:szCs w:val="24"/>
        </w:rPr>
        <w:t>koniecznością weryfikacji różnego rodzaju dokumentów. Niemniej jednak ilość zawieranych umów sprzedaży nieruchomości oraz ich wartość z uwagi na rosnące ceny jest na tyle znacząca, że sytuacje, w których taka umowa zostanie</w:t>
      </w:r>
      <w:r w:rsidR="00F17B5B">
        <w:rPr>
          <w:rFonts w:ascii="Times New Roman" w:eastAsia="Calibri" w:hAnsi="Times New Roman" w:cs="Times New Roman"/>
          <w:sz w:val="24"/>
          <w:szCs w:val="24"/>
        </w:rPr>
        <w:t xml:space="preserve"> zawarta również się zdarzają i </w:t>
      </w:r>
      <w:r w:rsidRPr="00553C4E">
        <w:rPr>
          <w:rFonts w:ascii="Times New Roman" w:eastAsia="Calibri" w:hAnsi="Times New Roman" w:cs="Times New Roman"/>
          <w:sz w:val="24"/>
          <w:szCs w:val="24"/>
        </w:rPr>
        <w:t>pociągają za osobę daleko idące skutki dla występujących w dobrej wierze nabywców oraz prawowitych właścicieli. Przypadek taki był opisywany np. w dniu 6 czerwca 2019 r.</w:t>
      </w:r>
      <w:r w:rsidRPr="00553C4E">
        <w:rPr>
          <w:rFonts w:ascii="Times New Roman" w:eastAsia="Calibri" w:hAnsi="Times New Roman" w:cs="Times New Roman"/>
          <w:sz w:val="24"/>
          <w:szCs w:val="24"/>
          <w:vertAlign w:val="superscript"/>
        </w:rPr>
        <w:footnoteReference w:id="6"/>
      </w:r>
    </w:p>
    <w:p w14:paraId="5774C674" w14:textId="77777777" w:rsidR="00CA19A7" w:rsidRPr="00553C4E" w:rsidRDefault="00CA19A7" w:rsidP="00553C4E">
      <w:pPr>
        <w:numPr>
          <w:ilvl w:val="0"/>
          <w:numId w:val="33"/>
        </w:numPr>
        <w:spacing w:before="120" w:after="0" w:line="360" w:lineRule="auto"/>
        <w:ind w:left="-284"/>
        <w:jc w:val="both"/>
        <w:rPr>
          <w:rFonts w:ascii="Times New Roman" w:eastAsia="Calibri" w:hAnsi="Times New Roman" w:cs="Times New Roman"/>
          <w:b/>
          <w:sz w:val="24"/>
          <w:szCs w:val="24"/>
        </w:rPr>
      </w:pPr>
      <w:r w:rsidRPr="00553C4E">
        <w:rPr>
          <w:rFonts w:ascii="Times New Roman" w:eastAsia="Calibri" w:hAnsi="Times New Roman" w:cs="Times New Roman"/>
          <w:b/>
          <w:sz w:val="24"/>
          <w:szCs w:val="24"/>
        </w:rPr>
        <w:t>Szczegółowe rozwiązania</w:t>
      </w:r>
    </w:p>
    <w:p w14:paraId="35EE30B9" w14:textId="77777777" w:rsidR="00CA19A7" w:rsidRPr="00553C4E" w:rsidRDefault="00CA19A7" w:rsidP="00553C4E">
      <w:pPr>
        <w:numPr>
          <w:ilvl w:val="0"/>
          <w:numId w:val="34"/>
        </w:numPr>
        <w:spacing w:before="120" w:after="0" w:line="360" w:lineRule="auto"/>
        <w:ind w:left="-284" w:firstLine="0"/>
        <w:jc w:val="both"/>
        <w:rPr>
          <w:rFonts w:ascii="Times New Roman" w:eastAsia="Calibri" w:hAnsi="Times New Roman" w:cs="Times New Roman"/>
          <w:sz w:val="24"/>
          <w:szCs w:val="24"/>
        </w:rPr>
      </w:pPr>
      <w:r w:rsidRPr="00553C4E">
        <w:rPr>
          <w:rFonts w:ascii="Times New Roman" w:eastAsia="Calibri" w:hAnsi="Times New Roman" w:cs="Times New Roman"/>
          <w:sz w:val="24"/>
          <w:szCs w:val="24"/>
        </w:rPr>
        <w:t>Zmiany w ustawie z dnia 14 lutego 1991 r. - Prawo o n</w:t>
      </w:r>
      <w:r w:rsidR="00553C4E">
        <w:rPr>
          <w:rFonts w:ascii="Times New Roman" w:eastAsia="Calibri" w:hAnsi="Times New Roman" w:cs="Times New Roman"/>
          <w:sz w:val="24"/>
          <w:szCs w:val="24"/>
        </w:rPr>
        <w:t>otariacie (Dz.U. z 2022 r. poz. </w:t>
      </w:r>
      <w:r w:rsidRPr="00553C4E">
        <w:rPr>
          <w:rFonts w:ascii="Times New Roman" w:eastAsia="Calibri" w:hAnsi="Times New Roman" w:cs="Times New Roman"/>
          <w:sz w:val="24"/>
          <w:szCs w:val="24"/>
        </w:rPr>
        <w:t>1799)</w:t>
      </w:r>
    </w:p>
    <w:p w14:paraId="0DD00838" w14:textId="77777777" w:rsidR="00CA19A7" w:rsidRPr="00553C4E" w:rsidRDefault="00CA19A7" w:rsidP="00553C4E">
      <w:pPr>
        <w:spacing w:before="120" w:after="0" w:line="360" w:lineRule="auto"/>
        <w:ind w:left="-284"/>
        <w:jc w:val="both"/>
        <w:rPr>
          <w:rFonts w:ascii="Times New Roman" w:eastAsia="Calibri" w:hAnsi="Times New Roman" w:cs="Times New Roman"/>
          <w:sz w:val="24"/>
          <w:szCs w:val="24"/>
        </w:rPr>
      </w:pPr>
      <w:r w:rsidRPr="00553C4E">
        <w:rPr>
          <w:rFonts w:ascii="Times New Roman" w:eastAsia="Calibri" w:hAnsi="Times New Roman" w:cs="Times New Roman"/>
          <w:sz w:val="24"/>
          <w:szCs w:val="24"/>
        </w:rPr>
        <w:t>Nałożenie na notariusza obowiązku odmowy dokonania czynności notarialnej, której przedmiotem jest nabycie, zbycie lub obciążenie nieruchomości lub udziału w nieruchomości, numer PESEL strony takiej czynności widnieje w rejestrze zastrzeżeń numerów PESEL. Obowiązek powyższy będzie dotyczył również udzielenia notarialnego pełnomocnictwa do realizacji powyższych czynności.</w:t>
      </w:r>
    </w:p>
    <w:p w14:paraId="00D80C1D" w14:textId="77777777" w:rsidR="00CA19A7" w:rsidRPr="00553C4E" w:rsidRDefault="00CA19A7" w:rsidP="00553C4E">
      <w:pPr>
        <w:spacing w:before="120" w:after="0" w:line="360" w:lineRule="auto"/>
        <w:ind w:left="-284"/>
        <w:jc w:val="both"/>
        <w:rPr>
          <w:rFonts w:ascii="Times New Roman" w:eastAsia="Calibri" w:hAnsi="Times New Roman" w:cs="Times New Roman"/>
          <w:sz w:val="24"/>
          <w:szCs w:val="24"/>
        </w:rPr>
      </w:pPr>
      <w:r w:rsidRPr="00553C4E">
        <w:rPr>
          <w:rFonts w:ascii="Times New Roman" w:eastAsia="Calibri" w:hAnsi="Times New Roman" w:cs="Times New Roman"/>
          <w:sz w:val="24"/>
          <w:szCs w:val="24"/>
        </w:rPr>
        <w:t xml:space="preserve">Projektowane przepisy będą miały również zastosowanie do prawa użytkowana wieczystego oraz spółdzielczego własnościowego prawa do lokalu. Osobie zainteresowanej będzie rzecz jasna przysługiwało prawo do wskazanych w ustawie z dnia 14 lutego 1991 r. </w:t>
      </w:r>
      <w:r w:rsidR="00553C4E">
        <w:rPr>
          <w:rFonts w:ascii="Times New Roman" w:eastAsia="Calibri" w:hAnsi="Times New Roman" w:cs="Times New Roman"/>
          <w:sz w:val="24"/>
          <w:szCs w:val="24"/>
        </w:rPr>
        <w:t>–</w:t>
      </w:r>
      <w:r w:rsidRPr="00553C4E">
        <w:rPr>
          <w:rFonts w:ascii="Times New Roman" w:eastAsia="Calibri" w:hAnsi="Times New Roman" w:cs="Times New Roman"/>
          <w:sz w:val="24"/>
          <w:szCs w:val="24"/>
        </w:rPr>
        <w:t xml:space="preserve"> Prawo o notariacie środków odwoławczych. Sprawdzenie takiego zastrzeżenia może nastąpić za nieodpłatnie za pomocą usługi dostępnej na Gov.pl lub poprzez system zewnętrzny zintegrowany z rejestrem zastrzeżeń numerów PESEL. Notariusz będzie też mógł zweryfikować zastrzeżenie numeru PESEL przed dokonaniem innych czynności notarialnych niż wyżej wymienione i fakultatywnie odmówić ich dokonania, jeśli numer PESEL co najmniej jednej z osób biorących udział w tej czynności widnieje w rejestrze zastrzeżeń numerów PESEL.</w:t>
      </w:r>
    </w:p>
    <w:p w14:paraId="7B5557C0" w14:textId="77777777" w:rsidR="00CA19A7" w:rsidRPr="00553C4E" w:rsidRDefault="00CA19A7" w:rsidP="00553C4E">
      <w:pPr>
        <w:spacing w:before="120" w:after="0" w:line="360" w:lineRule="auto"/>
        <w:ind w:left="-284"/>
        <w:jc w:val="both"/>
        <w:rPr>
          <w:rFonts w:ascii="Times New Roman" w:eastAsia="Calibri" w:hAnsi="Times New Roman" w:cs="Times New Roman"/>
          <w:sz w:val="24"/>
          <w:szCs w:val="24"/>
        </w:rPr>
      </w:pPr>
      <w:r w:rsidRPr="00553C4E">
        <w:rPr>
          <w:rFonts w:ascii="Times New Roman" w:eastAsia="Calibri" w:hAnsi="Times New Roman" w:cs="Times New Roman"/>
          <w:sz w:val="24"/>
          <w:szCs w:val="24"/>
        </w:rPr>
        <w:t xml:space="preserve">W przepisach uregulowano także kwestię ewentualnej niedostępności rejestru zastrzeżeń numerów PESEL. W przypadku niedostępności systemu teleinformatycznego, w którym </w:t>
      </w:r>
      <w:r w:rsidRPr="00553C4E">
        <w:rPr>
          <w:rFonts w:ascii="Times New Roman" w:eastAsia="Calibri" w:hAnsi="Times New Roman" w:cs="Times New Roman"/>
          <w:sz w:val="24"/>
          <w:szCs w:val="24"/>
        </w:rPr>
        <w:lastRenderedPageBreak/>
        <w:t>prowadzony jest rejestr zastrzeżeń numerów PESEL przewidziano niedostępność planowaną, która zostanie ogłoszona uprzednio przez ministra właściwego do spraw informatyzacji w BIP oraz niedostępność nieplanowaną. W przypadku niedostępności nieplanowanej trwającej ponad 15 minut projektowane przepisy pozwalają notariuszowi na odmowę czynności notarialnej lub jej dokonanie po uprzedniej należytej weryfikacji tożsamości osoby i udokumentowaniu tego faktu.</w:t>
      </w:r>
    </w:p>
    <w:p w14:paraId="141448D4" w14:textId="03C50BBF" w:rsidR="00CA19A7" w:rsidRPr="00553C4E" w:rsidRDefault="00CA19A7" w:rsidP="00553C4E">
      <w:pPr>
        <w:pStyle w:val="Akapitzlist"/>
        <w:numPr>
          <w:ilvl w:val="0"/>
          <w:numId w:val="34"/>
        </w:numPr>
        <w:spacing w:before="120" w:line="360" w:lineRule="auto"/>
        <w:ind w:left="-284" w:firstLine="0"/>
        <w:jc w:val="both"/>
        <w:rPr>
          <w:rFonts w:ascii="Times New Roman" w:hAnsi="Times New Roman"/>
          <w:sz w:val="24"/>
          <w:szCs w:val="24"/>
        </w:rPr>
      </w:pPr>
      <w:r w:rsidRPr="00553C4E">
        <w:rPr>
          <w:rFonts w:ascii="Times New Roman" w:hAnsi="Times New Roman"/>
          <w:sz w:val="24"/>
          <w:szCs w:val="24"/>
        </w:rPr>
        <w:t>Zmiany w ustawie z dnia 29 sierpnia 1997 r. – Prawo bankowe (Dz.</w:t>
      </w:r>
      <w:r w:rsidR="00F17B5B">
        <w:rPr>
          <w:rFonts w:ascii="Times New Roman" w:hAnsi="Times New Roman"/>
          <w:sz w:val="24"/>
          <w:szCs w:val="24"/>
        </w:rPr>
        <w:t xml:space="preserve"> U. z 2022 r. poz. 2324, z </w:t>
      </w:r>
      <w:r w:rsidRPr="00553C4E">
        <w:rPr>
          <w:rFonts w:ascii="Times New Roman" w:hAnsi="Times New Roman"/>
          <w:sz w:val="24"/>
          <w:szCs w:val="24"/>
        </w:rPr>
        <w:t>późn. zm.)</w:t>
      </w:r>
    </w:p>
    <w:p w14:paraId="693AB791" w14:textId="26B97F77" w:rsidR="00CA19A7" w:rsidRPr="00553C4E" w:rsidRDefault="00CA19A7" w:rsidP="00553C4E">
      <w:pPr>
        <w:spacing w:before="120" w:after="0" w:line="360" w:lineRule="auto"/>
        <w:ind w:left="-284"/>
        <w:jc w:val="both"/>
        <w:rPr>
          <w:rFonts w:ascii="Times New Roman" w:eastAsia="Calibri" w:hAnsi="Times New Roman" w:cs="Times New Roman"/>
          <w:sz w:val="24"/>
          <w:szCs w:val="24"/>
        </w:rPr>
      </w:pPr>
      <w:r w:rsidRPr="00553C4E">
        <w:rPr>
          <w:rFonts w:ascii="Times New Roman" w:eastAsia="Calibri" w:hAnsi="Times New Roman" w:cs="Times New Roman"/>
          <w:sz w:val="24"/>
          <w:szCs w:val="24"/>
        </w:rPr>
        <w:t>Proponuje się nałożenie na banki krajowe, instytucje kredytowe, oddziały instytucji kredytowych oraz oddziały banku zagranicznego obowiązku weryfikacji zastrzeżenia numeru PESEL konsumenta przez zawarciem umowy na prowadzenie rachunku</w:t>
      </w:r>
      <w:r w:rsidR="00F17B5B">
        <w:rPr>
          <w:rFonts w:ascii="Times New Roman" w:eastAsia="Calibri" w:hAnsi="Times New Roman" w:cs="Times New Roman"/>
          <w:sz w:val="24"/>
          <w:szCs w:val="24"/>
        </w:rPr>
        <w:t xml:space="preserve"> bankowego, kredytu, pożyczki i </w:t>
      </w:r>
      <w:r w:rsidRPr="00553C4E">
        <w:rPr>
          <w:rFonts w:ascii="Times New Roman" w:eastAsia="Calibri" w:hAnsi="Times New Roman" w:cs="Times New Roman"/>
          <w:sz w:val="24"/>
          <w:szCs w:val="24"/>
        </w:rPr>
        <w:t>leasingu. Rozwiązanie to ma na celu zablokowanie dokonania czynności, co do której posiadacz numeru PESEL nie wyraził zgody na realizację – zastrzegaj</w:t>
      </w:r>
      <w:r w:rsidR="00F17B5B">
        <w:rPr>
          <w:rFonts w:ascii="Times New Roman" w:eastAsia="Calibri" w:hAnsi="Times New Roman" w:cs="Times New Roman"/>
          <w:sz w:val="24"/>
          <w:szCs w:val="24"/>
        </w:rPr>
        <w:t>ąc swój numer identyfikacyjny w </w:t>
      </w:r>
      <w:r w:rsidRPr="00553C4E">
        <w:rPr>
          <w:rFonts w:ascii="Times New Roman" w:eastAsia="Calibri" w:hAnsi="Times New Roman" w:cs="Times New Roman"/>
          <w:sz w:val="24"/>
          <w:szCs w:val="24"/>
        </w:rPr>
        <w:t>tworzonym rejestrze zastrzeżeń numerów PESEL. Sprawdzenie takiego zastrzeżenia może nastąpić nieodpłatnie za pomocą usługi dostępnej na Gov.pl lub poprzez system zewnętrzny zintegrowany z nowo utworzonym rejestrem zastrzeżeń numerów PESEL. Jeśli zobligowana instytucja nie sprawdzi czy zastrzeżenie istniało, a numer PESEL był zastrzeżony to nie może domagać się od konsumenta zaspokojenia roszczenia z tytułu zawarcia takiej umowy, a także zbyć p</w:t>
      </w:r>
      <w:r w:rsidR="00553C4E">
        <w:rPr>
          <w:rFonts w:ascii="Times New Roman" w:eastAsia="Calibri" w:hAnsi="Times New Roman" w:cs="Times New Roman"/>
          <w:sz w:val="24"/>
          <w:szCs w:val="24"/>
        </w:rPr>
        <w:t>owstałej z niej wierzytelności.</w:t>
      </w:r>
    </w:p>
    <w:p w14:paraId="0CA12B9E" w14:textId="77777777" w:rsidR="00CA19A7" w:rsidRPr="00553C4E" w:rsidRDefault="00CA19A7" w:rsidP="00553C4E">
      <w:pPr>
        <w:tabs>
          <w:tab w:val="left" w:pos="8647"/>
        </w:tabs>
        <w:spacing w:before="120" w:after="0" w:line="360" w:lineRule="auto"/>
        <w:ind w:left="-284"/>
        <w:jc w:val="both"/>
        <w:rPr>
          <w:rFonts w:ascii="Times New Roman" w:eastAsia="Calibri" w:hAnsi="Times New Roman" w:cs="Times New Roman"/>
          <w:sz w:val="24"/>
          <w:szCs w:val="24"/>
        </w:rPr>
      </w:pPr>
      <w:r w:rsidRPr="00553C4E">
        <w:rPr>
          <w:rFonts w:ascii="Times New Roman" w:eastAsia="Calibri" w:hAnsi="Times New Roman" w:cs="Times New Roman"/>
          <w:sz w:val="24"/>
          <w:szCs w:val="24"/>
        </w:rPr>
        <w:t xml:space="preserve">Brak możliwości domagania się zaspokojenia roszczeń od konsumenta na podstawie powyższych uregulowań rozciąga się również na jego następców prawnych. Przewiduje się również konieczność weryfikacji zastrzeżenia numeru PESEL w przypadku wypłat gotówkowych które pojedynczo lub jako suma wypłat dokonanych w danym dniu w placówce bankowej przekracza trzykrotność minimalnego wynagrodzenia za pracę, o którym mowa w przepisach ustawy z dnia 10 października 2002 r. o minimalnym wynagrodzeniu za pracę (Dz. U. z 2020 </w:t>
      </w:r>
      <w:r w:rsidR="009B43A0">
        <w:rPr>
          <w:rFonts w:ascii="Times New Roman" w:eastAsia="Calibri" w:hAnsi="Times New Roman" w:cs="Times New Roman"/>
          <w:sz w:val="24"/>
          <w:szCs w:val="24"/>
        </w:rPr>
        <w:t>r. poz. </w:t>
      </w:r>
      <w:r w:rsidRPr="00553C4E">
        <w:rPr>
          <w:rFonts w:ascii="Times New Roman" w:eastAsia="Calibri" w:hAnsi="Times New Roman" w:cs="Times New Roman"/>
          <w:sz w:val="24"/>
          <w:szCs w:val="24"/>
        </w:rPr>
        <w:t xml:space="preserve">2207). Dotyczy to wypłaty we wszystkich placówkach danego podmiotu. W przypadku zastrzeżenia numeru PESEL podmiot może dokonać wypłaty gotówkowej po upływie 12 godzin od momentu złożenia przez posiadacza rachunku dyspozycji wypłaty gotówkowej. Wypłata nie będzie mogła zostać dokonana przed upływem tego czasu nawet jeśli zastrzeżenie numeru PESEL zostanie cofnięte, aby uniemożliwić łatwe obejście czasowego wstrzymania wypłaty gotówkowej wyłącznie na skutek cofnięcia zastrzeżenia numeru PESEL bowiem wprowadzenie regulacji ma także na celu ograniczyć i minimalizować skutki oszustw „na wnuczka”, które wiążą się z wypłatą gotówki. W takich przypadkach dochodzi często do socjotechnicznego zmanipulowania posiadacza rachunku bankowego, który dokonuje wypłaty środków w celu przekazania ich </w:t>
      </w:r>
      <w:r w:rsidRPr="00553C4E">
        <w:rPr>
          <w:rFonts w:ascii="Times New Roman" w:eastAsia="Calibri" w:hAnsi="Times New Roman" w:cs="Times New Roman"/>
          <w:sz w:val="24"/>
          <w:szCs w:val="24"/>
        </w:rPr>
        <w:lastRenderedPageBreak/>
        <w:t>oszustowi. Wprowadzenie możliwości wypłaty gotówki z pewnym odstępem czasowym daje czas ofierze na reakcję i ogranicza działanie pochopne, pod wpływem emocji a także daje możliwość reakcji pracownikowi banku, który dostrzeże niepokojące zachowanie</w:t>
      </w:r>
      <w:r w:rsidR="009B43A0">
        <w:rPr>
          <w:rFonts w:ascii="Times New Roman" w:eastAsia="Calibri" w:hAnsi="Times New Roman" w:cs="Times New Roman"/>
          <w:sz w:val="24"/>
          <w:szCs w:val="24"/>
        </w:rPr>
        <w:t xml:space="preserve"> posiadacza rachunku bankowego.</w:t>
      </w:r>
    </w:p>
    <w:p w14:paraId="1E12FC21" w14:textId="77777777" w:rsidR="00CA19A7" w:rsidRPr="00553C4E" w:rsidRDefault="00CA19A7" w:rsidP="00553C4E">
      <w:pPr>
        <w:pStyle w:val="Akapitzlist"/>
        <w:spacing w:before="120" w:line="360" w:lineRule="auto"/>
        <w:ind w:left="-284"/>
        <w:jc w:val="both"/>
        <w:rPr>
          <w:rFonts w:ascii="Times New Roman" w:hAnsi="Times New Roman"/>
          <w:sz w:val="24"/>
          <w:szCs w:val="24"/>
        </w:rPr>
      </w:pPr>
      <w:r w:rsidRPr="00553C4E">
        <w:rPr>
          <w:rFonts w:ascii="Times New Roman" w:hAnsi="Times New Roman"/>
          <w:sz w:val="24"/>
          <w:szCs w:val="24"/>
        </w:rPr>
        <w:t>Weryfikacja zastrzeżenia numeru PESEL będzie też możliwa za pośrednictwem instytucji utworzonej na podstawie art. 105 ust. 4 ustawy z dnia 29 sierpnia 1997 r. – Prawo bankowe.</w:t>
      </w:r>
    </w:p>
    <w:p w14:paraId="595F4C83" w14:textId="77777777" w:rsidR="00CA19A7" w:rsidRPr="00553C4E" w:rsidRDefault="00CA19A7" w:rsidP="00553C4E">
      <w:pPr>
        <w:pStyle w:val="Akapitzlist"/>
        <w:spacing w:before="120" w:line="360" w:lineRule="auto"/>
        <w:ind w:left="-284"/>
        <w:jc w:val="both"/>
        <w:rPr>
          <w:rFonts w:ascii="Times New Roman" w:hAnsi="Times New Roman"/>
          <w:sz w:val="24"/>
          <w:szCs w:val="24"/>
        </w:rPr>
      </w:pPr>
      <w:r w:rsidRPr="00553C4E">
        <w:rPr>
          <w:rFonts w:ascii="Times New Roman" w:hAnsi="Times New Roman"/>
          <w:sz w:val="24"/>
          <w:szCs w:val="24"/>
        </w:rPr>
        <w:t>W przepisach uregulowano także kwestię ewentualnej niedostępności reje</w:t>
      </w:r>
      <w:r w:rsidR="009B43A0">
        <w:rPr>
          <w:rFonts w:ascii="Times New Roman" w:hAnsi="Times New Roman"/>
          <w:sz w:val="24"/>
          <w:szCs w:val="24"/>
        </w:rPr>
        <w:t xml:space="preserve">stru zastrzeżeń numerów PESEL. </w:t>
      </w:r>
      <w:r w:rsidRPr="00553C4E">
        <w:rPr>
          <w:rFonts w:ascii="Times New Roman" w:hAnsi="Times New Roman"/>
          <w:sz w:val="24"/>
          <w:szCs w:val="24"/>
        </w:rPr>
        <w:t>W przypadku niedostępności systemu teleinformatycznego, w którym prowadzony jest rejestr zastrzeżeń numerów PESEL wyróżniono niedostępności planowane, które będą z wyprzedzeniem ogłaszane w BIP ministra właściwego do spraw informatyzacji oraz niedostępności nieplanowane trwającej ponad 15 minut. W przypadku niedostępności nieplanowanych podmiot zobowiązany do weryfikacji numeru PESEL będzie mógł odmówić zawarcia umowy lub zawrzeć ją z wyłączeniem odpowiedzialności polegającej na braku możliwości domagania się zaspokojenia roszczeń z tytułu tak zawartej umowy, pod warunkiem należytej weryfikacji tożsamości osoby oraz udokumentowania tego faktu.</w:t>
      </w:r>
    </w:p>
    <w:p w14:paraId="38072537" w14:textId="77777777" w:rsidR="00CA19A7" w:rsidRPr="00553C4E" w:rsidRDefault="00CA19A7" w:rsidP="00553C4E">
      <w:pPr>
        <w:pStyle w:val="Akapitzlist"/>
        <w:numPr>
          <w:ilvl w:val="0"/>
          <w:numId w:val="34"/>
        </w:numPr>
        <w:spacing w:before="120" w:line="360" w:lineRule="auto"/>
        <w:ind w:left="-284"/>
        <w:jc w:val="both"/>
        <w:rPr>
          <w:rFonts w:ascii="Times New Roman" w:hAnsi="Times New Roman"/>
          <w:sz w:val="24"/>
          <w:szCs w:val="24"/>
        </w:rPr>
      </w:pPr>
      <w:r w:rsidRPr="00553C4E">
        <w:rPr>
          <w:rFonts w:ascii="Times New Roman" w:hAnsi="Times New Roman"/>
          <w:sz w:val="24"/>
          <w:szCs w:val="24"/>
        </w:rPr>
        <w:t>Zmiany w ustawie z dnia 16 lipca 2004 r. –  Prawo telekomuni</w:t>
      </w:r>
      <w:r w:rsidR="009B43A0">
        <w:rPr>
          <w:rFonts w:ascii="Times New Roman" w:hAnsi="Times New Roman"/>
          <w:sz w:val="24"/>
          <w:szCs w:val="24"/>
        </w:rPr>
        <w:t>kacyjne (Dz. U. z 2022 r., poz. </w:t>
      </w:r>
      <w:r w:rsidRPr="00553C4E">
        <w:rPr>
          <w:rFonts w:ascii="Times New Roman" w:hAnsi="Times New Roman"/>
          <w:sz w:val="24"/>
          <w:szCs w:val="24"/>
        </w:rPr>
        <w:t>1648 z późn. zm.)</w:t>
      </w:r>
    </w:p>
    <w:p w14:paraId="052B90D7" w14:textId="7C64AD01" w:rsidR="00CA19A7" w:rsidRPr="00553C4E" w:rsidRDefault="00CA19A7" w:rsidP="00553C4E">
      <w:pPr>
        <w:pStyle w:val="Akapitzlist"/>
        <w:spacing w:before="120" w:line="360" w:lineRule="auto"/>
        <w:ind w:left="-284"/>
        <w:jc w:val="both"/>
        <w:rPr>
          <w:rFonts w:ascii="Times New Roman" w:hAnsi="Times New Roman"/>
          <w:sz w:val="24"/>
          <w:szCs w:val="24"/>
        </w:rPr>
      </w:pPr>
      <w:r w:rsidRPr="00553C4E">
        <w:rPr>
          <w:rFonts w:ascii="Times New Roman" w:hAnsi="Times New Roman"/>
          <w:sz w:val="24"/>
          <w:szCs w:val="24"/>
        </w:rPr>
        <w:t>Projektowane przepisy nakładają na przedsiębiorcę telekomunikacyjnego obowiązek weryfikowania czy numer PESEL jest zastrzeżony, przed wydaniem duplikatu karty SIM, jeśli zawarcie umowy o świadczenie usług komunikacji elektronicznej następuje z osobą fizyczną posiadającą nadany numer PESEL. Możliwość uzyskania duplikatu karty SIM rodzi poważne konsekwencje związane z możliwością zmiany kanału autoryzacj</w:t>
      </w:r>
      <w:r w:rsidR="00F17B5B">
        <w:rPr>
          <w:rFonts w:ascii="Times New Roman" w:hAnsi="Times New Roman"/>
          <w:sz w:val="24"/>
          <w:szCs w:val="24"/>
        </w:rPr>
        <w:t>i w bankowości elektronicznej a </w:t>
      </w:r>
      <w:r w:rsidRPr="00553C4E">
        <w:rPr>
          <w:rFonts w:ascii="Times New Roman" w:hAnsi="Times New Roman"/>
          <w:sz w:val="24"/>
          <w:szCs w:val="24"/>
        </w:rPr>
        <w:t>tym samym uzyskanie przez oszusta kontroli nad aktywami zgromadzonymi w banku.</w:t>
      </w:r>
    </w:p>
    <w:p w14:paraId="7360441F" w14:textId="77777777" w:rsidR="00CA19A7" w:rsidRPr="00553C4E" w:rsidRDefault="00CA19A7" w:rsidP="00553C4E">
      <w:pPr>
        <w:spacing w:before="120" w:after="0" w:line="360" w:lineRule="auto"/>
        <w:ind w:left="-340"/>
        <w:jc w:val="both"/>
        <w:rPr>
          <w:rFonts w:ascii="Times New Roman" w:eastAsia="Calibri" w:hAnsi="Times New Roman" w:cs="Times New Roman"/>
          <w:sz w:val="24"/>
          <w:szCs w:val="24"/>
        </w:rPr>
      </w:pPr>
      <w:r w:rsidRPr="00553C4E">
        <w:rPr>
          <w:rFonts w:ascii="Times New Roman" w:eastAsia="Calibri" w:hAnsi="Times New Roman" w:cs="Times New Roman"/>
          <w:sz w:val="24"/>
          <w:szCs w:val="24"/>
        </w:rPr>
        <w:t xml:space="preserve">W projekcie przewidziano analogiczne rozwiązania jak w przypadku innych przepisów dotyczące ewentualnej niedostępności systemu teleinformatycznego, w którym prowadzony jest rejestr zastrzeżeń numerów PESEL pozostawiając dostawcy usług możliwość odmowy wydania duplikatu karty SIM (lub jej odpowiednika) albo dokonania tych czynności po uprzedniej należytej weryfikacji tożsamości osoby. Regulacje dotyczące weryfikacji dokonywanej przez wydawania karty używanej wykorzystywanej w publicznej sieci telekomunikacyjnej, w tym ruchomej publicznej sieci telekomunikacyjnej dotyczą w szczególności wydawanych kart SIM zawierających numer IMSI i numer SSN. Jednocześnie należy wskazać, że jest to najpopularniejszy standard identyfikacji użytkownika w momencie projektowania regulacji, jednakże rozwój sektora komunikacji elektronicznej może przewidywać nowy standard </w:t>
      </w:r>
      <w:r w:rsidRPr="00553C4E">
        <w:rPr>
          <w:rFonts w:ascii="Times New Roman" w:eastAsia="Calibri" w:hAnsi="Times New Roman" w:cs="Times New Roman"/>
          <w:sz w:val="24"/>
          <w:szCs w:val="24"/>
        </w:rPr>
        <w:lastRenderedPageBreak/>
        <w:t>identyfikacji użytkownika sieci, dlatego też nie wskazywano w ustawie na jeden konkretny standard.</w:t>
      </w:r>
    </w:p>
    <w:p w14:paraId="4F22460F" w14:textId="77777777" w:rsidR="00CA19A7" w:rsidRPr="00553C4E" w:rsidRDefault="00CA19A7" w:rsidP="00553C4E">
      <w:pPr>
        <w:spacing w:before="120" w:after="0" w:line="360" w:lineRule="auto"/>
        <w:ind w:left="-340"/>
        <w:jc w:val="both"/>
        <w:rPr>
          <w:rFonts w:ascii="Times New Roman" w:eastAsia="Calibri" w:hAnsi="Times New Roman" w:cs="Times New Roman"/>
          <w:sz w:val="24"/>
          <w:szCs w:val="24"/>
        </w:rPr>
      </w:pPr>
      <w:r w:rsidRPr="00553C4E">
        <w:rPr>
          <w:rFonts w:ascii="Times New Roman" w:eastAsia="Calibri" w:hAnsi="Times New Roman" w:cs="Times New Roman"/>
          <w:sz w:val="24"/>
          <w:szCs w:val="24"/>
        </w:rPr>
        <w:t xml:space="preserve">Regulacje dotyczące karty SIM odniesiono także do urządzeń sieciowych zapewniających identyfikację abonenta oraz ich cyfrowych odwzrowań (nie fizycznych). Z uwagi na zjawisko </w:t>
      </w:r>
      <w:r w:rsidRPr="00553C4E">
        <w:rPr>
          <w:rStyle w:val="Kkursywa"/>
          <w:rFonts w:ascii="Times New Roman" w:hAnsi="Times New Roman" w:cs="Times New Roman"/>
          <w:sz w:val="24"/>
          <w:szCs w:val="24"/>
        </w:rPr>
        <w:t>SIM swappingu</w:t>
      </w:r>
      <w:r w:rsidRPr="00553C4E">
        <w:rPr>
          <w:rFonts w:ascii="Times New Roman" w:eastAsia="Calibri" w:hAnsi="Times New Roman" w:cs="Times New Roman"/>
          <w:sz w:val="24"/>
          <w:szCs w:val="24"/>
        </w:rPr>
        <w:t>, który rodzi negatywne konsekwencje także w obszarze działalności zawodowej osób fizycznych podmiotowo regulacją objęci zostali wszyscy abonenci, nie tylko abonenci będący osobami fizycznymi.</w:t>
      </w:r>
    </w:p>
    <w:p w14:paraId="70E67D65" w14:textId="77777777" w:rsidR="00CA19A7" w:rsidRPr="00553C4E" w:rsidRDefault="00CA19A7" w:rsidP="00553C4E">
      <w:pPr>
        <w:spacing w:before="120" w:after="0" w:line="360" w:lineRule="auto"/>
        <w:ind w:left="-340"/>
        <w:jc w:val="both"/>
        <w:rPr>
          <w:rFonts w:ascii="Times New Roman" w:eastAsia="Calibri" w:hAnsi="Times New Roman" w:cs="Times New Roman"/>
          <w:sz w:val="24"/>
          <w:szCs w:val="24"/>
        </w:rPr>
      </w:pPr>
      <w:r w:rsidRPr="00553C4E">
        <w:rPr>
          <w:rFonts w:ascii="Times New Roman" w:eastAsia="Calibri" w:hAnsi="Times New Roman" w:cs="Times New Roman"/>
          <w:sz w:val="24"/>
          <w:szCs w:val="24"/>
        </w:rPr>
        <w:t>Konieczność zapewnienia weryfikacji dokonanej przed wydaniem kopii albo wtórnika karty albo urządzenia sieciowego wynika z faktu zapewnienia regulacji możliwe najlepiej neutralnej technologicznie. Obecnie wykorzystywane w ruchomej publicznej sieci telekomunikacyjnej są co urządzenia, które potrafią się zidentyfikować z wykorzystaniem numeru IMSI. Obecne wykorzystanie numeru IMSI wynika co do zasady z rekomendacji ITU-T E.212 (09/2016) oraz specyfikacji 3GPP 23.002 (v. 17.0.0 z 30.03.2021). Z rekomendacji ITU wynika, że urządzenie końcowe może posiadać wbudowaną kartę (SIM) a co za tym idzie może się identyfikować samodzielnie z wykorzystaniem przypisanego numeru IMSI i powiązanego tylko z tym urządzeniem. Obecnie, co do zasady, nie jest to powszechnie stosowane rozwiązanie, jednakże projektując normy prawne należy zadbać, aby były one możliwe do realizacji również w sytuacji zmieniającego się otoczenia technologicznego.</w:t>
      </w:r>
    </w:p>
    <w:p w14:paraId="556584A0" w14:textId="119D0CDB" w:rsidR="00CA19A7" w:rsidRPr="00553C4E" w:rsidRDefault="00CA19A7" w:rsidP="00553C4E">
      <w:pPr>
        <w:spacing w:before="120" w:after="0" w:line="360" w:lineRule="auto"/>
        <w:ind w:left="-340"/>
        <w:jc w:val="both"/>
        <w:rPr>
          <w:rFonts w:ascii="Times New Roman" w:eastAsia="Calibri" w:hAnsi="Times New Roman" w:cs="Times New Roman"/>
          <w:sz w:val="24"/>
          <w:szCs w:val="24"/>
        </w:rPr>
      </w:pPr>
      <w:r w:rsidRPr="00553C4E">
        <w:rPr>
          <w:rFonts w:ascii="Times New Roman" w:eastAsia="Calibri" w:hAnsi="Times New Roman" w:cs="Times New Roman"/>
          <w:sz w:val="24"/>
          <w:szCs w:val="24"/>
        </w:rPr>
        <w:t>Analogicznie jak w przypadku kart lub urządzeń identyfikujących się w sieci ruchomej, należy zadbać o ochronę abonenta w sieci stacjonarnej. W takim przypadku, przed wydaniem kopii albo wtórnika urządzenia umożliwiającego samodzielną identyfikację w sieci stacjonarnej, tj. takiego który został oznaczony po stronie dostawcy usług telekomunik</w:t>
      </w:r>
      <w:r w:rsidR="00F17B5B">
        <w:rPr>
          <w:rFonts w:ascii="Times New Roman" w:eastAsia="Calibri" w:hAnsi="Times New Roman" w:cs="Times New Roman"/>
          <w:sz w:val="24"/>
          <w:szCs w:val="24"/>
        </w:rPr>
        <w:t>acyjnych w tablicy abonentów. W </w:t>
      </w:r>
      <w:r w:rsidRPr="00553C4E">
        <w:rPr>
          <w:rFonts w:ascii="Times New Roman" w:eastAsia="Calibri" w:hAnsi="Times New Roman" w:cs="Times New Roman"/>
          <w:sz w:val="24"/>
          <w:szCs w:val="24"/>
        </w:rPr>
        <w:t>przypadku wydawania kopii albo wtórnika urządzenia, które nie może samodzielnie identyfikować się w publicznej sieci telekomunikacyjnej (np. router bez przypisanego numeru IMSI z miejscem na kartę SIM) nie zachodzi konieczność weryfikacji opisanej w ustawie. Jednakże w przypadku wydawania kopii albo wtórnika urządzenia, które w momencie wydania może samodzielnie zostać zidentyfikowane w sieci telekomunikacyjne</w:t>
      </w:r>
      <w:r w:rsidR="00F17B5B">
        <w:rPr>
          <w:rFonts w:ascii="Times New Roman" w:eastAsia="Calibri" w:hAnsi="Times New Roman" w:cs="Times New Roman"/>
          <w:sz w:val="24"/>
          <w:szCs w:val="24"/>
        </w:rPr>
        <w:t>j (ruchomej lub stacjonarnej) i </w:t>
      </w:r>
      <w:r w:rsidRPr="00553C4E">
        <w:rPr>
          <w:rFonts w:ascii="Times New Roman" w:eastAsia="Calibri" w:hAnsi="Times New Roman" w:cs="Times New Roman"/>
          <w:sz w:val="24"/>
          <w:szCs w:val="24"/>
        </w:rPr>
        <w:t>które w momencie wydawania zostało ustalone jako możliwe do zidentyfikowania przez dostawcę usług telekomunikacyjnych jako urządzenie powiązane z konkretnym abon</w:t>
      </w:r>
      <w:r w:rsidR="009B43A0">
        <w:rPr>
          <w:rFonts w:ascii="Times New Roman" w:eastAsia="Calibri" w:hAnsi="Times New Roman" w:cs="Times New Roman"/>
          <w:sz w:val="24"/>
          <w:szCs w:val="24"/>
        </w:rPr>
        <w:t>entem, taki obowiązek zachodzi.</w:t>
      </w:r>
    </w:p>
    <w:p w14:paraId="329DCE8F" w14:textId="77777777" w:rsidR="00CA19A7" w:rsidRPr="00553C4E" w:rsidRDefault="00CA19A7" w:rsidP="00553C4E">
      <w:pPr>
        <w:pStyle w:val="Akapitzlist"/>
        <w:numPr>
          <w:ilvl w:val="0"/>
          <w:numId w:val="34"/>
        </w:numPr>
        <w:spacing w:before="120" w:line="360" w:lineRule="auto"/>
        <w:ind w:left="-284"/>
        <w:jc w:val="both"/>
        <w:rPr>
          <w:rFonts w:ascii="Times New Roman" w:hAnsi="Times New Roman"/>
          <w:sz w:val="24"/>
          <w:szCs w:val="24"/>
        </w:rPr>
      </w:pPr>
      <w:r w:rsidRPr="00553C4E">
        <w:rPr>
          <w:rFonts w:ascii="Times New Roman" w:hAnsi="Times New Roman"/>
          <w:sz w:val="24"/>
          <w:szCs w:val="24"/>
        </w:rPr>
        <w:t>Zmiany w ustawie z dnia 5 listopada 2009 r. o spółdzielczych kasach oszczędnościowo-kredytowych (Dz. U. z 2022 r. poz. 924, 1358, 1488, 1933,</w:t>
      </w:r>
      <w:r w:rsidR="009B43A0">
        <w:rPr>
          <w:rFonts w:ascii="Times New Roman" w:hAnsi="Times New Roman"/>
          <w:sz w:val="24"/>
          <w:szCs w:val="24"/>
        </w:rPr>
        <w:t xml:space="preserve"> 2339, 2640 oraz z 2023 r. poz. </w:t>
      </w:r>
      <w:r w:rsidRPr="00553C4E">
        <w:rPr>
          <w:rFonts w:ascii="Times New Roman" w:hAnsi="Times New Roman"/>
          <w:sz w:val="24"/>
          <w:szCs w:val="24"/>
        </w:rPr>
        <w:t>180)</w:t>
      </w:r>
    </w:p>
    <w:p w14:paraId="6B0A1505" w14:textId="212F25E4" w:rsidR="00CA19A7" w:rsidRPr="009B43A0" w:rsidRDefault="00CA19A7" w:rsidP="009B43A0">
      <w:pPr>
        <w:pStyle w:val="Akapitzlist"/>
        <w:spacing w:before="120" w:line="360" w:lineRule="auto"/>
        <w:ind w:left="-284"/>
        <w:jc w:val="both"/>
        <w:rPr>
          <w:rFonts w:ascii="Times New Roman" w:hAnsi="Times New Roman"/>
          <w:sz w:val="24"/>
          <w:szCs w:val="24"/>
        </w:rPr>
      </w:pPr>
      <w:r w:rsidRPr="00553C4E">
        <w:rPr>
          <w:rFonts w:ascii="Times New Roman" w:hAnsi="Times New Roman"/>
          <w:sz w:val="24"/>
          <w:szCs w:val="24"/>
        </w:rPr>
        <w:lastRenderedPageBreak/>
        <w:t>Projektowane przepisy poprzez odwołanie do odpowiednich regulacji Prawa bankowego mają na celu objęcie spółdzielczych kas oszczędnościowo-kredytowych obowiązkiem weryfikacji zastrzeżenia numerów PESEL przy realizacji tych czynności, które tego wymagają, w tym wypłat gotówkowych. Ograniczeniem nie będą objęte wypłaty w c</w:t>
      </w:r>
      <w:r w:rsidR="00F17B5B">
        <w:rPr>
          <w:rFonts w:ascii="Times New Roman" w:hAnsi="Times New Roman"/>
          <w:sz w:val="24"/>
          <w:szCs w:val="24"/>
        </w:rPr>
        <w:t>elach szczególnych, określone w </w:t>
      </w:r>
      <w:r w:rsidRPr="00553C4E">
        <w:rPr>
          <w:rFonts w:ascii="Times New Roman" w:hAnsi="Times New Roman"/>
          <w:sz w:val="24"/>
          <w:szCs w:val="24"/>
        </w:rPr>
        <w:t>ustawie o spółdzielczych kasach oszczędnościowo-kredytowych. Cel wprowadzenia regulacji dotyczącej wypłat gotówkowych jest tożsamy z celem dla którego analogiczna regulacja wprowadzona została do ustawy z dnia 29 si</w:t>
      </w:r>
      <w:r w:rsidR="009B43A0">
        <w:rPr>
          <w:rFonts w:ascii="Times New Roman" w:hAnsi="Times New Roman"/>
          <w:sz w:val="24"/>
          <w:szCs w:val="24"/>
        </w:rPr>
        <w:t xml:space="preserve">erpnia 1997 r. – </w:t>
      </w:r>
      <w:r w:rsidR="009B43A0" w:rsidRPr="009B43A0">
        <w:rPr>
          <w:rFonts w:ascii="Times New Roman" w:hAnsi="Times New Roman"/>
          <w:sz w:val="24"/>
          <w:szCs w:val="24"/>
        </w:rPr>
        <w:t>Prawo bankowe.</w:t>
      </w:r>
    </w:p>
    <w:p w14:paraId="7CD54F2F" w14:textId="77777777" w:rsidR="00CA19A7" w:rsidRPr="00553C4E" w:rsidRDefault="00CA19A7" w:rsidP="00553C4E">
      <w:pPr>
        <w:numPr>
          <w:ilvl w:val="0"/>
          <w:numId w:val="34"/>
        </w:numPr>
        <w:spacing w:before="120" w:after="0" w:line="360" w:lineRule="auto"/>
        <w:ind w:left="-284"/>
        <w:jc w:val="both"/>
        <w:rPr>
          <w:rFonts w:ascii="Times New Roman" w:eastAsia="Calibri" w:hAnsi="Times New Roman" w:cs="Times New Roman"/>
          <w:sz w:val="24"/>
          <w:szCs w:val="24"/>
        </w:rPr>
      </w:pPr>
      <w:r w:rsidRPr="00553C4E">
        <w:rPr>
          <w:rFonts w:ascii="Times New Roman" w:eastAsia="Calibri" w:hAnsi="Times New Roman" w:cs="Times New Roman"/>
          <w:sz w:val="24"/>
          <w:szCs w:val="24"/>
        </w:rPr>
        <w:t>Zmiany w ustawie z dnia 9 kwietnia 2010 r. o udostępnianiu informacji gospodarczych i wymianie danych gospodarczych (Dz. U. z 2023 r. poz. 528)</w:t>
      </w:r>
    </w:p>
    <w:p w14:paraId="1E4BAD58" w14:textId="6D5F07BA" w:rsidR="00CA19A7" w:rsidRPr="00553C4E" w:rsidRDefault="00CA19A7" w:rsidP="00553C4E">
      <w:pPr>
        <w:spacing w:before="120" w:after="0" w:line="360" w:lineRule="auto"/>
        <w:ind w:left="-284"/>
        <w:jc w:val="both"/>
        <w:rPr>
          <w:rFonts w:ascii="Times New Roman" w:eastAsia="Calibri" w:hAnsi="Times New Roman" w:cs="Times New Roman"/>
          <w:sz w:val="24"/>
          <w:szCs w:val="24"/>
        </w:rPr>
      </w:pPr>
      <w:r w:rsidRPr="00553C4E">
        <w:rPr>
          <w:rFonts w:ascii="Times New Roman" w:eastAsia="Calibri" w:hAnsi="Times New Roman" w:cs="Times New Roman"/>
          <w:sz w:val="24"/>
          <w:szCs w:val="24"/>
        </w:rPr>
        <w:t>Planowana regulacja uprawnia biura informacji gospodarczej do prz</w:t>
      </w:r>
      <w:r w:rsidR="009B43A0">
        <w:rPr>
          <w:rFonts w:ascii="Times New Roman" w:eastAsia="Calibri" w:hAnsi="Times New Roman" w:cs="Times New Roman"/>
          <w:sz w:val="24"/>
          <w:szCs w:val="24"/>
        </w:rPr>
        <w:t xml:space="preserve">etwarzania danych </w:t>
      </w:r>
      <w:r w:rsidR="00F17B5B">
        <w:rPr>
          <w:rFonts w:ascii="Times New Roman" w:eastAsia="Calibri" w:hAnsi="Times New Roman" w:cs="Times New Roman"/>
          <w:sz w:val="24"/>
          <w:szCs w:val="24"/>
        </w:rPr>
        <w:t>o </w:t>
      </w:r>
      <w:r w:rsidRPr="00553C4E">
        <w:rPr>
          <w:rFonts w:ascii="Times New Roman" w:eastAsia="Calibri" w:hAnsi="Times New Roman" w:cs="Times New Roman"/>
          <w:sz w:val="24"/>
          <w:szCs w:val="24"/>
        </w:rPr>
        <w:t>zastrzeżeniu numeru PESEL konsumenta. Ponadto przyznaje biurom możliwość pozyskiwania danych z rejestru zastrzeżeń numerów PESEL po spełnieniu w</w:t>
      </w:r>
      <w:r w:rsidR="00F17B5B">
        <w:rPr>
          <w:rFonts w:ascii="Times New Roman" w:eastAsia="Calibri" w:hAnsi="Times New Roman" w:cs="Times New Roman"/>
          <w:sz w:val="24"/>
          <w:szCs w:val="24"/>
        </w:rPr>
        <w:t>arunków określonych w ustawie z </w:t>
      </w:r>
      <w:r w:rsidRPr="00553C4E">
        <w:rPr>
          <w:rFonts w:ascii="Times New Roman" w:eastAsia="Calibri" w:hAnsi="Times New Roman" w:cs="Times New Roman"/>
          <w:sz w:val="24"/>
          <w:szCs w:val="24"/>
        </w:rPr>
        <w:t>dnia 24 września 2010 r. o ewidencji ludności.</w:t>
      </w:r>
    </w:p>
    <w:p w14:paraId="5845D8C4" w14:textId="77777777" w:rsidR="00CA19A7" w:rsidRPr="00553C4E" w:rsidRDefault="00CA19A7" w:rsidP="00553C4E">
      <w:pPr>
        <w:numPr>
          <w:ilvl w:val="0"/>
          <w:numId w:val="34"/>
        </w:numPr>
        <w:spacing w:before="120" w:after="0" w:line="360" w:lineRule="auto"/>
        <w:ind w:left="-284"/>
        <w:jc w:val="both"/>
        <w:rPr>
          <w:rFonts w:ascii="Times New Roman" w:eastAsia="Calibri" w:hAnsi="Times New Roman" w:cs="Times New Roman"/>
          <w:sz w:val="24"/>
          <w:szCs w:val="24"/>
        </w:rPr>
      </w:pPr>
      <w:r w:rsidRPr="00553C4E">
        <w:rPr>
          <w:rFonts w:ascii="Times New Roman" w:eastAsia="Calibri" w:hAnsi="Times New Roman" w:cs="Times New Roman"/>
          <w:sz w:val="24"/>
          <w:szCs w:val="24"/>
        </w:rPr>
        <w:t xml:space="preserve">Zmiany w ustawie z dnia 24 września 2010 r. o ewidencji </w:t>
      </w:r>
      <w:r w:rsidR="009B43A0">
        <w:rPr>
          <w:rFonts w:ascii="Times New Roman" w:eastAsia="Calibri" w:hAnsi="Times New Roman" w:cs="Times New Roman"/>
          <w:sz w:val="24"/>
          <w:szCs w:val="24"/>
        </w:rPr>
        <w:t>ludności (Dz. U. z 2022 r. poz. </w:t>
      </w:r>
      <w:r w:rsidRPr="00553C4E">
        <w:rPr>
          <w:rFonts w:ascii="Times New Roman" w:eastAsia="Calibri" w:hAnsi="Times New Roman" w:cs="Times New Roman"/>
          <w:sz w:val="24"/>
          <w:szCs w:val="24"/>
        </w:rPr>
        <w:t xml:space="preserve">1191 </w:t>
      </w:r>
      <w:r w:rsidRPr="00553C4E">
        <w:rPr>
          <w:rFonts w:ascii="Times New Roman" w:hAnsi="Times New Roman" w:cs="Times New Roman"/>
          <w:sz w:val="24"/>
          <w:szCs w:val="24"/>
        </w:rPr>
        <w:t>oraz z 2023 r. poz. 497 i …</w:t>
      </w:r>
      <w:r w:rsidRPr="00553C4E">
        <w:rPr>
          <w:rFonts w:ascii="Times New Roman" w:eastAsia="Calibri" w:hAnsi="Times New Roman" w:cs="Times New Roman"/>
          <w:sz w:val="24"/>
          <w:szCs w:val="24"/>
        </w:rPr>
        <w:t>)</w:t>
      </w:r>
    </w:p>
    <w:p w14:paraId="0A99C234" w14:textId="25675BF6" w:rsidR="00CA19A7" w:rsidRPr="00553C4E" w:rsidRDefault="00CA19A7" w:rsidP="00553C4E">
      <w:pPr>
        <w:pStyle w:val="ZPKTzmpktartykuempunktem"/>
        <w:spacing w:before="120"/>
        <w:ind w:left="-284" w:firstLine="0"/>
        <w:rPr>
          <w:rFonts w:ascii="Times New Roman" w:eastAsia="Calibri" w:hAnsi="Times New Roman" w:cs="Times New Roman"/>
          <w:szCs w:val="24"/>
        </w:rPr>
      </w:pPr>
      <w:r w:rsidRPr="00553C4E">
        <w:rPr>
          <w:rFonts w:ascii="Times New Roman" w:eastAsia="Calibri" w:hAnsi="Times New Roman" w:cs="Times New Roman"/>
          <w:szCs w:val="24"/>
        </w:rPr>
        <w:t>Proponuje się dodanie rozdziału 3a „Rejestr zastrzeżeń numerów PESEL, zasady i tryb udostępniania danych z rejestru zastrzeżeń numerów PESEL or</w:t>
      </w:r>
      <w:r w:rsidR="00F17B5B">
        <w:rPr>
          <w:rFonts w:ascii="Times New Roman" w:eastAsia="Calibri" w:hAnsi="Times New Roman" w:cs="Times New Roman"/>
          <w:szCs w:val="24"/>
        </w:rPr>
        <w:t>az zasady i tryb zastrzegania i </w:t>
      </w:r>
      <w:r w:rsidRPr="00553C4E">
        <w:rPr>
          <w:rFonts w:ascii="Times New Roman" w:eastAsia="Calibri" w:hAnsi="Times New Roman" w:cs="Times New Roman"/>
          <w:szCs w:val="24"/>
        </w:rPr>
        <w:t>cofania zastrzeżenia numeru PESEL Projektowany art. 23a ustawy reguluje utworzenie rejestru zastrzeżeń numerów PESEL, w którym będą gromadzone dane o numerze PESEL osoby, informacji o zastrzeżeniu i cofnięciu zastrzeżenia numeru PESEL</w:t>
      </w:r>
      <w:r w:rsidR="00F17B5B">
        <w:rPr>
          <w:rFonts w:ascii="Times New Roman" w:eastAsia="Calibri" w:hAnsi="Times New Roman" w:cs="Times New Roman"/>
          <w:szCs w:val="24"/>
        </w:rPr>
        <w:t xml:space="preserve"> dacie dokonania zastrzeżenia i </w:t>
      </w:r>
      <w:r w:rsidRPr="00553C4E">
        <w:rPr>
          <w:rFonts w:ascii="Times New Roman" w:eastAsia="Calibri" w:hAnsi="Times New Roman" w:cs="Times New Roman"/>
          <w:szCs w:val="24"/>
        </w:rPr>
        <w:t>cofnięcia zastrzeżenia (art. 23c). Utrzymanie i rozwój rejestru zastrzeżeń numerów PESEL należeć będzie do zadań ministra właściwego do spraw informatyzacji, który będzie jednocześnie administratorem gromadzonych w tej ewidencji danych. W tym w szczególności minister:</w:t>
      </w:r>
    </w:p>
    <w:p w14:paraId="47BC070D" w14:textId="560776D3" w:rsidR="00CA19A7" w:rsidRPr="00553C4E" w:rsidRDefault="00F17B5B" w:rsidP="00F17B5B">
      <w:pPr>
        <w:pStyle w:val="ZPKTzmpktartykuempunktem"/>
        <w:spacing w:before="120"/>
        <w:ind w:left="284" w:hanging="568"/>
        <w:rPr>
          <w:rFonts w:ascii="Times New Roman" w:hAnsi="Times New Roman" w:cs="Times New Roman"/>
          <w:szCs w:val="24"/>
        </w:rPr>
      </w:pPr>
      <w:r>
        <w:rPr>
          <w:rFonts w:ascii="Times New Roman" w:eastAsia="Calibri" w:hAnsi="Times New Roman" w:cs="Times New Roman"/>
          <w:szCs w:val="24"/>
        </w:rPr>
        <w:t>1)</w:t>
      </w:r>
      <w:r>
        <w:rPr>
          <w:rFonts w:ascii="Times New Roman" w:eastAsia="Calibri" w:hAnsi="Times New Roman" w:cs="Times New Roman"/>
          <w:szCs w:val="24"/>
        </w:rPr>
        <w:tab/>
      </w:r>
      <w:r w:rsidR="00CA19A7" w:rsidRPr="00553C4E">
        <w:rPr>
          <w:rFonts w:ascii="Times New Roman" w:hAnsi="Times New Roman" w:cs="Times New Roman"/>
          <w:szCs w:val="24"/>
        </w:rPr>
        <w:t>zapewnia ochronę przed nieuprawnionym dostępem do rejestru zastrzeżeń numerów PESEL;</w:t>
      </w:r>
    </w:p>
    <w:p w14:paraId="1367667A" w14:textId="77777777" w:rsidR="00CA19A7" w:rsidRPr="00553C4E" w:rsidRDefault="00CA19A7" w:rsidP="00F17B5B">
      <w:pPr>
        <w:pStyle w:val="ZPKTzmpktartykuempunktem"/>
        <w:spacing w:before="120"/>
        <w:ind w:left="284" w:hanging="568"/>
        <w:rPr>
          <w:rFonts w:ascii="Times New Roman" w:hAnsi="Times New Roman" w:cs="Times New Roman"/>
          <w:szCs w:val="24"/>
        </w:rPr>
      </w:pPr>
      <w:r w:rsidRPr="00553C4E">
        <w:rPr>
          <w:rFonts w:ascii="Times New Roman" w:hAnsi="Times New Roman" w:cs="Times New Roman"/>
          <w:szCs w:val="24"/>
        </w:rPr>
        <w:t>2)</w:t>
      </w:r>
      <w:r w:rsidRPr="00553C4E">
        <w:rPr>
          <w:rFonts w:ascii="Times New Roman" w:hAnsi="Times New Roman" w:cs="Times New Roman"/>
          <w:szCs w:val="24"/>
        </w:rPr>
        <w:tab/>
        <w:t>zapewnia integralność danych w rejestrze zastrzeżeń numerów PESEL;</w:t>
      </w:r>
    </w:p>
    <w:p w14:paraId="00D30741" w14:textId="77777777" w:rsidR="00CA19A7" w:rsidRPr="00553C4E" w:rsidRDefault="00CA19A7" w:rsidP="00F17B5B">
      <w:pPr>
        <w:pStyle w:val="ZPKTzmpktartykuempunktem"/>
        <w:spacing w:before="120"/>
        <w:ind w:left="284" w:hanging="568"/>
        <w:rPr>
          <w:rFonts w:ascii="Times New Roman" w:hAnsi="Times New Roman" w:cs="Times New Roman"/>
          <w:szCs w:val="24"/>
        </w:rPr>
      </w:pPr>
      <w:r w:rsidRPr="00553C4E">
        <w:rPr>
          <w:rFonts w:ascii="Times New Roman" w:hAnsi="Times New Roman" w:cs="Times New Roman"/>
          <w:szCs w:val="24"/>
        </w:rPr>
        <w:t>3)</w:t>
      </w:r>
      <w:r w:rsidRPr="00553C4E">
        <w:rPr>
          <w:rFonts w:ascii="Times New Roman" w:hAnsi="Times New Roman" w:cs="Times New Roman"/>
          <w:szCs w:val="24"/>
        </w:rPr>
        <w:tab/>
        <w:t>zapewnia dostępność systemu teleinformatycznego, w którym rejestr zastrzeżeń numerów PESEL jest prowadzony, dla podmiotów przetwarzających dane w tym rejestrze;</w:t>
      </w:r>
    </w:p>
    <w:p w14:paraId="3AC9ED2E" w14:textId="77777777" w:rsidR="00CA19A7" w:rsidRPr="00553C4E" w:rsidRDefault="00CA19A7" w:rsidP="00F17B5B">
      <w:pPr>
        <w:pStyle w:val="ZPKTzmpktartykuempunktem"/>
        <w:spacing w:before="120"/>
        <w:ind w:left="284" w:hanging="568"/>
        <w:rPr>
          <w:rFonts w:ascii="Times New Roman" w:hAnsi="Times New Roman" w:cs="Times New Roman"/>
          <w:szCs w:val="24"/>
        </w:rPr>
      </w:pPr>
      <w:r w:rsidRPr="00553C4E">
        <w:rPr>
          <w:rFonts w:ascii="Times New Roman" w:hAnsi="Times New Roman" w:cs="Times New Roman"/>
          <w:szCs w:val="24"/>
        </w:rPr>
        <w:t>4)</w:t>
      </w:r>
      <w:r w:rsidRPr="00553C4E">
        <w:rPr>
          <w:rFonts w:ascii="Times New Roman" w:hAnsi="Times New Roman" w:cs="Times New Roman"/>
          <w:szCs w:val="24"/>
        </w:rPr>
        <w:tab/>
        <w:t>przeciwdziała uszkodzeniom systemu teleinformatycznego, w którym rejestr zastrzeżeń numerów PESEL jest prowadzony;</w:t>
      </w:r>
    </w:p>
    <w:p w14:paraId="6F9CC9C3" w14:textId="77777777" w:rsidR="00CA19A7" w:rsidRPr="00553C4E" w:rsidRDefault="00CA19A7" w:rsidP="00F17B5B">
      <w:pPr>
        <w:pStyle w:val="ZPKTzmpktartykuempunktem"/>
        <w:spacing w:before="120"/>
        <w:ind w:left="284" w:hanging="568"/>
        <w:rPr>
          <w:rFonts w:ascii="Times New Roman" w:hAnsi="Times New Roman" w:cs="Times New Roman"/>
          <w:szCs w:val="24"/>
        </w:rPr>
      </w:pPr>
      <w:r w:rsidRPr="00553C4E">
        <w:rPr>
          <w:rFonts w:ascii="Times New Roman" w:hAnsi="Times New Roman" w:cs="Times New Roman"/>
          <w:szCs w:val="24"/>
        </w:rPr>
        <w:t>5)</w:t>
      </w:r>
      <w:r w:rsidRPr="00553C4E">
        <w:rPr>
          <w:rFonts w:ascii="Times New Roman" w:hAnsi="Times New Roman" w:cs="Times New Roman"/>
          <w:szCs w:val="24"/>
        </w:rPr>
        <w:tab/>
        <w:t>określa zasady bezpieczeństwa przetwarzanych danych osobowych;</w:t>
      </w:r>
    </w:p>
    <w:p w14:paraId="6CF53127" w14:textId="77777777" w:rsidR="00CA19A7" w:rsidRPr="00553C4E" w:rsidRDefault="00CA19A7" w:rsidP="00F17B5B">
      <w:pPr>
        <w:pStyle w:val="ZPKTzmpktartykuempunktem"/>
        <w:spacing w:before="120"/>
        <w:ind w:left="284" w:hanging="568"/>
        <w:rPr>
          <w:rFonts w:ascii="Times New Roman" w:hAnsi="Times New Roman" w:cs="Times New Roman"/>
          <w:szCs w:val="24"/>
        </w:rPr>
      </w:pPr>
      <w:r w:rsidRPr="00553C4E">
        <w:rPr>
          <w:rFonts w:ascii="Times New Roman" w:hAnsi="Times New Roman" w:cs="Times New Roman"/>
          <w:szCs w:val="24"/>
        </w:rPr>
        <w:lastRenderedPageBreak/>
        <w:t>6)</w:t>
      </w:r>
      <w:r w:rsidRPr="00553C4E">
        <w:rPr>
          <w:rFonts w:ascii="Times New Roman" w:hAnsi="Times New Roman" w:cs="Times New Roman"/>
          <w:szCs w:val="24"/>
        </w:rPr>
        <w:tab/>
        <w:t>zapewnia rozliczalność działań dokonywanych na danych rejestru zastrzeżeń numerów PESEL;</w:t>
      </w:r>
    </w:p>
    <w:p w14:paraId="156B93FD" w14:textId="77777777" w:rsidR="00CA19A7" w:rsidRPr="00553C4E" w:rsidRDefault="00CA19A7" w:rsidP="00F17B5B">
      <w:pPr>
        <w:pStyle w:val="ZPKTzmpktartykuempunktem"/>
        <w:spacing w:before="120"/>
        <w:ind w:left="284" w:hanging="568"/>
        <w:rPr>
          <w:rFonts w:ascii="Times New Roman" w:hAnsi="Times New Roman" w:cs="Times New Roman"/>
          <w:szCs w:val="24"/>
        </w:rPr>
      </w:pPr>
      <w:r w:rsidRPr="00553C4E">
        <w:rPr>
          <w:rFonts w:ascii="Times New Roman" w:hAnsi="Times New Roman" w:cs="Times New Roman"/>
          <w:szCs w:val="24"/>
        </w:rPr>
        <w:t>7)</w:t>
      </w:r>
      <w:r w:rsidRPr="00553C4E">
        <w:rPr>
          <w:rFonts w:ascii="Times New Roman" w:hAnsi="Times New Roman" w:cs="Times New Roman"/>
          <w:szCs w:val="24"/>
        </w:rPr>
        <w:tab/>
        <w:t>zapewnia poprawność danych przetwarzanych w rejestrze zastrzeżeń numerów PESEL.</w:t>
      </w:r>
    </w:p>
    <w:p w14:paraId="5B191D43" w14:textId="77777777" w:rsidR="00CA19A7" w:rsidRPr="00553C4E" w:rsidRDefault="00CA19A7" w:rsidP="00553C4E">
      <w:pPr>
        <w:spacing w:before="120" w:after="0" w:line="360" w:lineRule="auto"/>
        <w:ind w:left="-284"/>
        <w:jc w:val="both"/>
        <w:rPr>
          <w:rFonts w:ascii="Times New Roman" w:eastAsia="Calibri" w:hAnsi="Times New Roman" w:cs="Times New Roman"/>
          <w:sz w:val="24"/>
          <w:szCs w:val="24"/>
        </w:rPr>
      </w:pPr>
      <w:r w:rsidRPr="00553C4E">
        <w:rPr>
          <w:rFonts w:ascii="Times New Roman" w:eastAsia="Calibri" w:hAnsi="Times New Roman" w:cs="Times New Roman"/>
          <w:sz w:val="24"/>
          <w:szCs w:val="24"/>
        </w:rPr>
        <w:t>W celu realizacji powyżej wskazanych obowiązków, w szczególności tych związanych z zapewnieniem odpowiedniego poziomu bezpieczeństwa opracowana zostanie dedykowana rejestrowi zastrzeżeń polityka bezpieczeństwa opisująca stosowane zasady bezpieczeństwa.</w:t>
      </w:r>
    </w:p>
    <w:p w14:paraId="6D8470B3" w14:textId="6A6F9A89" w:rsidR="00CA19A7" w:rsidRPr="00553C4E" w:rsidRDefault="00CA19A7" w:rsidP="00553C4E">
      <w:pPr>
        <w:spacing w:before="120" w:after="0" w:line="360" w:lineRule="auto"/>
        <w:ind w:left="-284"/>
        <w:jc w:val="both"/>
        <w:rPr>
          <w:rFonts w:ascii="Times New Roman" w:eastAsia="Calibri" w:hAnsi="Times New Roman" w:cs="Times New Roman"/>
          <w:sz w:val="24"/>
          <w:szCs w:val="24"/>
        </w:rPr>
      </w:pPr>
      <w:r w:rsidRPr="00553C4E">
        <w:rPr>
          <w:rFonts w:ascii="Times New Roman" w:eastAsia="Calibri" w:hAnsi="Times New Roman" w:cs="Times New Roman"/>
          <w:sz w:val="24"/>
          <w:szCs w:val="24"/>
        </w:rPr>
        <w:t>Zastrzeżenia swojego numeru PESEL będą mogły dokonać wyłącznie osoby posiadające pełną zdolność do czynności prawnych. Uprawnienie takie będzie przysługiwało zarówno obywatelom polskim, jak i cudzoziemcom jeśli mają nadany numer PESEL. Projektowane rozwiązanie zapewni automatyczną weryfikację z rejestrem PESEL czy wprowadzany numer PESEL jest prawidłowy i został komuś rzeczywiście nadany (art. 23c ust. 2), ponieważ w internecie są powszechnie dostępne generatory numerów PESEL umożliwiają</w:t>
      </w:r>
      <w:r w:rsidR="00B47930">
        <w:rPr>
          <w:rFonts w:ascii="Times New Roman" w:eastAsia="Calibri" w:hAnsi="Times New Roman" w:cs="Times New Roman"/>
          <w:sz w:val="24"/>
          <w:szCs w:val="24"/>
        </w:rPr>
        <w:t>ce stworzenie prawidłowego (wg. </w:t>
      </w:r>
      <w:r w:rsidRPr="00553C4E">
        <w:rPr>
          <w:rFonts w:ascii="Times New Roman" w:eastAsia="Calibri" w:hAnsi="Times New Roman" w:cs="Times New Roman"/>
          <w:sz w:val="24"/>
          <w:szCs w:val="24"/>
        </w:rPr>
        <w:t xml:space="preserve">ustawowego wzoru) numeru PESEL, który może nie być nikomu przypisany. Zgodnie z proponowanym art. 23c ust. 3 ustawy dane nie będą usuwane, ponieważ usługa weryfikacji zastrzeżenia numeru PESEL ma umożliwiać nie tylko sprawdzenie czy jest on zastrzeżony </w:t>
      </w:r>
      <w:r w:rsidR="00B47930">
        <w:rPr>
          <w:rFonts w:ascii="Times New Roman" w:hAnsi="Times New Roman" w:cs="Times New Roman"/>
          <w:sz w:val="24"/>
          <w:szCs w:val="24"/>
        </w:rPr>
        <w:t>w </w:t>
      </w:r>
      <w:r w:rsidRPr="00553C4E">
        <w:rPr>
          <w:rFonts w:ascii="Times New Roman" w:hAnsi="Times New Roman" w:cs="Times New Roman"/>
          <w:sz w:val="24"/>
          <w:szCs w:val="24"/>
        </w:rPr>
        <w:t>chwili</w:t>
      </w:r>
      <w:r w:rsidRPr="00553C4E">
        <w:rPr>
          <w:rFonts w:ascii="Times New Roman" w:eastAsia="Calibri" w:hAnsi="Times New Roman" w:cs="Times New Roman"/>
          <w:sz w:val="24"/>
          <w:szCs w:val="24"/>
        </w:rPr>
        <w:t xml:space="preserve"> weryfikacji, lecz czy był zastrzeżony w przeszłości w określonej chwili wskazanej przez zainteresowanego. Wieczyste przechowywanie tych danych jest niezbędne dla stwierdzenia stanu zastrzeżenia numeru PESEL w określonym momencie w przeszłości co jest istotne np. z punktu widzenia ewentualnych przestępstw, które mogą być wykryte po dłuższym czasie. Okres przechowywania logów będzie wynosić 6 lat od ostatniego dnia roku kalendarzowego, w którym powstał zapis. Wynika to z określonych w kodeksie cywilnym terminów przedawnienia roszczeń i sposobu ich obliczania. W przeciwieństwie do danych gromadzonych w samym rejestrze zastrzeżeń dane pochodzące z logów dotyczą tego kto, kiedy i z jakim wynikiem dokonał weryfikacji zastrzeżenia numeru PESEL co wpływa na stosunki cywilne między stronami umów w okresie biegu terminu przedawnienia. Jeśli numer PESEL zostanie z jakiegokolwiek powodu zmieniony, to zastrzeżenie numeru PESEL nie obejmuje now</w:t>
      </w:r>
      <w:r w:rsidR="009B43A0">
        <w:rPr>
          <w:rFonts w:ascii="Times New Roman" w:eastAsia="Calibri" w:hAnsi="Times New Roman" w:cs="Times New Roman"/>
          <w:sz w:val="24"/>
          <w:szCs w:val="24"/>
        </w:rPr>
        <w:t>ego numeru PESEL (art. 23c ust. </w:t>
      </w:r>
      <w:r w:rsidRPr="00553C4E">
        <w:rPr>
          <w:rFonts w:ascii="Times New Roman" w:eastAsia="Calibri" w:hAnsi="Times New Roman" w:cs="Times New Roman"/>
          <w:sz w:val="24"/>
          <w:szCs w:val="24"/>
        </w:rPr>
        <w:t>5).</w:t>
      </w:r>
    </w:p>
    <w:p w14:paraId="0CE4694F" w14:textId="77777777" w:rsidR="00CA19A7" w:rsidRPr="00553C4E" w:rsidRDefault="00CA19A7" w:rsidP="00553C4E">
      <w:pPr>
        <w:spacing w:before="120" w:after="0" w:line="360" w:lineRule="auto"/>
        <w:ind w:left="-284"/>
        <w:jc w:val="both"/>
        <w:rPr>
          <w:rFonts w:ascii="Times New Roman" w:eastAsia="Calibri" w:hAnsi="Times New Roman" w:cs="Times New Roman"/>
          <w:sz w:val="24"/>
          <w:szCs w:val="24"/>
        </w:rPr>
      </w:pPr>
      <w:r w:rsidRPr="00553C4E">
        <w:rPr>
          <w:rFonts w:ascii="Times New Roman" w:eastAsia="Calibri" w:hAnsi="Times New Roman" w:cs="Times New Roman"/>
          <w:sz w:val="24"/>
          <w:szCs w:val="24"/>
        </w:rPr>
        <w:t>W przypadku planowanych niedostępności rejestru zastrzeżeń numerów PESEL stosowny komunikat zostanie opublikowany na stronie podmiotowej BIP ministra właściwego do spraw informatyzacji (art. 23c ust. 5).</w:t>
      </w:r>
    </w:p>
    <w:p w14:paraId="31A8ACEE" w14:textId="6ED500B0" w:rsidR="00CA19A7" w:rsidRPr="00553C4E" w:rsidRDefault="00CA19A7" w:rsidP="00553C4E">
      <w:pPr>
        <w:spacing w:before="120" w:after="0" w:line="360" w:lineRule="auto"/>
        <w:ind w:left="-284"/>
        <w:jc w:val="both"/>
        <w:rPr>
          <w:rFonts w:ascii="Times New Roman" w:eastAsia="Calibri" w:hAnsi="Times New Roman" w:cs="Times New Roman"/>
          <w:sz w:val="24"/>
          <w:szCs w:val="24"/>
        </w:rPr>
      </w:pPr>
      <w:r w:rsidRPr="00553C4E">
        <w:rPr>
          <w:rFonts w:ascii="Times New Roman" w:eastAsia="Calibri" w:hAnsi="Times New Roman" w:cs="Times New Roman"/>
          <w:sz w:val="24"/>
          <w:szCs w:val="24"/>
        </w:rPr>
        <w:t xml:space="preserve">Zgodnie z proponowanym art. 23d i art. 23e  ustawy: osoba pełnoletnia posiadająca numer PESEL będzie mogła go zastrzec lub cofnąć takie zastrzeżenie przy wykorzystaniu środków komunikacji elektronicznej i uwierzytelnieniu się na zasadach określonych w ustawie o informatyzacji </w:t>
      </w:r>
      <w:r w:rsidRPr="00553C4E">
        <w:rPr>
          <w:rFonts w:ascii="Times New Roman" w:eastAsia="Calibri" w:hAnsi="Times New Roman" w:cs="Times New Roman"/>
          <w:sz w:val="24"/>
          <w:szCs w:val="24"/>
        </w:rPr>
        <w:lastRenderedPageBreak/>
        <w:t>działalności podmiotów realizujących zadania publiczne, tj. przy użyciu profilu zaufanego, podpisu kwalifikowanego albo podpisu osobistego zawartego w dowodzie osobistym (e-dowód). Usługa ta będzie transakcyjna (bez udziału urzędnika). Zastrzeżenie i cofnięcie zastrzeżenia nadanego numeru PESEL będzie też możliwie przy użyciu certyfik</w:t>
      </w:r>
      <w:r w:rsidR="009B43A0">
        <w:rPr>
          <w:rFonts w:ascii="Times New Roman" w:eastAsia="Calibri" w:hAnsi="Times New Roman" w:cs="Times New Roman"/>
          <w:sz w:val="24"/>
          <w:szCs w:val="24"/>
        </w:rPr>
        <w:t>atu, o którym mowa w art. </w:t>
      </w:r>
      <w:r w:rsidRPr="00553C4E">
        <w:rPr>
          <w:rFonts w:ascii="Times New Roman" w:eastAsia="Calibri" w:hAnsi="Times New Roman" w:cs="Times New Roman"/>
          <w:sz w:val="24"/>
          <w:szCs w:val="24"/>
        </w:rPr>
        <w:t>19e ust. 2a ustawy z dnia 17 lutego 2005 r. o informatyzacji działalności podmiotów realizujących zadania publiczne. Co więcej przy korzystaniu z e-usługi oraz funkcjonalności za pomocą aplikacji mobilnej, będzie istniała możliwość dokonania jednoczesn</w:t>
      </w:r>
      <w:r w:rsidR="00B47930">
        <w:rPr>
          <w:rFonts w:ascii="Times New Roman" w:eastAsia="Calibri" w:hAnsi="Times New Roman" w:cs="Times New Roman"/>
          <w:sz w:val="24"/>
          <w:szCs w:val="24"/>
        </w:rPr>
        <w:t>ego zastrzeżenia numeru PESEL z </w:t>
      </w:r>
      <w:r w:rsidRPr="00553C4E">
        <w:rPr>
          <w:rFonts w:ascii="Times New Roman" w:eastAsia="Calibri" w:hAnsi="Times New Roman" w:cs="Times New Roman"/>
          <w:sz w:val="24"/>
          <w:szCs w:val="24"/>
        </w:rPr>
        <w:t>chwilą przyszłą wskazaną przez osobę, lecz nie wcześniej niż po upływie 30 minut od cofnięcia zastrzeżenia numeru PESEL. Zastrzeżenie numeru PESEL z chwilą przyszłą ma zwiększyć ergonomię rozwiązania przez zniwelowanie liczby koniecznych wizyt w celu zastrzeżenia numeru PESEL (po jego uprzednim cofnięciu) a także dać możliwość zabezpieczenia swoich danych już w momencie cofania zastrzeżenia z określeniem momentu, od którego zastrzeżenia ma znów obowiązywać (bez konieczności dokonywania kolejnych czynności, których osoba może zapomnieć po cofnięciu zastrzeżenia numeru PESEL).</w:t>
      </w:r>
    </w:p>
    <w:p w14:paraId="2EFEE6E7" w14:textId="77777777" w:rsidR="00CA19A7" w:rsidRPr="00553C4E" w:rsidRDefault="00CA19A7" w:rsidP="009B43A0">
      <w:pPr>
        <w:spacing w:before="120" w:after="0" w:line="360" w:lineRule="auto"/>
        <w:ind w:left="-284"/>
        <w:jc w:val="both"/>
        <w:rPr>
          <w:rFonts w:ascii="Times New Roman" w:eastAsia="Calibri" w:hAnsi="Times New Roman" w:cs="Times New Roman"/>
          <w:sz w:val="24"/>
          <w:szCs w:val="24"/>
        </w:rPr>
      </w:pPr>
      <w:r w:rsidRPr="00553C4E">
        <w:rPr>
          <w:rFonts w:ascii="Times New Roman" w:eastAsia="Calibri" w:hAnsi="Times New Roman" w:cs="Times New Roman"/>
          <w:sz w:val="24"/>
          <w:szCs w:val="24"/>
        </w:rPr>
        <w:t xml:space="preserve">Ponadto przewiduje się możliwość zastrzeżenia numeru PESEL przez bank krajowy (online w systemie transakcyjnym banku lub osobiście) oraz operatora wyznaczonego (osobiście w placówce), o którym mowa w art. 3 pkt 12 ustawy z dnia 23 listopada 2012 r. </w:t>
      </w:r>
      <w:r w:rsidR="009B43A0">
        <w:rPr>
          <w:rFonts w:ascii="Times New Roman" w:eastAsia="Calibri" w:hAnsi="Times New Roman" w:cs="Times New Roman"/>
          <w:sz w:val="24"/>
          <w:szCs w:val="24"/>
        </w:rPr>
        <w:t>–</w:t>
      </w:r>
      <w:r w:rsidRPr="00553C4E">
        <w:rPr>
          <w:rFonts w:ascii="Times New Roman" w:eastAsia="Calibri" w:hAnsi="Times New Roman" w:cs="Times New Roman"/>
          <w:sz w:val="24"/>
          <w:szCs w:val="24"/>
        </w:rPr>
        <w:t xml:space="preserve"> Prawo pocztowe.</w:t>
      </w:r>
    </w:p>
    <w:p w14:paraId="03ECE77D" w14:textId="009D70A2" w:rsidR="00CA19A7" w:rsidRPr="00553C4E" w:rsidRDefault="00CA19A7" w:rsidP="00553C4E">
      <w:pPr>
        <w:spacing w:before="120" w:after="0" w:line="360" w:lineRule="auto"/>
        <w:ind w:left="-284"/>
        <w:jc w:val="both"/>
        <w:rPr>
          <w:rFonts w:ascii="Times New Roman" w:eastAsia="Calibri" w:hAnsi="Times New Roman" w:cs="Times New Roman"/>
          <w:sz w:val="24"/>
          <w:szCs w:val="24"/>
        </w:rPr>
      </w:pPr>
      <w:r w:rsidRPr="00553C4E">
        <w:rPr>
          <w:rFonts w:ascii="Times New Roman" w:eastAsia="Calibri" w:hAnsi="Times New Roman" w:cs="Times New Roman"/>
          <w:sz w:val="24"/>
          <w:szCs w:val="24"/>
        </w:rPr>
        <w:t>Po skorzystaniu z jednego z powyższych sposobów, zastrzeżenie zostanie zarejestrowane (informacja o zastrzeżeniu zostanie zamieszczona w rejestr</w:t>
      </w:r>
      <w:r w:rsidR="00B47930">
        <w:rPr>
          <w:rFonts w:ascii="Times New Roman" w:eastAsia="Calibri" w:hAnsi="Times New Roman" w:cs="Times New Roman"/>
          <w:sz w:val="24"/>
          <w:szCs w:val="24"/>
        </w:rPr>
        <w:t>ze) lub cofnięte bezpośrednio w </w:t>
      </w:r>
      <w:r w:rsidRPr="00553C4E">
        <w:rPr>
          <w:rFonts w:ascii="Times New Roman" w:eastAsia="Calibri" w:hAnsi="Times New Roman" w:cs="Times New Roman"/>
          <w:sz w:val="24"/>
          <w:szCs w:val="24"/>
        </w:rPr>
        <w:t>rejestrze z chwilą zamieszczenia informacji o zastrzeżeniu w rejestrze. Takie rozwiązanie ma zapewnić dostarczenie podmiotom weryfiku</w:t>
      </w:r>
      <w:r w:rsidR="009B43A0">
        <w:rPr>
          <w:rFonts w:ascii="Times New Roman" w:eastAsia="Calibri" w:hAnsi="Times New Roman" w:cs="Times New Roman"/>
          <w:sz w:val="24"/>
          <w:szCs w:val="24"/>
        </w:rPr>
        <w:t xml:space="preserve">jącym niezwłocznie informacji o </w:t>
      </w:r>
      <w:r w:rsidRPr="00553C4E">
        <w:rPr>
          <w:rFonts w:ascii="Times New Roman" w:eastAsia="Calibri" w:hAnsi="Times New Roman" w:cs="Times New Roman"/>
          <w:sz w:val="24"/>
          <w:szCs w:val="24"/>
        </w:rPr>
        <w:t xml:space="preserve">zastrzeżeniu numeru PESEL. Chwilą zastrzeżenia lub cofnięcia zastrzeżenia numeru PESEL będzie dzień, godzina, minuta i sekunda, która będzie udostępniania podmiotom weryfikującym jako chwila zdarzenia. Projektowany art. 23e ust. 2 pkt 2 i 23f ust. 1 pkt 1 przewiduje dla osób nie posiadających dostępu do Internetu możliwość osobistego złożenia wniosku o zastrzeżenie lub cofnięcie zastrzeżenia numeru PESEL w siedzibie organu dowolnej gminy (nie będzie można tego uczynić przesyłając wniosek pocztą), placówce banku lub placówce pocztowej (w placówce banku lub poczty tylko zastrzeżenie, nie cofnięcie). Wzór wniosku o dokonanie zastrzeżenia lub cofnięcie zastrzeżenia numeru PESEL przeznaczony do osobistego złożenia w siedzibie organu dowolnej gminy lub siedzibie podmiotu zostanie określony w rozporządzeniu ministra właściwego do spraw informatyzacji. Zastrzeżenie numeru PESEL będzie dokonywane z urzędu w przypadku unieważnienia dowodu osobistego: na skutek zgłoszenia utraty dowodu osobistego w sposób określony w art. 47 ustawy z dnia 6 sierpnia 2010 r. o dowodach osobistych, zgłoszenia przez </w:t>
      </w:r>
      <w:r w:rsidRPr="00553C4E">
        <w:rPr>
          <w:rFonts w:ascii="Times New Roman" w:eastAsia="Calibri" w:hAnsi="Times New Roman" w:cs="Times New Roman"/>
          <w:sz w:val="24"/>
          <w:szCs w:val="24"/>
        </w:rPr>
        <w:lastRenderedPageBreak/>
        <w:t>obywatela podejrzenia nieuprawnionego wykorzystania jego danych osobowych w sposób określony</w:t>
      </w:r>
      <w:r w:rsidRPr="00553C4E">
        <w:rPr>
          <w:rFonts w:ascii="Times New Roman" w:hAnsi="Times New Roman" w:cs="Times New Roman"/>
          <w:color w:val="333333"/>
          <w:sz w:val="24"/>
          <w:szCs w:val="24"/>
          <w:shd w:val="clear" w:color="auto" w:fill="FFFFFF"/>
        </w:rPr>
        <w:t xml:space="preserve"> w </w:t>
      </w:r>
      <w:r w:rsidRPr="00553C4E">
        <w:rPr>
          <w:rFonts w:ascii="Times New Roman" w:eastAsia="Calibri" w:hAnsi="Times New Roman" w:cs="Times New Roman"/>
          <w:sz w:val="24"/>
          <w:szCs w:val="24"/>
        </w:rPr>
        <w:t xml:space="preserve">48a ustawy o dowodach osobistych jak również odnotowania w rejestrze PESEL zgonu osoby. Zastrzeżenie z urzędu dotyczyć będzie kręgu podmiotowego rejestru zastrzeżeń numerów PESEL tj. osób pełnoletnich. Wyjątek od reguły dotyczącej możliwości zastrzeżenia i cofnięcia zastrzeżenia swojego numeru PESEL osobiście lub za pomocą usługi będzie też dotyczył osób ubezwłasnowolnionych, w imieniu których czynności takiej będzie dokonywał opiekun lub kurator (art. 23e ust. 4 i 5) a także osób dotkniętych niepełnosprawnością i w sytuacji innych nie dających się pokonać przeszkód, kiedy to będzie możliwość zastrzeżenia numeru PESEL przez pełnomocnika dysponującego pełnomocnictwem szczególnym. Spowodowane jest to tym, że podmioty zobowiązane do weryfikacji czy numer PESEL jest zastrzeżony nie dysponują wiedzą czy konkretna osoba zainteresowana zawarciem umowy jest ubezwłasnowolniona. Ponadto osoby ubezwłasnowolnione z racji konsekwencji zdrowotnych mogą być podatne na wpływ osób trzecich co do realizacji czynności prawnej – szczególnie jeśli ma ona dotyczyć zaciągnięcia zobowiązania. Ubezwłasnowolnionemu również jest wydawany dokument tożsamości. Nie ma w nim jednak informacji o jakichkolwiek ograniczeniach w zakresie zdolności do czynności prawnych. Niezbędne jest zatem zabezpieczenie praw takich osób przez prewencyjną możliwość zastrzeżenia numeru PESEL przez reprezentującego ich opiekuna lub kuratora. Zrealizowanie takiego zamierzenia będzie wymagało osobistego stawienia się w siedzibie organu gminy oraz przedstawienia dokumentów potwierdzających ustanowienie wnioskującego kuratorem lub opiekunem. Organy gmin będą realizowały te czynności jako zadanie zlecone z zakresu administracji rządowej, którego koszty zostaną pokryte z dotacji na realizację zadań zleconych </w:t>
      </w:r>
      <w:r w:rsidR="00B47930">
        <w:rPr>
          <w:rFonts w:ascii="Times New Roman" w:eastAsia="Calibri" w:hAnsi="Times New Roman" w:cs="Times New Roman"/>
          <w:sz w:val="24"/>
          <w:szCs w:val="24"/>
        </w:rPr>
        <w:t>w obszarze spraw obywatelskich.</w:t>
      </w:r>
    </w:p>
    <w:p w14:paraId="32796966" w14:textId="77777777" w:rsidR="00CA19A7" w:rsidRPr="00553C4E" w:rsidRDefault="00CA19A7" w:rsidP="00553C4E">
      <w:pPr>
        <w:spacing w:before="120" w:after="0" w:line="360" w:lineRule="auto"/>
        <w:ind w:left="-284"/>
        <w:jc w:val="both"/>
        <w:rPr>
          <w:rFonts w:ascii="Times New Roman" w:eastAsia="Calibri" w:hAnsi="Times New Roman" w:cs="Times New Roman"/>
          <w:sz w:val="24"/>
          <w:szCs w:val="24"/>
        </w:rPr>
      </w:pPr>
      <w:r w:rsidRPr="00553C4E">
        <w:rPr>
          <w:rFonts w:ascii="Times New Roman" w:eastAsia="Calibri" w:hAnsi="Times New Roman" w:cs="Times New Roman"/>
          <w:sz w:val="24"/>
          <w:szCs w:val="24"/>
        </w:rPr>
        <w:t xml:space="preserve">W celu zawnioskowania osobiście w urzędzie, banku lub placówce operatora wyznaczonego o odnotowanie zastrzeżenia numeru PESEL należącego do obywatela polskiego konieczne będzie potwierdzenie tożsamości zainteresowanego poprzez okazanie ważnego dowodu osobistego lub dokumentu paszportowego. Jeśli wnioskującym jest cudzoziemiec to jego tożsamość zostanie stwierdzona na podstawie dokumentu podróży cudzoziemca lub innego ważnego dokumentu potwierdzającego tożsamość. Cofnięcie zastrzeżenia numeru PESEL w trakcie osobistej wizyty będzie możliwe tylko w urzędzie gminy. Organ gminy wyda ponadto wnioskodawcy potwierdzenie zastrzeżenia lub cofnięcia zastrzeżenia numeru PESEL. Organ gminy bezpośrednio po złożeniu wniosku i pozytywnej weryfikacji tożsamości odnotowuje zastrzeżenie lub cofniecie zastrzeżenia w rejestrze zastrzeżeń. Pozostałe podmioty uprawnione do przyjmowania oświadczeń </w:t>
      </w:r>
      <w:r w:rsidRPr="00553C4E">
        <w:rPr>
          <w:rFonts w:ascii="Times New Roman" w:eastAsia="Calibri" w:hAnsi="Times New Roman" w:cs="Times New Roman"/>
          <w:sz w:val="24"/>
          <w:szCs w:val="24"/>
        </w:rPr>
        <w:lastRenderedPageBreak/>
        <w:t>o zastrzeżeniu numeru PESEL będą po złożeniu wniosku i pozytywnej weryfikacji tożsamości odnotowywać tylko zastrzeżenie numeru PESEL</w:t>
      </w:r>
    </w:p>
    <w:p w14:paraId="76CD305D" w14:textId="30FA4F24" w:rsidR="00CA19A7" w:rsidRPr="00553C4E" w:rsidRDefault="00CA19A7" w:rsidP="00553C4E">
      <w:pPr>
        <w:spacing w:before="120" w:after="0" w:line="360" w:lineRule="auto"/>
        <w:ind w:left="-284"/>
        <w:jc w:val="both"/>
        <w:rPr>
          <w:rFonts w:ascii="Times New Roman" w:eastAsia="Calibri" w:hAnsi="Times New Roman" w:cs="Times New Roman"/>
          <w:sz w:val="24"/>
          <w:szCs w:val="24"/>
        </w:rPr>
      </w:pPr>
      <w:r w:rsidRPr="00553C4E">
        <w:rPr>
          <w:rFonts w:ascii="Times New Roman" w:eastAsia="Calibri" w:hAnsi="Times New Roman" w:cs="Times New Roman"/>
          <w:sz w:val="24"/>
          <w:szCs w:val="24"/>
        </w:rPr>
        <w:t xml:space="preserve">Celem zweryfikowania czy numer PESEL jest zastrzeżony aktualnie i w jakiej chwili został zastrzeżony bądź, czy zostało zarejestrowane w konkretnej i podanej przez zainteresowanego chwili – utworzona zostanie e-usługa dostępna przy wykorzystaniu środków komunikacji elektronicznej i uwierzytelnieniu na zasadach określonych w ustawie o informatyzacji działalności podmiotów realizujących zadania publiczne (projektowany art. 23j). Skorzystanie z niej oprócz posiadania środka identyfikacji elektronicznej będzie wymagało podania danych osoby weryfikowanej, które będą zróżnicowane w zależności od tego czy sprawdzany jest obywatel polski czy cudzoziemiec (art. 23j ust. 2pkt 2 ). W pierwszym przypadku niezbędne będzie wskazanie numeru PESEL, oraz serii i numeru ostatnio wydanego dowodu osobistego lub paszportu zamieszczonych w rejestrze PESEL. Druga sytuacja wiązać się będzie z koniecznością podania: numeru PESEL, oraz serii i numeru ostatniego dokumentu podróży cudzoziemca lub innego ostatniego dokumentu potwierdzającego tożsamość </w:t>
      </w:r>
      <w:r w:rsidR="00B47930">
        <w:rPr>
          <w:rFonts w:ascii="Times New Roman" w:eastAsia="Calibri" w:hAnsi="Times New Roman" w:cs="Times New Roman"/>
          <w:sz w:val="24"/>
          <w:szCs w:val="24"/>
        </w:rPr>
        <w:t>i obywatelstwo zamieszczonego w </w:t>
      </w:r>
      <w:r w:rsidRPr="00553C4E">
        <w:rPr>
          <w:rFonts w:ascii="Times New Roman" w:eastAsia="Calibri" w:hAnsi="Times New Roman" w:cs="Times New Roman"/>
          <w:sz w:val="24"/>
          <w:szCs w:val="24"/>
        </w:rPr>
        <w:t>rejestrze PESEL. Usługa ta będzie powszechnie dostępna i będzie pozwalała na dokonanie weryfikacji zastrzeżenia numeru PESEL każdej osobie, która uwierzytelni się środkiem identyfikacji elektronicznej i wskaże poprawną parę danych. Takie podejście do e-usługi pozwala na wzmocnienie pewności obrotu gospodarczego i p</w:t>
      </w:r>
      <w:r w:rsidR="00B47930">
        <w:rPr>
          <w:rFonts w:ascii="Times New Roman" w:eastAsia="Calibri" w:hAnsi="Times New Roman" w:cs="Times New Roman"/>
          <w:sz w:val="24"/>
          <w:szCs w:val="24"/>
        </w:rPr>
        <w:t xml:space="preserve">rawnego nie tylko w relacjach z </w:t>
      </w:r>
      <w:r w:rsidRPr="00553C4E">
        <w:rPr>
          <w:rFonts w:ascii="Times New Roman" w:eastAsia="Calibri" w:hAnsi="Times New Roman" w:cs="Times New Roman"/>
          <w:sz w:val="24"/>
          <w:szCs w:val="24"/>
        </w:rPr>
        <w:t>podmiotami zobowiązanymi do weryfikacji zastrzeżenia nume</w:t>
      </w:r>
      <w:r w:rsidR="00B47930">
        <w:rPr>
          <w:rFonts w:ascii="Times New Roman" w:eastAsia="Calibri" w:hAnsi="Times New Roman" w:cs="Times New Roman"/>
          <w:sz w:val="24"/>
          <w:szCs w:val="24"/>
        </w:rPr>
        <w:t xml:space="preserve">ru PESEL, ale też w relacjach z </w:t>
      </w:r>
      <w:r w:rsidRPr="00553C4E">
        <w:rPr>
          <w:rFonts w:ascii="Times New Roman" w:eastAsia="Calibri" w:hAnsi="Times New Roman" w:cs="Times New Roman"/>
          <w:sz w:val="24"/>
          <w:szCs w:val="24"/>
        </w:rPr>
        <w:t>innymi podmiotami czy nawet między osobami fizycznymi. Ograniczony zakres danych poddawanych weryfikacji niweluje potencjalne negatywne konsekwencje dl</w:t>
      </w:r>
      <w:r w:rsidR="00B47930">
        <w:rPr>
          <w:rFonts w:ascii="Times New Roman" w:eastAsia="Calibri" w:hAnsi="Times New Roman" w:cs="Times New Roman"/>
          <w:sz w:val="24"/>
          <w:szCs w:val="24"/>
        </w:rPr>
        <w:t>a ochrony danych osobowych, a w </w:t>
      </w:r>
      <w:r w:rsidRPr="00553C4E">
        <w:rPr>
          <w:rFonts w:ascii="Times New Roman" w:eastAsia="Calibri" w:hAnsi="Times New Roman" w:cs="Times New Roman"/>
          <w:sz w:val="24"/>
          <w:szCs w:val="24"/>
        </w:rPr>
        <w:t>toku procesu weryfikacji nie dochodzi do u</w:t>
      </w:r>
      <w:r w:rsidR="009B43A0">
        <w:rPr>
          <w:rFonts w:ascii="Times New Roman" w:eastAsia="Calibri" w:hAnsi="Times New Roman" w:cs="Times New Roman"/>
          <w:sz w:val="24"/>
          <w:szCs w:val="24"/>
        </w:rPr>
        <w:t xml:space="preserve">dostepnienia danych osobowych a </w:t>
      </w:r>
      <w:r w:rsidRPr="00553C4E">
        <w:rPr>
          <w:rFonts w:ascii="Times New Roman" w:eastAsia="Calibri" w:hAnsi="Times New Roman" w:cs="Times New Roman"/>
          <w:sz w:val="24"/>
          <w:szCs w:val="24"/>
        </w:rPr>
        <w:t>jedynie weryfikacji poprawności pary d</w:t>
      </w:r>
      <w:r w:rsidR="009B43A0">
        <w:rPr>
          <w:rFonts w:ascii="Times New Roman" w:eastAsia="Calibri" w:hAnsi="Times New Roman" w:cs="Times New Roman"/>
          <w:sz w:val="24"/>
          <w:szCs w:val="24"/>
        </w:rPr>
        <w:t xml:space="preserve">anych (PESEL i dane dokumentu). </w:t>
      </w:r>
      <w:r w:rsidRPr="00553C4E">
        <w:rPr>
          <w:rFonts w:ascii="Times New Roman" w:eastAsia="Calibri" w:hAnsi="Times New Roman" w:cs="Times New Roman"/>
          <w:sz w:val="24"/>
          <w:szCs w:val="24"/>
        </w:rPr>
        <w:t>Po wprowadzeniu danych, ich poprawność zostanie zweryfiko</w:t>
      </w:r>
      <w:r w:rsidR="009B43A0">
        <w:rPr>
          <w:rFonts w:ascii="Times New Roman" w:eastAsia="Calibri" w:hAnsi="Times New Roman" w:cs="Times New Roman"/>
          <w:sz w:val="24"/>
          <w:szCs w:val="24"/>
        </w:rPr>
        <w:t xml:space="preserve">wana z rejestrem PESEL a </w:t>
      </w:r>
      <w:r w:rsidRPr="00553C4E">
        <w:rPr>
          <w:rFonts w:ascii="Times New Roman" w:eastAsia="Calibri" w:hAnsi="Times New Roman" w:cs="Times New Roman"/>
          <w:sz w:val="24"/>
          <w:szCs w:val="24"/>
        </w:rPr>
        <w:t>informacja o zastrzeżeniu zostanie zwrócona wyłącznie jeżeli dane wprowadzone w e-usłudze będą zgodne z danymi w rejestrze PESEL (projektowany art. 23j ust. 3). Jeśli osoba chce sprawdzić jakie dane jej dotyczące są przetwarzane w rej</w:t>
      </w:r>
      <w:r w:rsidR="009B43A0">
        <w:rPr>
          <w:rFonts w:ascii="Times New Roman" w:eastAsia="Calibri" w:hAnsi="Times New Roman" w:cs="Times New Roman"/>
          <w:sz w:val="24"/>
          <w:szCs w:val="24"/>
        </w:rPr>
        <w:t xml:space="preserve">estrze PESEL, może skorzystać z </w:t>
      </w:r>
      <w:r w:rsidRPr="00553C4E">
        <w:rPr>
          <w:rFonts w:ascii="Times New Roman" w:eastAsia="Calibri" w:hAnsi="Times New Roman" w:cs="Times New Roman"/>
          <w:sz w:val="24"/>
          <w:szCs w:val="24"/>
        </w:rPr>
        <w:t xml:space="preserve">dedykowanej usługi sprawdzenia swych danych online. W każdym przypadku dokonanie weryfikacji będzie autoryzowane i rejestrowany będzie podmiot dokonujący weryfikacji a także dane osobowe </w:t>
      </w:r>
      <w:r w:rsidR="00B47930">
        <w:rPr>
          <w:rFonts w:ascii="Times New Roman" w:eastAsia="Calibri" w:hAnsi="Times New Roman" w:cs="Times New Roman"/>
          <w:sz w:val="24"/>
          <w:szCs w:val="24"/>
        </w:rPr>
        <w:t>osoby dokonującej weryfikacji w </w:t>
      </w:r>
      <w:r w:rsidRPr="00553C4E">
        <w:rPr>
          <w:rFonts w:ascii="Times New Roman" w:eastAsia="Calibri" w:hAnsi="Times New Roman" w:cs="Times New Roman"/>
          <w:sz w:val="24"/>
          <w:szCs w:val="24"/>
        </w:rPr>
        <w:t>im</w:t>
      </w:r>
      <w:r w:rsidR="009B43A0">
        <w:rPr>
          <w:rFonts w:ascii="Times New Roman" w:eastAsia="Calibri" w:hAnsi="Times New Roman" w:cs="Times New Roman"/>
          <w:sz w:val="24"/>
          <w:szCs w:val="24"/>
        </w:rPr>
        <w:t xml:space="preserve">ieniu podmiotu. Przy zawieraniu umowy z </w:t>
      </w:r>
      <w:r w:rsidRPr="00553C4E">
        <w:rPr>
          <w:rFonts w:ascii="Times New Roman" w:eastAsia="Calibri" w:hAnsi="Times New Roman" w:cs="Times New Roman"/>
          <w:sz w:val="24"/>
          <w:szCs w:val="24"/>
        </w:rPr>
        <w:t>podmiotem, który będzie chciał weryfikować zastrzeżenie usługą będzie mogła je przekazać w celu weryfikacji.</w:t>
      </w:r>
      <w:r w:rsidRPr="00553C4E">
        <w:rPr>
          <w:rFonts w:ascii="Times New Roman" w:eastAsia="Calibri" w:hAnsi="Times New Roman" w:cs="Times New Roman"/>
          <w:sz w:val="24"/>
          <w:szCs w:val="24"/>
          <w:vertAlign w:val="superscript"/>
        </w:rPr>
        <w:footnoteReference w:id="7"/>
      </w:r>
      <w:r w:rsidRPr="00553C4E">
        <w:rPr>
          <w:rFonts w:ascii="Times New Roman" w:eastAsia="Calibri" w:hAnsi="Times New Roman" w:cs="Times New Roman"/>
          <w:sz w:val="24"/>
          <w:szCs w:val="24"/>
        </w:rPr>
        <w:t xml:space="preserve"> Podawanie dodatkowych danych ma na celu ograniczenie kierowania zapytań przez osoby, które wejdą w posiadanie </w:t>
      </w:r>
      <w:r w:rsidRPr="00553C4E">
        <w:rPr>
          <w:rFonts w:ascii="Times New Roman" w:eastAsia="Calibri" w:hAnsi="Times New Roman" w:cs="Times New Roman"/>
          <w:sz w:val="24"/>
          <w:szCs w:val="24"/>
        </w:rPr>
        <w:lastRenderedPageBreak/>
        <w:t>samego numeru PESEL lub niektórych danych osoby. Dotyczy to nie tylko w wyniku kradzieży danych, ale też z np. pozyskania ich z publicznie dostępnych źródeł: Krajowego Rejestru Sądowego, Centralnej Informacji Ksiąg Wieczystych albo w ramach z bieżących spraw życia codziennego lub prowadzonej działalności. Jednakże nawet w przypadku dokonania weryfikacji przy użyciu usługi, w odpowiedzi nie zwróci ona żadnych danych osobowych a jedynie informację tak/nie o wyniku zastrzeżenia numeru PESEL i informację w jakiej chwili zastrzeżenie zostało dokonane. Osoba, która skorzysta z usługi weryfikacji zastrzeżenia online będzie zobligowana złożyć oświadczenie pod rygorem odpowiedzialności karnej z</w:t>
      </w:r>
      <w:r w:rsidR="00B47930">
        <w:rPr>
          <w:rFonts w:ascii="Times New Roman" w:eastAsia="Calibri" w:hAnsi="Times New Roman" w:cs="Times New Roman"/>
          <w:sz w:val="24"/>
          <w:szCs w:val="24"/>
        </w:rPr>
        <w:t>a składanie fałszywych zeznań w </w:t>
      </w:r>
      <w:r w:rsidRPr="00553C4E">
        <w:rPr>
          <w:rFonts w:ascii="Times New Roman" w:eastAsia="Calibri" w:hAnsi="Times New Roman" w:cs="Times New Roman"/>
          <w:sz w:val="24"/>
          <w:szCs w:val="24"/>
        </w:rPr>
        <w:t>zakresie umocowania do działania w imieniu innego podmiotu. W tym przypadku konieczne będzie podanie danych identyfikujących reprezentowany podmiot. Ponadto osobie, której dane są przetwarzane w rejestrze zastrzeżeń umożliwiony zostanie wgląd przy pomocy usługi elektronicznej do danych jej dotyczących oraz uzyskanie zaświadczenia z dowolnego organu gminy zawierającego odpis swoich danych przetwarzanych w t</w:t>
      </w:r>
      <w:r w:rsidR="00B47930">
        <w:rPr>
          <w:rFonts w:ascii="Times New Roman" w:eastAsia="Calibri" w:hAnsi="Times New Roman" w:cs="Times New Roman"/>
          <w:sz w:val="24"/>
          <w:szCs w:val="24"/>
        </w:rPr>
        <w:t>ym rejestrze (projektowany art. </w:t>
      </w:r>
      <w:r w:rsidRPr="00553C4E">
        <w:rPr>
          <w:rFonts w:ascii="Times New Roman" w:eastAsia="Calibri" w:hAnsi="Times New Roman" w:cs="Times New Roman"/>
          <w:sz w:val="24"/>
          <w:szCs w:val="24"/>
        </w:rPr>
        <w:t>23k ). Osoba, której dane są przetwarzane w rejestrze zastrzeżeń uprawniona będzie również do uzyskania informacji o tym kto i kiedy dokonywał weryfikacji zastrzeżenia jej numeru PESEL. Dostęp do tej wiedzy będzie wymagał skorzystania z usługi elektronicznej po uprzednim uwierzytelnieniu (potwierdzeniu tożsamości), a jej efektem będzie wskazanie konkretnego podmiotu w imieniu, którego weryfikowane były dane podmiotu albo informacja, że zastrzeżenie weryfikowała osoba fizyczna działająca we własnym imieniu (proponowany art. 23l).</w:t>
      </w:r>
    </w:p>
    <w:p w14:paraId="38C55679" w14:textId="023DE886" w:rsidR="00CA19A7" w:rsidRPr="00553C4E" w:rsidRDefault="00CA19A7" w:rsidP="007E18A8">
      <w:pPr>
        <w:spacing w:before="120" w:after="0" w:line="360" w:lineRule="auto"/>
        <w:ind w:left="-284"/>
        <w:jc w:val="both"/>
        <w:rPr>
          <w:rFonts w:ascii="Times New Roman" w:eastAsia="Calibri" w:hAnsi="Times New Roman" w:cs="Times New Roman"/>
          <w:sz w:val="24"/>
          <w:szCs w:val="24"/>
        </w:rPr>
      </w:pPr>
      <w:r w:rsidRPr="00553C4E">
        <w:rPr>
          <w:rFonts w:ascii="Times New Roman" w:eastAsia="Calibri" w:hAnsi="Times New Roman" w:cs="Times New Roman"/>
          <w:sz w:val="24"/>
          <w:szCs w:val="24"/>
        </w:rPr>
        <w:t>Drugim środkiem udostępnionym do weryfikacji zastrzeżenia będzie możliwość komunikowania się z rejestrem zastrzeżeń za pomocą urządzeń teletransmisji da</w:t>
      </w:r>
      <w:r w:rsidR="00B47930">
        <w:rPr>
          <w:rFonts w:ascii="Times New Roman" w:eastAsia="Calibri" w:hAnsi="Times New Roman" w:cs="Times New Roman"/>
          <w:sz w:val="24"/>
          <w:szCs w:val="24"/>
        </w:rPr>
        <w:t>nych w wyniku zapytania tylko o </w:t>
      </w:r>
      <w:r w:rsidRPr="00553C4E">
        <w:rPr>
          <w:rFonts w:ascii="Times New Roman" w:eastAsia="Calibri" w:hAnsi="Times New Roman" w:cs="Times New Roman"/>
          <w:sz w:val="24"/>
          <w:szCs w:val="24"/>
        </w:rPr>
        <w:t xml:space="preserve">jedną daną – numer PESEL </w:t>
      </w:r>
      <w:r w:rsidR="007E18A8">
        <w:rPr>
          <w:rFonts w:ascii="Times New Roman" w:eastAsia="Calibri" w:hAnsi="Times New Roman" w:cs="Times New Roman"/>
          <w:sz w:val="24"/>
          <w:szCs w:val="24"/>
        </w:rPr>
        <w:t xml:space="preserve">– </w:t>
      </w:r>
      <w:r w:rsidRPr="00553C4E">
        <w:rPr>
          <w:rFonts w:ascii="Times New Roman" w:eastAsia="Calibri" w:hAnsi="Times New Roman" w:cs="Times New Roman"/>
          <w:sz w:val="24"/>
          <w:szCs w:val="24"/>
        </w:rPr>
        <w:t xml:space="preserve">przez system zewnętrzny zbudowany przez zainteresowany podmiot przy użyciu API oraz dokumentacji integracyjnej udostępnionej przez Ministra Cyfryzacji. Rozwiązanie to będzie dedykowane dla podmiotów publicznych weryfikujących takie dane dla potrzeb realizacji swoich zadań ustawowych, podmiotów zobligowanych do weryfikacji czy numer PESEL jest zastrzeżony na podstawie przepisów odrębnych wprowadzanych niniejszą ustawą oraz podmiotów, których specyfika wykonywanych zadań oraz prowadzonej działalności wymaga takiej weryfikacji pomimo braku przepisów zobowiązujących do sprawdzania zastrzeżenia. Uzyskanie dostępu będzie możliwe po złożeniu jednorazowego wniosku przesłanego w formie papierowej opatrzonego własnoręcznym podpisem lub w postaci elektronicznej opatrzonym kwalifikowanym podpisem elektronicznym, podpisem zaufanym lub podpisem osobistym oraz oświadczenia o spełnieniu wymogów, o których mowa w ustawie o ewidencji ludności (art. 23m ustawy). Po zbadaniu kompletności dokumentacji, minister wyda decyzję </w:t>
      </w:r>
      <w:r w:rsidRPr="00553C4E">
        <w:rPr>
          <w:rFonts w:ascii="Times New Roman" w:eastAsia="Calibri" w:hAnsi="Times New Roman" w:cs="Times New Roman"/>
          <w:sz w:val="24"/>
          <w:szCs w:val="24"/>
        </w:rPr>
        <w:lastRenderedPageBreak/>
        <w:t>uprawniającą do dostępu do danych zgromadzonych w rejes</w:t>
      </w:r>
      <w:r w:rsidR="00B47930">
        <w:rPr>
          <w:rFonts w:ascii="Times New Roman" w:eastAsia="Calibri" w:hAnsi="Times New Roman" w:cs="Times New Roman"/>
          <w:sz w:val="24"/>
          <w:szCs w:val="24"/>
        </w:rPr>
        <w:t>trze zastrzeżeń numerów PESEL w </w:t>
      </w:r>
      <w:r w:rsidRPr="00553C4E">
        <w:rPr>
          <w:rFonts w:ascii="Times New Roman" w:eastAsia="Calibri" w:hAnsi="Times New Roman" w:cs="Times New Roman"/>
          <w:sz w:val="24"/>
          <w:szCs w:val="24"/>
        </w:rPr>
        <w:t>drodze weryfikacji. W odróżnieniu od rejestrów prowadzonych w ramach Systemu Rejestrów Państwowych (np. rejestr PESEL, Rejestr Dowodów Osobistych) nie będzie konieczności by system zewnętrzny przeznaczony do komunikowania się z rejestrem zastrzeżeń numerów PESEL łączył s</w:t>
      </w:r>
      <w:r w:rsidR="007E18A8">
        <w:rPr>
          <w:rFonts w:ascii="Times New Roman" w:eastAsia="Calibri" w:hAnsi="Times New Roman" w:cs="Times New Roman"/>
          <w:sz w:val="24"/>
          <w:szCs w:val="24"/>
        </w:rPr>
        <w:t>ię z nim przez sieć dedykowaną.</w:t>
      </w:r>
    </w:p>
    <w:p w14:paraId="05932F03" w14:textId="196F3EE7" w:rsidR="00CA19A7" w:rsidRPr="00553C4E" w:rsidRDefault="00CA19A7" w:rsidP="00553C4E">
      <w:pPr>
        <w:spacing w:before="120" w:after="0" w:line="360" w:lineRule="auto"/>
        <w:ind w:left="-284"/>
        <w:jc w:val="both"/>
        <w:rPr>
          <w:rFonts w:ascii="Times New Roman" w:eastAsia="Calibri" w:hAnsi="Times New Roman" w:cs="Times New Roman"/>
          <w:sz w:val="24"/>
          <w:szCs w:val="24"/>
        </w:rPr>
      </w:pPr>
      <w:r w:rsidRPr="00553C4E">
        <w:rPr>
          <w:rFonts w:ascii="Times New Roman" w:eastAsia="Calibri" w:hAnsi="Times New Roman" w:cs="Times New Roman"/>
          <w:sz w:val="24"/>
          <w:szCs w:val="24"/>
        </w:rPr>
        <w:t xml:space="preserve">Minister właściwy do spraw informatyzacji zapewni ponadto sądom i Ministrowi Sprawiedliwości możliwość sprawdzenia za pomocą urządzeń teletransmisji wszystkich dokonywanych weryfikacji poszczególnych numerów PESEL wraz ze </w:t>
      </w:r>
      <w:r w:rsidR="00B47930">
        <w:rPr>
          <w:rFonts w:ascii="Times New Roman" w:eastAsia="Calibri" w:hAnsi="Times New Roman" w:cs="Times New Roman"/>
          <w:sz w:val="24"/>
          <w:szCs w:val="24"/>
        </w:rPr>
        <w:t>wskazaniem wyniku weryfikacji i </w:t>
      </w:r>
      <w:r w:rsidRPr="00553C4E">
        <w:rPr>
          <w:rFonts w:ascii="Times New Roman" w:eastAsia="Calibri" w:hAnsi="Times New Roman" w:cs="Times New Roman"/>
          <w:sz w:val="24"/>
          <w:szCs w:val="24"/>
        </w:rPr>
        <w:t xml:space="preserve">podmiotów dokonujących weryfikacji a w przypadku dokonania weryfikacji w sposób określony w proponowanym art. 23l ust. 5 ustawy o ewidencji ludności (na rzecz innego podmiotu) także imienia, nazwiska oraz numeru PESEL osoby dokonującej weryfikacji. Uzyskanie dostępu do nowo utworzonego rejestru zostanie zatem od strony technicznej znacząco uproszczone co pozwoli na szybką implementację oraz integrację narzędzia przez podmioty weryfikujące. Przewidziane integracje z rejestrem PESEL dotyczą ściśle określonych w projekcie sytuacji tj.: </w:t>
      </w:r>
    </w:p>
    <w:p w14:paraId="7A7F2B67" w14:textId="5D34E680" w:rsidR="00CA19A7" w:rsidRPr="00553C4E" w:rsidRDefault="00CA19A7" w:rsidP="00553C4E">
      <w:pPr>
        <w:pStyle w:val="Akapitzlist"/>
        <w:numPr>
          <w:ilvl w:val="0"/>
          <w:numId w:val="35"/>
        </w:numPr>
        <w:autoSpaceDE w:val="0"/>
        <w:autoSpaceDN w:val="0"/>
        <w:adjustRightInd w:val="0"/>
        <w:spacing w:before="120" w:line="360" w:lineRule="auto"/>
        <w:ind w:left="142"/>
        <w:jc w:val="both"/>
        <w:rPr>
          <w:rFonts w:ascii="Times New Roman" w:hAnsi="Times New Roman"/>
          <w:sz w:val="24"/>
          <w:szCs w:val="24"/>
        </w:rPr>
      </w:pPr>
      <w:r w:rsidRPr="00553C4E">
        <w:rPr>
          <w:rFonts w:ascii="Times New Roman" w:hAnsi="Times New Roman"/>
          <w:sz w:val="24"/>
          <w:szCs w:val="24"/>
        </w:rPr>
        <w:t>czy wprowadzany numer faktycznie został nadany (istni</w:t>
      </w:r>
      <w:r w:rsidR="00B47930">
        <w:rPr>
          <w:rFonts w:ascii="Times New Roman" w:hAnsi="Times New Roman"/>
          <w:sz w:val="24"/>
          <w:szCs w:val="24"/>
        </w:rPr>
        <w:t>enie w rejestrze PESEL) – (art. </w:t>
      </w:r>
      <w:r w:rsidRPr="00553C4E">
        <w:rPr>
          <w:rFonts w:ascii="Times New Roman" w:hAnsi="Times New Roman"/>
          <w:sz w:val="24"/>
          <w:szCs w:val="24"/>
        </w:rPr>
        <w:t>23c ust. 2). Przypadek ten dotyczy momentu wprowadzania danych do rejestru zastrzeżeń i zapewnić ma, że numery PESEL, które znajdą się w rejestrze będą numerami faktycznie istniejącymi;</w:t>
      </w:r>
    </w:p>
    <w:p w14:paraId="7BB0F9C9" w14:textId="77777777" w:rsidR="00CA19A7" w:rsidRPr="00553C4E" w:rsidRDefault="00CA19A7" w:rsidP="00553C4E">
      <w:pPr>
        <w:pStyle w:val="Akapitzlist"/>
        <w:numPr>
          <w:ilvl w:val="0"/>
          <w:numId w:val="35"/>
        </w:numPr>
        <w:autoSpaceDE w:val="0"/>
        <w:autoSpaceDN w:val="0"/>
        <w:adjustRightInd w:val="0"/>
        <w:spacing w:before="120" w:line="360" w:lineRule="auto"/>
        <w:ind w:left="142"/>
        <w:jc w:val="both"/>
        <w:rPr>
          <w:rFonts w:ascii="Times New Roman" w:hAnsi="Times New Roman"/>
          <w:sz w:val="24"/>
          <w:szCs w:val="24"/>
        </w:rPr>
      </w:pPr>
      <w:r w:rsidRPr="00553C4E">
        <w:rPr>
          <w:rFonts w:ascii="Times New Roman" w:hAnsi="Times New Roman"/>
          <w:sz w:val="24"/>
          <w:szCs w:val="24"/>
        </w:rPr>
        <w:t>porównania zestawu danych (PESEL i seria i numer dokumentu) z danymi w rejestrze PESEL.</w:t>
      </w:r>
    </w:p>
    <w:p w14:paraId="4F6B9F76" w14:textId="4FF65F2A" w:rsidR="00CA19A7" w:rsidRPr="00553C4E" w:rsidRDefault="00CA19A7" w:rsidP="00553C4E">
      <w:pPr>
        <w:pStyle w:val="Akapitzlist"/>
        <w:autoSpaceDE w:val="0"/>
        <w:autoSpaceDN w:val="0"/>
        <w:adjustRightInd w:val="0"/>
        <w:spacing w:before="120" w:line="360" w:lineRule="auto"/>
        <w:ind w:left="142"/>
        <w:jc w:val="both"/>
        <w:rPr>
          <w:rFonts w:ascii="Times New Roman" w:hAnsi="Times New Roman"/>
          <w:sz w:val="24"/>
          <w:szCs w:val="24"/>
        </w:rPr>
      </w:pPr>
      <w:r w:rsidRPr="00553C4E">
        <w:rPr>
          <w:rFonts w:ascii="Times New Roman" w:hAnsi="Times New Roman"/>
          <w:sz w:val="24"/>
          <w:szCs w:val="24"/>
        </w:rPr>
        <w:t>Dane z tej ewidencji będą udostępniane nieodpłatnie zarówno w przypadku korzystania z e-usługi elektronicznej jak i za pomocą u</w:t>
      </w:r>
      <w:r w:rsidR="00B47930">
        <w:rPr>
          <w:rFonts w:ascii="Times New Roman" w:hAnsi="Times New Roman"/>
          <w:sz w:val="24"/>
          <w:szCs w:val="24"/>
        </w:rPr>
        <w:t>rządzeń teletransmisji danych.</w:t>
      </w:r>
    </w:p>
    <w:p w14:paraId="6ED14D0D" w14:textId="017AA504" w:rsidR="00CA19A7" w:rsidRPr="00553C4E" w:rsidRDefault="00CA19A7" w:rsidP="00553C4E">
      <w:pPr>
        <w:spacing w:before="120" w:after="0" w:line="360" w:lineRule="auto"/>
        <w:ind w:left="-284"/>
        <w:jc w:val="both"/>
        <w:rPr>
          <w:rFonts w:ascii="Times New Roman" w:eastAsia="Calibri" w:hAnsi="Times New Roman" w:cs="Times New Roman"/>
          <w:sz w:val="24"/>
          <w:szCs w:val="24"/>
        </w:rPr>
      </w:pPr>
      <w:r w:rsidRPr="00553C4E">
        <w:rPr>
          <w:rFonts w:ascii="Times New Roman" w:eastAsia="Calibri" w:hAnsi="Times New Roman" w:cs="Times New Roman"/>
          <w:sz w:val="24"/>
          <w:szCs w:val="24"/>
        </w:rPr>
        <w:t>W przeciwieństwie do usług weryfikacji z rejestru PESEL, w wyniku weryfikacji zastrzeżenia numeru PESEL weryfikujący będzie otrzymywać oprócz informacji czy PESEL jest zastrzeżony także dane w postaci chwili zastrzeżenia oraz cofnięcia zastrzeżenia, a w przypadku, gdy numer PESEL nie był nigdy zastrzeżony informacje o braku cofnięcia</w:t>
      </w:r>
      <w:r w:rsidR="00B47930">
        <w:rPr>
          <w:rFonts w:ascii="Times New Roman" w:eastAsia="Calibri" w:hAnsi="Times New Roman" w:cs="Times New Roman"/>
          <w:sz w:val="24"/>
          <w:szCs w:val="24"/>
        </w:rPr>
        <w:t xml:space="preserve"> zastrzeżenia. Z tego względu w art. </w:t>
      </w:r>
      <w:r w:rsidRPr="00553C4E">
        <w:rPr>
          <w:rFonts w:ascii="Times New Roman" w:eastAsia="Calibri" w:hAnsi="Times New Roman" w:cs="Times New Roman"/>
          <w:sz w:val="24"/>
          <w:szCs w:val="24"/>
        </w:rPr>
        <w:t>23m ust. 4 zdefiniowano na czym polega udostepnieni</w:t>
      </w:r>
      <w:r w:rsidR="00B47930">
        <w:rPr>
          <w:rFonts w:ascii="Times New Roman" w:eastAsia="Calibri" w:hAnsi="Times New Roman" w:cs="Times New Roman"/>
          <w:sz w:val="24"/>
          <w:szCs w:val="24"/>
        </w:rPr>
        <w:t>e danych w drodze weryfikacji z </w:t>
      </w:r>
      <w:r w:rsidRPr="00553C4E">
        <w:rPr>
          <w:rFonts w:ascii="Times New Roman" w:eastAsia="Calibri" w:hAnsi="Times New Roman" w:cs="Times New Roman"/>
          <w:sz w:val="24"/>
          <w:szCs w:val="24"/>
        </w:rPr>
        <w:t>rejestru zastrzeżeń. Udostępnianie danych w trybie weryfikacji z rejestru zastrzeżeń polegać będzie na zweryfikowaniu informacji o zastrzeżeniu numeru P</w:t>
      </w:r>
      <w:r w:rsidR="00B47930">
        <w:rPr>
          <w:rFonts w:ascii="Times New Roman" w:eastAsia="Calibri" w:hAnsi="Times New Roman" w:cs="Times New Roman"/>
          <w:sz w:val="24"/>
          <w:szCs w:val="24"/>
        </w:rPr>
        <w:t>ESEL w chwili weryfikacji lub w </w:t>
      </w:r>
      <w:r w:rsidRPr="00553C4E">
        <w:rPr>
          <w:rFonts w:ascii="Times New Roman" w:eastAsia="Calibri" w:hAnsi="Times New Roman" w:cs="Times New Roman"/>
          <w:sz w:val="24"/>
          <w:szCs w:val="24"/>
        </w:rPr>
        <w:t>dniu określonym przez weryfikującego i udostępnienie określonych przepisem danych. Osoby i jednostki organizacyjne w celu uzyskania dostępu do rejestru zastrzeżeń w trybie teletransmisji danych będą musiały zgodnie z projektowanym art. 23m ust. 1 pk</w:t>
      </w:r>
      <w:r w:rsidR="00B47930">
        <w:rPr>
          <w:rFonts w:ascii="Times New Roman" w:eastAsia="Calibri" w:hAnsi="Times New Roman" w:cs="Times New Roman"/>
          <w:sz w:val="24"/>
          <w:szCs w:val="24"/>
        </w:rPr>
        <w:t>t 2 wykazać interes faktyczny w </w:t>
      </w:r>
      <w:r w:rsidRPr="00553C4E">
        <w:rPr>
          <w:rFonts w:ascii="Times New Roman" w:eastAsia="Calibri" w:hAnsi="Times New Roman" w:cs="Times New Roman"/>
          <w:sz w:val="24"/>
          <w:szCs w:val="24"/>
        </w:rPr>
        <w:t>uzyskaniu danych. Odesłanie do art. 46 ust. 2 pkt 1 w tym przepisie odnosi się jedynie do określenia kręgu podmiotowego.</w:t>
      </w:r>
    </w:p>
    <w:p w14:paraId="6E85EE18" w14:textId="0FAD208F" w:rsidR="00CA19A7" w:rsidRPr="00553C4E" w:rsidRDefault="00CA19A7" w:rsidP="00553C4E">
      <w:pPr>
        <w:numPr>
          <w:ilvl w:val="0"/>
          <w:numId w:val="34"/>
        </w:numPr>
        <w:spacing w:before="120" w:after="0" w:line="360" w:lineRule="auto"/>
        <w:ind w:left="-284"/>
        <w:jc w:val="both"/>
        <w:rPr>
          <w:rFonts w:ascii="Times New Roman" w:eastAsia="Calibri" w:hAnsi="Times New Roman" w:cs="Times New Roman"/>
          <w:sz w:val="24"/>
          <w:szCs w:val="24"/>
        </w:rPr>
      </w:pPr>
      <w:r w:rsidRPr="00553C4E">
        <w:rPr>
          <w:rFonts w:ascii="Times New Roman" w:eastAsia="Calibri" w:hAnsi="Times New Roman" w:cs="Times New Roman"/>
          <w:sz w:val="24"/>
          <w:szCs w:val="24"/>
        </w:rPr>
        <w:lastRenderedPageBreak/>
        <w:t>Zmiany w ustawie z dnia 12 maja 2011 r. o kredycie konsumenck</w:t>
      </w:r>
      <w:r w:rsidR="00B47930">
        <w:rPr>
          <w:rFonts w:ascii="Times New Roman" w:eastAsia="Calibri" w:hAnsi="Times New Roman" w:cs="Times New Roman"/>
          <w:sz w:val="24"/>
          <w:szCs w:val="24"/>
        </w:rPr>
        <w:t>im (Dz. U. z 2022 r. poz. 246 i </w:t>
      </w:r>
      <w:r w:rsidRPr="00553C4E">
        <w:rPr>
          <w:rFonts w:ascii="Times New Roman" w:eastAsia="Calibri" w:hAnsi="Times New Roman" w:cs="Times New Roman"/>
          <w:sz w:val="24"/>
          <w:szCs w:val="24"/>
        </w:rPr>
        <w:t>2339)</w:t>
      </w:r>
    </w:p>
    <w:p w14:paraId="230C1105" w14:textId="4E07352C" w:rsidR="00CA19A7" w:rsidRPr="00553C4E" w:rsidRDefault="00CA19A7" w:rsidP="00553C4E">
      <w:pPr>
        <w:spacing w:before="120" w:after="0" w:line="360" w:lineRule="auto"/>
        <w:ind w:left="-142"/>
        <w:jc w:val="both"/>
        <w:rPr>
          <w:rFonts w:ascii="Times New Roman" w:eastAsia="Calibri" w:hAnsi="Times New Roman" w:cs="Times New Roman"/>
          <w:sz w:val="24"/>
          <w:szCs w:val="24"/>
        </w:rPr>
      </w:pPr>
      <w:r w:rsidRPr="00553C4E">
        <w:rPr>
          <w:rFonts w:ascii="Times New Roman" w:eastAsia="Calibri" w:hAnsi="Times New Roman" w:cs="Times New Roman"/>
          <w:sz w:val="24"/>
          <w:szCs w:val="24"/>
        </w:rPr>
        <w:t>Proponuje się nałożenie na podmioty udzielające kredytów konsumenckich obowiązku weryfikacji czy numer PESEL osoby jest zastrzeżony, przed zawarciem umowy ma na celu zablokowanie dokonania czynności prawnej, co do której posiadacz numeru PESEL nie wyraził zgody – zastrzegając swój numer identyfikacyjny w tworzonym rejestrze zastrzeżeń numerów PESEL. Sprawdzenie takiego zastrzeżenia może nastąpić za nieodpłatnie za pomocą usługi dostępnej na Gov.pl lub przez system zewnętrzny zintegrowany z nowo u</w:t>
      </w:r>
      <w:r w:rsidR="00B47930">
        <w:rPr>
          <w:rFonts w:ascii="Times New Roman" w:eastAsia="Calibri" w:hAnsi="Times New Roman" w:cs="Times New Roman"/>
          <w:sz w:val="24"/>
          <w:szCs w:val="24"/>
        </w:rPr>
        <w:t>tworzonym rejestrem zastrzeżeń.</w:t>
      </w:r>
    </w:p>
    <w:p w14:paraId="20F5C1DD" w14:textId="7878A9C5" w:rsidR="00CA19A7" w:rsidRPr="00553C4E" w:rsidRDefault="00CA19A7" w:rsidP="00B47930">
      <w:pPr>
        <w:spacing w:before="120" w:after="0" w:line="360" w:lineRule="auto"/>
        <w:ind w:left="-142"/>
        <w:jc w:val="both"/>
        <w:rPr>
          <w:rFonts w:ascii="Times New Roman" w:eastAsia="Calibri" w:hAnsi="Times New Roman" w:cs="Times New Roman"/>
          <w:sz w:val="24"/>
          <w:szCs w:val="24"/>
        </w:rPr>
      </w:pPr>
      <w:r w:rsidRPr="00553C4E">
        <w:rPr>
          <w:rFonts w:ascii="Times New Roman" w:eastAsia="Calibri" w:hAnsi="Times New Roman" w:cs="Times New Roman"/>
          <w:sz w:val="24"/>
          <w:szCs w:val="24"/>
        </w:rPr>
        <w:t>Regulacja dotycząca zmian w ustawie o kredycie konsumenckim zawiera wyłączenia konieczności weryfikacji zastrzeżenia numeru PESEL. Z obowiązku takiego wyłączone zostały kredyty, w przypadku których kwota kredytu nie trafia do kredytobiorcy, lecz do sprzedawcy, od którego kredytodawca nabywa produkty lub usługi. Aby zastosować wyłączenie umowa musi zostać zawarta za pomocą środków komunikacji elektronicznej i na odległość, w ramach umowy o charakterze ciągłym. Regulacja ta ma na celu ułatwieni</w:t>
      </w:r>
      <w:r w:rsidR="00B47930">
        <w:rPr>
          <w:rFonts w:ascii="Times New Roman" w:eastAsia="Calibri" w:hAnsi="Times New Roman" w:cs="Times New Roman"/>
          <w:sz w:val="24"/>
          <w:szCs w:val="24"/>
        </w:rPr>
        <w:t>e dokonywania zakupów online, w </w:t>
      </w:r>
      <w:r w:rsidRPr="00553C4E">
        <w:rPr>
          <w:rFonts w:ascii="Times New Roman" w:eastAsia="Calibri" w:hAnsi="Times New Roman" w:cs="Times New Roman"/>
          <w:sz w:val="24"/>
          <w:szCs w:val="24"/>
        </w:rPr>
        <w:t xml:space="preserve">szczególności w formule płatności odroczonych, gdzie wielokrotne zastrzeganie i cofanie zastrzeżenia numeru PESEL było by czynnością uciążliwą dla konsumenta i jednocześnie być czynnikiem wpływającym na wolniejszy rozwój branży e-commerce. Projektodawca uznał, że kredyty takie są obciążone mniejszym poziomem ryzyka z uwagi na brak otrzymania przez kredytobiorcę samych środków finansowych a nabywanego towaru lub usługi. Wyłączenie dotyczy relacji z konsumentem o charakterze ciągłym tzn. takim, gdy konsument jest związany już z kredytodawcą umową na świadczenie tego rodzaju usług w ramach np. przyznanego limitu do konta (weryfikacja zastrzeżenia numeru PESEL nastąpić musi w momencie wejścia w relację o charakterze ciągłym). Każdorazowe udzielenie kredytu konsumenckiego musi być poprzedzone uwierzytelnieniem się kredytobiorcy z wykorzystaniem indywidualnych danych uwierzytelniających (np. logowanie do konta) a łączna wartość wszystkich zobowiązań pozostających do zapłaty z tytułu udzielonych kredytów konsumenckich w związku z umową o charakterze ciągłym nie przekracza wysokości minimalnego wynagrodzenia za pracę. Dodatkowo przed zawarciem umowy o charakterze ciągłym osoba musi zostać zweryfikowana z wykorzystaniem rozwiązań umożliwiających identyfikację kredytobiorcy a także musi nastąpić jednorazowa weryfikacja zastrzeżenia numeru PESEL (weryfikacja zastrzeżenia numeru PESEL tylko przy zawarciu umowy o charakterze ciągłym a nie umowy o kredyt konsumencki). W projekcie przewidziano analogiczne rozwiązania jak w przypadku innych przepisów </w:t>
      </w:r>
      <w:r w:rsidRPr="00553C4E">
        <w:rPr>
          <w:rFonts w:ascii="Times New Roman" w:eastAsia="Calibri" w:hAnsi="Times New Roman" w:cs="Times New Roman"/>
          <w:sz w:val="24"/>
          <w:szCs w:val="24"/>
        </w:rPr>
        <w:lastRenderedPageBreak/>
        <w:t xml:space="preserve">dotyczące ewentualnej niedostępności systemu teleinformatycznego, w którym prowadzony jest rejestr zastrzeżeń numerów PESEL (szerzej w części uzasadnienia dotyczącej ustawy z dnia 14 lutego 1991 r. –Prawo o notariacie oraz zmian w ustawie z dnia 29 sierpnia 1997 r. </w:t>
      </w:r>
      <w:r w:rsidR="00B47930">
        <w:rPr>
          <w:rFonts w:ascii="Times New Roman" w:eastAsia="Calibri" w:hAnsi="Times New Roman" w:cs="Times New Roman"/>
          <w:sz w:val="24"/>
          <w:szCs w:val="24"/>
        </w:rPr>
        <w:t>–</w:t>
      </w:r>
      <w:r w:rsidRPr="00553C4E">
        <w:rPr>
          <w:rFonts w:ascii="Times New Roman" w:eastAsia="Calibri" w:hAnsi="Times New Roman" w:cs="Times New Roman"/>
          <w:sz w:val="24"/>
          <w:szCs w:val="24"/>
        </w:rPr>
        <w:t xml:space="preserve"> Prawo bankowe).</w:t>
      </w:r>
    </w:p>
    <w:p w14:paraId="0F1AF4FC" w14:textId="72FB4A6E" w:rsidR="00CA19A7" w:rsidRPr="00553C4E" w:rsidRDefault="00CA19A7" w:rsidP="00553C4E">
      <w:pPr>
        <w:numPr>
          <w:ilvl w:val="0"/>
          <w:numId w:val="34"/>
        </w:numPr>
        <w:spacing w:before="120" w:after="0" w:line="360" w:lineRule="auto"/>
        <w:ind w:left="-284"/>
        <w:jc w:val="both"/>
        <w:rPr>
          <w:rFonts w:ascii="Times New Roman" w:eastAsia="Calibri" w:hAnsi="Times New Roman" w:cs="Times New Roman"/>
          <w:sz w:val="24"/>
          <w:szCs w:val="24"/>
        </w:rPr>
      </w:pPr>
      <w:r w:rsidRPr="00553C4E">
        <w:rPr>
          <w:rFonts w:ascii="Times New Roman" w:eastAsia="Calibri" w:hAnsi="Times New Roman" w:cs="Times New Roman"/>
          <w:sz w:val="24"/>
          <w:szCs w:val="24"/>
        </w:rPr>
        <w:t>Zmiany w ustawie z dnia 19 sierpnia 2011 r. o usługach płatniczych (</w:t>
      </w:r>
      <w:r w:rsidR="00B47930">
        <w:rPr>
          <w:rFonts w:ascii="Times New Roman" w:hAnsi="Times New Roman" w:cs="Times New Roman"/>
          <w:sz w:val="24"/>
          <w:szCs w:val="24"/>
        </w:rPr>
        <w:t>Dz. U. z 2022 r. poz. 2360 i </w:t>
      </w:r>
      <w:r w:rsidRPr="00553C4E">
        <w:rPr>
          <w:rFonts w:ascii="Times New Roman" w:hAnsi="Times New Roman" w:cs="Times New Roman"/>
          <w:sz w:val="24"/>
          <w:szCs w:val="24"/>
        </w:rPr>
        <w:t>2640)</w:t>
      </w:r>
      <w:r w:rsidRPr="00553C4E">
        <w:rPr>
          <w:rFonts w:ascii="Times New Roman" w:eastAsia="Calibri" w:hAnsi="Times New Roman" w:cs="Times New Roman"/>
          <w:sz w:val="24"/>
          <w:szCs w:val="24"/>
        </w:rPr>
        <w:t xml:space="preserve"> pozwolą na objęcie koniecznością weryfikacji zastrzeżenia również zawieranie umów na prowadzenie rachunku płatniczego lub kredytu w rachunku płatniczym. Sposób w jaki ma następować weryfikacji będzie zbieżny z rozwiązaniem przyjętym dla banków i firm pożyczkowych. Wprowadzenie tej regulacji pozwala na uczynienie rozwiązania bardziej kompletnym i objęcie regulacją większego spektrum czynności wiążących się z zaciąganiem zobowiązań.</w:t>
      </w:r>
    </w:p>
    <w:p w14:paraId="183515C8" w14:textId="77777777" w:rsidR="00CA19A7" w:rsidRPr="00553C4E" w:rsidRDefault="00CA19A7" w:rsidP="00553C4E">
      <w:pPr>
        <w:numPr>
          <w:ilvl w:val="0"/>
          <w:numId w:val="34"/>
        </w:numPr>
        <w:spacing w:before="120" w:after="0" w:line="360" w:lineRule="auto"/>
        <w:ind w:left="-284"/>
        <w:jc w:val="both"/>
        <w:rPr>
          <w:rFonts w:ascii="Times New Roman" w:eastAsia="Calibri" w:hAnsi="Times New Roman" w:cs="Times New Roman"/>
          <w:sz w:val="24"/>
          <w:szCs w:val="24"/>
        </w:rPr>
      </w:pPr>
      <w:r w:rsidRPr="00553C4E">
        <w:rPr>
          <w:rFonts w:ascii="Times New Roman" w:eastAsia="Calibri" w:hAnsi="Times New Roman" w:cs="Times New Roman"/>
          <w:sz w:val="24"/>
          <w:szCs w:val="24"/>
        </w:rPr>
        <w:t>Koszty</w:t>
      </w:r>
    </w:p>
    <w:p w14:paraId="47914FE7" w14:textId="7E4B1B34" w:rsidR="00CA19A7" w:rsidRPr="00553C4E" w:rsidRDefault="00CA19A7" w:rsidP="00553C4E">
      <w:pPr>
        <w:spacing w:before="120" w:after="0" w:line="360" w:lineRule="auto"/>
        <w:ind w:left="-284"/>
        <w:jc w:val="both"/>
        <w:rPr>
          <w:rFonts w:ascii="Times New Roman" w:eastAsia="Calibri" w:hAnsi="Times New Roman" w:cs="Times New Roman"/>
          <w:sz w:val="24"/>
          <w:szCs w:val="24"/>
        </w:rPr>
      </w:pPr>
      <w:r w:rsidRPr="00553C4E">
        <w:rPr>
          <w:rFonts w:ascii="Times New Roman" w:eastAsia="Calibri" w:hAnsi="Times New Roman" w:cs="Times New Roman"/>
          <w:sz w:val="24"/>
          <w:szCs w:val="24"/>
        </w:rPr>
        <w:t>Limit wydatków budżetu państwa dla ministra właściwego</w:t>
      </w:r>
      <w:r w:rsidR="00B47930">
        <w:rPr>
          <w:rFonts w:ascii="Times New Roman" w:eastAsia="Calibri" w:hAnsi="Times New Roman" w:cs="Times New Roman"/>
          <w:sz w:val="24"/>
          <w:szCs w:val="24"/>
        </w:rPr>
        <w:t xml:space="preserve"> do spraw informatyzacji (cześć </w:t>
      </w:r>
      <w:r w:rsidRPr="00553C4E">
        <w:rPr>
          <w:rFonts w:ascii="Times New Roman" w:eastAsia="Calibri" w:hAnsi="Times New Roman" w:cs="Times New Roman"/>
          <w:sz w:val="24"/>
          <w:szCs w:val="24"/>
        </w:rPr>
        <w:t>27) przeznaczony na pokrycie zadań związanych z zapewnieniem rozwiązań określonych w wyniku wejścia w życie ustawy wynosi w latach 2023–2032 15,1 mln zł. Zawarty został również mechanizm korygujący w przypadku zagrożenia przekroczenia przyjętego na dany rok budżetowy maksymalnego limitu wydatków. Mechanizm polega na zmniejszeniu kosztów rzeczowych ponoszonych przez ministra właściwego do spraw informatyzacji związanych z realizacją zadań wynikających z ustawy. Podobny mechanizm przewidziany został dla wydatków w latach 2023–2032 ponoszonych na pokrycie kosztów realizacji zadań zlecony</w:t>
      </w:r>
      <w:r w:rsidR="007E18A8">
        <w:rPr>
          <w:rFonts w:ascii="Times New Roman" w:eastAsia="Calibri" w:hAnsi="Times New Roman" w:cs="Times New Roman"/>
          <w:sz w:val="24"/>
          <w:szCs w:val="24"/>
        </w:rPr>
        <w:t>ch (część 85) w wysokości 19,31 </w:t>
      </w:r>
      <w:r w:rsidRPr="00553C4E">
        <w:rPr>
          <w:rFonts w:ascii="Times New Roman" w:eastAsia="Calibri" w:hAnsi="Times New Roman" w:cs="Times New Roman"/>
          <w:sz w:val="24"/>
          <w:szCs w:val="24"/>
        </w:rPr>
        <w:t>mln zł.</w:t>
      </w:r>
    </w:p>
    <w:p w14:paraId="2CB33E3D" w14:textId="77777777" w:rsidR="00CA19A7" w:rsidRPr="00553C4E" w:rsidRDefault="00CA19A7" w:rsidP="00553C4E">
      <w:pPr>
        <w:numPr>
          <w:ilvl w:val="0"/>
          <w:numId w:val="34"/>
        </w:numPr>
        <w:spacing w:before="120" w:after="0" w:line="360" w:lineRule="auto"/>
        <w:ind w:left="-284"/>
        <w:jc w:val="both"/>
        <w:rPr>
          <w:rFonts w:ascii="Times New Roman" w:eastAsia="Calibri" w:hAnsi="Times New Roman" w:cs="Times New Roman"/>
          <w:sz w:val="24"/>
          <w:szCs w:val="24"/>
        </w:rPr>
      </w:pPr>
      <w:r w:rsidRPr="00553C4E">
        <w:rPr>
          <w:rFonts w:ascii="Times New Roman" w:eastAsia="Calibri" w:hAnsi="Times New Roman" w:cs="Times New Roman"/>
          <w:sz w:val="24"/>
          <w:szCs w:val="24"/>
        </w:rPr>
        <w:t>Termin wejścia w życie</w:t>
      </w:r>
    </w:p>
    <w:p w14:paraId="73678485" w14:textId="77777777" w:rsidR="00CA19A7" w:rsidRPr="00553C4E" w:rsidRDefault="00CA19A7" w:rsidP="00553C4E">
      <w:pPr>
        <w:spacing w:before="120" w:after="0" w:line="360" w:lineRule="auto"/>
        <w:ind w:left="-284"/>
        <w:jc w:val="both"/>
        <w:rPr>
          <w:rFonts w:ascii="Times New Roman" w:eastAsia="Calibri" w:hAnsi="Times New Roman" w:cs="Times New Roman"/>
          <w:sz w:val="24"/>
          <w:szCs w:val="24"/>
        </w:rPr>
      </w:pPr>
      <w:r w:rsidRPr="00553C4E">
        <w:rPr>
          <w:rFonts w:ascii="Times New Roman" w:eastAsia="Calibri" w:hAnsi="Times New Roman" w:cs="Times New Roman"/>
          <w:sz w:val="24"/>
          <w:szCs w:val="24"/>
        </w:rPr>
        <w:t>Ustawa wejdzie w życie z dniem następującym po dniu ogłoszeni</w:t>
      </w:r>
      <w:r w:rsidR="007E18A8">
        <w:rPr>
          <w:rFonts w:ascii="Times New Roman" w:eastAsia="Calibri" w:hAnsi="Times New Roman" w:cs="Times New Roman"/>
          <w:sz w:val="24"/>
          <w:szCs w:val="24"/>
        </w:rPr>
        <w:t>a, z wyjątkiem art. 6 oraz art. </w:t>
      </w:r>
      <w:r w:rsidRPr="00553C4E">
        <w:rPr>
          <w:rFonts w:ascii="Times New Roman" w:eastAsia="Calibri" w:hAnsi="Times New Roman" w:cs="Times New Roman"/>
          <w:sz w:val="24"/>
          <w:szCs w:val="24"/>
        </w:rPr>
        <w:t>1–5 i art. 7–9. Minister Cyfryzacji określi w komunikatach dzień wdrożenia rozwiązań technicznych umożliwiających stosowanie:</w:t>
      </w:r>
    </w:p>
    <w:p w14:paraId="6553E4C4" w14:textId="77777777" w:rsidR="00CA19A7" w:rsidRPr="00553C4E" w:rsidRDefault="00CA19A7" w:rsidP="00553C4E">
      <w:pPr>
        <w:spacing w:before="120" w:after="0" w:line="360" w:lineRule="auto"/>
        <w:ind w:left="-284"/>
        <w:jc w:val="both"/>
        <w:rPr>
          <w:rFonts w:ascii="Times New Roman" w:eastAsia="Calibri" w:hAnsi="Times New Roman" w:cs="Times New Roman"/>
          <w:sz w:val="24"/>
          <w:szCs w:val="24"/>
        </w:rPr>
      </w:pPr>
      <w:r w:rsidRPr="00553C4E">
        <w:rPr>
          <w:rFonts w:ascii="Times New Roman" w:eastAsia="Calibri" w:hAnsi="Times New Roman" w:cs="Times New Roman"/>
          <w:sz w:val="24"/>
          <w:szCs w:val="24"/>
        </w:rPr>
        <w:t>1)</w:t>
      </w:r>
      <w:r w:rsidRPr="00553C4E">
        <w:rPr>
          <w:rFonts w:ascii="Times New Roman" w:eastAsia="Calibri" w:hAnsi="Times New Roman" w:cs="Times New Roman"/>
          <w:sz w:val="24"/>
          <w:szCs w:val="24"/>
        </w:rPr>
        <w:tab/>
        <w:t>większości przepisów art. 6, to jest przepisów dotyczących funkcjonowania rejestru zastrzeżeń, o których mowa w ustawie z dnia 24 września 2010 r. o ewidencji ludności oraz uprawnień osób fizycznych i obowiązków organów gmin,</w:t>
      </w:r>
    </w:p>
    <w:p w14:paraId="5E7C162F" w14:textId="336D7398" w:rsidR="00CA19A7" w:rsidRPr="00553C4E" w:rsidRDefault="00CA19A7" w:rsidP="00553C4E">
      <w:pPr>
        <w:spacing w:before="120" w:after="0" w:line="360" w:lineRule="auto"/>
        <w:ind w:left="-284"/>
        <w:jc w:val="both"/>
        <w:rPr>
          <w:rFonts w:ascii="Times New Roman" w:eastAsia="Calibri" w:hAnsi="Times New Roman" w:cs="Times New Roman"/>
          <w:sz w:val="24"/>
          <w:szCs w:val="24"/>
        </w:rPr>
      </w:pPr>
      <w:r w:rsidRPr="00553C4E">
        <w:rPr>
          <w:rFonts w:ascii="Times New Roman" w:eastAsia="Calibri" w:hAnsi="Times New Roman" w:cs="Times New Roman"/>
          <w:sz w:val="24"/>
          <w:szCs w:val="24"/>
        </w:rPr>
        <w:t>2)</w:t>
      </w:r>
      <w:r w:rsidRPr="00553C4E">
        <w:rPr>
          <w:rFonts w:ascii="Times New Roman" w:eastAsia="Calibri" w:hAnsi="Times New Roman" w:cs="Times New Roman"/>
          <w:sz w:val="24"/>
          <w:szCs w:val="24"/>
        </w:rPr>
        <w:tab/>
        <w:t>zmienionych w art. 6 przepisów art. 23d ust. 2 pkt 1 lit b, 23e us</w:t>
      </w:r>
      <w:r w:rsidR="007E18A8">
        <w:rPr>
          <w:rFonts w:ascii="Times New Roman" w:eastAsia="Calibri" w:hAnsi="Times New Roman" w:cs="Times New Roman"/>
          <w:sz w:val="24"/>
          <w:szCs w:val="24"/>
        </w:rPr>
        <w:t>t. 2 pkt 2, ust. 7 pkt 2 i ust. </w:t>
      </w:r>
      <w:r w:rsidRPr="00553C4E">
        <w:rPr>
          <w:rFonts w:ascii="Times New Roman" w:eastAsia="Calibri" w:hAnsi="Times New Roman" w:cs="Times New Roman"/>
          <w:sz w:val="24"/>
          <w:szCs w:val="24"/>
        </w:rPr>
        <w:t>13 pkt 2 ustawy z dnia 24 września 2010 r. o ewidencji ludności, dotyczących możliwości korzystania z usług elektronicznych po uwierzytelnieniu przy użyciu ce</w:t>
      </w:r>
      <w:r w:rsidR="00B47930">
        <w:rPr>
          <w:rFonts w:ascii="Times New Roman" w:eastAsia="Calibri" w:hAnsi="Times New Roman" w:cs="Times New Roman"/>
          <w:sz w:val="24"/>
          <w:szCs w:val="24"/>
        </w:rPr>
        <w:t>rtyfikatu, o którym mowa w art. </w:t>
      </w:r>
      <w:r w:rsidRPr="00553C4E">
        <w:rPr>
          <w:rFonts w:ascii="Times New Roman" w:eastAsia="Calibri" w:hAnsi="Times New Roman" w:cs="Times New Roman"/>
          <w:sz w:val="24"/>
          <w:szCs w:val="24"/>
        </w:rPr>
        <w:t xml:space="preserve">19e </w:t>
      </w:r>
      <w:r w:rsidRPr="00553C4E">
        <w:rPr>
          <w:rFonts w:ascii="Times New Roman" w:eastAsia="Calibri" w:hAnsi="Times New Roman" w:cs="Times New Roman"/>
          <w:sz w:val="24"/>
          <w:szCs w:val="24"/>
        </w:rPr>
        <w:lastRenderedPageBreak/>
        <w:t>ust. 2a ustawy z dnia 17 lutego 2005 r. o informatyzacji działalności podmiotów r</w:t>
      </w:r>
      <w:r w:rsidR="00B47930">
        <w:rPr>
          <w:rFonts w:ascii="Times New Roman" w:eastAsia="Calibri" w:hAnsi="Times New Roman" w:cs="Times New Roman"/>
          <w:sz w:val="24"/>
          <w:szCs w:val="24"/>
        </w:rPr>
        <w:t>ealizujących zadania publiczne,</w:t>
      </w:r>
    </w:p>
    <w:p w14:paraId="596BE0E4" w14:textId="77777777" w:rsidR="00CA19A7" w:rsidRPr="00553C4E" w:rsidRDefault="00CA19A7" w:rsidP="00553C4E">
      <w:pPr>
        <w:spacing w:before="120" w:after="0" w:line="360" w:lineRule="auto"/>
        <w:ind w:left="-284"/>
        <w:jc w:val="both"/>
        <w:rPr>
          <w:rFonts w:ascii="Times New Roman" w:eastAsia="Calibri" w:hAnsi="Times New Roman" w:cs="Times New Roman"/>
          <w:sz w:val="24"/>
          <w:szCs w:val="24"/>
        </w:rPr>
      </w:pPr>
      <w:r w:rsidRPr="00553C4E">
        <w:rPr>
          <w:rFonts w:ascii="Times New Roman" w:eastAsia="Calibri" w:hAnsi="Times New Roman" w:cs="Times New Roman"/>
          <w:sz w:val="24"/>
          <w:szCs w:val="24"/>
        </w:rPr>
        <w:t>3)</w:t>
      </w:r>
      <w:r w:rsidRPr="00553C4E">
        <w:rPr>
          <w:rFonts w:ascii="Times New Roman" w:eastAsia="Calibri" w:hAnsi="Times New Roman" w:cs="Times New Roman"/>
          <w:sz w:val="24"/>
          <w:szCs w:val="24"/>
        </w:rPr>
        <w:tab/>
        <w:t>przepisów zapewniających możliwość rejestracji zastrzeżenia numeru PESEL przez banki oraz wyznaczonego operatora pocztowego.</w:t>
      </w:r>
    </w:p>
    <w:p w14:paraId="1A9F602D" w14:textId="77777777" w:rsidR="00CA19A7" w:rsidRPr="00553C4E" w:rsidRDefault="00CA19A7" w:rsidP="00553C4E">
      <w:pPr>
        <w:spacing w:before="120" w:after="0" w:line="360" w:lineRule="auto"/>
        <w:ind w:left="-284"/>
        <w:jc w:val="both"/>
        <w:rPr>
          <w:rFonts w:ascii="Times New Roman" w:eastAsia="Calibri" w:hAnsi="Times New Roman" w:cs="Times New Roman"/>
          <w:sz w:val="24"/>
          <w:szCs w:val="24"/>
        </w:rPr>
      </w:pPr>
      <w:r w:rsidRPr="00553C4E">
        <w:rPr>
          <w:rFonts w:ascii="Times New Roman" w:eastAsia="Calibri" w:hAnsi="Times New Roman" w:cs="Times New Roman"/>
          <w:sz w:val="24"/>
          <w:szCs w:val="24"/>
        </w:rPr>
        <w:t>Wejdą one w życie w dniu określonym w komunikacie, a w przy</w:t>
      </w:r>
      <w:r w:rsidR="007E18A8">
        <w:rPr>
          <w:rFonts w:ascii="Times New Roman" w:eastAsia="Calibri" w:hAnsi="Times New Roman" w:cs="Times New Roman"/>
          <w:sz w:val="24"/>
          <w:szCs w:val="24"/>
        </w:rPr>
        <w:t>padku większości przepisów art. </w:t>
      </w:r>
      <w:r w:rsidRPr="00553C4E">
        <w:rPr>
          <w:rFonts w:ascii="Times New Roman" w:eastAsia="Calibri" w:hAnsi="Times New Roman" w:cs="Times New Roman"/>
          <w:sz w:val="24"/>
          <w:szCs w:val="24"/>
        </w:rPr>
        <w:t>6 dotyczących funkcjonowania rejestru zastrzeżeń numerów PESEL oraz uprawnień osób fizycznych i obowiązków organów gmin dzień określony w komunikacie nie może być późniejszy niż 31 grudnia 2023 r.</w:t>
      </w:r>
    </w:p>
    <w:p w14:paraId="6F394D8D" w14:textId="77777777" w:rsidR="00CA19A7" w:rsidRPr="00553C4E" w:rsidRDefault="00CA19A7" w:rsidP="00553C4E">
      <w:pPr>
        <w:spacing w:before="120" w:after="0" w:line="360" w:lineRule="auto"/>
        <w:ind w:left="-284"/>
        <w:jc w:val="both"/>
        <w:rPr>
          <w:rFonts w:ascii="Times New Roman" w:eastAsia="Calibri" w:hAnsi="Times New Roman" w:cs="Times New Roman"/>
          <w:sz w:val="24"/>
          <w:szCs w:val="24"/>
        </w:rPr>
      </w:pPr>
      <w:r w:rsidRPr="00553C4E">
        <w:rPr>
          <w:rFonts w:ascii="Times New Roman" w:eastAsia="Calibri" w:hAnsi="Times New Roman" w:cs="Times New Roman"/>
          <w:sz w:val="24"/>
          <w:szCs w:val="24"/>
        </w:rPr>
        <w:t>Nowelizacja przepisów ustaw szczególnych, określonych w art. 1-5 oraz art. 7-9, wejdzie w życie z dniem 1 czerwca 2024 r., tak, by podmioty zobligowane do weryfikacji zastrzeżenia dysponowały odpowiednim czasem na implementację rozwiązań web-service oraz mogły uzyskać pozytywną decyzję dostępową do rejestru zastrzeżeń numerów PESEL.</w:t>
      </w:r>
    </w:p>
    <w:p w14:paraId="046104B3" w14:textId="33B41355" w:rsidR="00CA19A7" w:rsidRPr="00553C4E" w:rsidRDefault="00CA19A7" w:rsidP="00553C4E">
      <w:pPr>
        <w:spacing w:before="120" w:after="0" w:line="360" w:lineRule="auto"/>
        <w:ind w:left="-284"/>
        <w:jc w:val="both"/>
        <w:rPr>
          <w:rFonts w:ascii="Times New Roman" w:eastAsia="Calibri" w:hAnsi="Times New Roman" w:cs="Times New Roman"/>
          <w:sz w:val="24"/>
          <w:szCs w:val="24"/>
        </w:rPr>
      </w:pPr>
      <w:r w:rsidRPr="00553C4E">
        <w:rPr>
          <w:rFonts w:ascii="Times New Roman" w:eastAsia="Calibri" w:hAnsi="Times New Roman" w:cs="Times New Roman"/>
          <w:sz w:val="24"/>
          <w:szCs w:val="24"/>
        </w:rPr>
        <w:t>W dalszej kolejności planowane jest udostępnienie możliwości przesyłania powiadomień „push” w aplikacji mObywatel (jeśli osoba z niej korzysta) dotyczących weryfikacji czy numer PESEL jest zastrzeżony oraz powiadomień skierowanych pocztą elektroniczną lub smsem, jeśli osoba zainteresowana przekazała te dane do rejestru danych kontaktowych. Komunikaty te obejmą przede wszystkim informowanie o fakcie wycofania z</w:t>
      </w:r>
      <w:r w:rsidR="00B47930">
        <w:rPr>
          <w:rFonts w:ascii="Times New Roman" w:eastAsia="Calibri" w:hAnsi="Times New Roman" w:cs="Times New Roman"/>
          <w:sz w:val="24"/>
          <w:szCs w:val="24"/>
        </w:rPr>
        <w:t>astrzeżenia numeru PESEL oraz o </w:t>
      </w:r>
      <w:r w:rsidRPr="00553C4E">
        <w:rPr>
          <w:rFonts w:ascii="Times New Roman" w:eastAsia="Calibri" w:hAnsi="Times New Roman" w:cs="Times New Roman"/>
          <w:sz w:val="24"/>
          <w:szCs w:val="24"/>
        </w:rPr>
        <w:t>dokonaniu zastrzeżenia numeru PESEL z urzędu.</w:t>
      </w:r>
    </w:p>
    <w:p w14:paraId="18FDFEDA" w14:textId="77777777" w:rsidR="00CA19A7" w:rsidRPr="00553C4E" w:rsidRDefault="00CA19A7" w:rsidP="00553C4E">
      <w:pPr>
        <w:numPr>
          <w:ilvl w:val="0"/>
          <w:numId w:val="33"/>
        </w:numPr>
        <w:spacing w:before="120" w:after="0" w:line="360" w:lineRule="auto"/>
        <w:ind w:left="-284"/>
        <w:jc w:val="both"/>
        <w:rPr>
          <w:rFonts w:ascii="Times New Roman" w:eastAsia="Calibri" w:hAnsi="Times New Roman" w:cs="Times New Roman"/>
          <w:b/>
          <w:sz w:val="24"/>
          <w:szCs w:val="24"/>
        </w:rPr>
      </w:pPr>
      <w:r w:rsidRPr="00553C4E">
        <w:rPr>
          <w:rFonts w:ascii="Times New Roman" w:eastAsia="Calibri" w:hAnsi="Times New Roman" w:cs="Times New Roman"/>
          <w:b/>
          <w:sz w:val="24"/>
          <w:szCs w:val="24"/>
        </w:rPr>
        <w:t>Informacje ogólne</w:t>
      </w:r>
    </w:p>
    <w:p w14:paraId="6326B108" w14:textId="77777777" w:rsidR="00CA19A7" w:rsidRPr="00553C4E" w:rsidRDefault="00CA19A7" w:rsidP="00553C4E">
      <w:pPr>
        <w:spacing w:before="120" w:after="0" w:line="360" w:lineRule="auto"/>
        <w:ind w:left="-284"/>
        <w:jc w:val="both"/>
        <w:rPr>
          <w:rFonts w:ascii="Times New Roman" w:eastAsia="Calibri" w:hAnsi="Times New Roman" w:cs="Times New Roman"/>
          <w:sz w:val="24"/>
          <w:szCs w:val="24"/>
        </w:rPr>
      </w:pPr>
      <w:r w:rsidRPr="00553C4E">
        <w:rPr>
          <w:rFonts w:ascii="Times New Roman" w:eastAsia="Calibri" w:hAnsi="Times New Roman" w:cs="Times New Roman"/>
          <w:sz w:val="24"/>
          <w:szCs w:val="24"/>
        </w:rPr>
        <w:t>Projekt ustawy nie jest sprzec</w:t>
      </w:r>
      <w:r w:rsidR="007E18A8">
        <w:rPr>
          <w:rFonts w:ascii="Times New Roman" w:eastAsia="Calibri" w:hAnsi="Times New Roman" w:cs="Times New Roman"/>
          <w:sz w:val="24"/>
          <w:szCs w:val="24"/>
        </w:rPr>
        <w:t>zny z prawem Unii Europejskiej.</w:t>
      </w:r>
    </w:p>
    <w:p w14:paraId="5E6276D1" w14:textId="77777777" w:rsidR="00CA19A7" w:rsidRPr="00553C4E" w:rsidRDefault="00CA19A7" w:rsidP="00553C4E">
      <w:pPr>
        <w:spacing w:before="120" w:after="0" w:line="360" w:lineRule="auto"/>
        <w:ind w:left="-284"/>
        <w:jc w:val="both"/>
        <w:rPr>
          <w:rFonts w:ascii="Times New Roman" w:eastAsia="Calibri" w:hAnsi="Times New Roman" w:cs="Times New Roman"/>
          <w:sz w:val="24"/>
          <w:szCs w:val="24"/>
        </w:rPr>
      </w:pPr>
      <w:r w:rsidRPr="00553C4E">
        <w:rPr>
          <w:rFonts w:ascii="Times New Roman" w:eastAsia="Calibri" w:hAnsi="Times New Roman" w:cs="Times New Roman"/>
          <w:sz w:val="24"/>
          <w:szCs w:val="24"/>
        </w:rPr>
        <w:t>Projekt ustawy nie wymaga przedstawienia właściwym instytucjom i organom Unii Europejskiej, w tym Europejskiemu Bankowi Centralnemu, celem uzyskania opinii, dokonania powiadomienia, konsultacji albo uzgodnienia.</w:t>
      </w:r>
    </w:p>
    <w:p w14:paraId="027513E2" w14:textId="77777777" w:rsidR="00CA19A7" w:rsidRPr="00553C4E" w:rsidRDefault="00CA19A7" w:rsidP="00553C4E">
      <w:pPr>
        <w:spacing w:before="120" w:after="0" w:line="360" w:lineRule="auto"/>
        <w:ind w:left="-284"/>
        <w:jc w:val="both"/>
        <w:rPr>
          <w:rFonts w:ascii="Times New Roman" w:eastAsia="Calibri" w:hAnsi="Times New Roman" w:cs="Times New Roman"/>
          <w:sz w:val="24"/>
          <w:szCs w:val="24"/>
        </w:rPr>
      </w:pPr>
      <w:r w:rsidRPr="00553C4E">
        <w:rPr>
          <w:rFonts w:ascii="Times New Roman" w:eastAsia="Calibri" w:hAnsi="Times New Roman" w:cs="Times New Roman"/>
          <w:sz w:val="24"/>
          <w:szCs w:val="24"/>
        </w:rPr>
        <w:t>Projekt ustawy nie zawiera przepisów technicznych w rozumieniu rozporządzenia Rady Ministrów z dnia 23 grudnia 2002 r. w sprawie sposobu funkcjonowania krajowego systemu notyfikacji norm i aktów prawnych (Dz. U. poz. 2039 oraz z 2004 r. poz. 597).</w:t>
      </w:r>
    </w:p>
    <w:p w14:paraId="6088846A" w14:textId="757D745E" w:rsidR="00CA19A7" w:rsidRPr="00553C4E" w:rsidRDefault="00CA19A7" w:rsidP="00553C4E">
      <w:pPr>
        <w:spacing w:before="120" w:after="0" w:line="360" w:lineRule="auto"/>
        <w:ind w:left="-284"/>
        <w:jc w:val="both"/>
        <w:rPr>
          <w:rFonts w:ascii="Times New Roman" w:eastAsia="Calibri" w:hAnsi="Times New Roman" w:cs="Times New Roman"/>
          <w:sz w:val="24"/>
          <w:szCs w:val="24"/>
        </w:rPr>
      </w:pPr>
      <w:r w:rsidRPr="00553C4E">
        <w:rPr>
          <w:rFonts w:ascii="Times New Roman" w:eastAsia="Calibri" w:hAnsi="Times New Roman" w:cs="Times New Roman"/>
          <w:sz w:val="24"/>
          <w:szCs w:val="24"/>
        </w:rPr>
        <w:t>Stosownie do postanowień art. 5 ustawy z dnia 7 lipca 2005 r. o działalności lobbingowej w procesie stanowienia prawa (Dz. U. z 2017 r. poz. 248) projekt ustawy został udos</w:t>
      </w:r>
      <w:r w:rsidR="00B47930">
        <w:rPr>
          <w:rFonts w:ascii="Times New Roman" w:eastAsia="Calibri" w:hAnsi="Times New Roman" w:cs="Times New Roman"/>
          <w:sz w:val="24"/>
          <w:szCs w:val="24"/>
        </w:rPr>
        <w:t>tępniony w </w:t>
      </w:r>
      <w:bookmarkStart w:id="0" w:name="_GoBack"/>
      <w:bookmarkEnd w:id="0"/>
      <w:r w:rsidRPr="00553C4E">
        <w:rPr>
          <w:rFonts w:ascii="Times New Roman" w:eastAsia="Calibri" w:hAnsi="Times New Roman" w:cs="Times New Roman"/>
          <w:sz w:val="24"/>
          <w:szCs w:val="24"/>
        </w:rPr>
        <w:t>Biuletynie Informacji Publicznej Ministra Cyfryzacji.</w:t>
      </w:r>
    </w:p>
    <w:p w14:paraId="704CC301" w14:textId="77777777" w:rsidR="00DE0567" w:rsidRPr="00553C4E" w:rsidRDefault="00CA19A7" w:rsidP="00553C4E">
      <w:pPr>
        <w:spacing w:before="120" w:after="0" w:line="360" w:lineRule="auto"/>
        <w:ind w:left="-284"/>
        <w:jc w:val="both"/>
        <w:rPr>
          <w:rFonts w:ascii="Times New Roman" w:hAnsi="Times New Roman" w:cs="Times New Roman"/>
          <w:sz w:val="24"/>
          <w:szCs w:val="24"/>
        </w:rPr>
      </w:pPr>
      <w:r w:rsidRPr="00553C4E">
        <w:rPr>
          <w:rFonts w:ascii="Times New Roman" w:eastAsia="Calibri" w:hAnsi="Times New Roman" w:cs="Times New Roman"/>
          <w:sz w:val="24"/>
          <w:szCs w:val="24"/>
        </w:rPr>
        <w:lastRenderedPageBreak/>
        <w:t>Zgodnie z § 52 ust. 1 uchwały nr 190 Rady Ministrów z dnia 29 października 2013 r. – Regulamin pracy Rady Ministrów projekt ustawy został udostępniony w Biuletynie Informacji Publicznej na stronie podmiotowej Rządowego Centrum Legislacji, w serwisie Rządowy Proces Legislacyjny.</w:t>
      </w:r>
    </w:p>
    <w:sectPr w:rsidR="00DE0567" w:rsidRPr="00553C4E" w:rsidSect="00727934">
      <w:footerReference w:type="default" r:id="rId7"/>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E9692B4" w14:textId="77777777" w:rsidR="0016437A" w:rsidRDefault="0016437A" w:rsidP="009D78F9">
      <w:pPr>
        <w:spacing w:after="0" w:line="240" w:lineRule="auto"/>
      </w:pPr>
      <w:r>
        <w:separator/>
      </w:r>
    </w:p>
  </w:endnote>
  <w:endnote w:type="continuationSeparator" w:id="0">
    <w:p w14:paraId="2C246627" w14:textId="77777777" w:rsidR="0016437A" w:rsidRDefault="0016437A" w:rsidP="009D78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imes">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59441108"/>
      <w:docPartObj>
        <w:docPartGallery w:val="Page Numbers (Bottom of Page)"/>
        <w:docPartUnique/>
      </w:docPartObj>
    </w:sdtPr>
    <w:sdtEndPr>
      <w:rPr>
        <w:rFonts w:ascii="Times New Roman" w:hAnsi="Times New Roman" w:cs="Times New Roman"/>
        <w:sz w:val="24"/>
        <w:szCs w:val="24"/>
      </w:rPr>
    </w:sdtEndPr>
    <w:sdtContent>
      <w:p w14:paraId="64504782" w14:textId="75FC5E67" w:rsidR="00392C21" w:rsidRPr="00392C21" w:rsidRDefault="00392C21" w:rsidP="00392C21">
        <w:pPr>
          <w:pStyle w:val="Stopka"/>
          <w:jc w:val="center"/>
          <w:rPr>
            <w:rFonts w:ascii="Times New Roman" w:hAnsi="Times New Roman" w:cs="Times New Roman"/>
            <w:sz w:val="24"/>
            <w:szCs w:val="24"/>
          </w:rPr>
        </w:pPr>
        <w:r w:rsidRPr="00392C21">
          <w:rPr>
            <w:rFonts w:ascii="Times New Roman" w:hAnsi="Times New Roman" w:cs="Times New Roman"/>
            <w:sz w:val="24"/>
            <w:szCs w:val="24"/>
          </w:rPr>
          <w:fldChar w:fldCharType="begin"/>
        </w:r>
        <w:r w:rsidRPr="00392C21">
          <w:rPr>
            <w:rFonts w:ascii="Times New Roman" w:hAnsi="Times New Roman" w:cs="Times New Roman"/>
            <w:sz w:val="24"/>
            <w:szCs w:val="24"/>
          </w:rPr>
          <w:instrText>PAGE   \* MERGEFORMAT</w:instrText>
        </w:r>
        <w:r w:rsidRPr="00392C21">
          <w:rPr>
            <w:rFonts w:ascii="Times New Roman" w:hAnsi="Times New Roman" w:cs="Times New Roman"/>
            <w:sz w:val="24"/>
            <w:szCs w:val="24"/>
          </w:rPr>
          <w:fldChar w:fldCharType="separate"/>
        </w:r>
        <w:r w:rsidR="00B47930">
          <w:rPr>
            <w:rFonts w:ascii="Times New Roman" w:hAnsi="Times New Roman" w:cs="Times New Roman"/>
            <w:noProof/>
            <w:sz w:val="24"/>
            <w:szCs w:val="24"/>
          </w:rPr>
          <w:t>17</w:t>
        </w:r>
        <w:r w:rsidRPr="00392C21">
          <w:rPr>
            <w:rFonts w:ascii="Times New Roman" w:hAnsi="Times New Roman" w:cs="Times New Roman"/>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4586F2" w14:textId="77777777" w:rsidR="0016437A" w:rsidRDefault="0016437A" w:rsidP="009D78F9">
      <w:pPr>
        <w:spacing w:after="0" w:line="240" w:lineRule="auto"/>
      </w:pPr>
      <w:r>
        <w:separator/>
      </w:r>
    </w:p>
  </w:footnote>
  <w:footnote w:type="continuationSeparator" w:id="0">
    <w:p w14:paraId="549C3134" w14:textId="77777777" w:rsidR="0016437A" w:rsidRDefault="0016437A" w:rsidP="009D78F9">
      <w:pPr>
        <w:spacing w:after="0" w:line="240" w:lineRule="auto"/>
      </w:pPr>
      <w:r>
        <w:continuationSeparator/>
      </w:r>
    </w:p>
  </w:footnote>
  <w:footnote w:id="1">
    <w:p w14:paraId="61A16FF2" w14:textId="2D7E0E7D" w:rsidR="00CA19A7" w:rsidRPr="00553C4E" w:rsidRDefault="00CA19A7" w:rsidP="00CA19A7">
      <w:pPr>
        <w:pStyle w:val="Tekstprzypisudolnego"/>
        <w:rPr>
          <w:rFonts w:ascii="Times New Roman" w:eastAsia="Times New Roman" w:hAnsi="Times New Roman" w:cs="Times New Roman"/>
        </w:rPr>
      </w:pPr>
      <w:r w:rsidRPr="00553C4E">
        <w:rPr>
          <w:rStyle w:val="Odwoanieprzypisudolnego"/>
          <w:rFonts w:ascii="Times New Roman" w:hAnsi="Times New Roman" w:cs="Times New Roman"/>
        </w:rPr>
        <w:footnoteRef/>
      </w:r>
      <w:r w:rsidRPr="00553C4E">
        <w:rPr>
          <w:rFonts w:ascii="Times New Roman" w:hAnsi="Times New Roman" w:cs="Times New Roman"/>
        </w:rPr>
        <w:t xml:space="preserve"> Zgodnie z projektowanym art. 23a i art. 23b ustawy z dnia 24 wrześn</w:t>
      </w:r>
      <w:r w:rsidR="00F17B5B">
        <w:rPr>
          <w:rFonts w:ascii="Times New Roman" w:hAnsi="Times New Roman" w:cs="Times New Roman"/>
        </w:rPr>
        <w:t>ia 2010 r. o ewidencji ludności</w:t>
      </w:r>
    </w:p>
  </w:footnote>
  <w:footnote w:id="2">
    <w:p w14:paraId="095091A6" w14:textId="59121F3F" w:rsidR="00CA19A7" w:rsidRPr="00553C4E" w:rsidRDefault="00CA19A7" w:rsidP="00553C4E">
      <w:pPr>
        <w:pStyle w:val="Tekstprzypisudolnego"/>
        <w:jc w:val="both"/>
        <w:rPr>
          <w:rFonts w:ascii="Times New Roman" w:hAnsi="Times New Roman" w:cs="Times New Roman"/>
        </w:rPr>
      </w:pPr>
      <w:r w:rsidRPr="00553C4E">
        <w:rPr>
          <w:rStyle w:val="Odwoanieprzypisudolnego"/>
          <w:rFonts w:ascii="Times New Roman" w:hAnsi="Times New Roman" w:cs="Times New Roman"/>
        </w:rPr>
        <w:footnoteRef/>
      </w:r>
      <w:r w:rsidRPr="00553C4E">
        <w:rPr>
          <w:rFonts w:ascii="Times New Roman" w:hAnsi="Times New Roman" w:cs="Times New Roman"/>
        </w:rPr>
        <w:t xml:space="preserve"> https://www.gov.pl/web/gugik/zawiadomieni</w:t>
      </w:r>
      <w:r w:rsidR="00F17B5B">
        <w:rPr>
          <w:rFonts w:ascii="Times New Roman" w:hAnsi="Times New Roman" w:cs="Times New Roman"/>
        </w:rPr>
        <w:t>e-o-naruszeniu-danych-osobowych</w:t>
      </w:r>
    </w:p>
  </w:footnote>
  <w:footnote w:id="3">
    <w:p w14:paraId="72F05502" w14:textId="77777777" w:rsidR="00CA19A7" w:rsidRPr="00553C4E" w:rsidRDefault="00CA19A7" w:rsidP="00553C4E">
      <w:pPr>
        <w:pStyle w:val="Tekstprzypisudolnego"/>
        <w:jc w:val="both"/>
        <w:rPr>
          <w:rFonts w:ascii="Times New Roman" w:hAnsi="Times New Roman" w:cs="Times New Roman"/>
        </w:rPr>
      </w:pPr>
      <w:r w:rsidRPr="00553C4E">
        <w:rPr>
          <w:rStyle w:val="Odwoanieprzypisudolnego"/>
          <w:rFonts w:ascii="Times New Roman" w:hAnsi="Times New Roman" w:cs="Times New Roman"/>
        </w:rPr>
        <w:footnoteRef/>
      </w:r>
      <w:r w:rsidRPr="00553C4E">
        <w:rPr>
          <w:rFonts w:ascii="Times New Roman" w:hAnsi="Times New Roman" w:cs="Times New Roman"/>
        </w:rPr>
        <w:t xml:space="preserve"> https://dokumenciki.net/zamow-dowod-osobisty-kolekcjonerski.html (dostęp z dnia 5 sierpnia 2022 r.)</w:t>
      </w:r>
    </w:p>
  </w:footnote>
  <w:footnote w:id="4">
    <w:p w14:paraId="08FA276A" w14:textId="77777777" w:rsidR="00CA19A7" w:rsidRDefault="00CA19A7" w:rsidP="00553C4E">
      <w:pPr>
        <w:pStyle w:val="Tekstprzypisudolnego"/>
        <w:jc w:val="both"/>
        <w:rPr>
          <w:rFonts w:ascii="Times New Roman" w:hAnsi="Times New Roman"/>
          <w:sz w:val="16"/>
          <w:szCs w:val="16"/>
        </w:rPr>
      </w:pPr>
      <w:r w:rsidRPr="00553C4E">
        <w:rPr>
          <w:rStyle w:val="Odwoanieprzypisudolnego"/>
          <w:rFonts w:ascii="Times New Roman" w:hAnsi="Times New Roman" w:cs="Times New Roman"/>
        </w:rPr>
        <w:footnoteRef/>
      </w:r>
      <w:r w:rsidRPr="00553C4E">
        <w:rPr>
          <w:rFonts w:ascii="Times New Roman" w:hAnsi="Times New Roman" w:cs="Times New Roman"/>
        </w:rPr>
        <w:t xml:space="preserve"> https://chronpesel.pl/aktualnosci/rosnie-liczba-oszustw-na-kolekcjonerskie-dowody-osobiste (dostęp z dnia 5 sierpnia 2022 r.)</w:t>
      </w:r>
    </w:p>
  </w:footnote>
  <w:footnote w:id="5">
    <w:p w14:paraId="7FC6C061" w14:textId="2FB411AE" w:rsidR="00CA19A7" w:rsidRPr="00553C4E" w:rsidRDefault="00CA19A7" w:rsidP="00F17B5B">
      <w:pPr>
        <w:pStyle w:val="Tekstprzypisudolnego"/>
        <w:rPr>
          <w:rFonts w:ascii="Times New Roman" w:hAnsi="Times New Roman" w:cs="Times New Roman"/>
        </w:rPr>
      </w:pPr>
      <w:r w:rsidRPr="00553C4E">
        <w:rPr>
          <w:rStyle w:val="Odwoanieprzypisudolnego"/>
          <w:rFonts w:ascii="Times New Roman" w:hAnsi="Times New Roman" w:cs="Times New Roman"/>
        </w:rPr>
        <w:footnoteRef/>
      </w:r>
      <w:r w:rsidRPr="00553C4E">
        <w:rPr>
          <w:rFonts w:ascii="Times New Roman" w:hAnsi="Times New Roman" w:cs="Times New Roman"/>
        </w:rPr>
        <w:t xml:space="preserve"> https://policja.pl/pol/aktualnosci/168042,Wyludzali-telefony-na-podrobione</w:t>
      </w:r>
      <w:r w:rsidR="00F17B5B">
        <w:rPr>
          <w:rFonts w:ascii="Times New Roman" w:hAnsi="Times New Roman" w:cs="Times New Roman"/>
        </w:rPr>
        <w:t>-dowody-osobiste.html (dostęp z </w:t>
      </w:r>
      <w:r w:rsidRPr="00553C4E">
        <w:rPr>
          <w:rFonts w:ascii="Times New Roman" w:hAnsi="Times New Roman" w:cs="Times New Roman"/>
        </w:rPr>
        <w:t>dnia 10 sierpnia 2022 r.)</w:t>
      </w:r>
    </w:p>
  </w:footnote>
  <w:footnote w:id="6">
    <w:p w14:paraId="06CF5642" w14:textId="77777777" w:rsidR="00CA19A7" w:rsidRDefault="00CA19A7" w:rsidP="00CA19A7">
      <w:pPr>
        <w:pStyle w:val="Tekstprzypisudolnego"/>
        <w:jc w:val="both"/>
        <w:rPr>
          <w:rFonts w:ascii="Calibri" w:hAnsi="Calibri" w:cs="Calibri"/>
          <w:sz w:val="16"/>
          <w:szCs w:val="16"/>
        </w:rPr>
      </w:pPr>
      <w:r w:rsidRPr="00553C4E">
        <w:rPr>
          <w:rStyle w:val="Odwoanieprzypisudolnego"/>
          <w:rFonts w:ascii="Times New Roman" w:hAnsi="Times New Roman" w:cs="Times New Roman"/>
        </w:rPr>
        <w:footnoteRef/>
      </w:r>
      <w:r w:rsidRPr="00553C4E">
        <w:rPr>
          <w:rFonts w:ascii="Times New Roman" w:hAnsi="Times New Roman" w:cs="Times New Roman"/>
        </w:rPr>
        <w:t>https://www.polsatnews.pl/wiadomosc/2019-06-06/za-pol-miliona-zlotych-sprzedal-nie-swoje-mieszkanie/ (dostęp z dnia 5 sierpnia 2022 r.)</w:t>
      </w:r>
    </w:p>
  </w:footnote>
  <w:footnote w:id="7">
    <w:p w14:paraId="5B2CCFC2" w14:textId="77777777" w:rsidR="00CA19A7" w:rsidRPr="009B43A0" w:rsidRDefault="00CA19A7" w:rsidP="00CA19A7">
      <w:pPr>
        <w:pStyle w:val="Tekstprzypisudolnego"/>
        <w:rPr>
          <w:rFonts w:ascii="Times New Roman" w:hAnsi="Times New Roman" w:cs="Times New Roman"/>
        </w:rPr>
      </w:pPr>
      <w:r w:rsidRPr="009B43A0">
        <w:rPr>
          <w:rStyle w:val="Odwoanieprzypisudolnego"/>
          <w:rFonts w:ascii="Times New Roman" w:hAnsi="Times New Roman" w:cs="Times New Roman"/>
        </w:rPr>
        <w:footnoteRef/>
      </w:r>
      <w:r w:rsidRPr="009B43A0">
        <w:rPr>
          <w:rFonts w:ascii="Times New Roman" w:hAnsi="Times New Roman" w:cs="Times New Roman"/>
        </w:rPr>
        <w:t xml:space="preserve"> https://www.gov.pl/web/gov/sprawdz-swoje-dane-w-rejestrze-pesel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741EA2"/>
    <w:multiLevelType w:val="multilevel"/>
    <w:tmpl w:val="0000000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4EE4F79"/>
    <w:multiLevelType w:val="hybridMultilevel"/>
    <w:tmpl w:val="5E823C9E"/>
    <w:lvl w:ilvl="0" w:tplc="0415000F">
      <w:start w:val="1"/>
      <w:numFmt w:val="decimal"/>
      <w:lvlText w:val="%1."/>
      <w:lvlJc w:val="left"/>
      <w:pPr>
        <w:ind w:left="720"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D9E2B58"/>
    <w:multiLevelType w:val="hybridMultilevel"/>
    <w:tmpl w:val="DD34BEFC"/>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F46254F"/>
    <w:multiLevelType w:val="hybridMultilevel"/>
    <w:tmpl w:val="20CA30D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17869C6"/>
    <w:multiLevelType w:val="hybridMultilevel"/>
    <w:tmpl w:val="4E9AD34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4292349"/>
    <w:multiLevelType w:val="hybridMultilevel"/>
    <w:tmpl w:val="F1FC0650"/>
    <w:lvl w:ilvl="0" w:tplc="0415000F">
      <w:start w:val="1"/>
      <w:numFmt w:val="decimal"/>
      <w:lvlText w:val="%1."/>
      <w:lvlJc w:val="left"/>
      <w:pPr>
        <w:tabs>
          <w:tab w:val="num" w:pos="1047"/>
        </w:tabs>
        <w:ind w:left="1047" w:hanging="360"/>
      </w:pPr>
    </w:lvl>
    <w:lvl w:ilvl="1" w:tplc="2610BC42">
      <w:start w:val="1"/>
      <w:numFmt w:val="bullet"/>
      <w:lvlText w:val=""/>
      <w:lvlJc w:val="left"/>
      <w:pPr>
        <w:tabs>
          <w:tab w:val="num" w:pos="1767"/>
        </w:tabs>
        <w:ind w:left="1767" w:hanging="360"/>
      </w:pPr>
      <w:rPr>
        <w:rFonts w:ascii="Symbol" w:hAnsi="Symbol" w:hint="default"/>
      </w:rPr>
    </w:lvl>
    <w:lvl w:ilvl="2" w:tplc="0415001B" w:tentative="1">
      <w:start w:val="1"/>
      <w:numFmt w:val="lowerRoman"/>
      <w:lvlText w:val="%3."/>
      <w:lvlJc w:val="right"/>
      <w:pPr>
        <w:tabs>
          <w:tab w:val="num" w:pos="2487"/>
        </w:tabs>
        <w:ind w:left="2487" w:hanging="180"/>
      </w:pPr>
    </w:lvl>
    <w:lvl w:ilvl="3" w:tplc="0415000F" w:tentative="1">
      <w:start w:val="1"/>
      <w:numFmt w:val="decimal"/>
      <w:lvlText w:val="%4."/>
      <w:lvlJc w:val="left"/>
      <w:pPr>
        <w:tabs>
          <w:tab w:val="num" w:pos="3207"/>
        </w:tabs>
        <w:ind w:left="3207" w:hanging="360"/>
      </w:pPr>
    </w:lvl>
    <w:lvl w:ilvl="4" w:tplc="04150019" w:tentative="1">
      <w:start w:val="1"/>
      <w:numFmt w:val="lowerLetter"/>
      <w:lvlText w:val="%5."/>
      <w:lvlJc w:val="left"/>
      <w:pPr>
        <w:tabs>
          <w:tab w:val="num" w:pos="3927"/>
        </w:tabs>
        <w:ind w:left="3927" w:hanging="360"/>
      </w:pPr>
    </w:lvl>
    <w:lvl w:ilvl="5" w:tplc="0415001B" w:tentative="1">
      <w:start w:val="1"/>
      <w:numFmt w:val="lowerRoman"/>
      <w:lvlText w:val="%6."/>
      <w:lvlJc w:val="right"/>
      <w:pPr>
        <w:tabs>
          <w:tab w:val="num" w:pos="4647"/>
        </w:tabs>
        <w:ind w:left="4647" w:hanging="180"/>
      </w:pPr>
    </w:lvl>
    <w:lvl w:ilvl="6" w:tplc="0415000F" w:tentative="1">
      <w:start w:val="1"/>
      <w:numFmt w:val="decimal"/>
      <w:lvlText w:val="%7."/>
      <w:lvlJc w:val="left"/>
      <w:pPr>
        <w:tabs>
          <w:tab w:val="num" w:pos="5367"/>
        </w:tabs>
        <w:ind w:left="5367" w:hanging="360"/>
      </w:pPr>
    </w:lvl>
    <w:lvl w:ilvl="7" w:tplc="04150019" w:tentative="1">
      <w:start w:val="1"/>
      <w:numFmt w:val="lowerLetter"/>
      <w:lvlText w:val="%8."/>
      <w:lvlJc w:val="left"/>
      <w:pPr>
        <w:tabs>
          <w:tab w:val="num" w:pos="6087"/>
        </w:tabs>
        <w:ind w:left="6087" w:hanging="360"/>
      </w:pPr>
    </w:lvl>
    <w:lvl w:ilvl="8" w:tplc="0415001B" w:tentative="1">
      <w:start w:val="1"/>
      <w:numFmt w:val="lowerRoman"/>
      <w:lvlText w:val="%9."/>
      <w:lvlJc w:val="right"/>
      <w:pPr>
        <w:tabs>
          <w:tab w:val="num" w:pos="6807"/>
        </w:tabs>
        <w:ind w:left="6807" w:hanging="180"/>
      </w:pPr>
    </w:lvl>
  </w:abstractNum>
  <w:abstractNum w:abstractNumId="6" w15:restartNumberingAfterBreak="0">
    <w:nsid w:val="1E3D318B"/>
    <w:multiLevelType w:val="hybridMultilevel"/>
    <w:tmpl w:val="0D7E1CEC"/>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7" w15:restartNumberingAfterBreak="0">
    <w:nsid w:val="1FA23D91"/>
    <w:multiLevelType w:val="hybridMultilevel"/>
    <w:tmpl w:val="29A04C7E"/>
    <w:lvl w:ilvl="0" w:tplc="A31018B0">
      <w:start w:val="1"/>
      <w:numFmt w:val="decimal"/>
      <w:lvlText w:val="%1."/>
      <w:lvlJc w:val="left"/>
      <w:pPr>
        <w:tabs>
          <w:tab w:val="num" w:pos="357"/>
        </w:tabs>
      </w:pPr>
      <w:rPr>
        <w:rFonts w:cs="Times New Roman" w:hint="default"/>
      </w:rPr>
    </w:lvl>
    <w:lvl w:ilvl="1" w:tplc="4D263FF8">
      <w:start w:val="1"/>
      <w:numFmt w:val="bullet"/>
      <w:lvlText w:val=""/>
      <w:lvlJc w:val="left"/>
      <w:pPr>
        <w:tabs>
          <w:tab w:val="num" w:pos="1440"/>
        </w:tabs>
        <w:ind w:left="1440" w:hanging="360"/>
      </w:pPr>
      <w:rPr>
        <w:rFonts w:ascii="Wingdings" w:hAnsi="Wingdings" w:hint="default"/>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8" w15:restartNumberingAfterBreak="0">
    <w:nsid w:val="1FEE2A02"/>
    <w:multiLevelType w:val="multilevel"/>
    <w:tmpl w:val="3EE2E83E"/>
    <w:lvl w:ilvl="0">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 w15:restartNumberingAfterBreak="0">
    <w:nsid w:val="21CD007E"/>
    <w:multiLevelType w:val="hybridMultilevel"/>
    <w:tmpl w:val="FC0C11C0"/>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0" w15:restartNumberingAfterBreak="0">
    <w:nsid w:val="22DF723B"/>
    <w:multiLevelType w:val="multilevel"/>
    <w:tmpl w:val="42ECDCCE"/>
    <w:lvl w:ilvl="0">
      <w:start w:val="1"/>
      <w:numFmt w:val="decimal"/>
      <w:lvlText w:val="%1."/>
      <w:lvlJc w:val="left"/>
      <w:pPr>
        <w:tabs>
          <w:tab w:val="num" w:pos="1047"/>
        </w:tabs>
        <w:ind w:left="1047" w:hanging="360"/>
      </w:pPr>
    </w:lvl>
    <w:lvl w:ilvl="1">
      <w:start w:val="1"/>
      <w:numFmt w:val="decimal"/>
      <w:lvlText w:val="%2."/>
      <w:lvlJc w:val="left"/>
      <w:pPr>
        <w:tabs>
          <w:tab w:val="num" w:pos="1767"/>
        </w:tabs>
        <w:ind w:left="1767" w:hanging="360"/>
      </w:pPr>
    </w:lvl>
    <w:lvl w:ilvl="2">
      <w:start w:val="1"/>
      <w:numFmt w:val="decimal"/>
      <w:lvlText w:val="%3."/>
      <w:lvlJc w:val="left"/>
      <w:pPr>
        <w:tabs>
          <w:tab w:val="num" w:pos="2487"/>
        </w:tabs>
        <w:ind w:left="2487" w:hanging="360"/>
      </w:pPr>
    </w:lvl>
    <w:lvl w:ilvl="3">
      <w:start w:val="1"/>
      <w:numFmt w:val="decimal"/>
      <w:lvlText w:val="%4."/>
      <w:lvlJc w:val="left"/>
      <w:pPr>
        <w:tabs>
          <w:tab w:val="num" w:pos="3207"/>
        </w:tabs>
        <w:ind w:left="3207" w:hanging="360"/>
      </w:pPr>
    </w:lvl>
    <w:lvl w:ilvl="4">
      <w:start w:val="1"/>
      <w:numFmt w:val="decimal"/>
      <w:lvlText w:val="%5."/>
      <w:lvlJc w:val="left"/>
      <w:pPr>
        <w:tabs>
          <w:tab w:val="num" w:pos="3927"/>
        </w:tabs>
        <w:ind w:left="3927" w:hanging="360"/>
      </w:pPr>
    </w:lvl>
    <w:lvl w:ilvl="5">
      <w:start w:val="1"/>
      <w:numFmt w:val="decimal"/>
      <w:lvlText w:val="%6."/>
      <w:lvlJc w:val="left"/>
      <w:pPr>
        <w:tabs>
          <w:tab w:val="num" w:pos="4647"/>
        </w:tabs>
        <w:ind w:left="4647" w:hanging="360"/>
      </w:pPr>
    </w:lvl>
    <w:lvl w:ilvl="6">
      <w:start w:val="1"/>
      <w:numFmt w:val="decimal"/>
      <w:lvlText w:val="%7."/>
      <w:lvlJc w:val="left"/>
      <w:pPr>
        <w:tabs>
          <w:tab w:val="num" w:pos="5367"/>
        </w:tabs>
        <w:ind w:left="5367" w:hanging="360"/>
      </w:pPr>
    </w:lvl>
    <w:lvl w:ilvl="7">
      <w:start w:val="1"/>
      <w:numFmt w:val="decimal"/>
      <w:lvlText w:val="%8."/>
      <w:lvlJc w:val="left"/>
      <w:pPr>
        <w:tabs>
          <w:tab w:val="num" w:pos="6087"/>
        </w:tabs>
        <w:ind w:left="6087" w:hanging="360"/>
      </w:pPr>
    </w:lvl>
    <w:lvl w:ilvl="8">
      <w:start w:val="1"/>
      <w:numFmt w:val="decimal"/>
      <w:lvlText w:val="%9."/>
      <w:lvlJc w:val="left"/>
      <w:pPr>
        <w:tabs>
          <w:tab w:val="num" w:pos="6807"/>
        </w:tabs>
        <w:ind w:left="6807" w:hanging="360"/>
      </w:pPr>
    </w:lvl>
  </w:abstractNum>
  <w:abstractNum w:abstractNumId="11" w15:restartNumberingAfterBreak="0">
    <w:nsid w:val="245A51BA"/>
    <w:multiLevelType w:val="hybridMultilevel"/>
    <w:tmpl w:val="4970AB06"/>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2" w15:restartNumberingAfterBreak="0">
    <w:nsid w:val="279D6C8D"/>
    <w:multiLevelType w:val="hybridMultilevel"/>
    <w:tmpl w:val="DD34BEFC"/>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9C23FD6"/>
    <w:multiLevelType w:val="hybridMultilevel"/>
    <w:tmpl w:val="8048DF9A"/>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4" w15:restartNumberingAfterBreak="0">
    <w:nsid w:val="314C6098"/>
    <w:multiLevelType w:val="hybridMultilevel"/>
    <w:tmpl w:val="B34AB5A0"/>
    <w:lvl w:ilvl="0" w:tplc="04150013">
      <w:start w:val="1"/>
      <w:numFmt w:val="upperRoman"/>
      <w:lvlText w:val="%1."/>
      <w:lvlJc w:val="right"/>
      <w:pPr>
        <w:ind w:left="1070" w:hanging="360"/>
      </w:pPr>
    </w:lvl>
    <w:lvl w:ilvl="1" w:tplc="04150011">
      <w:start w:val="1"/>
      <w:numFmt w:val="decimal"/>
      <w:lvlText w:val="%2)"/>
      <w:lvlJc w:val="left"/>
      <w:pPr>
        <w:ind w:left="1790" w:hanging="360"/>
      </w:pPr>
    </w:lvl>
    <w:lvl w:ilvl="2" w:tplc="0415001B">
      <w:start w:val="1"/>
      <w:numFmt w:val="lowerRoman"/>
      <w:lvlText w:val="%3."/>
      <w:lvlJc w:val="right"/>
      <w:pPr>
        <w:ind w:left="2510" w:hanging="180"/>
      </w:pPr>
    </w:lvl>
    <w:lvl w:ilvl="3" w:tplc="0415000F">
      <w:start w:val="1"/>
      <w:numFmt w:val="decimal"/>
      <w:lvlText w:val="%4."/>
      <w:lvlJc w:val="left"/>
      <w:pPr>
        <w:ind w:left="3230" w:hanging="360"/>
      </w:pPr>
    </w:lvl>
    <w:lvl w:ilvl="4" w:tplc="04150019">
      <w:start w:val="1"/>
      <w:numFmt w:val="lowerLetter"/>
      <w:lvlText w:val="%5."/>
      <w:lvlJc w:val="left"/>
      <w:pPr>
        <w:ind w:left="3950" w:hanging="360"/>
      </w:pPr>
    </w:lvl>
    <w:lvl w:ilvl="5" w:tplc="0415001B">
      <w:start w:val="1"/>
      <w:numFmt w:val="lowerRoman"/>
      <w:lvlText w:val="%6."/>
      <w:lvlJc w:val="right"/>
      <w:pPr>
        <w:ind w:left="4670" w:hanging="180"/>
      </w:pPr>
    </w:lvl>
    <w:lvl w:ilvl="6" w:tplc="0415000F">
      <w:start w:val="1"/>
      <w:numFmt w:val="decimal"/>
      <w:lvlText w:val="%7."/>
      <w:lvlJc w:val="left"/>
      <w:pPr>
        <w:ind w:left="5390" w:hanging="360"/>
      </w:pPr>
    </w:lvl>
    <w:lvl w:ilvl="7" w:tplc="04150019">
      <w:start w:val="1"/>
      <w:numFmt w:val="lowerLetter"/>
      <w:lvlText w:val="%8."/>
      <w:lvlJc w:val="left"/>
      <w:pPr>
        <w:ind w:left="6110" w:hanging="360"/>
      </w:pPr>
    </w:lvl>
    <w:lvl w:ilvl="8" w:tplc="0415001B">
      <w:start w:val="1"/>
      <w:numFmt w:val="lowerRoman"/>
      <w:lvlText w:val="%9."/>
      <w:lvlJc w:val="right"/>
      <w:pPr>
        <w:ind w:left="6830" w:hanging="180"/>
      </w:pPr>
    </w:lvl>
  </w:abstractNum>
  <w:abstractNum w:abstractNumId="15" w15:restartNumberingAfterBreak="0">
    <w:nsid w:val="392A41E7"/>
    <w:multiLevelType w:val="hybridMultilevel"/>
    <w:tmpl w:val="1F5C7EEA"/>
    <w:lvl w:ilvl="0" w:tplc="680E46FE">
      <w:start w:val="1"/>
      <w:numFmt w:val="decimal"/>
      <w:lvlText w:val="%1."/>
      <w:lvlJc w:val="left"/>
      <w:pPr>
        <w:tabs>
          <w:tab w:val="num" w:pos="360"/>
        </w:tabs>
        <w:ind w:left="36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3A8B1EDD"/>
    <w:multiLevelType w:val="hybridMultilevel"/>
    <w:tmpl w:val="95FA285E"/>
    <w:lvl w:ilvl="0" w:tplc="0415000F">
      <w:start w:val="1"/>
      <w:numFmt w:val="decimal"/>
      <w:lvlText w:val="%1."/>
      <w:lvlJc w:val="left"/>
      <w:pPr>
        <w:tabs>
          <w:tab w:val="num" w:pos="1047"/>
        </w:tabs>
        <w:ind w:left="1047" w:hanging="360"/>
      </w:pPr>
    </w:lvl>
    <w:lvl w:ilvl="1" w:tplc="04150019" w:tentative="1">
      <w:start w:val="1"/>
      <w:numFmt w:val="lowerLetter"/>
      <w:lvlText w:val="%2."/>
      <w:lvlJc w:val="left"/>
      <w:pPr>
        <w:tabs>
          <w:tab w:val="num" w:pos="1767"/>
        </w:tabs>
        <w:ind w:left="1767" w:hanging="360"/>
      </w:pPr>
    </w:lvl>
    <w:lvl w:ilvl="2" w:tplc="0415001B" w:tentative="1">
      <w:start w:val="1"/>
      <w:numFmt w:val="lowerRoman"/>
      <w:lvlText w:val="%3."/>
      <w:lvlJc w:val="right"/>
      <w:pPr>
        <w:tabs>
          <w:tab w:val="num" w:pos="2487"/>
        </w:tabs>
        <w:ind w:left="2487" w:hanging="180"/>
      </w:pPr>
    </w:lvl>
    <w:lvl w:ilvl="3" w:tplc="0415000F" w:tentative="1">
      <w:start w:val="1"/>
      <w:numFmt w:val="decimal"/>
      <w:lvlText w:val="%4."/>
      <w:lvlJc w:val="left"/>
      <w:pPr>
        <w:tabs>
          <w:tab w:val="num" w:pos="3207"/>
        </w:tabs>
        <w:ind w:left="3207" w:hanging="360"/>
      </w:pPr>
    </w:lvl>
    <w:lvl w:ilvl="4" w:tplc="04150019" w:tentative="1">
      <w:start w:val="1"/>
      <w:numFmt w:val="lowerLetter"/>
      <w:lvlText w:val="%5."/>
      <w:lvlJc w:val="left"/>
      <w:pPr>
        <w:tabs>
          <w:tab w:val="num" w:pos="3927"/>
        </w:tabs>
        <w:ind w:left="3927" w:hanging="360"/>
      </w:pPr>
    </w:lvl>
    <w:lvl w:ilvl="5" w:tplc="0415001B" w:tentative="1">
      <w:start w:val="1"/>
      <w:numFmt w:val="lowerRoman"/>
      <w:lvlText w:val="%6."/>
      <w:lvlJc w:val="right"/>
      <w:pPr>
        <w:tabs>
          <w:tab w:val="num" w:pos="4647"/>
        </w:tabs>
        <w:ind w:left="4647" w:hanging="180"/>
      </w:pPr>
    </w:lvl>
    <w:lvl w:ilvl="6" w:tplc="0415000F" w:tentative="1">
      <w:start w:val="1"/>
      <w:numFmt w:val="decimal"/>
      <w:lvlText w:val="%7."/>
      <w:lvlJc w:val="left"/>
      <w:pPr>
        <w:tabs>
          <w:tab w:val="num" w:pos="5367"/>
        </w:tabs>
        <w:ind w:left="5367" w:hanging="360"/>
      </w:pPr>
    </w:lvl>
    <w:lvl w:ilvl="7" w:tplc="04150019" w:tentative="1">
      <w:start w:val="1"/>
      <w:numFmt w:val="lowerLetter"/>
      <w:lvlText w:val="%8."/>
      <w:lvlJc w:val="left"/>
      <w:pPr>
        <w:tabs>
          <w:tab w:val="num" w:pos="6087"/>
        </w:tabs>
        <w:ind w:left="6087" w:hanging="360"/>
      </w:pPr>
    </w:lvl>
    <w:lvl w:ilvl="8" w:tplc="0415001B" w:tentative="1">
      <w:start w:val="1"/>
      <w:numFmt w:val="lowerRoman"/>
      <w:lvlText w:val="%9."/>
      <w:lvlJc w:val="right"/>
      <w:pPr>
        <w:tabs>
          <w:tab w:val="num" w:pos="6807"/>
        </w:tabs>
        <w:ind w:left="6807" w:hanging="180"/>
      </w:pPr>
    </w:lvl>
  </w:abstractNum>
  <w:abstractNum w:abstractNumId="17" w15:restartNumberingAfterBreak="0">
    <w:nsid w:val="3B65511A"/>
    <w:multiLevelType w:val="hybridMultilevel"/>
    <w:tmpl w:val="4CAA9CB6"/>
    <w:lvl w:ilvl="0" w:tplc="C79E83AC">
      <w:start w:val="1"/>
      <w:numFmt w:val="bullet"/>
      <w:lvlText w:val=""/>
      <w:lvlJc w:val="left"/>
      <w:pPr>
        <w:tabs>
          <w:tab w:val="num" w:pos="1077"/>
        </w:tabs>
        <w:ind w:left="1077" w:hanging="360"/>
      </w:pPr>
      <w:rPr>
        <w:rFonts w:ascii="Symbol" w:hAnsi="Symbol" w:hint="default"/>
      </w:rPr>
    </w:lvl>
    <w:lvl w:ilvl="1" w:tplc="04150003" w:tentative="1">
      <w:start w:val="1"/>
      <w:numFmt w:val="bullet"/>
      <w:lvlText w:val="o"/>
      <w:lvlJc w:val="left"/>
      <w:pPr>
        <w:tabs>
          <w:tab w:val="num" w:pos="1797"/>
        </w:tabs>
        <w:ind w:left="1797" w:hanging="360"/>
      </w:pPr>
      <w:rPr>
        <w:rFonts w:ascii="Courier New" w:hAnsi="Courier New" w:cs="Courier New" w:hint="default"/>
      </w:rPr>
    </w:lvl>
    <w:lvl w:ilvl="2" w:tplc="04150005" w:tentative="1">
      <w:start w:val="1"/>
      <w:numFmt w:val="bullet"/>
      <w:lvlText w:val=""/>
      <w:lvlJc w:val="left"/>
      <w:pPr>
        <w:tabs>
          <w:tab w:val="num" w:pos="2517"/>
        </w:tabs>
        <w:ind w:left="2517" w:hanging="360"/>
      </w:pPr>
      <w:rPr>
        <w:rFonts w:ascii="Wingdings" w:hAnsi="Wingdings" w:hint="default"/>
      </w:rPr>
    </w:lvl>
    <w:lvl w:ilvl="3" w:tplc="04150001" w:tentative="1">
      <w:start w:val="1"/>
      <w:numFmt w:val="bullet"/>
      <w:lvlText w:val=""/>
      <w:lvlJc w:val="left"/>
      <w:pPr>
        <w:tabs>
          <w:tab w:val="num" w:pos="3237"/>
        </w:tabs>
        <w:ind w:left="3237" w:hanging="360"/>
      </w:pPr>
      <w:rPr>
        <w:rFonts w:ascii="Symbol" w:hAnsi="Symbol" w:hint="default"/>
      </w:rPr>
    </w:lvl>
    <w:lvl w:ilvl="4" w:tplc="04150003" w:tentative="1">
      <w:start w:val="1"/>
      <w:numFmt w:val="bullet"/>
      <w:lvlText w:val="o"/>
      <w:lvlJc w:val="left"/>
      <w:pPr>
        <w:tabs>
          <w:tab w:val="num" w:pos="3957"/>
        </w:tabs>
        <w:ind w:left="3957" w:hanging="360"/>
      </w:pPr>
      <w:rPr>
        <w:rFonts w:ascii="Courier New" w:hAnsi="Courier New" w:cs="Courier New" w:hint="default"/>
      </w:rPr>
    </w:lvl>
    <w:lvl w:ilvl="5" w:tplc="04150005" w:tentative="1">
      <w:start w:val="1"/>
      <w:numFmt w:val="bullet"/>
      <w:lvlText w:val=""/>
      <w:lvlJc w:val="left"/>
      <w:pPr>
        <w:tabs>
          <w:tab w:val="num" w:pos="4677"/>
        </w:tabs>
        <w:ind w:left="4677" w:hanging="360"/>
      </w:pPr>
      <w:rPr>
        <w:rFonts w:ascii="Wingdings" w:hAnsi="Wingdings" w:hint="default"/>
      </w:rPr>
    </w:lvl>
    <w:lvl w:ilvl="6" w:tplc="04150001" w:tentative="1">
      <w:start w:val="1"/>
      <w:numFmt w:val="bullet"/>
      <w:lvlText w:val=""/>
      <w:lvlJc w:val="left"/>
      <w:pPr>
        <w:tabs>
          <w:tab w:val="num" w:pos="5397"/>
        </w:tabs>
        <w:ind w:left="5397" w:hanging="360"/>
      </w:pPr>
      <w:rPr>
        <w:rFonts w:ascii="Symbol" w:hAnsi="Symbol" w:hint="default"/>
      </w:rPr>
    </w:lvl>
    <w:lvl w:ilvl="7" w:tplc="04150003" w:tentative="1">
      <w:start w:val="1"/>
      <w:numFmt w:val="bullet"/>
      <w:lvlText w:val="o"/>
      <w:lvlJc w:val="left"/>
      <w:pPr>
        <w:tabs>
          <w:tab w:val="num" w:pos="6117"/>
        </w:tabs>
        <w:ind w:left="6117" w:hanging="360"/>
      </w:pPr>
      <w:rPr>
        <w:rFonts w:ascii="Courier New" w:hAnsi="Courier New" w:cs="Courier New" w:hint="default"/>
      </w:rPr>
    </w:lvl>
    <w:lvl w:ilvl="8" w:tplc="04150005" w:tentative="1">
      <w:start w:val="1"/>
      <w:numFmt w:val="bullet"/>
      <w:lvlText w:val=""/>
      <w:lvlJc w:val="left"/>
      <w:pPr>
        <w:tabs>
          <w:tab w:val="num" w:pos="6837"/>
        </w:tabs>
        <w:ind w:left="6837" w:hanging="360"/>
      </w:pPr>
      <w:rPr>
        <w:rFonts w:ascii="Wingdings" w:hAnsi="Wingdings" w:hint="default"/>
      </w:rPr>
    </w:lvl>
  </w:abstractNum>
  <w:abstractNum w:abstractNumId="18" w15:restartNumberingAfterBreak="0">
    <w:nsid w:val="3F4C0EBE"/>
    <w:multiLevelType w:val="multilevel"/>
    <w:tmpl w:val="7C6E0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F94477E"/>
    <w:multiLevelType w:val="hybridMultilevel"/>
    <w:tmpl w:val="6D2C91A4"/>
    <w:lvl w:ilvl="0" w:tplc="04150011">
      <w:start w:val="1"/>
      <w:numFmt w:val="decimal"/>
      <w:lvlText w:val="%1)"/>
      <w:lvlJc w:val="left"/>
      <w:pPr>
        <w:ind w:left="1430" w:hanging="360"/>
      </w:pPr>
    </w:lvl>
    <w:lvl w:ilvl="1" w:tplc="04150011">
      <w:start w:val="1"/>
      <w:numFmt w:val="decimal"/>
      <w:lvlText w:val="%2)"/>
      <w:lvlJc w:val="left"/>
      <w:pPr>
        <w:ind w:left="2150" w:hanging="360"/>
      </w:pPr>
    </w:lvl>
    <w:lvl w:ilvl="2" w:tplc="0415001B">
      <w:start w:val="1"/>
      <w:numFmt w:val="lowerRoman"/>
      <w:lvlText w:val="%3."/>
      <w:lvlJc w:val="right"/>
      <w:pPr>
        <w:ind w:left="2870" w:hanging="180"/>
      </w:pPr>
    </w:lvl>
    <w:lvl w:ilvl="3" w:tplc="0415000F">
      <w:start w:val="1"/>
      <w:numFmt w:val="decimal"/>
      <w:lvlText w:val="%4."/>
      <w:lvlJc w:val="left"/>
      <w:pPr>
        <w:ind w:left="3590" w:hanging="360"/>
      </w:pPr>
    </w:lvl>
    <w:lvl w:ilvl="4" w:tplc="04150019">
      <w:start w:val="1"/>
      <w:numFmt w:val="lowerLetter"/>
      <w:lvlText w:val="%5."/>
      <w:lvlJc w:val="left"/>
      <w:pPr>
        <w:ind w:left="4310" w:hanging="360"/>
      </w:pPr>
    </w:lvl>
    <w:lvl w:ilvl="5" w:tplc="0415001B">
      <w:start w:val="1"/>
      <w:numFmt w:val="lowerRoman"/>
      <w:lvlText w:val="%6."/>
      <w:lvlJc w:val="right"/>
      <w:pPr>
        <w:ind w:left="5030" w:hanging="180"/>
      </w:pPr>
    </w:lvl>
    <w:lvl w:ilvl="6" w:tplc="0415000F">
      <w:start w:val="1"/>
      <w:numFmt w:val="decimal"/>
      <w:lvlText w:val="%7."/>
      <w:lvlJc w:val="left"/>
      <w:pPr>
        <w:ind w:left="5750" w:hanging="360"/>
      </w:pPr>
    </w:lvl>
    <w:lvl w:ilvl="7" w:tplc="04150019">
      <w:start w:val="1"/>
      <w:numFmt w:val="lowerLetter"/>
      <w:lvlText w:val="%8."/>
      <w:lvlJc w:val="left"/>
      <w:pPr>
        <w:ind w:left="6470" w:hanging="360"/>
      </w:pPr>
    </w:lvl>
    <w:lvl w:ilvl="8" w:tplc="0415001B">
      <w:start w:val="1"/>
      <w:numFmt w:val="lowerRoman"/>
      <w:lvlText w:val="%9."/>
      <w:lvlJc w:val="right"/>
      <w:pPr>
        <w:ind w:left="7190" w:hanging="180"/>
      </w:pPr>
    </w:lvl>
  </w:abstractNum>
  <w:abstractNum w:abstractNumId="20" w15:restartNumberingAfterBreak="0">
    <w:nsid w:val="412B5719"/>
    <w:multiLevelType w:val="hybridMultilevel"/>
    <w:tmpl w:val="5CD6186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46E5730E"/>
    <w:multiLevelType w:val="hybridMultilevel"/>
    <w:tmpl w:val="3C7829FC"/>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2" w15:restartNumberingAfterBreak="0">
    <w:nsid w:val="49BE361A"/>
    <w:multiLevelType w:val="hybridMultilevel"/>
    <w:tmpl w:val="3AE85FAA"/>
    <w:lvl w:ilvl="0" w:tplc="04150011">
      <w:start w:val="1"/>
      <w:numFmt w:val="decimal"/>
      <w:lvlText w:val="%1)"/>
      <w:lvlJc w:val="left"/>
      <w:pPr>
        <w:tabs>
          <w:tab w:val="num" w:pos="1047"/>
        </w:tabs>
        <w:ind w:left="1047" w:hanging="360"/>
      </w:pPr>
    </w:lvl>
    <w:lvl w:ilvl="1" w:tplc="04150019">
      <w:start w:val="1"/>
      <w:numFmt w:val="decimal"/>
      <w:lvlText w:val="%2."/>
      <w:lvlJc w:val="left"/>
      <w:pPr>
        <w:tabs>
          <w:tab w:val="num" w:pos="1767"/>
        </w:tabs>
        <w:ind w:left="1767" w:hanging="360"/>
      </w:pPr>
    </w:lvl>
    <w:lvl w:ilvl="2" w:tplc="0415001B">
      <w:start w:val="1"/>
      <w:numFmt w:val="decimal"/>
      <w:lvlText w:val="%3."/>
      <w:lvlJc w:val="left"/>
      <w:pPr>
        <w:tabs>
          <w:tab w:val="num" w:pos="2487"/>
        </w:tabs>
        <w:ind w:left="2487" w:hanging="360"/>
      </w:pPr>
    </w:lvl>
    <w:lvl w:ilvl="3" w:tplc="0415000F">
      <w:start w:val="1"/>
      <w:numFmt w:val="decimal"/>
      <w:lvlText w:val="%4."/>
      <w:lvlJc w:val="left"/>
      <w:pPr>
        <w:tabs>
          <w:tab w:val="num" w:pos="3207"/>
        </w:tabs>
        <w:ind w:left="3207" w:hanging="360"/>
      </w:pPr>
    </w:lvl>
    <w:lvl w:ilvl="4" w:tplc="04150019">
      <w:start w:val="1"/>
      <w:numFmt w:val="decimal"/>
      <w:lvlText w:val="%5."/>
      <w:lvlJc w:val="left"/>
      <w:pPr>
        <w:tabs>
          <w:tab w:val="num" w:pos="3927"/>
        </w:tabs>
        <w:ind w:left="3927" w:hanging="360"/>
      </w:pPr>
    </w:lvl>
    <w:lvl w:ilvl="5" w:tplc="0415001B">
      <w:start w:val="1"/>
      <w:numFmt w:val="decimal"/>
      <w:lvlText w:val="%6."/>
      <w:lvlJc w:val="left"/>
      <w:pPr>
        <w:tabs>
          <w:tab w:val="num" w:pos="4647"/>
        </w:tabs>
        <w:ind w:left="4647" w:hanging="360"/>
      </w:pPr>
    </w:lvl>
    <w:lvl w:ilvl="6" w:tplc="0415000F">
      <w:start w:val="1"/>
      <w:numFmt w:val="decimal"/>
      <w:lvlText w:val="%7."/>
      <w:lvlJc w:val="left"/>
      <w:pPr>
        <w:tabs>
          <w:tab w:val="num" w:pos="5367"/>
        </w:tabs>
        <w:ind w:left="5367" w:hanging="360"/>
      </w:pPr>
    </w:lvl>
    <w:lvl w:ilvl="7" w:tplc="04150019">
      <w:start w:val="1"/>
      <w:numFmt w:val="decimal"/>
      <w:lvlText w:val="%8."/>
      <w:lvlJc w:val="left"/>
      <w:pPr>
        <w:tabs>
          <w:tab w:val="num" w:pos="6087"/>
        </w:tabs>
        <w:ind w:left="6087" w:hanging="360"/>
      </w:pPr>
    </w:lvl>
    <w:lvl w:ilvl="8" w:tplc="0415001B">
      <w:start w:val="1"/>
      <w:numFmt w:val="decimal"/>
      <w:lvlText w:val="%9."/>
      <w:lvlJc w:val="left"/>
      <w:pPr>
        <w:tabs>
          <w:tab w:val="num" w:pos="6807"/>
        </w:tabs>
        <w:ind w:left="6807" w:hanging="360"/>
      </w:pPr>
    </w:lvl>
  </w:abstractNum>
  <w:abstractNum w:abstractNumId="23" w15:restartNumberingAfterBreak="0">
    <w:nsid w:val="51461DEA"/>
    <w:multiLevelType w:val="hybridMultilevel"/>
    <w:tmpl w:val="80049DC2"/>
    <w:lvl w:ilvl="0" w:tplc="C79E83AC">
      <w:start w:val="1"/>
      <w:numFmt w:val="bullet"/>
      <w:lvlText w:val=""/>
      <w:lvlJc w:val="left"/>
      <w:pPr>
        <w:tabs>
          <w:tab w:val="num" w:pos="1077"/>
        </w:tabs>
        <w:ind w:left="1077" w:hanging="360"/>
      </w:pPr>
      <w:rPr>
        <w:rFonts w:ascii="Symbol" w:hAnsi="Symbol" w:hint="default"/>
      </w:rPr>
    </w:lvl>
    <w:lvl w:ilvl="1" w:tplc="04150003" w:tentative="1">
      <w:start w:val="1"/>
      <w:numFmt w:val="bullet"/>
      <w:lvlText w:val="o"/>
      <w:lvlJc w:val="left"/>
      <w:pPr>
        <w:tabs>
          <w:tab w:val="num" w:pos="1797"/>
        </w:tabs>
        <w:ind w:left="1797" w:hanging="360"/>
      </w:pPr>
      <w:rPr>
        <w:rFonts w:ascii="Courier New" w:hAnsi="Courier New" w:cs="Courier New" w:hint="default"/>
      </w:rPr>
    </w:lvl>
    <w:lvl w:ilvl="2" w:tplc="04150005" w:tentative="1">
      <w:start w:val="1"/>
      <w:numFmt w:val="bullet"/>
      <w:lvlText w:val=""/>
      <w:lvlJc w:val="left"/>
      <w:pPr>
        <w:tabs>
          <w:tab w:val="num" w:pos="2517"/>
        </w:tabs>
        <w:ind w:left="2517" w:hanging="360"/>
      </w:pPr>
      <w:rPr>
        <w:rFonts w:ascii="Wingdings" w:hAnsi="Wingdings" w:hint="default"/>
      </w:rPr>
    </w:lvl>
    <w:lvl w:ilvl="3" w:tplc="04150001" w:tentative="1">
      <w:start w:val="1"/>
      <w:numFmt w:val="bullet"/>
      <w:lvlText w:val=""/>
      <w:lvlJc w:val="left"/>
      <w:pPr>
        <w:tabs>
          <w:tab w:val="num" w:pos="3237"/>
        </w:tabs>
        <w:ind w:left="3237" w:hanging="360"/>
      </w:pPr>
      <w:rPr>
        <w:rFonts w:ascii="Symbol" w:hAnsi="Symbol" w:hint="default"/>
      </w:rPr>
    </w:lvl>
    <w:lvl w:ilvl="4" w:tplc="04150003" w:tentative="1">
      <w:start w:val="1"/>
      <w:numFmt w:val="bullet"/>
      <w:lvlText w:val="o"/>
      <w:lvlJc w:val="left"/>
      <w:pPr>
        <w:tabs>
          <w:tab w:val="num" w:pos="3957"/>
        </w:tabs>
        <w:ind w:left="3957" w:hanging="360"/>
      </w:pPr>
      <w:rPr>
        <w:rFonts w:ascii="Courier New" w:hAnsi="Courier New" w:cs="Courier New" w:hint="default"/>
      </w:rPr>
    </w:lvl>
    <w:lvl w:ilvl="5" w:tplc="04150005" w:tentative="1">
      <w:start w:val="1"/>
      <w:numFmt w:val="bullet"/>
      <w:lvlText w:val=""/>
      <w:lvlJc w:val="left"/>
      <w:pPr>
        <w:tabs>
          <w:tab w:val="num" w:pos="4677"/>
        </w:tabs>
        <w:ind w:left="4677" w:hanging="360"/>
      </w:pPr>
      <w:rPr>
        <w:rFonts w:ascii="Wingdings" w:hAnsi="Wingdings" w:hint="default"/>
      </w:rPr>
    </w:lvl>
    <w:lvl w:ilvl="6" w:tplc="04150001" w:tentative="1">
      <w:start w:val="1"/>
      <w:numFmt w:val="bullet"/>
      <w:lvlText w:val=""/>
      <w:lvlJc w:val="left"/>
      <w:pPr>
        <w:tabs>
          <w:tab w:val="num" w:pos="5397"/>
        </w:tabs>
        <w:ind w:left="5397" w:hanging="360"/>
      </w:pPr>
      <w:rPr>
        <w:rFonts w:ascii="Symbol" w:hAnsi="Symbol" w:hint="default"/>
      </w:rPr>
    </w:lvl>
    <w:lvl w:ilvl="7" w:tplc="04150003" w:tentative="1">
      <w:start w:val="1"/>
      <w:numFmt w:val="bullet"/>
      <w:lvlText w:val="o"/>
      <w:lvlJc w:val="left"/>
      <w:pPr>
        <w:tabs>
          <w:tab w:val="num" w:pos="6117"/>
        </w:tabs>
        <w:ind w:left="6117" w:hanging="360"/>
      </w:pPr>
      <w:rPr>
        <w:rFonts w:ascii="Courier New" w:hAnsi="Courier New" w:cs="Courier New" w:hint="default"/>
      </w:rPr>
    </w:lvl>
    <w:lvl w:ilvl="8" w:tplc="04150005" w:tentative="1">
      <w:start w:val="1"/>
      <w:numFmt w:val="bullet"/>
      <w:lvlText w:val=""/>
      <w:lvlJc w:val="left"/>
      <w:pPr>
        <w:tabs>
          <w:tab w:val="num" w:pos="6837"/>
        </w:tabs>
        <w:ind w:left="6837" w:hanging="360"/>
      </w:pPr>
      <w:rPr>
        <w:rFonts w:ascii="Wingdings" w:hAnsi="Wingdings" w:hint="default"/>
      </w:rPr>
    </w:lvl>
  </w:abstractNum>
  <w:abstractNum w:abstractNumId="24" w15:restartNumberingAfterBreak="0">
    <w:nsid w:val="57D5579E"/>
    <w:multiLevelType w:val="hybridMultilevel"/>
    <w:tmpl w:val="0AD2698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59863083"/>
    <w:multiLevelType w:val="hybridMultilevel"/>
    <w:tmpl w:val="B28ADCD0"/>
    <w:lvl w:ilvl="0" w:tplc="69624922">
      <w:start w:val="1"/>
      <w:numFmt w:val="bullet"/>
      <w:lvlText w:val=""/>
      <w:lvlJc w:val="left"/>
      <w:pPr>
        <w:tabs>
          <w:tab w:val="num" w:pos="780"/>
        </w:tabs>
        <w:ind w:left="780" w:hanging="360"/>
      </w:pPr>
      <w:rPr>
        <w:rFonts w:ascii="Symbol" w:hAnsi="Symbol" w:hint="default"/>
      </w:rPr>
    </w:lvl>
    <w:lvl w:ilvl="1" w:tplc="04150003" w:tentative="1">
      <w:start w:val="1"/>
      <w:numFmt w:val="bullet"/>
      <w:lvlText w:val="o"/>
      <w:lvlJc w:val="left"/>
      <w:pPr>
        <w:tabs>
          <w:tab w:val="num" w:pos="1500"/>
        </w:tabs>
        <w:ind w:left="1500" w:hanging="360"/>
      </w:pPr>
      <w:rPr>
        <w:rFonts w:ascii="Courier New" w:hAnsi="Courier New" w:cs="Courier New" w:hint="default"/>
      </w:rPr>
    </w:lvl>
    <w:lvl w:ilvl="2" w:tplc="04150005" w:tentative="1">
      <w:start w:val="1"/>
      <w:numFmt w:val="bullet"/>
      <w:lvlText w:val=""/>
      <w:lvlJc w:val="left"/>
      <w:pPr>
        <w:tabs>
          <w:tab w:val="num" w:pos="2220"/>
        </w:tabs>
        <w:ind w:left="2220" w:hanging="360"/>
      </w:pPr>
      <w:rPr>
        <w:rFonts w:ascii="Wingdings" w:hAnsi="Wingdings" w:hint="default"/>
      </w:rPr>
    </w:lvl>
    <w:lvl w:ilvl="3" w:tplc="04150001" w:tentative="1">
      <w:start w:val="1"/>
      <w:numFmt w:val="bullet"/>
      <w:lvlText w:val=""/>
      <w:lvlJc w:val="left"/>
      <w:pPr>
        <w:tabs>
          <w:tab w:val="num" w:pos="2940"/>
        </w:tabs>
        <w:ind w:left="2940" w:hanging="360"/>
      </w:pPr>
      <w:rPr>
        <w:rFonts w:ascii="Symbol" w:hAnsi="Symbol" w:hint="default"/>
      </w:rPr>
    </w:lvl>
    <w:lvl w:ilvl="4" w:tplc="04150003" w:tentative="1">
      <w:start w:val="1"/>
      <w:numFmt w:val="bullet"/>
      <w:lvlText w:val="o"/>
      <w:lvlJc w:val="left"/>
      <w:pPr>
        <w:tabs>
          <w:tab w:val="num" w:pos="3660"/>
        </w:tabs>
        <w:ind w:left="3660" w:hanging="360"/>
      </w:pPr>
      <w:rPr>
        <w:rFonts w:ascii="Courier New" w:hAnsi="Courier New" w:cs="Courier New" w:hint="default"/>
      </w:rPr>
    </w:lvl>
    <w:lvl w:ilvl="5" w:tplc="04150005" w:tentative="1">
      <w:start w:val="1"/>
      <w:numFmt w:val="bullet"/>
      <w:lvlText w:val=""/>
      <w:lvlJc w:val="left"/>
      <w:pPr>
        <w:tabs>
          <w:tab w:val="num" w:pos="4380"/>
        </w:tabs>
        <w:ind w:left="4380" w:hanging="360"/>
      </w:pPr>
      <w:rPr>
        <w:rFonts w:ascii="Wingdings" w:hAnsi="Wingdings" w:hint="default"/>
      </w:rPr>
    </w:lvl>
    <w:lvl w:ilvl="6" w:tplc="04150001" w:tentative="1">
      <w:start w:val="1"/>
      <w:numFmt w:val="bullet"/>
      <w:lvlText w:val=""/>
      <w:lvlJc w:val="left"/>
      <w:pPr>
        <w:tabs>
          <w:tab w:val="num" w:pos="5100"/>
        </w:tabs>
        <w:ind w:left="5100" w:hanging="360"/>
      </w:pPr>
      <w:rPr>
        <w:rFonts w:ascii="Symbol" w:hAnsi="Symbol" w:hint="default"/>
      </w:rPr>
    </w:lvl>
    <w:lvl w:ilvl="7" w:tplc="04150003" w:tentative="1">
      <w:start w:val="1"/>
      <w:numFmt w:val="bullet"/>
      <w:lvlText w:val="o"/>
      <w:lvlJc w:val="left"/>
      <w:pPr>
        <w:tabs>
          <w:tab w:val="num" w:pos="5820"/>
        </w:tabs>
        <w:ind w:left="5820" w:hanging="360"/>
      </w:pPr>
      <w:rPr>
        <w:rFonts w:ascii="Courier New" w:hAnsi="Courier New" w:cs="Courier New" w:hint="default"/>
      </w:rPr>
    </w:lvl>
    <w:lvl w:ilvl="8" w:tplc="04150005" w:tentative="1">
      <w:start w:val="1"/>
      <w:numFmt w:val="bullet"/>
      <w:lvlText w:val=""/>
      <w:lvlJc w:val="left"/>
      <w:pPr>
        <w:tabs>
          <w:tab w:val="num" w:pos="6540"/>
        </w:tabs>
        <w:ind w:left="6540" w:hanging="360"/>
      </w:pPr>
      <w:rPr>
        <w:rFonts w:ascii="Wingdings" w:hAnsi="Wingdings" w:hint="default"/>
      </w:rPr>
    </w:lvl>
  </w:abstractNum>
  <w:abstractNum w:abstractNumId="26" w15:restartNumberingAfterBreak="0">
    <w:nsid w:val="5DBB20EB"/>
    <w:multiLevelType w:val="hybridMultilevel"/>
    <w:tmpl w:val="10E6B354"/>
    <w:lvl w:ilvl="0" w:tplc="FF5892AC">
      <w:start w:val="1"/>
      <w:numFmt w:val="bullet"/>
      <w:lvlText w:val="-"/>
      <w:lvlJc w:val="left"/>
      <w:pPr>
        <w:tabs>
          <w:tab w:val="num" w:pos="1080"/>
        </w:tabs>
        <w:ind w:left="1080" w:hanging="360"/>
      </w:pPr>
      <w:rPr>
        <w:rFonts w:ascii="Times New Roman" w:hAnsi="Times New Roman" w:cs="Times New Roman" w:hint="default"/>
      </w:rPr>
    </w:lvl>
    <w:lvl w:ilvl="1" w:tplc="04150003" w:tentative="1">
      <w:start w:val="1"/>
      <w:numFmt w:val="bullet"/>
      <w:lvlText w:val="o"/>
      <w:lvlJc w:val="left"/>
      <w:pPr>
        <w:tabs>
          <w:tab w:val="num" w:pos="1800"/>
        </w:tabs>
        <w:ind w:left="1800" w:hanging="360"/>
      </w:pPr>
      <w:rPr>
        <w:rFonts w:ascii="Courier New" w:hAnsi="Courier New" w:cs="Courier New" w:hint="default"/>
      </w:rPr>
    </w:lvl>
    <w:lvl w:ilvl="2" w:tplc="04150005" w:tentative="1">
      <w:start w:val="1"/>
      <w:numFmt w:val="bullet"/>
      <w:lvlText w:val=""/>
      <w:lvlJc w:val="left"/>
      <w:pPr>
        <w:tabs>
          <w:tab w:val="num" w:pos="2520"/>
        </w:tabs>
        <w:ind w:left="2520" w:hanging="360"/>
      </w:pPr>
      <w:rPr>
        <w:rFonts w:ascii="Wingdings" w:hAnsi="Wingdings" w:hint="default"/>
      </w:rPr>
    </w:lvl>
    <w:lvl w:ilvl="3" w:tplc="04150001" w:tentative="1">
      <w:start w:val="1"/>
      <w:numFmt w:val="bullet"/>
      <w:lvlText w:val=""/>
      <w:lvlJc w:val="left"/>
      <w:pPr>
        <w:tabs>
          <w:tab w:val="num" w:pos="3240"/>
        </w:tabs>
        <w:ind w:left="3240" w:hanging="360"/>
      </w:pPr>
      <w:rPr>
        <w:rFonts w:ascii="Symbol" w:hAnsi="Symbol" w:hint="default"/>
      </w:rPr>
    </w:lvl>
    <w:lvl w:ilvl="4" w:tplc="04150003" w:tentative="1">
      <w:start w:val="1"/>
      <w:numFmt w:val="bullet"/>
      <w:lvlText w:val="o"/>
      <w:lvlJc w:val="left"/>
      <w:pPr>
        <w:tabs>
          <w:tab w:val="num" w:pos="3960"/>
        </w:tabs>
        <w:ind w:left="3960" w:hanging="360"/>
      </w:pPr>
      <w:rPr>
        <w:rFonts w:ascii="Courier New" w:hAnsi="Courier New" w:cs="Courier New" w:hint="default"/>
      </w:rPr>
    </w:lvl>
    <w:lvl w:ilvl="5" w:tplc="04150005" w:tentative="1">
      <w:start w:val="1"/>
      <w:numFmt w:val="bullet"/>
      <w:lvlText w:val=""/>
      <w:lvlJc w:val="left"/>
      <w:pPr>
        <w:tabs>
          <w:tab w:val="num" w:pos="4680"/>
        </w:tabs>
        <w:ind w:left="4680" w:hanging="360"/>
      </w:pPr>
      <w:rPr>
        <w:rFonts w:ascii="Wingdings" w:hAnsi="Wingdings" w:hint="default"/>
      </w:rPr>
    </w:lvl>
    <w:lvl w:ilvl="6" w:tplc="04150001" w:tentative="1">
      <w:start w:val="1"/>
      <w:numFmt w:val="bullet"/>
      <w:lvlText w:val=""/>
      <w:lvlJc w:val="left"/>
      <w:pPr>
        <w:tabs>
          <w:tab w:val="num" w:pos="5400"/>
        </w:tabs>
        <w:ind w:left="5400" w:hanging="360"/>
      </w:pPr>
      <w:rPr>
        <w:rFonts w:ascii="Symbol" w:hAnsi="Symbol" w:hint="default"/>
      </w:rPr>
    </w:lvl>
    <w:lvl w:ilvl="7" w:tplc="04150003" w:tentative="1">
      <w:start w:val="1"/>
      <w:numFmt w:val="bullet"/>
      <w:lvlText w:val="o"/>
      <w:lvlJc w:val="left"/>
      <w:pPr>
        <w:tabs>
          <w:tab w:val="num" w:pos="6120"/>
        </w:tabs>
        <w:ind w:left="6120" w:hanging="360"/>
      </w:pPr>
      <w:rPr>
        <w:rFonts w:ascii="Courier New" w:hAnsi="Courier New" w:cs="Courier New" w:hint="default"/>
      </w:rPr>
    </w:lvl>
    <w:lvl w:ilvl="8" w:tplc="04150005" w:tentative="1">
      <w:start w:val="1"/>
      <w:numFmt w:val="bullet"/>
      <w:lvlText w:val=""/>
      <w:lvlJc w:val="left"/>
      <w:pPr>
        <w:tabs>
          <w:tab w:val="num" w:pos="6840"/>
        </w:tabs>
        <w:ind w:left="6840" w:hanging="360"/>
      </w:pPr>
      <w:rPr>
        <w:rFonts w:ascii="Wingdings" w:hAnsi="Wingdings" w:hint="default"/>
      </w:rPr>
    </w:lvl>
  </w:abstractNum>
  <w:abstractNum w:abstractNumId="27" w15:restartNumberingAfterBreak="0">
    <w:nsid w:val="60417BAC"/>
    <w:multiLevelType w:val="hybridMultilevel"/>
    <w:tmpl w:val="7ACED012"/>
    <w:lvl w:ilvl="0" w:tplc="69624922">
      <w:start w:val="1"/>
      <w:numFmt w:val="bullet"/>
      <w:lvlText w:val=""/>
      <w:lvlJc w:val="left"/>
      <w:pPr>
        <w:tabs>
          <w:tab w:val="num" w:pos="1140"/>
        </w:tabs>
        <w:ind w:left="1140" w:hanging="360"/>
      </w:pPr>
      <w:rPr>
        <w:rFonts w:ascii="Symbol" w:hAnsi="Symbol" w:hint="default"/>
      </w:rPr>
    </w:lvl>
    <w:lvl w:ilvl="1" w:tplc="04150003" w:tentative="1">
      <w:start w:val="1"/>
      <w:numFmt w:val="bullet"/>
      <w:lvlText w:val="o"/>
      <w:lvlJc w:val="left"/>
      <w:pPr>
        <w:tabs>
          <w:tab w:val="num" w:pos="1860"/>
        </w:tabs>
        <w:ind w:left="1860" w:hanging="360"/>
      </w:pPr>
      <w:rPr>
        <w:rFonts w:ascii="Courier New" w:hAnsi="Courier New" w:cs="Courier New" w:hint="default"/>
      </w:rPr>
    </w:lvl>
    <w:lvl w:ilvl="2" w:tplc="04150005" w:tentative="1">
      <w:start w:val="1"/>
      <w:numFmt w:val="bullet"/>
      <w:lvlText w:val=""/>
      <w:lvlJc w:val="left"/>
      <w:pPr>
        <w:tabs>
          <w:tab w:val="num" w:pos="2580"/>
        </w:tabs>
        <w:ind w:left="2580" w:hanging="360"/>
      </w:pPr>
      <w:rPr>
        <w:rFonts w:ascii="Wingdings" w:hAnsi="Wingdings" w:hint="default"/>
      </w:rPr>
    </w:lvl>
    <w:lvl w:ilvl="3" w:tplc="04150001" w:tentative="1">
      <w:start w:val="1"/>
      <w:numFmt w:val="bullet"/>
      <w:lvlText w:val=""/>
      <w:lvlJc w:val="left"/>
      <w:pPr>
        <w:tabs>
          <w:tab w:val="num" w:pos="3300"/>
        </w:tabs>
        <w:ind w:left="3300" w:hanging="360"/>
      </w:pPr>
      <w:rPr>
        <w:rFonts w:ascii="Symbol" w:hAnsi="Symbol" w:hint="default"/>
      </w:rPr>
    </w:lvl>
    <w:lvl w:ilvl="4" w:tplc="04150003" w:tentative="1">
      <w:start w:val="1"/>
      <w:numFmt w:val="bullet"/>
      <w:lvlText w:val="o"/>
      <w:lvlJc w:val="left"/>
      <w:pPr>
        <w:tabs>
          <w:tab w:val="num" w:pos="4020"/>
        </w:tabs>
        <w:ind w:left="4020" w:hanging="360"/>
      </w:pPr>
      <w:rPr>
        <w:rFonts w:ascii="Courier New" w:hAnsi="Courier New" w:cs="Courier New" w:hint="default"/>
      </w:rPr>
    </w:lvl>
    <w:lvl w:ilvl="5" w:tplc="04150005" w:tentative="1">
      <w:start w:val="1"/>
      <w:numFmt w:val="bullet"/>
      <w:lvlText w:val=""/>
      <w:lvlJc w:val="left"/>
      <w:pPr>
        <w:tabs>
          <w:tab w:val="num" w:pos="4740"/>
        </w:tabs>
        <w:ind w:left="4740" w:hanging="360"/>
      </w:pPr>
      <w:rPr>
        <w:rFonts w:ascii="Wingdings" w:hAnsi="Wingdings" w:hint="default"/>
      </w:rPr>
    </w:lvl>
    <w:lvl w:ilvl="6" w:tplc="04150001" w:tentative="1">
      <w:start w:val="1"/>
      <w:numFmt w:val="bullet"/>
      <w:lvlText w:val=""/>
      <w:lvlJc w:val="left"/>
      <w:pPr>
        <w:tabs>
          <w:tab w:val="num" w:pos="5460"/>
        </w:tabs>
        <w:ind w:left="5460" w:hanging="360"/>
      </w:pPr>
      <w:rPr>
        <w:rFonts w:ascii="Symbol" w:hAnsi="Symbol" w:hint="default"/>
      </w:rPr>
    </w:lvl>
    <w:lvl w:ilvl="7" w:tplc="04150003" w:tentative="1">
      <w:start w:val="1"/>
      <w:numFmt w:val="bullet"/>
      <w:lvlText w:val="o"/>
      <w:lvlJc w:val="left"/>
      <w:pPr>
        <w:tabs>
          <w:tab w:val="num" w:pos="6180"/>
        </w:tabs>
        <w:ind w:left="6180" w:hanging="360"/>
      </w:pPr>
      <w:rPr>
        <w:rFonts w:ascii="Courier New" w:hAnsi="Courier New" w:cs="Courier New" w:hint="default"/>
      </w:rPr>
    </w:lvl>
    <w:lvl w:ilvl="8" w:tplc="04150005" w:tentative="1">
      <w:start w:val="1"/>
      <w:numFmt w:val="bullet"/>
      <w:lvlText w:val=""/>
      <w:lvlJc w:val="left"/>
      <w:pPr>
        <w:tabs>
          <w:tab w:val="num" w:pos="6900"/>
        </w:tabs>
        <w:ind w:left="6900" w:hanging="360"/>
      </w:pPr>
      <w:rPr>
        <w:rFonts w:ascii="Wingdings" w:hAnsi="Wingdings" w:hint="default"/>
      </w:rPr>
    </w:lvl>
  </w:abstractNum>
  <w:abstractNum w:abstractNumId="28" w15:restartNumberingAfterBreak="0">
    <w:nsid w:val="605729A9"/>
    <w:multiLevelType w:val="hybridMultilevel"/>
    <w:tmpl w:val="E06E7A3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61DD2B62"/>
    <w:multiLevelType w:val="hybridMultilevel"/>
    <w:tmpl w:val="9CBC531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62C56F97"/>
    <w:multiLevelType w:val="hybridMultilevel"/>
    <w:tmpl w:val="07FCC908"/>
    <w:lvl w:ilvl="0" w:tplc="04150017">
      <w:start w:val="1"/>
      <w:numFmt w:val="lowerLetter"/>
      <w:lvlText w:val="%1)"/>
      <w:lvlJc w:val="left"/>
      <w:pPr>
        <w:ind w:left="780" w:hanging="360"/>
      </w:pPr>
    </w:lvl>
    <w:lvl w:ilvl="1" w:tplc="04150019" w:tentative="1">
      <w:start w:val="1"/>
      <w:numFmt w:val="lowerLetter"/>
      <w:lvlText w:val="%2."/>
      <w:lvlJc w:val="left"/>
      <w:pPr>
        <w:tabs>
          <w:tab w:val="num" w:pos="1860"/>
        </w:tabs>
        <w:ind w:left="1860" w:hanging="360"/>
      </w:pPr>
    </w:lvl>
    <w:lvl w:ilvl="2" w:tplc="0415001B" w:tentative="1">
      <w:start w:val="1"/>
      <w:numFmt w:val="lowerRoman"/>
      <w:lvlText w:val="%3."/>
      <w:lvlJc w:val="right"/>
      <w:pPr>
        <w:tabs>
          <w:tab w:val="num" w:pos="2580"/>
        </w:tabs>
        <w:ind w:left="2580" w:hanging="180"/>
      </w:pPr>
    </w:lvl>
    <w:lvl w:ilvl="3" w:tplc="0415000F" w:tentative="1">
      <w:start w:val="1"/>
      <w:numFmt w:val="decimal"/>
      <w:lvlText w:val="%4."/>
      <w:lvlJc w:val="left"/>
      <w:pPr>
        <w:tabs>
          <w:tab w:val="num" w:pos="3300"/>
        </w:tabs>
        <w:ind w:left="3300" w:hanging="360"/>
      </w:pPr>
    </w:lvl>
    <w:lvl w:ilvl="4" w:tplc="04150019" w:tentative="1">
      <w:start w:val="1"/>
      <w:numFmt w:val="lowerLetter"/>
      <w:lvlText w:val="%5."/>
      <w:lvlJc w:val="left"/>
      <w:pPr>
        <w:tabs>
          <w:tab w:val="num" w:pos="4020"/>
        </w:tabs>
        <w:ind w:left="4020" w:hanging="360"/>
      </w:pPr>
    </w:lvl>
    <w:lvl w:ilvl="5" w:tplc="0415001B" w:tentative="1">
      <w:start w:val="1"/>
      <w:numFmt w:val="lowerRoman"/>
      <w:lvlText w:val="%6."/>
      <w:lvlJc w:val="right"/>
      <w:pPr>
        <w:tabs>
          <w:tab w:val="num" w:pos="4740"/>
        </w:tabs>
        <w:ind w:left="4740" w:hanging="180"/>
      </w:pPr>
    </w:lvl>
    <w:lvl w:ilvl="6" w:tplc="0415000F" w:tentative="1">
      <w:start w:val="1"/>
      <w:numFmt w:val="decimal"/>
      <w:lvlText w:val="%7."/>
      <w:lvlJc w:val="left"/>
      <w:pPr>
        <w:tabs>
          <w:tab w:val="num" w:pos="5460"/>
        </w:tabs>
        <w:ind w:left="5460" w:hanging="360"/>
      </w:pPr>
    </w:lvl>
    <w:lvl w:ilvl="7" w:tplc="04150019" w:tentative="1">
      <w:start w:val="1"/>
      <w:numFmt w:val="lowerLetter"/>
      <w:lvlText w:val="%8."/>
      <w:lvlJc w:val="left"/>
      <w:pPr>
        <w:tabs>
          <w:tab w:val="num" w:pos="6180"/>
        </w:tabs>
        <w:ind w:left="6180" w:hanging="360"/>
      </w:pPr>
    </w:lvl>
    <w:lvl w:ilvl="8" w:tplc="0415001B" w:tentative="1">
      <w:start w:val="1"/>
      <w:numFmt w:val="lowerRoman"/>
      <w:lvlText w:val="%9."/>
      <w:lvlJc w:val="right"/>
      <w:pPr>
        <w:tabs>
          <w:tab w:val="num" w:pos="6900"/>
        </w:tabs>
        <w:ind w:left="6900" w:hanging="180"/>
      </w:pPr>
    </w:lvl>
  </w:abstractNum>
  <w:abstractNum w:abstractNumId="31" w15:restartNumberingAfterBreak="0">
    <w:nsid w:val="6FFD0546"/>
    <w:multiLevelType w:val="hybridMultilevel"/>
    <w:tmpl w:val="EFCC1B3A"/>
    <w:lvl w:ilvl="0" w:tplc="FF5892AC">
      <w:start w:val="1"/>
      <w:numFmt w:val="bullet"/>
      <w:lvlText w:val="-"/>
      <w:lvlJc w:val="left"/>
      <w:pPr>
        <w:tabs>
          <w:tab w:val="num" w:pos="1080"/>
        </w:tabs>
        <w:ind w:left="1080" w:hanging="360"/>
      </w:pPr>
      <w:rPr>
        <w:rFonts w:ascii="Times New Roman" w:hAnsi="Times New Roman" w:cs="Times New Roman" w:hint="default"/>
      </w:rPr>
    </w:lvl>
    <w:lvl w:ilvl="1" w:tplc="04150003" w:tentative="1">
      <w:start w:val="1"/>
      <w:numFmt w:val="bullet"/>
      <w:lvlText w:val="o"/>
      <w:lvlJc w:val="left"/>
      <w:pPr>
        <w:tabs>
          <w:tab w:val="num" w:pos="1800"/>
        </w:tabs>
        <w:ind w:left="1800" w:hanging="360"/>
      </w:pPr>
      <w:rPr>
        <w:rFonts w:ascii="Courier New" w:hAnsi="Courier New" w:cs="Courier New" w:hint="default"/>
      </w:rPr>
    </w:lvl>
    <w:lvl w:ilvl="2" w:tplc="04150005" w:tentative="1">
      <w:start w:val="1"/>
      <w:numFmt w:val="bullet"/>
      <w:lvlText w:val=""/>
      <w:lvlJc w:val="left"/>
      <w:pPr>
        <w:tabs>
          <w:tab w:val="num" w:pos="2520"/>
        </w:tabs>
        <w:ind w:left="2520" w:hanging="360"/>
      </w:pPr>
      <w:rPr>
        <w:rFonts w:ascii="Wingdings" w:hAnsi="Wingdings" w:hint="default"/>
      </w:rPr>
    </w:lvl>
    <w:lvl w:ilvl="3" w:tplc="04150001" w:tentative="1">
      <w:start w:val="1"/>
      <w:numFmt w:val="bullet"/>
      <w:lvlText w:val=""/>
      <w:lvlJc w:val="left"/>
      <w:pPr>
        <w:tabs>
          <w:tab w:val="num" w:pos="3240"/>
        </w:tabs>
        <w:ind w:left="3240" w:hanging="360"/>
      </w:pPr>
      <w:rPr>
        <w:rFonts w:ascii="Symbol" w:hAnsi="Symbol" w:hint="default"/>
      </w:rPr>
    </w:lvl>
    <w:lvl w:ilvl="4" w:tplc="04150003" w:tentative="1">
      <w:start w:val="1"/>
      <w:numFmt w:val="bullet"/>
      <w:lvlText w:val="o"/>
      <w:lvlJc w:val="left"/>
      <w:pPr>
        <w:tabs>
          <w:tab w:val="num" w:pos="3960"/>
        </w:tabs>
        <w:ind w:left="3960" w:hanging="360"/>
      </w:pPr>
      <w:rPr>
        <w:rFonts w:ascii="Courier New" w:hAnsi="Courier New" w:cs="Courier New" w:hint="default"/>
      </w:rPr>
    </w:lvl>
    <w:lvl w:ilvl="5" w:tplc="04150005" w:tentative="1">
      <w:start w:val="1"/>
      <w:numFmt w:val="bullet"/>
      <w:lvlText w:val=""/>
      <w:lvlJc w:val="left"/>
      <w:pPr>
        <w:tabs>
          <w:tab w:val="num" w:pos="4680"/>
        </w:tabs>
        <w:ind w:left="4680" w:hanging="360"/>
      </w:pPr>
      <w:rPr>
        <w:rFonts w:ascii="Wingdings" w:hAnsi="Wingdings" w:hint="default"/>
      </w:rPr>
    </w:lvl>
    <w:lvl w:ilvl="6" w:tplc="04150001" w:tentative="1">
      <w:start w:val="1"/>
      <w:numFmt w:val="bullet"/>
      <w:lvlText w:val=""/>
      <w:lvlJc w:val="left"/>
      <w:pPr>
        <w:tabs>
          <w:tab w:val="num" w:pos="5400"/>
        </w:tabs>
        <w:ind w:left="5400" w:hanging="360"/>
      </w:pPr>
      <w:rPr>
        <w:rFonts w:ascii="Symbol" w:hAnsi="Symbol" w:hint="default"/>
      </w:rPr>
    </w:lvl>
    <w:lvl w:ilvl="7" w:tplc="04150003" w:tentative="1">
      <w:start w:val="1"/>
      <w:numFmt w:val="bullet"/>
      <w:lvlText w:val="o"/>
      <w:lvlJc w:val="left"/>
      <w:pPr>
        <w:tabs>
          <w:tab w:val="num" w:pos="6120"/>
        </w:tabs>
        <w:ind w:left="6120" w:hanging="360"/>
      </w:pPr>
      <w:rPr>
        <w:rFonts w:ascii="Courier New" w:hAnsi="Courier New" w:cs="Courier New" w:hint="default"/>
      </w:rPr>
    </w:lvl>
    <w:lvl w:ilvl="8" w:tplc="04150005" w:tentative="1">
      <w:start w:val="1"/>
      <w:numFmt w:val="bullet"/>
      <w:lvlText w:val=""/>
      <w:lvlJc w:val="left"/>
      <w:pPr>
        <w:tabs>
          <w:tab w:val="num" w:pos="6840"/>
        </w:tabs>
        <w:ind w:left="6840" w:hanging="360"/>
      </w:pPr>
      <w:rPr>
        <w:rFonts w:ascii="Wingdings" w:hAnsi="Wingdings" w:hint="default"/>
      </w:rPr>
    </w:lvl>
  </w:abstractNum>
  <w:abstractNum w:abstractNumId="32" w15:restartNumberingAfterBreak="0">
    <w:nsid w:val="70CF7D78"/>
    <w:multiLevelType w:val="hybridMultilevel"/>
    <w:tmpl w:val="EC5C073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79FB6311"/>
    <w:multiLevelType w:val="hybridMultilevel"/>
    <w:tmpl w:val="CE54F36A"/>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4" w15:restartNumberingAfterBreak="0">
    <w:nsid w:val="7B164B50"/>
    <w:multiLevelType w:val="hybridMultilevel"/>
    <w:tmpl w:val="16C045B8"/>
    <w:lvl w:ilvl="0" w:tplc="FF5892AC">
      <w:start w:val="1"/>
      <w:numFmt w:val="bullet"/>
      <w:lvlText w:val="-"/>
      <w:lvlJc w:val="left"/>
      <w:pPr>
        <w:tabs>
          <w:tab w:val="num" w:pos="1080"/>
        </w:tabs>
        <w:ind w:left="1080" w:hanging="360"/>
      </w:pPr>
      <w:rPr>
        <w:rFonts w:ascii="Times New Roman" w:hAnsi="Times New Roman" w:cs="Times New Roman" w:hint="default"/>
      </w:rPr>
    </w:lvl>
    <w:lvl w:ilvl="1" w:tplc="04150003" w:tentative="1">
      <w:start w:val="1"/>
      <w:numFmt w:val="bullet"/>
      <w:lvlText w:val="o"/>
      <w:lvlJc w:val="left"/>
      <w:pPr>
        <w:tabs>
          <w:tab w:val="num" w:pos="1800"/>
        </w:tabs>
        <w:ind w:left="1800" w:hanging="360"/>
      </w:pPr>
      <w:rPr>
        <w:rFonts w:ascii="Courier New" w:hAnsi="Courier New" w:cs="Courier New" w:hint="default"/>
      </w:rPr>
    </w:lvl>
    <w:lvl w:ilvl="2" w:tplc="04150005" w:tentative="1">
      <w:start w:val="1"/>
      <w:numFmt w:val="bullet"/>
      <w:lvlText w:val=""/>
      <w:lvlJc w:val="left"/>
      <w:pPr>
        <w:tabs>
          <w:tab w:val="num" w:pos="2520"/>
        </w:tabs>
        <w:ind w:left="2520" w:hanging="360"/>
      </w:pPr>
      <w:rPr>
        <w:rFonts w:ascii="Wingdings" w:hAnsi="Wingdings" w:hint="default"/>
      </w:rPr>
    </w:lvl>
    <w:lvl w:ilvl="3" w:tplc="04150001" w:tentative="1">
      <w:start w:val="1"/>
      <w:numFmt w:val="bullet"/>
      <w:lvlText w:val=""/>
      <w:lvlJc w:val="left"/>
      <w:pPr>
        <w:tabs>
          <w:tab w:val="num" w:pos="3240"/>
        </w:tabs>
        <w:ind w:left="3240" w:hanging="360"/>
      </w:pPr>
      <w:rPr>
        <w:rFonts w:ascii="Symbol" w:hAnsi="Symbol" w:hint="default"/>
      </w:rPr>
    </w:lvl>
    <w:lvl w:ilvl="4" w:tplc="04150003" w:tentative="1">
      <w:start w:val="1"/>
      <w:numFmt w:val="bullet"/>
      <w:lvlText w:val="o"/>
      <w:lvlJc w:val="left"/>
      <w:pPr>
        <w:tabs>
          <w:tab w:val="num" w:pos="3960"/>
        </w:tabs>
        <w:ind w:left="3960" w:hanging="360"/>
      </w:pPr>
      <w:rPr>
        <w:rFonts w:ascii="Courier New" w:hAnsi="Courier New" w:cs="Courier New" w:hint="default"/>
      </w:rPr>
    </w:lvl>
    <w:lvl w:ilvl="5" w:tplc="04150005" w:tentative="1">
      <w:start w:val="1"/>
      <w:numFmt w:val="bullet"/>
      <w:lvlText w:val=""/>
      <w:lvlJc w:val="left"/>
      <w:pPr>
        <w:tabs>
          <w:tab w:val="num" w:pos="4680"/>
        </w:tabs>
        <w:ind w:left="4680" w:hanging="360"/>
      </w:pPr>
      <w:rPr>
        <w:rFonts w:ascii="Wingdings" w:hAnsi="Wingdings" w:hint="default"/>
      </w:rPr>
    </w:lvl>
    <w:lvl w:ilvl="6" w:tplc="04150001" w:tentative="1">
      <w:start w:val="1"/>
      <w:numFmt w:val="bullet"/>
      <w:lvlText w:val=""/>
      <w:lvlJc w:val="left"/>
      <w:pPr>
        <w:tabs>
          <w:tab w:val="num" w:pos="5400"/>
        </w:tabs>
        <w:ind w:left="5400" w:hanging="360"/>
      </w:pPr>
      <w:rPr>
        <w:rFonts w:ascii="Symbol" w:hAnsi="Symbol" w:hint="default"/>
      </w:rPr>
    </w:lvl>
    <w:lvl w:ilvl="7" w:tplc="04150003" w:tentative="1">
      <w:start w:val="1"/>
      <w:numFmt w:val="bullet"/>
      <w:lvlText w:val="o"/>
      <w:lvlJc w:val="left"/>
      <w:pPr>
        <w:tabs>
          <w:tab w:val="num" w:pos="6120"/>
        </w:tabs>
        <w:ind w:left="6120" w:hanging="360"/>
      </w:pPr>
      <w:rPr>
        <w:rFonts w:ascii="Courier New" w:hAnsi="Courier New" w:cs="Courier New" w:hint="default"/>
      </w:rPr>
    </w:lvl>
    <w:lvl w:ilvl="8" w:tplc="04150005" w:tentative="1">
      <w:start w:val="1"/>
      <w:numFmt w:val="bullet"/>
      <w:lvlText w:val=""/>
      <w:lvlJc w:val="left"/>
      <w:pPr>
        <w:tabs>
          <w:tab w:val="num" w:pos="6840"/>
        </w:tabs>
        <w:ind w:left="6840" w:hanging="360"/>
      </w:pPr>
      <w:rPr>
        <w:rFonts w:ascii="Wingdings" w:hAnsi="Wingdings" w:hint="default"/>
      </w:rPr>
    </w:lvl>
  </w:abstractNum>
  <w:num w:numId="1">
    <w:abstractNumId w:val="24"/>
  </w:num>
  <w:num w:numId="2">
    <w:abstractNumId w:val="15"/>
  </w:num>
  <w:num w:numId="3">
    <w:abstractNumId w:val="7"/>
  </w:num>
  <w:num w:numId="4">
    <w:abstractNumId w:val="1"/>
  </w:num>
  <w:num w:numId="5">
    <w:abstractNumId w:val="29"/>
  </w:num>
  <w:num w:numId="6">
    <w:abstractNumId w:val="2"/>
  </w:num>
  <w:num w:numId="7">
    <w:abstractNumId w:val="12"/>
  </w:num>
  <w:num w:numId="8">
    <w:abstractNumId w:val="21"/>
  </w:num>
  <w:num w:numId="9">
    <w:abstractNumId w:val="8"/>
  </w:num>
  <w:num w:numId="10">
    <w:abstractNumId w:val="23"/>
  </w:num>
  <w:num w:numId="11">
    <w:abstractNumId w:val="17"/>
  </w:num>
  <w:num w:numId="12">
    <w:abstractNumId w:val="22"/>
  </w:num>
  <w:num w:numId="13">
    <w:abstractNumId w:val="5"/>
  </w:num>
  <w:num w:numId="14">
    <w:abstractNumId w:val="16"/>
  </w:num>
  <w:num w:numId="15">
    <w:abstractNumId w:val="30"/>
  </w:num>
  <w:num w:numId="16">
    <w:abstractNumId w:val="25"/>
  </w:num>
  <w:num w:numId="17">
    <w:abstractNumId w:val="27"/>
  </w:num>
  <w:num w:numId="18">
    <w:abstractNumId w:val="9"/>
  </w:num>
  <w:num w:numId="19">
    <w:abstractNumId w:val="31"/>
  </w:num>
  <w:num w:numId="20">
    <w:abstractNumId w:val="34"/>
  </w:num>
  <w:num w:numId="21">
    <w:abstractNumId w:val="26"/>
  </w:num>
  <w:num w:numId="22">
    <w:abstractNumId w:val="10"/>
  </w:num>
  <w:num w:numId="23">
    <w:abstractNumId w:val="18"/>
  </w:num>
  <w:num w:numId="2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0"/>
  </w:num>
  <w:num w:numId="26">
    <w:abstractNumId w:val="13"/>
  </w:num>
  <w:num w:numId="27">
    <w:abstractNumId w:val="11"/>
  </w:num>
  <w:num w:numId="28">
    <w:abstractNumId w:val="28"/>
  </w:num>
  <w:num w:numId="29">
    <w:abstractNumId w:val="4"/>
  </w:num>
  <w:num w:numId="30">
    <w:abstractNumId w:val="6"/>
  </w:num>
  <w:num w:numId="31">
    <w:abstractNumId w:val="32"/>
  </w:num>
  <w:num w:numId="32">
    <w:abstractNumId w:val="3"/>
  </w:num>
  <w:num w:numId="3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3895"/>
    <w:rsid w:val="00056E79"/>
    <w:rsid w:val="00081DAE"/>
    <w:rsid w:val="0016437A"/>
    <w:rsid w:val="001B3166"/>
    <w:rsid w:val="001E469B"/>
    <w:rsid w:val="00236955"/>
    <w:rsid w:val="002D3299"/>
    <w:rsid w:val="00392C21"/>
    <w:rsid w:val="003938F7"/>
    <w:rsid w:val="003F6C95"/>
    <w:rsid w:val="00445210"/>
    <w:rsid w:val="00453BA3"/>
    <w:rsid w:val="004A2B6D"/>
    <w:rsid w:val="004A37A6"/>
    <w:rsid w:val="004E0A95"/>
    <w:rsid w:val="004F3862"/>
    <w:rsid w:val="00553C4E"/>
    <w:rsid w:val="005F249D"/>
    <w:rsid w:val="005F4005"/>
    <w:rsid w:val="006466AC"/>
    <w:rsid w:val="00725B90"/>
    <w:rsid w:val="00726F0A"/>
    <w:rsid w:val="00727934"/>
    <w:rsid w:val="007455B5"/>
    <w:rsid w:val="007A3A37"/>
    <w:rsid w:val="007E18A8"/>
    <w:rsid w:val="007E26CA"/>
    <w:rsid w:val="00867028"/>
    <w:rsid w:val="00874676"/>
    <w:rsid w:val="00877B10"/>
    <w:rsid w:val="00882207"/>
    <w:rsid w:val="00887DB4"/>
    <w:rsid w:val="008D1573"/>
    <w:rsid w:val="008F6235"/>
    <w:rsid w:val="009B43A0"/>
    <w:rsid w:val="009B51A0"/>
    <w:rsid w:val="009D78F9"/>
    <w:rsid w:val="009E788D"/>
    <w:rsid w:val="009F03C5"/>
    <w:rsid w:val="00A110C4"/>
    <w:rsid w:val="00AB053F"/>
    <w:rsid w:val="00AD453B"/>
    <w:rsid w:val="00B47930"/>
    <w:rsid w:val="00C04DCD"/>
    <w:rsid w:val="00CA19A7"/>
    <w:rsid w:val="00CF08F2"/>
    <w:rsid w:val="00D033A0"/>
    <w:rsid w:val="00D03895"/>
    <w:rsid w:val="00D14D9C"/>
    <w:rsid w:val="00DE0567"/>
    <w:rsid w:val="00DF4048"/>
    <w:rsid w:val="00DF5F5A"/>
    <w:rsid w:val="00EE2731"/>
    <w:rsid w:val="00F17B5B"/>
    <w:rsid w:val="00F736B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C43776"/>
  <w15:docId w15:val="{7E59353C-FF48-4A97-9338-2D0045D9FB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paragraph" w:styleId="Nagwek1">
    <w:name w:val="heading 1"/>
    <w:basedOn w:val="Normalny"/>
    <w:next w:val="Normalny"/>
    <w:link w:val="Nagwek1Znak"/>
    <w:qFormat/>
    <w:rsid w:val="00CF08F2"/>
    <w:pPr>
      <w:keepNext/>
      <w:spacing w:before="240" w:after="60" w:line="240" w:lineRule="auto"/>
      <w:outlineLvl w:val="0"/>
    </w:pPr>
    <w:rPr>
      <w:rFonts w:ascii="Arial" w:eastAsia="Times New Roman" w:hAnsi="Arial" w:cs="Arial"/>
      <w:b/>
      <w:bCs/>
      <w:kern w:val="32"/>
      <w:sz w:val="32"/>
      <w:szCs w:val="32"/>
      <w:lang w:eastAsia="pl-PL"/>
    </w:rPr>
  </w:style>
  <w:style w:type="paragraph" w:styleId="Nagwek2">
    <w:name w:val="heading 2"/>
    <w:basedOn w:val="Normalny"/>
    <w:next w:val="Normalny"/>
    <w:link w:val="Nagwek2Znak"/>
    <w:semiHidden/>
    <w:unhideWhenUsed/>
    <w:qFormat/>
    <w:rsid w:val="00CF08F2"/>
    <w:pPr>
      <w:keepNext/>
      <w:spacing w:before="240" w:after="60"/>
      <w:outlineLvl w:val="1"/>
    </w:pPr>
    <w:rPr>
      <w:rFonts w:ascii="Cambria" w:eastAsia="Times New Roman" w:hAnsi="Cambria" w:cs="Times New Roman"/>
      <w:b/>
      <w:bCs/>
      <w:i/>
      <w:iCs/>
      <w:sz w:val="28"/>
      <w:szCs w:val="28"/>
    </w:rPr>
  </w:style>
  <w:style w:type="paragraph" w:styleId="Nagwek3">
    <w:name w:val="heading 3"/>
    <w:basedOn w:val="Normalny"/>
    <w:next w:val="Normalny"/>
    <w:link w:val="Nagwek3Znak"/>
    <w:qFormat/>
    <w:rsid w:val="00CF08F2"/>
    <w:pPr>
      <w:keepNext/>
      <w:spacing w:before="240" w:after="60" w:line="240" w:lineRule="auto"/>
      <w:outlineLvl w:val="2"/>
    </w:pPr>
    <w:rPr>
      <w:rFonts w:ascii="Arial" w:eastAsia="Times New Roman" w:hAnsi="Arial" w:cs="Arial"/>
      <w:b/>
      <w:bCs/>
      <w:sz w:val="26"/>
      <w:szCs w:val="26"/>
      <w:lang w:eastAsia="pl-PL"/>
    </w:rPr>
  </w:style>
  <w:style w:type="paragraph" w:styleId="Nagwek6">
    <w:name w:val="heading 6"/>
    <w:basedOn w:val="Normalny"/>
    <w:next w:val="Normalny"/>
    <w:link w:val="Nagwek6Znak"/>
    <w:uiPriority w:val="9"/>
    <w:semiHidden/>
    <w:unhideWhenUsed/>
    <w:qFormat/>
    <w:rsid w:val="00392C21"/>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ARTartustawynprozporzdzenia">
    <w:name w:val="ART(§) – art. ustawy (§ np. rozporządzenia)"/>
    <w:uiPriority w:val="11"/>
    <w:qFormat/>
    <w:rsid w:val="005F4005"/>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5F4005"/>
    <w:rPr>
      <w:bCs/>
    </w:rPr>
  </w:style>
  <w:style w:type="paragraph" w:customStyle="1" w:styleId="PKTpunkt">
    <w:name w:val="PKT – punkt"/>
    <w:uiPriority w:val="13"/>
    <w:qFormat/>
    <w:rsid w:val="005F4005"/>
    <w:pPr>
      <w:spacing w:after="0" w:line="360" w:lineRule="auto"/>
      <w:ind w:left="510" w:hanging="510"/>
      <w:jc w:val="both"/>
    </w:pPr>
    <w:rPr>
      <w:rFonts w:ascii="Times" w:eastAsiaTheme="minorEastAsia" w:hAnsi="Times" w:cs="Arial"/>
      <w:bCs/>
      <w:sz w:val="24"/>
      <w:szCs w:val="20"/>
      <w:lang w:eastAsia="pl-PL"/>
    </w:rPr>
  </w:style>
  <w:style w:type="paragraph" w:styleId="Nagwek">
    <w:name w:val="header"/>
    <w:basedOn w:val="Normalny"/>
    <w:link w:val="NagwekZnak"/>
    <w:uiPriority w:val="99"/>
    <w:unhideWhenUsed/>
    <w:rsid w:val="009D78F9"/>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9D78F9"/>
  </w:style>
  <w:style w:type="paragraph" w:styleId="Stopka">
    <w:name w:val="footer"/>
    <w:basedOn w:val="Normalny"/>
    <w:link w:val="StopkaZnak"/>
    <w:uiPriority w:val="99"/>
    <w:unhideWhenUsed/>
    <w:rsid w:val="009D78F9"/>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9D78F9"/>
  </w:style>
  <w:style w:type="paragraph" w:styleId="Tekstprzypisudolnego">
    <w:name w:val="footnote text"/>
    <w:basedOn w:val="Normalny"/>
    <w:link w:val="TekstprzypisudolnegoZnak"/>
    <w:uiPriority w:val="99"/>
    <w:semiHidden/>
    <w:unhideWhenUsed/>
    <w:qFormat/>
    <w:rsid w:val="00CF08F2"/>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CF08F2"/>
    <w:rPr>
      <w:sz w:val="20"/>
      <w:szCs w:val="20"/>
    </w:rPr>
  </w:style>
  <w:style w:type="character" w:styleId="Odwoanieprzypisudolnego">
    <w:name w:val="footnote reference"/>
    <w:uiPriority w:val="99"/>
    <w:semiHidden/>
    <w:unhideWhenUsed/>
    <w:rsid w:val="00CF08F2"/>
    <w:rPr>
      <w:vertAlign w:val="superscript"/>
    </w:rPr>
  </w:style>
  <w:style w:type="character" w:customStyle="1" w:styleId="Nagwek1Znak">
    <w:name w:val="Nagłówek 1 Znak"/>
    <w:basedOn w:val="Domylnaczcionkaakapitu"/>
    <w:link w:val="Nagwek1"/>
    <w:rsid w:val="00CF08F2"/>
    <w:rPr>
      <w:rFonts w:ascii="Arial" w:eastAsia="Times New Roman" w:hAnsi="Arial" w:cs="Arial"/>
      <w:b/>
      <w:bCs/>
      <w:kern w:val="32"/>
      <w:sz w:val="32"/>
      <w:szCs w:val="32"/>
      <w:lang w:eastAsia="pl-PL"/>
    </w:rPr>
  </w:style>
  <w:style w:type="character" w:customStyle="1" w:styleId="Nagwek2Znak">
    <w:name w:val="Nagłówek 2 Znak"/>
    <w:basedOn w:val="Domylnaczcionkaakapitu"/>
    <w:link w:val="Nagwek2"/>
    <w:semiHidden/>
    <w:rsid w:val="00CF08F2"/>
    <w:rPr>
      <w:rFonts w:ascii="Cambria" w:eastAsia="Times New Roman" w:hAnsi="Cambria" w:cs="Times New Roman"/>
      <w:b/>
      <w:bCs/>
      <w:i/>
      <w:iCs/>
      <w:sz w:val="28"/>
      <w:szCs w:val="28"/>
    </w:rPr>
  </w:style>
  <w:style w:type="character" w:customStyle="1" w:styleId="Nagwek3Znak">
    <w:name w:val="Nagłówek 3 Znak"/>
    <w:basedOn w:val="Domylnaczcionkaakapitu"/>
    <w:link w:val="Nagwek3"/>
    <w:rsid w:val="00CF08F2"/>
    <w:rPr>
      <w:rFonts w:ascii="Arial" w:eastAsia="Times New Roman" w:hAnsi="Arial" w:cs="Arial"/>
      <w:b/>
      <w:bCs/>
      <w:sz w:val="26"/>
      <w:szCs w:val="26"/>
      <w:lang w:eastAsia="pl-PL"/>
    </w:rPr>
  </w:style>
  <w:style w:type="numbering" w:customStyle="1" w:styleId="Bezlisty1">
    <w:name w:val="Bez listy1"/>
    <w:next w:val="Bezlisty"/>
    <w:uiPriority w:val="99"/>
    <w:semiHidden/>
    <w:unhideWhenUsed/>
    <w:rsid w:val="00CF08F2"/>
  </w:style>
  <w:style w:type="table" w:styleId="Tabela-Siatka">
    <w:name w:val="Table Grid"/>
    <w:basedOn w:val="Standardowy"/>
    <w:uiPriority w:val="99"/>
    <w:rsid w:val="00CF08F2"/>
    <w:pPr>
      <w:spacing w:after="0" w:line="240" w:lineRule="auto"/>
    </w:pPr>
    <w:rPr>
      <w:rFonts w:ascii="Calibri" w:eastAsia="Calibri" w:hAnsi="Calibri"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dymka">
    <w:name w:val="Balloon Text"/>
    <w:basedOn w:val="Normalny"/>
    <w:link w:val="TekstdymkaZnak"/>
    <w:uiPriority w:val="99"/>
    <w:semiHidden/>
    <w:rsid w:val="00CF08F2"/>
    <w:pPr>
      <w:spacing w:after="0" w:line="240" w:lineRule="auto"/>
    </w:pPr>
    <w:rPr>
      <w:rFonts w:ascii="Tahoma" w:eastAsia="Calibri" w:hAnsi="Tahoma" w:cs="Tahoma"/>
      <w:sz w:val="16"/>
      <w:szCs w:val="16"/>
    </w:rPr>
  </w:style>
  <w:style w:type="character" w:customStyle="1" w:styleId="TekstdymkaZnak">
    <w:name w:val="Tekst dymka Znak"/>
    <w:basedOn w:val="Domylnaczcionkaakapitu"/>
    <w:link w:val="Tekstdymka"/>
    <w:uiPriority w:val="99"/>
    <w:semiHidden/>
    <w:rsid w:val="00CF08F2"/>
    <w:rPr>
      <w:rFonts w:ascii="Tahoma" w:eastAsia="Calibri" w:hAnsi="Tahoma" w:cs="Tahoma"/>
      <w:sz w:val="16"/>
      <w:szCs w:val="16"/>
    </w:rPr>
  </w:style>
  <w:style w:type="paragraph" w:styleId="Tekstprzypisukocowego">
    <w:name w:val="endnote text"/>
    <w:basedOn w:val="Normalny"/>
    <w:link w:val="TekstprzypisukocowegoZnak"/>
    <w:uiPriority w:val="99"/>
    <w:semiHidden/>
    <w:unhideWhenUsed/>
    <w:rsid w:val="00CF08F2"/>
    <w:pPr>
      <w:spacing w:after="0" w:line="240" w:lineRule="auto"/>
    </w:pPr>
    <w:rPr>
      <w:rFonts w:ascii="Calibri" w:eastAsia="Calibri" w:hAnsi="Calibri" w:cs="Times New Roman"/>
      <w:sz w:val="20"/>
      <w:szCs w:val="20"/>
    </w:rPr>
  </w:style>
  <w:style w:type="character" w:customStyle="1" w:styleId="TekstprzypisukocowegoZnak">
    <w:name w:val="Tekst przypisu końcowego Znak"/>
    <w:basedOn w:val="Domylnaczcionkaakapitu"/>
    <w:link w:val="Tekstprzypisukocowego"/>
    <w:uiPriority w:val="99"/>
    <w:semiHidden/>
    <w:rsid w:val="00CF08F2"/>
    <w:rPr>
      <w:rFonts w:ascii="Calibri" w:eastAsia="Calibri" w:hAnsi="Calibri" w:cs="Times New Roman"/>
      <w:sz w:val="20"/>
      <w:szCs w:val="20"/>
    </w:rPr>
  </w:style>
  <w:style w:type="character" w:styleId="Odwoanieprzypisukocowego">
    <w:name w:val="endnote reference"/>
    <w:uiPriority w:val="99"/>
    <w:semiHidden/>
    <w:unhideWhenUsed/>
    <w:rsid w:val="00CF08F2"/>
    <w:rPr>
      <w:vertAlign w:val="superscript"/>
    </w:rPr>
  </w:style>
  <w:style w:type="paragraph" w:styleId="Akapitzlist">
    <w:name w:val="List Paragraph"/>
    <w:aliases w:val="Numerowanie,List Paragraph"/>
    <w:basedOn w:val="Normalny"/>
    <w:link w:val="AkapitzlistZnak"/>
    <w:uiPriority w:val="34"/>
    <w:qFormat/>
    <w:rsid w:val="00CF08F2"/>
    <w:pPr>
      <w:spacing w:after="0"/>
      <w:ind w:left="720"/>
      <w:contextualSpacing/>
    </w:pPr>
    <w:rPr>
      <w:rFonts w:ascii="Calibri" w:eastAsia="Calibri" w:hAnsi="Calibri" w:cs="Times New Roman"/>
    </w:rPr>
  </w:style>
  <w:style w:type="character" w:styleId="Odwoaniedokomentarza">
    <w:name w:val="annotation reference"/>
    <w:uiPriority w:val="99"/>
    <w:semiHidden/>
    <w:unhideWhenUsed/>
    <w:rsid w:val="00CF08F2"/>
    <w:rPr>
      <w:sz w:val="16"/>
      <w:szCs w:val="16"/>
    </w:rPr>
  </w:style>
  <w:style w:type="paragraph" w:styleId="Tekstkomentarza">
    <w:name w:val="annotation text"/>
    <w:basedOn w:val="Normalny"/>
    <w:link w:val="TekstkomentarzaZnak"/>
    <w:uiPriority w:val="99"/>
    <w:semiHidden/>
    <w:unhideWhenUsed/>
    <w:rsid w:val="00CF08F2"/>
    <w:pPr>
      <w:spacing w:after="0"/>
    </w:pPr>
    <w:rPr>
      <w:rFonts w:ascii="Calibri" w:eastAsia="Calibri" w:hAnsi="Calibri" w:cs="Times New Roman"/>
      <w:sz w:val="20"/>
      <w:szCs w:val="20"/>
    </w:rPr>
  </w:style>
  <w:style w:type="character" w:customStyle="1" w:styleId="TekstkomentarzaZnak">
    <w:name w:val="Tekst komentarza Znak"/>
    <w:basedOn w:val="Domylnaczcionkaakapitu"/>
    <w:link w:val="Tekstkomentarza"/>
    <w:uiPriority w:val="99"/>
    <w:semiHidden/>
    <w:rsid w:val="00CF08F2"/>
    <w:rPr>
      <w:rFonts w:ascii="Calibri" w:eastAsia="Calibri" w:hAnsi="Calibri" w:cs="Times New Roman"/>
      <w:sz w:val="20"/>
      <w:szCs w:val="20"/>
    </w:rPr>
  </w:style>
  <w:style w:type="paragraph" w:styleId="Tematkomentarza">
    <w:name w:val="annotation subject"/>
    <w:basedOn w:val="Tekstkomentarza"/>
    <w:next w:val="Tekstkomentarza"/>
    <w:link w:val="TematkomentarzaZnak"/>
    <w:uiPriority w:val="99"/>
    <w:semiHidden/>
    <w:unhideWhenUsed/>
    <w:rsid w:val="00CF08F2"/>
    <w:rPr>
      <w:b/>
      <w:bCs/>
    </w:rPr>
  </w:style>
  <w:style w:type="character" w:customStyle="1" w:styleId="TematkomentarzaZnak">
    <w:name w:val="Temat komentarza Znak"/>
    <w:basedOn w:val="TekstkomentarzaZnak"/>
    <w:link w:val="Tematkomentarza"/>
    <w:uiPriority w:val="99"/>
    <w:semiHidden/>
    <w:rsid w:val="00CF08F2"/>
    <w:rPr>
      <w:rFonts w:ascii="Calibri" w:eastAsia="Calibri" w:hAnsi="Calibri" w:cs="Times New Roman"/>
      <w:b/>
      <w:bCs/>
      <w:sz w:val="20"/>
      <w:szCs w:val="20"/>
    </w:rPr>
  </w:style>
  <w:style w:type="character" w:styleId="Hipercze">
    <w:name w:val="Hyperlink"/>
    <w:uiPriority w:val="99"/>
    <w:unhideWhenUsed/>
    <w:rsid w:val="00CF08F2"/>
    <w:rPr>
      <w:color w:val="0000FF"/>
      <w:u w:val="single"/>
    </w:rPr>
  </w:style>
  <w:style w:type="character" w:styleId="UyteHipercze">
    <w:name w:val="FollowedHyperlink"/>
    <w:uiPriority w:val="99"/>
    <w:semiHidden/>
    <w:unhideWhenUsed/>
    <w:rsid w:val="00CF08F2"/>
    <w:rPr>
      <w:color w:val="800080"/>
      <w:u w:val="single"/>
    </w:rPr>
  </w:style>
  <w:style w:type="paragraph" w:styleId="NormalnyWeb">
    <w:name w:val="Normal (Web)"/>
    <w:basedOn w:val="Normalny"/>
    <w:uiPriority w:val="99"/>
    <w:semiHidden/>
    <w:unhideWhenUsed/>
    <w:rsid w:val="00CF08F2"/>
    <w:pPr>
      <w:spacing w:before="100" w:beforeAutospacing="1" w:after="100" w:afterAutospacing="1" w:line="240" w:lineRule="auto"/>
    </w:pPr>
    <w:rPr>
      <w:rFonts w:ascii="Times New Roman" w:eastAsia="Times New Roman" w:hAnsi="Times New Roman" w:cs="Times New Roman"/>
      <w:sz w:val="20"/>
      <w:szCs w:val="20"/>
      <w:lang w:eastAsia="pl-PL"/>
    </w:rPr>
  </w:style>
  <w:style w:type="character" w:styleId="Pogrubienie">
    <w:name w:val="Strong"/>
    <w:uiPriority w:val="22"/>
    <w:qFormat/>
    <w:rsid w:val="00CF08F2"/>
    <w:rPr>
      <w:b/>
      <w:bCs/>
    </w:rPr>
  </w:style>
  <w:style w:type="table" w:styleId="Jasnecieniowanieakcent1">
    <w:name w:val="Light Shading Accent 1"/>
    <w:basedOn w:val="Standardowy"/>
    <w:uiPriority w:val="60"/>
    <w:rsid w:val="00CF08F2"/>
    <w:pPr>
      <w:spacing w:after="0" w:line="240" w:lineRule="auto"/>
    </w:pPr>
    <w:rPr>
      <w:rFonts w:ascii="Calibri" w:eastAsia="Calibri" w:hAnsi="Calibri" w:cs="Times New Roman"/>
      <w:color w:val="365F91"/>
      <w:sz w:val="20"/>
      <w:szCs w:val="20"/>
      <w:lang w:eastAsia="pl-PL"/>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character" w:customStyle="1" w:styleId="hps">
    <w:name w:val="hps"/>
    <w:rsid w:val="00CF08F2"/>
  </w:style>
  <w:style w:type="character" w:customStyle="1" w:styleId="Nagwek6Znak">
    <w:name w:val="Nagłówek 6 Znak"/>
    <w:basedOn w:val="Domylnaczcionkaakapitu"/>
    <w:link w:val="Nagwek6"/>
    <w:uiPriority w:val="9"/>
    <w:semiHidden/>
    <w:rsid w:val="00392C21"/>
    <w:rPr>
      <w:rFonts w:asciiTheme="majorHAnsi" w:eastAsiaTheme="majorEastAsia" w:hAnsiTheme="majorHAnsi" w:cstheme="majorBidi"/>
      <w:i/>
      <w:iCs/>
      <w:color w:val="243F60" w:themeColor="accent1" w:themeShade="7F"/>
    </w:rPr>
  </w:style>
  <w:style w:type="paragraph" w:customStyle="1" w:styleId="OZNRODZAKTUtznustawalubrozporzdzenieiorganwydajcy">
    <w:name w:val="OZN_RODZ_AKTU – tzn. ustawa lub rozporządzenie i organ wydający"/>
    <w:next w:val="Normalny"/>
    <w:uiPriority w:val="5"/>
    <w:qFormat/>
    <w:rsid w:val="00C04DCD"/>
    <w:pPr>
      <w:keepNext/>
      <w:suppressAutoHyphens/>
      <w:spacing w:after="120" w:line="360" w:lineRule="auto"/>
      <w:jc w:val="center"/>
    </w:pPr>
    <w:rPr>
      <w:rFonts w:ascii="Times" w:eastAsia="Times New Roman" w:hAnsi="Times" w:cs="Times New Roman"/>
      <w:b/>
      <w:bCs/>
      <w:caps/>
      <w:spacing w:val="54"/>
      <w:kern w:val="24"/>
      <w:sz w:val="24"/>
      <w:szCs w:val="24"/>
      <w:lang w:eastAsia="pl-PL"/>
    </w:rPr>
  </w:style>
  <w:style w:type="character" w:customStyle="1" w:styleId="AkapitzlistZnak">
    <w:name w:val="Akapit z listą Znak"/>
    <w:aliases w:val="Numerowanie Znak,List Paragraph Znak"/>
    <w:link w:val="Akapitzlist"/>
    <w:uiPriority w:val="34"/>
    <w:locked/>
    <w:rsid w:val="00CA19A7"/>
    <w:rPr>
      <w:rFonts w:ascii="Calibri" w:eastAsia="Calibri" w:hAnsi="Calibri" w:cs="Times New Roman"/>
    </w:rPr>
  </w:style>
  <w:style w:type="paragraph" w:customStyle="1" w:styleId="ZPKTzmpktartykuempunktem">
    <w:name w:val="Z/PKT – zm. pkt artykułem (punktem)"/>
    <w:basedOn w:val="Normalny"/>
    <w:uiPriority w:val="31"/>
    <w:qFormat/>
    <w:rsid w:val="00CA19A7"/>
    <w:pPr>
      <w:spacing w:after="0" w:line="360" w:lineRule="auto"/>
      <w:ind w:left="1020" w:hanging="510"/>
      <w:jc w:val="both"/>
    </w:pPr>
    <w:rPr>
      <w:rFonts w:ascii="Times" w:eastAsiaTheme="minorEastAsia" w:hAnsi="Times" w:cs="Arial"/>
      <w:bCs/>
      <w:sz w:val="24"/>
      <w:szCs w:val="20"/>
      <w:lang w:eastAsia="pl-PL"/>
    </w:rPr>
  </w:style>
  <w:style w:type="character" w:customStyle="1" w:styleId="Kkursywa">
    <w:name w:val="_K_ – kursywa"/>
    <w:basedOn w:val="Domylnaczcionkaakapitu"/>
    <w:uiPriority w:val="1"/>
    <w:qFormat/>
    <w:rsid w:val="00CA19A7"/>
    <w:rPr>
      <w:i/>
      <w:i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322438">
      <w:bodyDiv w:val="1"/>
      <w:marLeft w:val="0"/>
      <w:marRight w:val="0"/>
      <w:marTop w:val="0"/>
      <w:marBottom w:val="0"/>
      <w:divBdr>
        <w:top w:val="none" w:sz="0" w:space="0" w:color="auto"/>
        <w:left w:val="none" w:sz="0" w:space="0" w:color="auto"/>
        <w:bottom w:val="none" w:sz="0" w:space="0" w:color="auto"/>
        <w:right w:val="none" w:sz="0" w:space="0" w:color="auto"/>
      </w:divBdr>
    </w:div>
    <w:div w:id="442462933">
      <w:bodyDiv w:val="1"/>
      <w:marLeft w:val="0"/>
      <w:marRight w:val="0"/>
      <w:marTop w:val="0"/>
      <w:marBottom w:val="0"/>
      <w:divBdr>
        <w:top w:val="none" w:sz="0" w:space="0" w:color="auto"/>
        <w:left w:val="none" w:sz="0" w:space="0" w:color="auto"/>
        <w:bottom w:val="none" w:sz="0" w:space="0" w:color="auto"/>
        <w:right w:val="none" w:sz="0" w:space="0" w:color="auto"/>
      </w:divBdr>
    </w:div>
    <w:div w:id="444085786">
      <w:bodyDiv w:val="1"/>
      <w:marLeft w:val="0"/>
      <w:marRight w:val="0"/>
      <w:marTop w:val="0"/>
      <w:marBottom w:val="0"/>
      <w:divBdr>
        <w:top w:val="none" w:sz="0" w:space="0" w:color="auto"/>
        <w:left w:val="none" w:sz="0" w:space="0" w:color="auto"/>
        <w:bottom w:val="none" w:sz="0" w:space="0" w:color="auto"/>
        <w:right w:val="none" w:sz="0" w:space="0" w:color="auto"/>
      </w:divBdr>
    </w:div>
    <w:div w:id="689374087">
      <w:bodyDiv w:val="1"/>
      <w:marLeft w:val="0"/>
      <w:marRight w:val="0"/>
      <w:marTop w:val="0"/>
      <w:marBottom w:val="0"/>
      <w:divBdr>
        <w:top w:val="none" w:sz="0" w:space="0" w:color="auto"/>
        <w:left w:val="none" w:sz="0" w:space="0" w:color="auto"/>
        <w:bottom w:val="none" w:sz="0" w:space="0" w:color="auto"/>
        <w:right w:val="none" w:sz="0" w:space="0" w:color="auto"/>
      </w:divBdr>
    </w:div>
    <w:div w:id="1306281854">
      <w:bodyDiv w:val="1"/>
      <w:marLeft w:val="0"/>
      <w:marRight w:val="0"/>
      <w:marTop w:val="0"/>
      <w:marBottom w:val="0"/>
      <w:divBdr>
        <w:top w:val="none" w:sz="0" w:space="0" w:color="auto"/>
        <w:left w:val="none" w:sz="0" w:space="0" w:color="auto"/>
        <w:bottom w:val="none" w:sz="0" w:space="0" w:color="auto"/>
        <w:right w:val="none" w:sz="0" w:space="0" w:color="auto"/>
      </w:divBdr>
    </w:div>
    <w:div w:id="1350133533">
      <w:bodyDiv w:val="1"/>
      <w:marLeft w:val="0"/>
      <w:marRight w:val="0"/>
      <w:marTop w:val="0"/>
      <w:marBottom w:val="0"/>
      <w:divBdr>
        <w:top w:val="none" w:sz="0" w:space="0" w:color="auto"/>
        <w:left w:val="none" w:sz="0" w:space="0" w:color="auto"/>
        <w:bottom w:val="none" w:sz="0" w:space="0" w:color="auto"/>
        <w:right w:val="none" w:sz="0" w:space="0" w:color="auto"/>
      </w:divBdr>
    </w:div>
    <w:div w:id="16462808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17</Pages>
  <Words>6036</Words>
  <Characters>36218</Characters>
  <Application>Microsoft Office Word</Application>
  <DocSecurity>0</DocSecurity>
  <Lines>301</Lines>
  <Paragraphs>84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42170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Binkowska Joanna</dc:creator>
  <cp:lastModifiedBy>Autor</cp:lastModifiedBy>
  <cp:revision>5</cp:revision>
  <cp:lastPrinted>2018-10-02T13:01:00Z</cp:lastPrinted>
  <dcterms:created xsi:type="dcterms:W3CDTF">2023-05-19T08:45:00Z</dcterms:created>
  <dcterms:modified xsi:type="dcterms:W3CDTF">2023-05-19T09:48:00Z</dcterms:modified>
</cp:coreProperties>
</file>