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0E5A0" w14:textId="6E08BBA6" w:rsidR="006F72BE" w:rsidRDefault="00496C5C" w:rsidP="00496C5C">
      <w:pPr>
        <w:pStyle w:val="TYTDZPRZEDMprzedmiotregulacjitytuulubdziau"/>
      </w:pPr>
      <w:r>
        <w:t>UZASADNIE</w:t>
      </w:r>
      <w:bookmarkStart w:id="0" w:name="_GoBack"/>
      <w:bookmarkEnd w:id="0"/>
      <w:r>
        <w:t>NIE</w:t>
      </w:r>
    </w:p>
    <w:p w14:paraId="6D81B870"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bookmarkStart w:id="1" w:name="_Hlk94553341"/>
      <w:bookmarkStart w:id="2" w:name="_Hlk99995793"/>
      <w:r w:rsidRPr="004A7425">
        <w:rPr>
          <w:rFonts w:ascii="Times New Roman" w:eastAsia="Times New Roman" w:hAnsi="Times New Roman" w:cs="Times New Roman"/>
          <w:bCs/>
          <w:sz w:val="24"/>
          <w:szCs w:val="24"/>
        </w:rPr>
        <w:t xml:space="preserve">Celem projektu ustawy jest wdrożenie rozwiązań prawno-organizacyjnych, które </w:t>
      </w:r>
      <w:r w:rsidRPr="004A7425">
        <w:rPr>
          <w:rFonts w:ascii="Times New Roman" w:eastAsia="Times New Roman" w:hAnsi="Times New Roman" w:cs="Times New Roman"/>
          <w:bCs/>
          <w:sz w:val="24"/>
          <w:szCs w:val="24"/>
        </w:rPr>
        <w:br/>
        <w:t xml:space="preserve">w sposób kompleksowy i skoordynowany będą realizowały priorytety polityki zdrowotnej </w:t>
      </w:r>
      <w:r w:rsidRPr="004A7425">
        <w:rPr>
          <w:rFonts w:ascii="Times New Roman" w:eastAsia="Times New Roman" w:hAnsi="Times New Roman" w:cs="Times New Roman"/>
          <w:bCs/>
          <w:sz w:val="24"/>
          <w:szCs w:val="24"/>
        </w:rPr>
        <w:br/>
        <w:t>w obszarze jakości. Przedmiotem uregulowania są rozwiązania w zakresie:</w:t>
      </w:r>
    </w:p>
    <w:bookmarkEnd w:id="1"/>
    <w:p w14:paraId="248D92F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autoryzacji;</w:t>
      </w:r>
    </w:p>
    <w:p w14:paraId="664B74A1"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 xml:space="preserve">wewnętrznego systemu zarządzania jakością i bezpieczeństwem; </w:t>
      </w:r>
    </w:p>
    <w:p w14:paraId="77C62418"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akredytacji;</w:t>
      </w:r>
    </w:p>
    <w:p w14:paraId="0763A43C"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4)</w:t>
      </w:r>
      <w:r w:rsidRPr="004A7425">
        <w:rPr>
          <w:rFonts w:ascii="Times New Roman" w:eastAsia="Times New Roman" w:hAnsi="Times New Roman" w:cs="Times New Roman"/>
          <w:bCs/>
          <w:sz w:val="24"/>
          <w:szCs w:val="24"/>
        </w:rPr>
        <w:tab/>
        <w:t>rejestrów medycznych.</w:t>
      </w:r>
    </w:p>
    <w:p w14:paraId="14A03A7C"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Aktualnie zagadnienia jakości w opiece zdrowotnej są regulowane w wielu aktach prawnych o zróżnicowanej randze. Jednocześnie jest prowadzonych szereg inicjatyw projakościowych inicjowanych przez ministra właściwego do spraw zdrowia, Narodowy Fundusz Zdrowia, zwany dalej „Funduszem”, organizacje zrzeszające pacjentów oraz środowiska medyczne. Jednak dotychczas wprowadzenie wymagań jakościowych nie wiąże się z dostateczną i systematyczną oceną ich spełnienia. Systemowe podejście do zagadnienia jakości w opiece zdrowotnej wymaga przede wszystkim oceny zjawiska „niedostatecznej jakości” i skali jego występowania, wskazania głównych przyczyn i konsekwencji jego występowania oraz wprowadzenia rozwiązań stymulujących do poprawy. </w:t>
      </w:r>
    </w:p>
    <w:bookmarkEnd w:id="2"/>
    <w:p w14:paraId="61F072B9"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Uregulowanie kwestii systemowego monitorowania jakości udzielanych świadczeń opieki zdrowotnej w drodze odrębnego aktu prawnego pozwoli na:</w:t>
      </w:r>
    </w:p>
    <w:p w14:paraId="606E0E94"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1) </w:t>
      </w:r>
      <w:r w:rsidRPr="004A7425">
        <w:rPr>
          <w:rFonts w:ascii="Times New Roman" w:eastAsia="Times New Roman" w:hAnsi="Times New Roman" w:cs="Times New Roman"/>
          <w:bCs/>
          <w:sz w:val="24"/>
          <w:szCs w:val="24"/>
        </w:rPr>
        <w:tab/>
        <w:t>poprawę skuteczności diagnostyki i leczenia przez systematyczną ocenę klinicznych wskaźników jakości;</w:t>
      </w:r>
    </w:p>
    <w:p w14:paraId="793228C4"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2) </w:t>
      </w:r>
      <w:r w:rsidRPr="004A7425">
        <w:rPr>
          <w:rFonts w:ascii="Times New Roman" w:eastAsia="Times New Roman" w:hAnsi="Times New Roman" w:cs="Times New Roman"/>
          <w:bCs/>
          <w:sz w:val="24"/>
          <w:szCs w:val="24"/>
        </w:rPr>
        <w:tab/>
        <w:t>stałe udoskonalanie praktyki klinicznej przez prowadzenie rejestrów medycznych;</w:t>
      </w:r>
    </w:p>
    <w:p w14:paraId="1452E1B7"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3) </w:t>
      </w:r>
      <w:r w:rsidRPr="004A7425">
        <w:rPr>
          <w:rFonts w:ascii="Times New Roman" w:eastAsia="Times New Roman" w:hAnsi="Times New Roman" w:cs="Times New Roman"/>
          <w:bCs/>
          <w:sz w:val="24"/>
          <w:szCs w:val="24"/>
        </w:rPr>
        <w:tab/>
        <w:t>poprawę bezpieczeństwa i satysfakcji pacjenta przez rejestrowanie i monitorowanie zdarzeń niepożądanych;</w:t>
      </w:r>
    </w:p>
    <w:p w14:paraId="4AA9DC5B"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4) </w:t>
      </w:r>
      <w:r w:rsidRPr="004A7425">
        <w:rPr>
          <w:rFonts w:ascii="Times New Roman" w:eastAsia="Times New Roman" w:hAnsi="Times New Roman" w:cs="Times New Roman"/>
          <w:bCs/>
          <w:sz w:val="24"/>
          <w:szCs w:val="24"/>
        </w:rPr>
        <w:tab/>
        <w:t>stworzenie warunków do systematycznej oceny jakości świadczeń opieki zdrowotnej finansowanych ze środków publicznych i upubliczniania tych informacji;</w:t>
      </w:r>
    </w:p>
    <w:p w14:paraId="717775B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5) </w:t>
      </w:r>
      <w:r w:rsidRPr="004A7425">
        <w:rPr>
          <w:rFonts w:ascii="Times New Roman" w:eastAsia="Times New Roman" w:hAnsi="Times New Roman" w:cs="Times New Roman"/>
          <w:bCs/>
          <w:sz w:val="24"/>
          <w:szCs w:val="24"/>
        </w:rPr>
        <w:tab/>
        <w:t>uzyskanie porównywalności podmiotów udzielających świadczeń pod względem jakości i skuteczności oferowanej opieki oraz udostępnienie wyników opinii publicznej;</w:t>
      </w:r>
    </w:p>
    <w:p w14:paraId="0EEB9B1D"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lastRenderedPageBreak/>
        <w:t xml:space="preserve">6) </w:t>
      </w:r>
      <w:r w:rsidRPr="004A7425">
        <w:rPr>
          <w:rFonts w:ascii="Times New Roman" w:eastAsia="Times New Roman" w:hAnsi="Times New Roman" w:cs="Times New Roman"/>
          <w:bCs/>
          <w:sz w:val="24"/>
          <w:szCs w:val="24"/>
        </w:rPr>
        <w:tab/>
        <w:t xml:space="preserve">stworzenie warunków umożliwiających finansowe motywowanie podmiotów udzielających świadczeń opieki zdrowotnej finansowanych ze środków publicznych do podnoszenia poziomu jakości; </w:t>
      </w:r>
    </w:p>
    <w:p w14:paraId="7FAA72D6"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7) </w:t>
      </w:r>
      <w:r w:rsidRPr="004A7425">
        <w:rPr>
          <w:rFonts w:ascii="Times New Roman" w:eastAsia="Times New Roman" w:hAnsi="Times New Roman" w:cs="Times New Roman"/>
          <w:bCs/>
          <w:sz w:val="24"/>
          <w:szCs w:val="24"/>
        </w:rPr>
        <w:tab/>
        <w:t>efektywniejsze wykorzystanie środków publicznych w obszarze zdrowia.</w:t>
      </w:r>
    </w:p>
    <w:p w14:paraId="49046AA3"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Niezbędne jest zatem wprowadzenie ustawowej regulacji, która określi zadania, obowiązki i uprawnienia poszczególnych podmiotów w zakresie monitorowania, oceny </w:t>
      </w:r>
      <w:r w:rsidRPr="004A7425">
        <w:rPr>
          <w:rFonts w:ascii="Times New Roman" w:eastAsia="Times New Roman" w:hAnsi="Times New Roman" w:cs="Times New Roman"/>
          <w:bCs/>
          <w:sz w:val="24"/>
          <w:szCs w:val="24"/>
        </w:rPr>
        <w:br/>
        <w:t>i poprawy jakości. Nowa regulacja zapewni pacjentom, osobom wykonującym zawód medyczny i podmiotom wykonującym działalność leczniczą dostęp do powszechnej, wiarygodnej, obiektywnej i porównywalnej informacji o jakości udzielanej opieki.</w:t>
      </w:r>
    </w:p>
    <w:p w14:paraId="497BC276"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bookmarkStart w:id="3" w:name="_Hlk99995870"/>
      <w:r w:rsidRPr="004A7425">
        <w:rPr>
          <w:rFonts w:ascii="Times New Roman" w:eastAsia="Times New Roman" w:hAnsi="Times New Roman" w:cs="Times New Roman"/>
          <w:bCs/>
          <w:sz w:val="24"/>
          <w:szCs w:val="24"/>
        </w:rPr>
        <w:t>Projekt ustawy wprowadza wymóg obligatoryjnej autoryzacji jako warunku realizacji przez podmiot wykonujący działalność leczniczą w rodzaju świadczenia szpitalne umowy o udzielanie świadczeń opieki zdrowotnej w ramach profili systemu podstawowego szpitalnego zabezpieczenia świadczeń opieki zdrowotnej, o którym mowa w art. 95l ustawy o świadczeniach.</w:t>
      </w:r>
    </w:p>
    <w:p w14:paraId="2BDFFB24"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Autoryzację wydawać będzie Prezes Funduszu, na wniosek podmiotów wykonujących działalność leczniczą w rodzaju świadczenia szpitalne na podstawie umowy o udzielanie świadczeń opieki zdrowotnej w ramach profili systemu podstawowego szpitalnego zabezpieczenia świadczeń opieki zdrowotnej, o którym mowa w art. 95l ustawy z dnia 27 sierpnia 2004 r. o świadczeniach opieki zdrowotnej finansowanych ze środków publicznych (Dz. U. z 2022 r. poz. 2561), zwanej dalej „ustawą o świadczeniach”.</w:t>
      </w:r>
    </w:p>
    <w:p w14:paraId="4AB2587D"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Autoryzację będzie mógł uzyskać podmiot wykonujący działalność leczniczą, który spełnia następujące warunki: </w:t>
      </w:r>
    </w:p>
    <w:p w14:paraId="36F98708"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prowadzi wewnętrzny system zarządzania jakością i bezpieczeństwem;</w:t>
      </w:r>
      <w:bookmarkStart w:id="4" w:name="_Hlk121330855"/>
    </w:p>
    <w:p w14:paraId="1DBE0CA9"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 xml:space="preserve">realizuje świadczenia opieki zdrowotnej, z zachowaniem warunków ich realizacji, dotyczących miejsca udzielania świadczeń opieki zdrowotnej, personelu i wyposażenia w sprzęt i aparaturę medyczną, określonych w przepisach wydanych na podstawie art. 31d i art. 31da ust. 1 </w:t>
      </w:r>
      <w:bookmarkEnd w:id="4"/>
      <w:r w:rsidRPr="004A7425">
        <w:rPr>
          <w:rFonts w:ascii="Times New Roman" w:eastAsia="Times New Roman" w:hAnsi="Times New Roman" w:cs="Times New Roman"/>
          <w:bCs/>
          <w:sz w:val="24"/>
          <w:szCs w:val="24"/>
        </w:rPr>
        <w:t>ustawy o świadczeniach</w:t>
      </w:r>
      <w:r>
        <w:rPr>
          <w:rFonts w:ascii="Times New Roman" w:eastAsia="Times New Roman" w:hAnsi="Times New Roman" w:cs="Times New Roman"/>
          <w:bCs/>
          <w:sz w:val="24"/>
          <w:szCs w:val="24"/>
        </w:rPr>
        <w:t>.</w:t>
      </w:r>
      <w:r w:rsidRPr="004A7425" w:rsidDel="00F16BAB">
        <w:rPr>
          <w:rFonts w:ascii="Times New Roman" w:eastAsia="Times New Roman" w:hAnsi="Times New Roman" w:cs="Times New Roman"/>
          <w:bCs/>
          <w:sz w:val="24"/>
          <w:szCs w:val="24"/>
        </w:rPr>
        <w:t xml:space="preserve"> </w:t>
      </w:r>
    </w:p>
    <w:p w14:paraId="1EF85F33"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Zobowiązano ministra właściwego do spraw zdrowia do określenia, w drodze rozporządzenia, wzoru wniosku o wydanie autoryzacji. Autoryzacja będzie wydawana na okres 5 lat, w przypadku zaś dodania zakresów świadczeń opieki zdrowotnej udzielanych przez podmiot wykonujący działalność leczniczą, autoryzacja będzie mogła być zmieniona na wniosek podmiotu. Ponadto w przypadku, gdy zajdzie ryzyko braku </w:t>
      </w:r>
      <w:r w:rsidRPr="004A7425">
        <w:rPr>
          <w:rFonts w:ascii="Times New Roman" w:eastAsia="Times New Roman" w:hAnsi="Times New Roman" w:cs="Times New Roman"/>
          <w:sz w:val="24"/>
          <w:szCs w:val="24"/>
        </w:rPr>
        <w:lastRenderedPageBreak/>
        <w:t>zabezpieczenia udzielania świadczeń opieki zdrowotnej, Prezes Funduszu będzie mógł rozpatrzeć wniosek bez przeprowadzania wizyty autoryzacyjnej oraz wydać autoryzację warunkową na okres 1 roku. Ponadto projekt ustawy przewiduje publikowanie przez Prezesa Funduszu informacji o udzielonych autoryzacjach, odmowach lub cofnięciu autoryzacji na stronie podmiotowej Biuletynu Informacji Publicznej Funduszu.</w:t>
      </w:r>
    </w:p>
    <w:p w14:paraId="3968FD05"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Celem autoryzacji jest potwierdzenie spełnienia przez podmiot wykonujący działalność leczniczą, udzielający świadczeń zdrowotnych finansowanych ze środków publicznych, warunków realizacji świadczeń opieki zdrowotnej w zakresie dotyczącym miejsca udzielania świadczeń opieki zdrowotnej, personelu i wyposażenia w sprzęt i aparaturę medyczną, określonych w przepisach wydanych na podstawie art. 31d i art. 31da ust. 1 ustawy o świadczeniach. Przepisy te szczegółowo określają wymagania dotyczące miejsca udzielania świadczeń opieki zdrowotnej, personelu medycznego i wyposażenia w sprzęt i aparaturę medyczną, co daje gwarancję, że podmioty wykonujące działalność leczniczą będą oceniane na podstawie materii uregulowanej jednakowo w zakresie odpowiednim dla każdego rodzaju udzielanych przez te podmioty świadczeń opieki zdrowotnej. Dzięki uwzględnieniu w procedurze autoryzacji aktów prawnych już obowiązujących nie ma potrzeby kreowania nowej rzeczywistości prawnej przez kopiowanie przepisów już obowiązujących do nowej ustawy, co w efekcie powinno doprowadzić do zmniejszenia biurokracji w tym zakresie. Wymóg uzyskania autoryzacji nie ogranicza również prowadzenia działalności gospodarczej, ponieważ dotyczy jedynie tych podmiotów, które mają zamiar udzielać świadczeń finansowanych ze środków publicznych (wymóg uzyskania autoryzacji jest jedynie warunkiem zawarcia umowy z Narodowym Funduszem Zdrowia, a nie prowadzenia działalności leczniczej w ogóle). Ponadto projekt ustawy zakłada, że w przypadku zmiany warunków realizacji świadczeń gwarantowanych w zakresie świadczeń objętych autoryzacją, dotychczas wydana autoryzacja zachowuje ważność przez okres na jaki została wydana. </w:t>
      </w:r>
    </w:p>
    <w:bookmarkEnd w:id="3"/>
    <w:p w14:paraId="0BBF8C53"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W ramach wewnętrznego systemu zarządzania jakością i bezpieczeństwem podmioty wykonujące działalność leczniczą w rodzaju świadczenia szpitalne posiadające umowę o udzielanie świadczeń opieki zdrowotnej z Narodowym Funduszem Zdrowia będą zobligowane między innymi do:</w:t>
      </w:r>
    </w:p>
    <w:p w14:paraId="4E77080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1) </w:t>
      </w:r>
      <w:r w:rsidRPr="004A7425">
        <w:rPr>
          <w:rFonts w:ascii="Times New Roman" w:eastAsia="Times New Roman" w:hAnsi="Times New Roman" w:cs="Times New Roman"/>
          <w:bCs/>
          <w:sz w:val="24"/>
          <w:szCs w:val="24"/>
        </w:rPr>
        <w:tab/>
        <w:t>wdrażania rozwiązań służących identyfikacji ryzyk wystąpienia zdarzeń niepożądanych i zarządzania tymi ryzykami w ramach udzielanych świadczeń opieki zdrowotnej;</w:t>
      </w:r>
    </w:p>
    <w:p w14:paraId="477B86AD"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lastRenderedPageBreak/>
        <w:t xml:space="preserve">2) </w:t>
      </w:r>
      <w:r w:rsidRPr="004A7425">
        <w:rPr>
          <w:rFonts w:ascii="Times New Roman" w:eastAsia="Times New Roman" w:hAnsi="Times New Roman" w:cs="Times New Roman"/>
          <w:bCs/>
          <w:sz w:val="24"/>
          <w:szCs w:val="24"/>
        </w:rPr>
        <w:tab/>
        <w:t>identyfikowania obszarów priorytetowych dla poprawy jakości i bezpieczeństwa udzielanych świadczeń opieki zdrowotnej;</w:t>
      </w:r>
    </w:p>
    <w:p w14:paraId="68EA7309"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3) </w:t>
      </w:r>
      <w:r w:rsidRPr="004A7425">
        <w:rPr>
          <w:rFonts w:ascii="Times New Roman" w:eastAsia="Times New Roman" w:hAnsi="Times New Roman" w:cs="Times New Roman"/>
          <w:bCs/>
          <w:sz w:val="24"/>
          <w:szCs w:val="24"/>
        </w:rPr>
        <w:tab/>
        <w:t>określania kryteriów i metod potrzebnych do zapewnienia skutecznego nadzoru nad jakością i bezpieczeństwem udzielanych świadczeń opieki zdrowotnej;</w:t>
      </w:r>
    </w:p>
    <w:p w14:paraId="054C187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4) </w:t>
      </w:r>
      <w:r w:rsidRPr="004A7425">
        <w:rPr>
          <w:rFonts w:ascii="Times New Roman" w:eastAsia="Times New Roman" w:hAnsi="Times New Roman" w:cs="Times New Roman"/>
          <w:bCs/>
          <w:sz w:val="24"/>
          <w:szCs w:val="24"/>
        </w:rPr>
        <w:tab/>
        <w:t>okresowego monitorowania i oceniania jakości i bezpieczeństwa udzielanych świadczeń opieki zdrowotnej;</w:t>
      </w:r>
    </w:p>
    <w:p w14:paraId="53530177"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5) </w:t>
      </w:r>
      <w:r w:rsidRPr="004A7425">
        <w:rPr>
          <w:rFonts w:ascii="Times New Roman" w:eastAsia="Times New Roman" w:hAnsi="Times New Roman" w:cs="Times New Roman"/>
          <w:bCs/>
          <w:sz w:val="24"/>
          <w:szCs w:val="24"/>
        </w:rPr>
        <w:tab/>
        <w:t>monitorowania zdarzeń niepożądanych;</w:t>
      </w:r>
    </w:p>
    <w:p w14:paraId="326C1E94"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6) </w:t>
      </w:r>
      <w:r w:rsidRPr="004A7425">
        <w:rPr>
          <w:rFonts w:ascii="Times New Roman" w:eastAsia="Times New Roman" w:hAnsi="Times New Roman" w:cs="Times New Roman"/>
          <w:bCs/>
          <w:sz w:val="24"/>
          <w:szCs w:val="24"/>
        </w:rPr>
        <w:tab/>
        <w:t xml:space="preserve">zapewniania szkoleń służących uzyskaniu i podnoszeniu kompetencji personelu </w:t>
      </w:r>
      <w:r w:rsidRPr="004A7425">
        <w:rPr>
          <w:rFonts w:ascii="Times New Roman" w:eastAsia="Times New Roman" w:hAnsi="Times New Roman" w:cs="Times New Roman"/>
          <w:bCs/>
          <w:sz w:val="24"/>
          <w:szCs w:val="24"/>
        </w:rPr>
        <w:br/>
        <w:t>w zakresie jakości i bezpieczeństwa udzielanych świadczeń;</w:t>
      </w:r>
    </w:p>
    <w:p w14:paraId="78DDE044"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7)</w:t>
      </w:r>
      <w:r w:rsidRPr="004A7425">
        <w:rPr>
          <w:rFonts w:ascii="Times New Roman" w:eastAsia="Times New Roman" w:hAnsi="Times New Roman" w:cs="Times New Roman"/>
          <w:bCs/>
          <w:sz w:val="24"/>
          <w:szCs w:val="24"/>
        </w:rPr>
        <w:tab/>
        <w:t>prowadzenia badania opinii i doświadczeń pacjentów na podstawie ankiety, której wzór minister właściwy do spraw zdrowia zamieszcza na stronie podmiotowej Biuletynu Informacji Publicznej na stronie urzędu go obsługującego.</w:t>
      </w:r>
    </w:p>
    <w:p w14:paraId="72F17BFF" w14:textId="77777777" w:rsidR="00DF50AF" w:rsidRPr="004A7425" w:rsidRDefault="00DF50AF" w:rsidP="00DF50AF">
      <w:pPr>
        <w:widowControl/>
        <w:suppressAutoHyphens/>
        <w:spacing w:before="120" w:line="360" w:lineRule="auto"/>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W projekcie ustawy rozwiązania w zakresie akredytacji w ochronie zdrowia precyzują i porządkują proces akredytacji, w szczególności w zakresie jej przebiegu, terminów i uczestników procesu. Wydłużono okres ważności akredytacji z 3 do 4 lat. Jednocześnie wprowadzono dodatkowe warunki przyznawania akredytacji:</w:t>
      </w:r>
    </w:p>
    <w:p w14:paraId="352EEA09"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spełniania pojedynczych standardów akredytacyjnych obligatoryjnych, których niespełnienie będzie wiązało się z odmową udzielenia akredytacji, niezależnie od sumarycznej liczby uzyskanych punktów;</w:t>
      </w:r>
    </w:p>
    <w:p w14:paraId="63D5339C"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wymóg uzyskania oceny akredytacyjnej na poziomie co najmniej 75% maksymalnej możliwej do uzyskania sumy ocen poszczególnych standardów akredytacyjnych ogółem;</w:t>
      </w:r>
    </w:p>
    <w:p w14:paraId="0529C76F"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 xml:space="preserve">wymóg uzyskania co najmniej 50% maksymalnej możliwej do uzyskania sumy ocen poszczególnych standardów akredytacyjnych dla każdego działu tematycznego. </w:t>
      </w:r>
    </w:p>
    <w:p w14:paraId="2ED4A60C"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Ponadto wprowadzono możliwość cofnięcia udzielonej akredytacji w przypadku niespełnienia standardów po przeglądzie akredytacyjnym. Nowym rozwiązaniem jest również zasada weryfikacji i aktualizacji standardów akredytacyjnych co najmniej raz na 5 lat od dnia ich ogłoszenia, w oparciu o przygotowaną przez Radę Akredytacyjną analizę, w szczególności w zakresie konieczności ich aktualizacji zgodnie z aktualną wiedzą medyczną. </w:t>
      </w:r>
    </w:p>
    <w:p w14:paraId="2EF2E118"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Istotne jest również bieżące planowanie przeglądów akredytacyjnych, w tym przez wyznaczanie terminów przeglądów akredytacyjnych po formalnej ocenie wniosku o udzielenie akredytacji, a w konsekwencji zapewnienie właściwego zaplanowania </w:t>
      </w:r>
      <w:r w:rsidRPr="004A7425">
        <w:rPr>
          <w:rFonts w:ascii="Times New Roman" w:eastAsia="Times New Roman" w:hAnsi="Times New Roman" w:cs="Times New Roman"/>
          <w:sz w:val="24"/>
          <w:szCs w:val="24"/>
        </w:rPr>
        <w:lastRenderedPageBreak/>
        <w:t>przeglądów akredytacyjnych i ciągłości akredytacji oraz skrócenie czasu oczekiwania na przeprowadzenie przeglądów akredytacyjnych do niezbędnego minimum.</w:t>
      </w:r>
    </w:p>
    <w:p w14:paraId="36B21B2E"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2"/>
          <w:szCs w:val="24"/>
        </w:rPr>
      </w:pPr>
      <w:r w:rsidRPr="004A7425">
        <w:rPr>
          <w:rFonts w:ascii="Times New Roman" w:eastAsia="Times New Roman" w:hAnsi="Times New Roman" w:cs="Times New Roman"/>
          <w:sz w:val="24"/>
          <w:szCs w:val="24"/>
        </w:rPr>
        <w:t xml:space="preserve">Zaproponowano, aby do wniosku o udzielenie akredytacji dołączano oświadczenie podmiotu wnioskującego o jej udzielenie o spełnianiu standardów akredytacyjnych. Na etapie składania wniosku o udzielenie akredytacji podmiot jest zobowiązany do samodzielnej oceny stopnia spełnienia standardów oraz złożenia w tym zakresie oświadczenia, które stanowi nieodłączny element wniosku. Przewidziano również dedykowany system teleinformatyczny - System Monitorowania Wniosków o Udzielenie Akredytacji. System Monitorowania Wniosków o Udzielenie Akredytacji jest </w:t>
      </w:r>
      <w:r w:rsidRPr="004A7425">
        <w:rPr>
          <w:rFonts w:ascii="Times New Roman" w:eastAsia="Times New Roman" w:hAnsi="Times New Roman" w:cs="Times New Roman"/>
          <w:sz w:val="22"/>
          <w:szCs w:val="24"/>
        </w:rPr>
        <w:t>systemem</w:t>
      </w:r>
      <w:r w:rsidRPr="004A7425">
        <w:rPr>
          <w:rFonts w:ascii="Times New Roman" w:eastAsia="Times New Roman" w:hAnsi="Times New Roman" w:cs="Times New Roman"/>
          <w:sz w:val="24"/>
          <w:szCs w:val="24"/>
        </w:rPr>
        <w:t xml:space="preserve"> teleinformatycznym, którego zadaniem jest: </w:t>
      </w:r>
    </w:p>
    <w:p w14:paraId="69C975CC"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ab/>
      </w:r>
      <w:r w:rsidRPr="004A7425">
        <w:rPr>
          <w:rFonts w:ascii="Times New Roman" w:eastAsia="Times New Roman" w:hAnsi="Times New Roman" w:cs="Times New Roman"/>
          <w:bCs/>
          <w:sz w:val="24"/>
          <w:szCs w:val="24"/>
        </w:rPr>
        <w:t>gromadzenie informacji pozwalających na usprawnienie postępowań o udzielenie, odmowę udzielenia lub cofnięcie akredytacji oraz opracowanie i aktualizację standardów akredytacyjnych, o których mowa w art. 2</w:t>
      </w:r>
      <w:r>
        <w:rPr>
          <w:rFonts w:ascii="Times New Roman" w:eastAsia="Times New Roman" w:hAnsi="Times New Roman" w:cs="Times New Roman"/>
          <w:bCs/>
          <w:sz w:val="24"/>
          <w:szCs w:val="24"/>
        </w:rPr>
        <w:t>2;</w:t>
      </w:r>
    </w:p>
    <w:p w14:paraId="70B8F4E3"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ab/>
      </w:r>
      <w:r w:rsidRPr="004A7425">
        <w:rPr>
          <w:rFonts w:ascii="Times New Roman" w:eastAsia="Times New Roman" w:hAnsi="Times New Roman" w:cs="Times New Roman"/>
          <w:bCs/>
          <w:sz w:val="24"/>
          <w:szCs w:val="24"/>
        </w:rPr>
        <w:t>obsługa wniosków o udzielenie akredytacji;</w:t>
      </w:r>
    </w:p>
    <w:p w14:paraId="0297AA3F"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3)</w:t>
      </w:r>
      <w:r>
        <w:rPr>
          <w:rFonts w:ascii="Times New Roman" w:eastAsia="Times New Roman" w:hAnsi="Times New Roman" w:cs="Times New Roman"/>
          <w:bCs/>
          <w:sz w:val="24"/>
          <w:szCs w:val="24"/>
        </w:rPr>
        <w:tab/>
      </w:r>
      <w:r w:rsidRPr="004A7425">
        <w:rPr>
          <w:rFonts w:ascii="Times New Roman" w:eastAsia="Times New Roman" w:hAnsi="Times New Roman" w:cs="Times New Roman"/>
          <w:bCs/>
          <w:sz w:val="24"/>
          <w:szCs w:val="24"/>
        </w:rPr>
        <w:t>monitorowanie przebiegu procedury oceniającej;</w:t>
      </w:r>
    </w:p>
    <w:p w14:paraId="0F6AD71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ab/>
      </w:r>
      <w:r w:rsidRPr="004A7425">
        <w:rPr>
          <w:rFonts w:ascii="Times New Roman" w:eastAsia="Times New Roman" w:hAnsi="Times New Roman" w:cs="Times New Roman"/>
          <w:bCs/>
          <w:sz w:val="24"/>
          <w:szCs w:val="24"/>
        </w:rPr>
        <w:t>wspomaganie procesu rozpatrywania sprzeciwów od odmów udzielania akredytacji;</w:t>
      </w:r>
    </w:p>
    <w:p w14:paraId="10C9E9D8"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ab/>
      </w:r>
      <w:r w:rsidRPr="004A7425">
        <w:rPr>
          <w:rFonts w:ascii="Times New Roman" w:eastAsia="Times New Roman" w:hAnsi="Times New Roman" w:cs="Times New Roman"/>
          <w:bCs/>
          <w:sz w:val="24"/>
          <w:szCs w:val="24"/>
        </w:rPr>
        <w:t>wspomaganie procesu zarządzania postępowaniami o udzielanie, odmowę udzielania albo cofnięcie akredytacji.</w:t>
      </w:r>
    </w:p>
    <w:p w14:paraId="2D1CCA34"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Administratorem danych przetwarzanych w Systemie Monitorowania Wniosków </w:t>
      </w:r>
      <w:r w:rsidRPr="004A7425">
        <w:rPr>
          <w:rFonts w:ascii="Times New Roman" w:eastAsia="Times New Roman" w:hAnsi="Times New Roman" w:cs="Times New Roman"/>
          <w:sz w:val="24"/>
          <w:szCs w:val="24"/>
        </w:rPr>
        <w:br/>
        <w:t xml:space="preserve">o Udzielenie Akredytacji jest minister właściwy do spraw zdrowia, natomiast administratorem systemu jest jednostka podległa ministrowi właściwemu do spraw zdrowia, właściwa </w:t>
      </w:r>
      <w:r w:rsidRPr="004A7425">
        <w:rPr>
          <w:rFonts w:ascii="Times New Roman" w:eastAsia="Times New Roman" w:hAnsi="Times New Roman" w:cs="Times New Roman"/>
          <w:sz w:val="24"/>
          <w:szCs w:val="24"/>
        </w:rPr>
        <w:br/>
        <w:t>w zakresie systemów informacyjnych ochrony zdrowia. Warunkiem dokonywania przez osoby uprawnione na podstawie odrębnych przepisów czynności w Systemie Monitorowania Wniosków o Udzielenie Akredytacji jest założenie konta w tym systemie, uwierzytelnienie tożsamości osoby, która konto założyła i weryfikacja uprawnień tej osoby określonych tymi przepisami.</w:t>
      </w:r>
    </w:p>
    <w:p w14:paraId="4485F259"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Ustawa przewiduje również wprowadzenie 12 miesięcznego okresu przejściowego, liczonego od dnia zamieszczenia standardów akredytacyjnych dla nowego zakresu działalności lub rodzaju udzielanych świadczeń opieki zdrowotnej oraz aktualizacji już obowiązujących standardów akredytacyjnych w Biuletynie Informacji Publicznej urzędu obsługującego ministra właściwego do spraw zdrowia, w celu przeszkolenia wizytatorów realizujących na ich podstawie przeglądy akredytacyjne, ale również w celu umożliwienia podmiotom wykonującym działalność leczniczą na dostosowanie swojej </w:t>
      </w:r>
      <w:r w:rsidRPr="004A7425">
        <w:rPr>
          <w:rFonts w:ascii="Times New Roman" w:eastAsia="Times New Roman" w:hAnsi="Times New Roman" w:cs="Times New Roman"/>
          <w:sz w:val="24"/>
          <w:szCs w:val="24"/>
        </w:rPr>
        <w:lastRenderedPageBreak/>
        <w:t>działalności do nowo opublikowanych standardów. Projekt ustawy przewiduje również utworzenie korpusu wizytatorów, którzy będą przeprowadzali przeglądy akredytacyjne. Zasadą będzie przeprowadzanie przeglądów akredytacyjnych przez co najmniej dwóch wizytatorów. W ramach zespołu wizytatorów, realizujących przegląd akredytacyjny, osoba kierująca</w:t>
      </w:r>
      <w:r w:rsidRPr="004A7425">
        <w:rPr>
          <w:rFonts w:ascii="Calibri" w:eastAsia="Calibri" w:hAnsi="Calibri" w:cs="Times New Roman"/>
          <w:sz w:val="22"/>
          <w:szCs w:val="22"/>
        </w:rPr>
        <w:t xml:space="preserve"> </w:t>
      </w:r>
      <w:r w:rsidRPr="004A7425">
        <w:rPr>
          <w:rFonts w:ascii="Times New Roman" w:eastAsia="Times New Roman" w:hAnsi="Times New Roman" w:cs="Times New Roman"/>
          <w:sz w:val="24"/>
          <w:szCs w:val="24"/>
        </w:rPr>
        <w:t>jednostką podległą ministrowi właściwemu do spraw zdrowia właściwą w zakresie monitorowania jakości świadczeń zdrowotnych, zwaną dalej „ośrodkiem akredytacyjnym”, wyznacza koordynatora, który odpowiada za sprawny przebieg przeglądu akredytacyjnego i koordynuje pracę poszczególnych wizytatorów. Listę wizytatorów uprawnionych do przeprowadzania przeglądów akredytacyjnych prowadzi osoba kierująca ośrodkiem akredytacyjnym, który odpowiada również za przeprowadzenie naboru do pełnienia funkcji wizytatora. Nabór składa się z trzech etapów:</w:t>
      </w:r>
    </w:p>
    <w:p w14:paraId="61AF28C8"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oceny spełnienia wymagań formalnych;</w:t>
      </w:r>
    </w:p>
    <w:p w14:paraId="17BC6271"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pisemnego testu sprawdzającego wiedzę;</w:t>
      </w:r>
    </w:p>
    <w:p w14:paraId="31193E1A"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rozmowy kwalifikacyjnej.</w:t>
      </w:r>
    </w:p>
    <w:p w14:paraId="30703600" w14:textId="77777777" w:rsidR="00DF50AF" w:rsidRPr="004A7425" w:rsidRDefault="00DF50AF" w:rsidP="00DF50AF">
      <w:pPr>
        <w:widowControl/>
        <w:suppressAutoHyphens/>
        <w:spacing w:before="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Projektowana ustawa określa kryteria jakie musi spełnić osoba ubiegająca się o wpis na listę wizytatorów. Kandydat musi:</w:t>
      </w:r>
    </w:p>
    <w:p w14:paraId="5BD46D93"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posiadać wykształcenie wyższe;</w:t>
      </w:r>
    </w:p>
    <w:p w14:paraId="7F7C767E"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posiadać wiedzę i doświadczenie oraz znajomość regulacji prawnych niezbędnych do przeprowadzenia przeglądu akredytacyjnego;</w:t>
      </w:r>
    </w:p>
    <w:p w14:paraId="64DAB4A9"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posiadać co najmniej 3-letnie doświadczenie zawodowe w podmiotach wykonujących działalność leczniczą dające rękojmię prawidłowego wykonywania obowiązków wizytatora;</w:t>
      </w:r>
    </w:p>
    <w:p w14:paraId="35519F0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4)</w:t>
      </w:r>
      <w:r w:rsidRPr="004A7425">
        <w:rPr>
          <w:rFonts w:ascii="Times New Roman" w:eastAsia="Times New Roman" w:hAnsi="Times New Roman" w:cs="Times New Roman"/>
          <w:bCs/>
          <w:sz w:val="24"/>
          <w:szCs w:val="24"/>
        </w:rPr>
        <w:tab/>
        <w:t>nie być skazanym prawomocnym wyrokiem za umyślne przestępstwo lub przestępstwo skarbowe;</w:t>
      </w:r>
    </w:p>
    <w:p w14:paraId="174E64AD"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5)</w:t>
      </w:r>
      <w:r w:rsidRPr="004A7425">
        <w:rPr>
          <w:rFonts w:ascii="Times New Roman" w:eastAsia="Times New Roman" w:hAnsi="Times New Roman" w:cs="Times New Roman"/>
          <w:bCs/>
          <w:sz w:val="24"/>
          <w:szCs w:val="24"/>
        </w:rPr>
        <w:tab/>
        <w:t>korzystać z pełni praw publicznych;</w:t>
      </w:r>
    </w:p>
    <w:p w14:paraId="3578FCDE"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6)</w:t>
      </w:r>
      <w:r w:rsidRPr="004A7425">
        <w:rPr>
          <w:rFonts w:ascii="Times New Roman" w:eastAsia="Times New Roman" w:hAnsi="Times New Roman" w:cs="Times New Roman"/>
          <w:bCs/>
          <w:sz w:val="24"/>
          <w:szCs w:val="24"/>
        </w:rPr>
        <w:tab/>
        <w:t xml:space="preserve">uzyskać pozytywną ocenę z pisemnego testu sprawdzającego wiedzę oraz rozmowy kwalifikacyjnej. </w:t>
      </w:r>
    </w:p>
    <w:p w14:paraId="7D899714"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Osoby, które zostaną wpisane na listę wizytatorów, podlegają okresowym, przeprowadzanym po 2 latach od dokonania wpisu, testom wiedzy niezbędnej do prawidłowego realizowania zadań wynikających z prowadzenia przeglądów akredytacyjnych. Wpisu wizytatorów na listę dokonuje osoba kierująca ośrodkiem akredytacyjnym . Wpis wizytatora na listę jest ważny 4 lata, z możliwością ponownego naboru.</w:t>
      </w:r>
    </w:p>
    <w:p w14:paraId="2275D094"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lastRenderedPageBreak/>
        <w:t xml:space="preserve">Istotnym novum jest również uregulowanie sposobu organizacji i finansowania przeglądów akredytacyjnych w podmiotach wielolokalizacyjnych. </w:t>
      </w:r>
    </w:p>
    <w:p w14:paraId="1CCF906A"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Projekt</w:t>
      </w:r>
      <w:r w:rsidRPr="004A7425">
        <w:rPr>
          <w:rFonts w:ascii="Times New Roman" w:eastAsia="Times New Roman" w:hAnsi="Times New Roman" w:cs="Times New Roman"/>
          <w:sz w:val="24"/>
          <w:szCs w:val="24"/>
        </w:rPr>
        <w:t xml:space="preserve"> ustawy wprowadza również zmiany wynikowe w ustawie </w:t>
      </w:r>
      <w:r w:rsidRPr="004A7425">
        <w:rPr>
          <w:rFonts w:ascii="Times New Roman" w:eastAsia="Times New Roman" w:hAnsi="Times New Roman" w:cs="Times New Roman"/>
          <w:bCs/>
          <w:sz w:val="24"/>
          <w:szCs w:val="24"/>
        </w:rPr>
        <w:t xml:space="preserve">z dnia 28 lipca 2005 r. o lecznictwie uzdrowiskowym, uzdrowiskach i obszarach ochrony uzdrowiskowej oraz </w:t>
      </w:r>
      <w:r w:rsidRPr="004A7425">
        <w:rPr>
          <w:rFonts w:ascii="Times New Roman" w:eastAsia="Times New Roman" w:hAnsi="Times New Roman" w:cs="Times New Roman"/>
          <w:bCs/>
          <w:sz w:val="24"/>
          <w:szCs w:val="24"/>
        </w:rPr>
        <w:br/>
        <w:t>o gminach uzdrowiskowych (Dz. U. z 2021 r. poz. 1301, z późn. zm.), stanowiące konsekwencję uchylenia ustawy o akredytacji oraz wejścia w życie ustawy o jakości w opiece zdrowotnej i bezpieczeństwie pacjenta.</w:t>
      </w:r>
    </w:p>
    <w:p w14:paraId="61E3F365"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Przedmiotowy projekt przewiduje również dookreślenie zasad tworzenia i finansowania rejestrów medycznych w ramach nowelizacji ustawy z dnia 28 kwietnia 2011 r. o systemie informacji w ochronie zdrowia (Dz. U. z 2022 r. poz. 1555, z późn. zm.).</w:t>
      </w:r>
    </w:p>
    <w:p w14:paraId="00FD4F13"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Doprecyzowano zakres przedmiotowy danych przetwarzanych w rejestrach medycznych przez określenie „dziedziny rejestru” za pomocą: </w:t>
      </w:r>
    </w:p>
    <w:p w14:paraId="10CF362A"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w:t>
      </w:r>
      <w:r w:rsidRPr="004A7425">
        <w:rPr>
          <w:rFonts w:ascii="Times New Roman" w:eastAsia="Times New Roman" w:hAnsi="Times New Roman" w:cs="Times New Roman"/>
          <w:bCs/>
          <w:sz w:val="24"/>
          <w:szCs w:val="24"/>
        </w:rPr>
        <w:tab/>
        <w:t xml:space="preserve">zakresu świadczeń, o którym mowa w art. 15 ust. 2 ustawy o świadczeniach; </w:t>
      </w:r>
    </w:p>
    <w:p w14:paraId="785DADD1"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 xml:space="preserve">rozpoznania zgodnie z aktualnie obowiązującą Międzynarodową Klasyfikacją Chorób </w:t>
      </w:r>
      <w:r w:rsidRPr="004A7425">
        <w:rPr>
          <w:rFonts w:ascii="Times New Roman" w:eastAsia="Times New Roman" w:hAnsi="Times New Roman" w:cs="Times New Roman"/>
          <w:bCs/>
          <w:sz w:val="24"/>
          <w:szCs w:val="24"/>
        </w:rPr>
        <w:br/>
        <w:t>i Problemów Zdrowotnych lub</w:t>
      </w:r>
    </w:p>
    <w:p w14:paraId="3CE217FC"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procedury według obowiązującej Międzynarodowej Klasyfikacji Procedur Medycznych lub produktów z katalogu płatnika.</w:t>
      </w:r>
    </w:p>
    <w:p w14:paraId="48BEF3BD"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Projekt ustawy przewiduje również raportowanie i udostępnianie danych z rejestrów medycznych umożliwiając powszechny dostęp do danych z rejestrów medycznych, w formie uniemożliwiającej ich powiazanie z konkretną osobą fizyczną. Podmioty prowadzące rejestry medyczne będą obowiązane do udostępniania części danych w formacie określonym </w:t>
      </w:r>
      <w:r w:rsidRPr="004A7425">
        <w:rPr>
          <w:rFonts w:ascii="Times New Roman" w:eastAsia="Times New Roman" w:hAnsi="Times New Roman" w:cs="Times New Roman"/>
          <w:sz w:val="24"/>
          <w:szCs w:val="24"/>
        </w:rPr>
        <w:br/>
        <w:t xml:space="preserve">i upowszechnionym przez ministra właściwego do spraw zdrowia oraz opracowania i publikacji co najmniej raz w roku raportów na podstawie danych z rejestrów medycznych. </w:t>
      </w:r>
    </w:p>
    <w:p w14:paraId="609987A7"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Jednym z celów przetwarzania danych w rejestrach medycznych będzie monitorowanie jakości świadczeń opieki zdrowotnej udzielanych w podmiotach wykonujących działalność leczniczą. W tym celu rozszerzono zakres danych udostępnianych Funduszowi z rejestrów medycznych o informację o płci, dacie urodzenia, przyczynie zgonu oraz jednostkowych danych medycznych. Dane z rejestrów będą mogły być udostępniane Funduszowi w celu oceny bezpieczeństwa, skuteczności, </w:t>
      </w:r>
      <w:r w:rsidRPr="004A7425">
        <w:rPr>
          <w:rFonts w:ascii="Times New Roman" w:eastAsia="Times New Roman" w:hAnsi="Times New Roman" w:cs="Times New Roman"/>
          <w:sz w:val="24"/>
          <w:szCs w:val="24"/>
        </w:rPr>
        <w:lastRenderedPageBreak/>
        <w:t>jakości i efektywności kosztowej badań diagnostycznych lub procedur medycznych u usługodawców.</w:t>
      </w:r>
    </w:p>
    <w:p w14:paraId="7CF60461"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Projekt ustawy zapewnia podmiotom prowadzącym rejestry medyczne dostęp do danych, w tym danych osobowych i jednostkowych danych medycznych, przetwarzanych w SIM, dziedzinowych systemach teleinformatycznych lub innych rejestrów medycznych w celu </w:t>
      </w:r>
      <w:r w:rsidRPr="004A7425">
        <w:rPr>
          <w:rFonts w:ascii="Times New Roman" w:eastAsia="Times New Roman" w:hAnsi="Times New Roman" w:cs="Times New Roman"/>
          <w:sz w:val="24"/>
          <w:szCs w:val="24"/>
        </w:rPr>
        <w:br/>
        <w:t xml:space="preserve">i zakresie niezbędnym do realizacji ich zadań, w szczególności w celu zapewnienia kompletności i walidacji danych. Projekt ustawy zakłada zapewnienie komunikowania się systemów teleinformatycznych w systemie informacji przez dwukierunkową możliwość pozyskiwania i przetwarzania danych, co pozwoli na uniknięcie wielokrotnego zbierania tych samych danych przez różne podmioty. </w:t>
      </w:r>
    </w:p>
    <w:p w14:paraId="051300F7"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 xml:space="preserve">Intencją projektodawcy jest ustandaryzowanie interfejsów integracyjnych (API) systemów usługodawcy, tak aby była możliwa szybka i stosunkowo niedroga integracja np. systemu szpitalnego z laboratoryjnym lub systemami obsługującymi tzw. internet rzeczy (ang. internet of things, IoT lub Internet of Medical Things IoMT). Otwarte API powinno pozwolić na łatwą rozbudowę systemów usługodawców o kolejne komponenty obsługujące dziedzinowe procesy biznesowe, a także pozwoli na łatwą wymianę komponentów, co powinno wspomóc usługodawców w uniezależnieniu się od jednego dostawcy usług informatycznych. Wymogi dotyczące wspólnych i bezpiecznych otwartych standardów komunikacji zostaną określone przez ministra właściwego do spraw zdrowia, który opublikuje je na swojej stronie podmiotowej Biuletynu Informacji Publicznej, mając na uwadze zapewnienie adekwatnego poziomu bezpieczeństwa komunikacji i poufności oraz integralności przekazywanych danych. Specyfikacja interfejsów zostanie przygotowana w oparciu o otwarte standardy interoperacyjności. Specyfikacja zasobów będzie rozwijana tak jak miało to miejsce </w:t>
      </w:r>
      <w:r w:rsidRPr="004A7425">
        <w:rPr>
          <w:rFonts w:ascii="Times New Roman" w:eastAsia="Times New Roman" w:hAnsi="Times New Roman" w:cs="Times New Roman"/>
          <w:sz w:val="24"/>
          <w:szCs w:val="24"/>
        </w:rPr>
        <w:br/>
        <w:t>w przypadku Polskiej Implementacji Krajowej HL7 CDA opisanej w art. 11 ust. 1a i 1b ustawy z dnia 28 kwietnia 2011 r. o systemie informacji w ochronie zdrowia, stosowanej do dokumentów elektronicznej dokumentacji medycznej</w:t>
      </w:r>
      <w:bookmarkStart w:id="5" w:name="_Hlk100229533"/>
      <w:r w:rsidRPr="004A7425">
        <w:rPr>
          <w:rFonts w:ascii="Times New Roman" w:eastAsia="Times New Roman" w:hAnsi="Times New Roman" w:cs="Times New Roman"/>
          <w:sz w:val="24"/>
          <w:szCs w:val="24"/>
        </w:rPr>
        <w:t>.</w:t>
      </w:r>
      <w:bookmarkEnd w:id="5"/>
    </w:p>
    <w:p w14:paraId="4518C3CB" w14:textId="77777777" w:rsidR="00DF50AF" w:rsidRPr="004A7425" w:rsidRDefault="00DF50AF" w:rsidP="00DF50AF">
      <w:pPr>
        <w:widowControl/>
        <w:suppressAutoHyphens/>
        <w:spacing w:before="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 xml:space="preserve">Projekt zakłada, że ustawa o akredytacji utraci moc z dniem 1 stycznia 2024 r. Wnioski nierozpatrzone, o których mowa w art. 3 ustawy ustawa z dnia 6 listopada 2008 r. o akredytacji w ochronie zdrowia (Dz. U. z 2016 r. poz. 2135), z dniem 1 stycznia 2024 r. będą rozpatrywane przez ministra właściwego do spraw zdrowia na dotychczasowych zasadach. Podjęte czynności przez Centrum Monitorowania Jakości w Ochronie Zdrowia zachowują ważność z mocy prawa. Rekomendacji dotyczących </w:t>
      </w:r>
      <w:r w:rsidRPr="004A7425">
        <w:rPr>
          <w:rFonts w:ascii="Times New Roman" w:eastAsia="Times New Roman" w:hAnsi="Times New Roman" w:cs="Times New Roman"/>
          <w:bCs/>
          <w:sz w:val="24"/>
          <w:szCs w:val="24"/>
        </w:rPr>
        <w:lastRenderedPageBreak/>
        <w:t>udzielenia bądź odmowy udzielenia akredytacji na podstawie ustawy o akredytacji dokonuje Rada Akredytacyjna powołana na podstawie przepisów projektu ustawy, na zasadach dotychczasowych. Podmiot wykonujący działalność leczniczą, który złożył wniosek w trybie art. 3 ustawy o akredytacji, może w terminie do dnia 1 marca 2024 r. wycofać ten wniosek. W przypadku wycofania wniosku (złożonego w trybie ustawy o akredytacji) podmiot wykonujący działalność leczniczą może złożyć wniosek o udzielenie akredytacji dotyczący tego samego rodzaju działalności leczniczej albo zakresu świadczeń, co wniosek złożony w trybie ustawy o akredytacji, w terminie do dnia 1 kwietnia 2024 r. Wniosek ten będzie rozpatrywany przed wnioskami o udzielenie akredytacji złożonymi po raz pierwszy w trybie projektowanej ustawy. W projekcie ustawy przewidziano zwrot opłaty na rzecz podmiotu, który wycofał wniosek o akredytację, złożony na podstawie dotychczasowych przepisów, przed rozpoczęciem procedury oceniającej. Zwrot opłaty będzie obejmował również odsetki ustawowe za okres od dnia wejścia w życie projektowanej ustawy. Projektowana norma prawna ma na celu zabezpieczenie roszczeń podmiotów ubiegających się o zwrot dokonanej opłaty za przeprowadzenie procedury oceniającej. Z uwagi na fakt, że co do zasady opłata ta była wnoszona przed rozpoczęciem procedury oceniającej (a nie w momencie złożenia wniosku), co do zasady nie przewiduje się sytuacji, które skutkowałyby koniecznością dokonania takiego zwrotu. Należy podkreślić, że regulacja ta ma charakter gwarancyjny.</w:t>
      </w:r>
    </w:p>
    <w:p w14:paraId="621C2832"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Zakłada się, że projektowane regulacje wejdą w życie po upływie 14 dni od dnia ogłoszenia, z wyjątkiem:</w:t>
      </w:r>
    </w:p>
    <w:p w14:paraId="6D3F041E"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Calibri" w:eastAsia="Calibri" w:hAnsi="Calibri" w:cs="Times New Roman"/>
          <w:sz w:val="22"/>
          <w:szCs w:val="22"/>
        </w:rPr>
        <w:t>1</w:t>
      </w:r>
      <w:r w:rsidRPr="004A7425">
        <w:rPr>
          <w:rFonts w:ascii="Times New Roman" w:eastAsia="Times New Roman" w:hAnsi="Times New Roman" w:cs="Times New Roman"/>
          <w:bCs/>
          <w:sz w:val="24"/>
          <w:szCs w:val="24"/>
        </w:rPr>
        <w:t>)</w:t>
      </w:r>
      <w:r w:rsidRPr="004A7425">
        <w:rPr>
          <w:rFonts w:ascii="Times New Roman" w:eastAsia="Times New Roman" w:hAnsi="Times New Roman" w:cs="Times New Roman"/>
          <w:bCs/>
          <w:sz w:val="24"/>
          <w:szCs w:val="24"/>
        </w:rPr>
        <w:tab/>
        <w:t>art. 28-47, art. 44-59, art. 54, art. 55 i art. 66, które wchodzą w życie z dniem 1 stycznia 2024 r.,</w:t>
      </w:r>
      <w:r w:rsidRPr="004A7425">
        <w:rPr>
          <w:rFonts w:ascii="Calibri" w:eastAsia="Calibri" w:hAnsi="Calibri" w:cs="Times New Roman"/>
          <w:sz w:val="22"/>
          <w:szCs w:val="22"/>
        </w:rPr>
        <w:t xml:space="preserve"> </w:t>
      </w:r>
      <w:r w:rsidRPr="004A7425">
        <w:rPr>
          <w:rFonts w:ascii="Times New Roman" w:eastAsia="Times New Roman" w:hAnsi="Times New Roman" w:cs="Times New Roman"/>
          <w:bCs/>
          <w:sz w:val="24"/>
          <w:szCs w:val="24"/>
        </w:rPr>
        <w:t xml:space="preserve">przepisy te dotyczą procedury akredytacji; </w:t>
      </w:r>
    </w:p>
    <w:p w14:paraId="258DD9B4"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sz w:val="22"/>
          <w:szCs w:val="24"/>
        </w:rPr>
      </w:pPr>
      <w:r w:rsidRPr="004A7425">
        <w:rPr>
          <w:rFonts w:ascii="Times New Roman" w:eastAsia="Times New Roman" w:hAnsi="Times New Roman" w:cs="Times New Roman"/>
          <w:bCs/>
          <w:sz w:val="24"/>
          <w:szCs w:val="24"/>
        </w:rPr>
        <w:t>2)</w:t>
      </w:r>
      <w:r w:rsidRPr="004A7425">
        <w:rPr>
          <w:rFonts w:ascii="Times New Roman" w:eastAsia="Times New Roman" w:hAnsi="Times New Roman" w:cs="Times New Roman"/>
          <w:bCs/>
          <w:sz w:val="24"/>
          <w:szCs w:val="24"/>
        </w:rPr>
        <w:tab/>
        <w:t>art. 22 ust. 6 wchodzi w życie z dniem 1 stycznia 2025 r.,</w:t>
      </w:r>
      <w:r w:rsidRPr="004A7425">
        <w:rPr>
          <w:rFonts w:ascii="Calibri" w:eastAsia="Calibri" w:hAnsi="Calibri" w:cs="Times New Roman"/>
          <w:sz w:val="22"/>
          <w:szCs w:val="22"/>
        </w:rPr>
        <w:t xml:space="preserve"> </w:t>
      </w:r>
      <w:r w:rsidRPr="004A7425">
        <w:rPr>
          <w:rFonts w:ascii="Times New Roman" w:eastAsia="Times New Roman" w:hAnsi="Times New Roman" w:cs="Times New Roman"/>
          <w:bCs/>
          <w:sz w:val="24"/>
          <w:szCs w:val="24"/>
        </w:rPr>
        <w:t>który dotyczy stosowania standardów akredytacyjnych, ogłaszanych w odpowiednich obwieszczeniach ministra właściwego do spraw zdrowia do wniosków o akredytację złożonych nie wcześniej niż po upływie 12 miesięcy od dnia zamieszczenia tych standardów w Biuletynie Informacji Publicznej urzędu obsługującego tego ministra;</w:t>
      </w:r>
    </w:p>
    <w:p w14:paraId="4DE589F5" w14:textId="77777777" w:rsidR="00DF50AF" w:rsidRPr="004A7425" w:rsidRDefault="00DF50AF" w:rsidP="00DF50AF">
      <w:pPr>
        <w:widowControl/>
        <w:autoSpaceDE/>
        <w:autoSpaceDN/>
        <w:adjustRightInd/>
        <w:spacing w:before="0" w:line="360" w:lineRule="auto"/>
        <w:ind w:left="510" w:hanging="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w:t>
      </w:r>
      <w:r w:rsidRPr="004A7425">
        <w:rPr>
          <w:rFonts w:ascii="Times New Roman" w:eastAsia="Times New Roman" w:hAnsi="Times New Roman" w:cs="Times New Roman"/>
          <w:bCs/>
          <w:sz w:val="24"/>
          <w:szCs w:val="24"/>
        </w:rPr>
        <w:tab/>
        <w:t xml:space="preserve">art. 26 ust. 4 i 6 oraz art. 27, które wchodzą które wchodzą w życie po upływie 24 miesięcy od dnia ogłoszenia (czyli teleinformatycznego systemu, które zadaniem będzie elektroniczna obsługa wniosków o udzielenia akredytacji, powyższe wynika </w:t>
      </w:r>
      <w:r w:rsidRPr="004A7425">
        <w:rPr>
          <w:rFonts w:ascii="Times New Roman" w:eastAsia="Times New Roman" w:hAnsi="Times New Roman" w:cs="Times New Roman"/>
          <w:bCs/>
          <w:sz w:val="24"/>
          <w:szCs w:val="24"/>
        </w:rPr>
        <w:br/>
        <w:t>z konieczności przygotowania systemu teleinformatycznego, którego zadaniem będzie obsługa wniosków o udzielenie akredytacji.</w:t>
      </w:r>
    </w:p>
    <w:p w14:paraId="79EA655A"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lastRenderedPageBreak/>
        <w:t xml:space="preserve">Projekt ustawy stanowi realizację jednego z kamieni milowych w ramach Krajowego Planu Odbudowy pod nazwą D3G </w:t>
      </w:r>
      <w:r w:rsidRPr="004A7425">
        <w:rPr>
          <w:rFonts w:ascii="Times New Roman" w:eastAsia="Times New Roman" w:hAnsi="Times New Roman" w:cs="Times New Roman"/>
          <w:bCs/>
          <w:i/>
          <w:sz w:val="24"/>
          <w:szCs w:val="24"/>
        </w:rPr>
        <w:t>„Wejście w życie ustawy o jakości w ochronie zdrowia i bezpieczeństwie pacjenta, wraz z niezbędnymi przepisami wykonawczymi”</w:t>
      </w:r>
      <w:r w:rsidRPr="004A7425">
        <w:rPr>
          <w:rFonts w:ascii="Times New Roman" w:eastAsia="Times New Roman" w:hAnsi="Times New Roman" w:cs="Times New Roman"/>
          <w:bCs/>
          <w:sz w:val="24"/>
          <w:szCs w:val="24"/>
        </w:rPr>
        <w:t>, którego celem jest poprawa efektywności funkcjonowania systemu ochrony zdrowia, dostępności oraz jakości świadczeń zdrowotnych, w szczególności w kluczowych obszarach ze względu na zagrożenia epidemiologiczne i choroby cywilizacyjne oraz sytuację demograficzną. W tym zakresie projekt ustawy wprowadza rozwiązania w następujących obszarach: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9"/>
        <w:gridCol w:w="3595"/>
      </w:tblGrid>
      <w:tr w:rsidR="00DF50AF" w:rsidRPr="004A7425" w14:paraId="569162A9"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303F165F" w14:textId="77777777" w:rsidR="00DF50AF" w:rsidRPr="004A7425" w:rsidRDefault="00DF50AF" w:rsidP="00810CB7">
            <w:pPr>
              <w:keepNext/>
              <w:widowControl/>
              <w:autoSpaceDE/>
              <w:autoSpaceDN/>
              <w:adjustRightInd/>
              <w:spacing w:before="0" w:line="360" w:lineRule="auto"/>
              <w:jc w:val="center"/>
              <w:outlineLvl w:val="1"/>
              <w:rPr>
                <w:rFonts w:ascii="Times New Roman" w:eastAsia="Times New Roman" w:hAnsi="Times New Roman" w:cs="Times New Roman"/>
                <w:b/>
                <w:bCs/>
                <w:sz w:val="24"/>
                <w:szCs w:val="24"/>
              </w:rPr>
            </w:pPr>
            <w:r w:rsidRPr="004A7425">
              <w:rPr>
                <w:rFonts w:ascii="Times New Roman" w:eastAsia="Times New Roman" w:hAnsi="Times New Roman" w:cs="Times New Roman"/>
                <w:b/>
                <w:bCs/>
                <w:sz w:val="24"/>
                <w:szCs w:val="24"/>
              </w:rPr>
              <w:t>Zakres kamienia milowego</w:t>
            </w:r>
          </w:p>
        </w:tc>
        <w:tc>
          <w:tcPr>
            <w:tcW w:w="3784" w:type="dxa"/>
            <w:tcBorders>
              <w:top w:val="single" w:sz="4" w:space="0" w:color="auto"/>
              <w:left w:val="single" w:sz="4" w:space="0" w:color="auto"/>
              <w:bottom w:val="single" w:sz="4" w:space="0" w:color="auto"/>
              <w:right w:val="single" w:sz="4" w:space="0" w:color="auto"/>
            </w:tcBorders>
            <w:hideMark/>
          </w:tcPr>
          <w:p w14:paraId="7F4A0AE8" w14:textId="77777777" w:rsidR="00DF50AF" w:rsidRPr="004A7425" w:rsidRDefault="00DF50AF" w:rsidP="00810CB7">
            <w:pPr>
              <w:keepNext/>
              <w:widowControl/>
              <w:autoSpaceDE/>
              <w:autoSpaceDN/>
              <w:adjustRightInd/>
              <w:spacing w:before="0" w:line="360" w:lineRule="auto"/>
              <w:jc w:val="center"/>
              <w:outlineLvl w:val="1"/>
              <w:rPr>
                <w:rFonts w:ascii="Times New Roman" w:eastAsia="Times New Roman" w:hAnsi="Times New Roman" w:cs="Times New Roman"/>
                <w:b/>
                <w:bCs/>
                <w:sz w:val="24"/>
                <w:szCs w:val="24"/>
              </w:rPr>
            </w:pPr>
            <w:r w:rsidRPr="004A7425">
              <w:rPr>
                <w:rFonts w:ascii="Times New Roman" w:eastAsia="Times New Roman" w:hAnsi="Times New Roman" w:cs="Times New Roman"/>
                <w:b/>
                <w:bCs/>
                <w:sz w:val="24"/>
                <w:szCs w:val="24"/>
              </w:rPr>
              <w:t>Przepisy projektu ustawy wprowadzający rozwiązanie</w:t>
            </w:r>
          </w:p>
        </w:tc>
      </w:tr>
      <w:tr w:rsidR="00DF50AF" w:rsidRPr="004A7425" w14:paraId="3F1521AE"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2282DB51"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1. autoryzacja – wprowadza nowy nieznany wcześniej w polskim systemie ochrony zdrowia system oceny zgodności podmiotów wykonujących działalność leczniczą z wymaganiami Ministerstwa Zdrowia i Narodowego Funduszu Zdrowia (tzw. wymaganiami koszykowymi);</w:t>
            </w:r>
          </w:p>
        </w:tc>
        <w:tc>
          <w:tcPr>
            <w:tcW w:w="3784" w:type="dxa"/>
            <w:tcBorders>
              <w:top w:val="single" w:sz="4" w:space="0" w:color="auto"/>
              <w:left w:val="single" w:sz="4" w:space="0" w:color="auto"/>
              <w:bottom w:val="single" w:sz="4" w:space="0" w:color="auto"/>
              <w:right w:val="single" w:sz="4" w:space="0" w:color="auto"/>
            </w:tcBorders>
            <w:hideMark/>
          </w:tcPr>
          <w:p w14:paraId="112477D0"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Przepisy rozdziału 2.</w:t>
            </w:r>
          </w:p>
        </w:tc>
      </w:tr>
      <w:tr w:rsidR="00DF50AF" w:rsidRPr="004A7425" w14:paraId="4C94827A"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28B9F61D"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2. akredytacja – określa ramy zewnętrznej oceny jakości opieki zdrowotnej i bezpieczeństwa pacjenta;</w:t>
            </w:r>
          </w:p>
        </w:tc>
        <w:tc>
          <w:tcPr>
            <w:tcW w:w="3784" w:type="dxa"/>
            <w:tcBorders>
              <w:top w:val="single" w:sz="4" w:space="0" w:color="auto"/>
              <w:left w:val="single" w:sz="4" w:space="0" w:color="auto"/>
              <w:bottom w:val="single" w:sz="4" w:space="0" w:color="auto"/>
              <w:right w:val="single" w:sz="4" w:space="0" w:color="auto"/>
            </w:tcBorders>
            <w:hideMark/>
          </w:tcPr>
          <w:p w14:paraId="01239194"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Przepisy rozdziału 4.</w:t>
            </w:r>
          </w:p>
        </w:tc>
      </w:tr>
      <w:tr w:rsidR="00DF50AF" w:rsidRPr="004A7425" w14:paraId="05390F45"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785E667F"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3. monitorowanie zdarzeń niepożądanych – wprowadza nowe ramy działalności podmiotów wykonujących działalność leczniczą, polegające w szczególności na zgłaszaniu zdarzeń niepożądanych, prowadzeniu ich systematycznej analizy i wdrażaniu wniosków z takiej analizy, w celu zapobiegania wystąpieniu podobnych zdarzeń niepożądanych w przyszłości;</w:t>
            </w:r>
          </w:p>
        </w:tc>
        <w:tc>
          <w:tcPr>
            <w:tcW w:w="3784" w:type="dxa"/>
            <w:tcBorders>
              <w:top w:val="single" w:sz="4" w:space="0" w:color="auto"/>
              <w:left w:val="single" w:sz="4" w:space="0" w:color="auto"/>
              <w:bottom w:val="single" w:sz="4" w:space="0" w:color="auto"/>
              <w:right w:val="single" w:sz="4" w:space="0" w:color="auto"/>
            </w:tcBorders>
            <w:hideMark/>
          </w:tcPr>
          <w:p w14:paraId="588F1C2F"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Przepisy rozdziału 3.</w:t>
            </w:r>
          </w:p>
        </w:tc>
      </w:tr>
      <w:tr w:rsidR="00DF50AF" w:rsidRPr="004A7425" w14:paraId="25D07BC9"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790B7586"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4. rejestry medyczne – wzmocnienie nadzoru ministra właściwego do spraw zdrowia nad zasadami ich tworzenia i finansowania;</w:t>
            </w:r>
          </w:p>
        </w:tc>
        <w:tc>
          <w:tcPr>
            <w:tcW w:w="3784" w:type="dxa"/>
            <w:tcBorders>
              <w:top w:val="single" w:sz="4" w:space="0" w:color="auto"/>
              <w:left w:val="single" w:sz="4" w:space="0" w:color="auto"/>
              <w:bottom w:val="single" w:sz="4" w:space="0" w:color="auto"/>
              <w:right w:val="single" w:sz="4" w:space="0" w:color="auto"/>
            </w:tcBorders>
            <w:hideMark/>
          </w:tcPr>
          <w:p w14:paraId="47A87D01"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Art. 63 projektu ustawy wprowadzający zmiany w ustawie z dnia 28 kwietnia 2011 r. o systemie informacji w ochronie zdrowia.</w:t>
            </w:r>
          </w:p>
        </w:tc>
      </w:tr>
      <w:tr w:rsidR="00DF50AF" w:rsidRPr="004A7425" w14:paraId="3D399BE7"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4A29A17D"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lastRenderedPageBreak/>
              <w:t>5. doświadczenie pacjentów – projekt ustawy wprowadza ramy pomiaru doświadczenia pacjentów związanego z zapisami kontraktowania z Funduszem, co pozwoli na skuteczniejszą poprawę jakości udzielanych świadczeń zdrowotnych z poziomu pacjenta;</w:t>
            </w:r>
          </w:p>
        </w:tc>
        <w:tc>
          <w:tcPr>
            <w:tcW w:w="3784" w:type="dxa"/>
            <w:tcBorders>
              <w:top w:val="single" w:sz="4" w:space="0" w:color="auto"/>
              <w:left w:val="single" w:sz="4" w:space="0" w:color="auto"/>
              <w:bottom w:val="single" w:sz="4" w:space="0" w:color="auto"/>
              <w:right w:val="single" w:sz="4" w:space="0" w:color="auto"/>
            </w:tcBorders>
            <w:hideMark/>
          </w:tcPr>
          <w:p w14:paraId="3A251F96"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Art. 25 projektu ustawy.</w:t>
            </w:r>
          </w:p>
        </w:tc>
      </w:tr>
      <w:tr w:rsidR="00DF50AF" w:rsidRPr="004A7425" w14:paraId="06C5B4A2" w14:textId="77777777" w:rsidTr="00810CB7">
        <w:tc>
          <w:tcPr>
            <w:tcW w:w="5240" w:type="dxa"/>
            <w:tcBorders>
              <w:top w:val="single" w:sz="4" w:space="0" w:color="auto"/>
              <w:left w:val="single" w:sz="4" w:space="0" w:color="auto"/>
              <w:bottom w:val="single" w:sz="4" w:space="0" w:color="auto"/>
              <w:right w:val="single" w:sz="4" w:space="0" w:color="auto"/>
            </w:tcBorders>
            <w:hideMark/>
          </w:tcPr>
          <w:p w14:paraId="661EC1A9"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6. rehospitalizacja – przez określenie ram śledzenia i analizy 30-dniowych stawek readmisji związane z zapisami kontraktowymi Funduszu, jako jednego ze wskaźników oceny jakości udzielanych świadczeń opieki zdrowotnej.</w:t>
            </w:r>
          </w:p>
        </w:tc>
        <w:tc>
          <w:tcPr>
            <w:tcW w:w="3784" w:type="dxa"/>
            <w:tcBorders>
              <w:top w:val="single" w:sz="4" w:space="0" w:color="auto"/>
              <w:left w:val="single" w:sz="4" w:space="0" w:color="auto"/>
              <w:bottom w:val="single" w:sz="4" w:space="0" w:color="auto"/>
              <w:right w:val="single" w:sz="4" w:space="0" w:color="auto"/>
            </w:tcBorders>
            <w:hideMark/>
          </w:tcPr>
          <w:p w14:paraId="44F85AF1" w14:textId="77777777" w:rsidR="00DF50AF" w:rsidRPr="004A7425" w:rsidRDefault="00DF50AF" w:rsidP="00810CB7">
            <w:pPr>
              <w:widowControl/>
              <w:suppressAutoHyphens/>
              <w:spacing w:before="120" w:line="360" w:lineRule="auto"/>
              <w:rPr>
                <w:rFonts w:ascii="Times New Roman" w:eastAsia="Times New Roman" w:hAnsi="Times New Roman" w:cs="Times New Roman"/>
                <w:bCs/>
                <w:sz w:val="24"/>
                <w:szCs w:val="24"/>
              </w:rPr>
            </w:pPr>
            <w:r w:rsidRPr="004A7425">
              <w:rPr>
                <w:rFonts w:ascii="Times New Roman" w:eastAsia="Times New Roman" w:hAnsi="Times New Roman" w:cs="Times New Roman"/>
                <w:bCs/>
                <w:sz w:val="24"/>
                <w:szCs w:val="24"/>
              </w:rPr>
              <w:t>Art. 4 projektu ustawy.</w:t>
            </w:r>
          </w:p>
        </w:tc>
      </w:tr>
    </w:tbl>
    <w:p w14:paraId="69AF5F99" w14:textId="77777777" w:rsidR="00DF50AF" w:rsidRPr="004A7425" w:rsidRDefault="00DF50AF" w:rsidP="00DF50AF">
      <w:pPr>
        <w:widowControl/>
        <w:suppressAutoHyphens/>
        <w:spacing w:before="24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Projektowane rozwiązania mają na celu poprawę efektywności i sprawności działania podmiotów wykonujących działalność leczniczą, a przez to wzrost konkurencyjności tego sektora. Wobec ustanowienia wspólnotowych ram prawnych w opiece transgranicznej przedmiotowe rozwiązania dadzą impuls do wzmocnienia pozycji podmiotów wykonujących działalność leczniczą na płaszczyźnie obrotu międzynarodowego. Dbałość o wysoki poziom jakości może przyczynić się do zwiększenia zainteresowania osób z innych państw świadczeniami zdrowotnymi udzielanymi przez podmioty działające w Rzeczypospolitej Polskiej oraz uzyskania dodatkowego kapitału, który może przyczynić się do ich rozwoju.</w:t>
      </w:r>
    </w:p>
    <w:p w14:paraId="07F36BFE"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Projekt ustawy został wpisany do Wykazu prac legislacyjnych i programowych Rady Ministrów pod numerem UD255.</w:t>
      </w:r>
    </w:p>
    <w:p w14:paraId="2082A8F8"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Projekt ustawy nie zawiera przepisów technicznych w rozumieniu rozporządzenia Rady Ministrów z dnia 23 grudnia 2002 r. w sprawie sposobu funkcjonowania krajowego systemu notyfikacji norm i aktów prawnych (Dz. U. poz. 2039 oraz z 2004 r. poz. 597) i nie podlega notyfikacji Komisji Europejskiej.</w:t>
      </w:r>
    </w:p>
    <w:p w14:paraId="4F9906B0"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t>Projekt ustawy nie jest sprzeczny z prawem Unii Europejskiej i nie wymaga przedstawienia właściwym organom i instytucjom Unii Europejskiej, w tym Europejskiemu Bankowi Centralnemu, w celu uzyskania opinii, dokonania powiadomienia, konsultacji albo uzgodnienia projektu.</w:t>
      </w:r>
      <w:r w:rsidRPr="004A7425">
        <w:rPr>
          <w:rFonts w:ascii="Times New Roman" w:eastAsia="Times New Roman" w:hAnsi="Times New Roman" w:cs="Times New Roman"/>
          <w:sz w:val="24"/>
          <w:szCs w:val="24"/>
        </w:rPr>
        <w:tab/>
      </w:r>
    </w:p>
    <w:p w14:paraId="3CA26A8D" w14:textId="77777777" w:rsidR="00DF50AF" w:rsidRPr="004A7425" w:rsidRDefault="00DF50AF" w:rsidP="00DF50AF">
      <w:pPr>
        <w:widowControl/>
        <w:suppressAutoHyphens/>
        <w:spacing w:before="120" w:line="360" w:lineRule="auto"/>
        <w:ind w:firstLine="510"/>
        <w:rPr>
          <w:rFonts w:ascii="Times New Roman" w:eastAsia="Times New Roman" w:hAnsi="Times New Roman" w:cs="Times New Roman"/>
          <w:sz w:val="24"/>
          <w:szCs w:val="24"/>
        </w:rPr>
      </w:pPr>
      <w:r w:rsidRPr="004A7425">
        <w:rPr>
          <w:rFonts w:ascii="Times New Roman" w:eastAsia="Times New Roman" w:hAnsi="Times New Roman" w:cs="Times New Roman"/>
          <w:sz w:val="24"/>
          <w:szCs w:val="24"/>
        </w:rPr>
        <w:lastRenderedPageBreak/>
        <w:t xml:space="preserve">Przewiduje się, że projektowane przepisy wpłyną na poprawę konkurencyjności gospodarki przez wzrost konkurencyjności podmiotów działających na rynku zdrowotnym, będących podmiotami wykonującymi działalność leczniczą. Projekt nie zakłada wdrażania nowych obciążeń na przedsiębiorców. Uwzględnione w projekcie ustawy wymagania funkcjonują już obecnie w systemie opieki zdrowotnej (m.in. w ustawie z dnia 27 sierpnia 2004 r. o świadczeniach opieki zdrowotnej finansowanych ze środków publicznych). Działania, które zostaną podjęte w oparciu o projektowane rozwiązania mają za zadanie uproszczenie procesu monitorowania zdarzeń niepożądanych. Przewiduje się, że projektowane rozwiązania będą miały wpływ na poprawę konkurencyjności gospodarki przez wzrost konkurencyjności podmiotów działających na rynku zdrowotnym, będących podmiotami wykonującymi działalność leczniczą. W dłuższej perspektywie rozwiązania te powinny spowodować zwiększenie zainteresowania podmiotów wykonujących działalność leczniczą działaniami projakościowymi, w szczególności związanymi z monitorowaniem zdarzeń niepożądanych, podwyższaniem standardów postępowania medycznego oraz poprawą skuteczności procesów diagnostyczno-terapeutycznych i ich bezpieczeństwa. Celem przyjęcia proponowanych rozwiązań jest zmotywowanie podmiotów świadczących usługi na dużo niższym poziomie jakościowym do systematycznego jego podnoszenia i poprawy. </w:t>
      </w:r>
    </w:p>
    <w:p w14:paraId="3DDE6A2E" w14:textId="77777777" w:rsidR="00DF50AF" w:rsidRPr="004A7425" w:rsidRDefault="00DF50AF" w:rsidP="00DF50AF">
      <w:pPr>
        <w:widowControl/>
        <w:suppressAutoHyphens/>
        <w:spacing w:before="120" w:line="360" w:lineRule="auto"/>
        <w:ind w:firstLine="510"/>
        <w:rPr>
          <w:rFonts w:ascii="Times New Roman" w:eastAsia="Calibri" w:hAnsi="Times New Roman" w:cs="Times New Roman"/>
          <w:sz w:val="24"/>
          <w:szCs w:val="24"/>
        </w:rPr>
      </w:pPr>
      <w:r w:rsidRPr="004A7425">
        <w:rPr>
          <w:rFonts w:ascii="Times New Roman" w:eastAsia="Times New Roman" w:hAnsi="Times New Roman" w:cs="Times New Roman"/>
          <w:sz w:val="24"/>
          <w:szCs w:val="24"/>
        </w:rPr>
        <w:t>Nie istnieją alternatywne środki w stosunku do uchwalenia projektowanej ustawy umożliwiające osiągnięcie zamierzonego celu.</w:t>
      </w:r>
    </w:p>
    <w:p w14:paraId="189C4114" w14:textId="77777777" w:rsidR="00DF50AF" w:rsidRDefault="00DF50AF" w:rsidP="00DF50AF"/>
    <w:p w14:paraId="03D4361A" w14:textId="77777777" w:rsidR="00466570" w:rsidRDefault="00466570"/>
    <w:sectPr w:rsidR="00466570" w:rsidSect="00C34E9C">
      <w:headerReference w:type="default" r:id="rId11"/>
      <w:footnotePr>
        <w:numRestart w:val="eachSect"/>
      </w:footnotePr>
      <w:pgSz w:w="11906" w:h="16838"/>
      <w:pgMar w:top="1134" w:right="1701" w:bottom="1134" w:left="1701" w:header="709" w:footer="709" w:gutter="0"/>
      <w:pgNumType w:start="4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F54D2D" w14:textId="77777777" w:rsidR="00AE78FA" w:rsidRDefault="00AE78FA" w:rsidP="000B6047">
      <w:pPr>
        <w:spacing w:before="0" w:line="240" w:lineRule="auto"/>
      </w:pPr>
      <w:r>
        <w:separator/>
      </w:r>
    </w:p>
  </w:endnote>
  <w:endnote w:type="continuationSeparator" w:id="0">
    <w:p w14:paraId="2FE3DCB6" w14:textId="77777777" w:rsidR="00AE78FA" w:rsidRDefault="00AE78FA" w:rsidP="000B604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5E00D" w14:textId="77777777" w:rsidR="00AE78FA" w:rsidRDefault="00AE78FA" w:rsidP="000B6047">
      <w:pPr>
        <w:spacing w:before="0" w:line="240" w:lineRule="auto"/>
      </w:pPr>
      <w:r>
        <w:separator/>
      </w:r>
    </w:p>
  </w:footnote>
  <w:footnote w:type="continuationSeparator" w:id="0">
    <w:p w14:paraId="5C2F6A43" w14:textId="77777777" w:rsidR="00AE78FA" w:rsidRDefault="00AE78FA" w:rsidP="000B604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9723999"/>
      <w:docPartObj>
        <w:docPartGallery w:val="Page Numbers (Top of Page)"/>
        <w:docPartUnique/>
      </w:docPartObj>
    </w:sdtPr>
    <w:sdtEndPr/>
    <w:sdtContent>
      <w:p w14:paraId="3E5E5461" w14:textId="29A6D664" w:rsidR="00045C69" w:rsidRDefault="00045C69">
        <w:pPr>
          <w:pStyle w:val="Nagwek"/>
          <w:jc w:val="center"/>
        </w:pPr>
        <w:r>
          <w:fldChar w:fldCharType="begin"/>
        </w:r>
        <w:r>
          <w:instrText>PAGE   \* MERGEFORMAT</w:instrText>
        </w:r>
        <w:r>
          <w:fldChar w:fldCharType="separate"/>
        </w:r>
        <w:r w:rsidR="00C34E9C">
          <w:rPr>
            <w:noProof/>
          </w:rPr>
          <w:t>51</w:t>
        </w:r>
        <w:r>
          <w:fldChar w:fldCharType="end"/>
        </w:r>
      </w:p>
    </w:sdtContent>
  </w:sdt>
  <w:p w14:paraId="43D7F29E" w14:textId="77777777" w:rsidR="00045C69" w:rsidRDefault="00045C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D93565"/>
    <w:multiLevelType w:val="multilevel"/>
    <w:tmpl w:val="35346242"/>
    <w:lvl w:ilvl="0">
      <w:start w:val="6"/>
      <w:numFmt w:val="lowerLetter"/>
      <w:lvlText w:val="%1)"/>
      <w:lvlJc w:val="left"/>
      <w:pPr>
        <w:ind w:left="851" w:hanging="360"/>
      </w:pPr>
    </w:lvl>
    <w:lvl w:ilvl="1">
      <w:start w:val="1"/>
      <w:numFmt w:val="lowerLetter"/>
      <w:lvlText w:val="%2."/>
      <w:lvlJc w:val="left"/>
      <w:pPr>
        <w:ind w:left="1571" w:hanging="360"/>
      </w:pPr>
    </w:lvl>
    <w:lvl w:ilvl="2">
      <w:start w:val="1"/>
      <w:numFmt w:val="lowerRoman"/>
      <w:lvlText w:val="%3."/>
      <w:lvlJc w:val="right"/>
      <w:pPr>
        <w:ind w:left="2291" w:hanging="180"/>
      </w:pPr>
    </w:lvl>
    <w:lvl w:ilvl="3">
      <w:start w:val="1"/>
      <w:numFmt w:val="decimal"/>
      <w:lvlText w:val="%4."/>
      <w:lvlJc w:val="left"/>
      <w:pPr>
        <w:ind w:left="3011" w:hanging="360"/>
      </w:pPr>
    </w:lvl>
    <w:lvl w:ilvl="4">
      <w:start w:val="1"/>
      <w:numFmt w:val="lowerLetter"/>
      <w:lvlText w:val="%5."/>
      <w:lvlJc w:val="left"/>
      <w:pPr>
        <w:ind w:left="3731" w:hanging="360"/>
      </w:pPr>
    </w:lvl>
    <w:lvl w:ilvl="5">
      <w:start w:val="1"/>
      <w:numFmt w:val="lowerRoman"/>
      <w:lvlText w:val="%6."/>
      <w:lvlJc w:val="right"/>
      <w:pPr>
        <w:ind w:left="4451" w:hanging="180"/>
      </w:pPr>
    </w:lvl>
    <w:lvl w:ilvl="6">
      <w:start w:val="1"/>
      <w:numFmt w:val="decimal"/>
      <w:lvlText w:val="%7."/>
      <w:lvlJc w:val="left"/>
      <w:pPr>
        <w:ind w:left="5171" w:hanging="360"/>
      </w:pPr>
    </w:lvl>
    <w:lvl w:ilvl="7">
      <w:start w:val="1"/>
      <w:numFmt w:val="lowerLetter"/>
      <w:lvlText w:val="%8."/>
      <w:lvlJc w:val="left"/>
      <w:pPr>
        <w:ind w:left="5891" w:hanging="360"/>
      </w:pPr>
    </w:lvl>
    <w:lvl w:ilvl="8">
      <w:start w:val="1"/>
      <w:numFmt w:val="lowerRoman"/>
      <w:lvlText w:val="%9."/>
      <w:lvlJc w:val="right"/>
      <w:pPr>
        <w:ind w:left="6611"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90C03D8"/>
    <w:multiLevelType w:val="multilevel"/>
    <w:tmpl w:val="656076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25"/>
  </w:num>
  <w:num w:numId="2">
    <w:abstractNumId w:val="20"/>
  </w:num>
  <w:num w:numId="3">
    <w:abstractNumId w:val="40"/>
  </w:num>
  <w:num w:numId="4">
    <w:abstractNumId w:val="36"/>
  </w:num>
  <w:num w:numId="5">
    <w:abstractNumId w:val="16"/>
  </w:num>
  <w:num w:numId="6">
    <w:abstractNumId w:val="11"/>
  </w:num>
  <w:num w:numId="7">
    <w:abstractNumId w:val="17"/>
  </w:num>
  <w:num w:numId="8">
    <w:abstractNumId w:val="29"/>
  </w:num>
  <w:num w:numId="9">
    <w:abstractNumId w:val="18"/>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8"/>
  </w:num>
  <w:num w:numId="21">
    <w:abstractNumId w:val="28"/>
  </w:num>
  <w:num w:numId="22">
    <w:abstractNumId w:val="41"/>
  </w:num>
  <w:num w:numId="23">
    <w:abstractNumId w:val="37"/>
  </w:num>
  <w:num w:numId="24">
    <w:abstractNumId w:val="21"/>
  </w:num>
  <w:num w:numId="25">
    <w:abstractNumId w:val="12"/>
  </w:num>
  <w:num w:numId="26">
    <w:abstractNumId w:val="35"/>
  </w:num>
  <w:num w:numId="27">
    <w:abstractNumId w:val="22"/>
  </w:num>
  <w:num w:numId="28">
    <w:abstractNumId w:val="19"/>
  </w:num>
  <w:num w:numId="29">
    <w:abstractNumId w:val="24"/>
  </w:num>
  <w:num w:numId="30">
    <w:abstractNumId w:val="30"/>
  </w:num>
  <w:num w:numId="31">
    <w:abstractNumId w:val="27"/>
  </w:num>
  <w:num w:numId="32">
    <w:abstractNumId w:val="15"/>
  </w:num>
  <w:num w:numId="33">
    <w:abstractNumId w:val="34"/>
  </w:num>
  <w:num w:numId="34">
    <w:abstractNumId w:val="32"/>
  </w:num>
  <w:num w:numId="35">
    <w:abstractNumId w:val="23"/>
  </w:num>
  <w:num w:numId="36">
    <w:abstractNumId w:val="39"/>
  </w:num>
  <w:num w:numId="37">
    <w:abstractNumId w:val="14"/>
  </w:num>
  <w:num w:numId="38">
    <w:abstractNumId w:val="42"/>
  </w:num>
  <w:num w:numId="39">
    <w:abstractNumId w:val="26"/>
  </w:num>
  <w:num w:numId="40">
    <w:abstractNumId w:val="13"/>
  </w:num>
  <w:num w:numId="41">
    <w:abstractNumId w:val="33"/>
  </w:num>
  <w:num w:numId="42">
    <w:abstractNumId w:val="10"/>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047"/>
    <w:rsid w:val="0001628F"/>
    <w:rsid w:val="0002088A"/>
    <w:rsid w:val="000226C8"/>
    <w:rsid w:val="0002709D"/>
    <w:rsid w:val="00035799"/>
    <w:rsid w:val="00045C69"/>
    <w:rsid w:val="000558D2"/>
    <w:rsid w:val="00055C43"/>
    <w:rsid w:val="00061E24"/>
    <w:rsid w:val="000675CF"/>
    <w:rsid w:val="0007031D"/>
    <w:rsid w:val="000718BC"/>
    <w:rsid w:val="00071DAC"/>
    <w:rsid w:val="000728E7"/>
    <w:rsid w:val="000745F5"/>
    <w:rsid w:val="00095102"/>
    <w:rsid w:val="000A2480"/>
    <w:rsid w:val="000A6B4E"/>
    <w:rsid w:val="000B6047"/>
    <w:rsid w:val="000C09A5"/>
    <w:rsid w:val="000C0F74"/>
    <w:rsid w:val="000C4A76"/>
    <w:rsid w:val="000D100A"/>
    <w:rsid w:val="000D3731"/>
    <w:rsid w:val="000D6065"/>
    <w:rsid w:val="000E0205"/>
    <w:rsid w:val="000E0480"/>
    <w:rsid w:val="000F2004"/>
    <w:rsid w:val="000F3B3B"/>
    <w:rsid w:val="000F6699"/>
    <w:rsid w:val="001042D7"/>
    <w:rsid w:val="00104781"/>
    <w:rsid w:val="00106C6D"/>
    <w:rsid w:val="0011107B"/>
    <w:rsid w:val="00111237"/>
    <w:rsid w:val="0011289C"/>
    <w:rsid w:val="00120574"/>
    <w:rsid w:val="0012227E"/>
    <w:rsid w:val="001223D6"/>
    <w:rsid w:val="00122E37"/>
    <w:rsid w:val="00123AD1"/>
    <w:rsid w:val="00124BBD"/>
    <w:rsid w:val="00124BD8"/>
    <w:rsid w:val="001322A4"/>
    <w:rsid w:val="00141CDC"/>
    <w:rsid w:val="0015638A"/>
    <w:rsid w:val="00180759"/>
    <w:rsid w:val="001809F0"/>
    <w:rsid w:val="00183540"/>
    <w:rsid w:val="00186751"/>
    <w:rsid w:val="00191BA6"/>
    <w:rsid w:val="001A2E67"/>
    <w:rsid w:val="001B38F9"/>
    <w:rsid w:val="001C7228"/>
    <w:rsid w:val="001C7885"/>
    <w:rsid w:val="001D7C7F"/>
    <w:rsid w:val="001E09AE"/>
    <w:rsid w:val="001F41A4"/>
    <w:rsid w:val="001F4D20"/>
    <w:rsid w:val="001F6983"/>
    <w:rsid w:val="00201501"/>
    <w:rsid w:val="00210E4F"/>
    <w:rsid w:val="002231F9"/>
    <w:rsid w:val="0022501E"/>
    <w:rsid w:val="002254F2"/>
    <w:rsid w:val="0023060D"/>
    <w:rsid w:val="002306BB"/>
    <w:rsid w:val="002377A5"/>
    <w:rsid w:val="00244997"/>
    <w:rsid w:val="0024635A"/>
    <w:rsid w:val="00253882"/>
    <w:rsid w:val="00255832"/>
    <w:rsid w:val="00256603"/>
    <w:rsid w:val="00256E28"/>
    <w:rsid w:val="00256E31"/>
    <w:rsid w:val="00256F0B"/>
    <w:rsid w:val="0025797F"/>
    <w:rsid w:val="00261541"/>
    <w:rsid w:val="00266CEC"/>
    <w:rsid w:val="0027732B"/>
    <w:rsid w:val="002774A5"/>
    <w:rsid w:val="00281BA0"/>
    <w:rsid w:val="00293B35"/>
    <w:rsid w:val="00295C42"/>
    <w:rsid w:val="002976B7"/>
    <w:rsid w:val="002A5BC6"/>
    <w:rsid w:val="002A7263"/>
    <w:rsid w:val="002B0F27"/>
    <w:rsid w:val="002B166D"/>
    <w:rsid w:val="002B4202"/>
    <w:rsid w:val="002B5912"/>
    <w:rsid w:val="002C3A30"/>
    <w:rsid w:val="002C5E65"/>
    <w:rsid w:val="002D4E9D"/>
    <w:rsid w:val="002D7246"/>
    <w:rsid w:val="002E222A"/>
    <w:rsid w:val="002E4776"/>
    <w:rsid w:val="002E4CC5"/>
    <w:rsid w:val="002E4DEF"/>
    <w:rsid w:val="002F13C9"/>
    <w:rsid w:val="002F1491"/>
    <w:rsid w:val="002F54CB"/>
    <w:rsid w:val="002F5B97"/>
    <w:rsid w:val="00302E09"/>
    <w:rsid w:val="003047E9"/>
    <w:rsid w:val="003066AC"/>
    <w:rsid w:val="00313BE6"/>
    <w:rsid w:val="00317DC3"/>
    <w:rsid w:val="0032071D"/>
    <w:rsid w:val="003307D2"/>
    <w:rsid w:val="00334D7C"/>
    <w:rsid w:val="0034438C"/>
    <w:rsid w:val="00345792"/>
    <w:rsid w:val="003548BC"/>
    <w:rsid w:val="00361EF1"/>
    <w:rsid w:val="003634DA"/>
    <w:rsid w:val="003640ED"/>
    <w:rsid w:val="00364C1C"/>
    <w:rsid w:val="00371227"/>
    <w:rsid w:val="003737DC"/>
    <w:rsid w:val="00386668"/>
    <w:rsid w:val="00393954"/>
    <w:rsid w:val="0039422D"/>
    <w:rsid w:val="003A0C35"/>
    <w:rsid w:val="003A14BD"/>
    <w:rsid w:val="003A21D0"/>
    <w:rsid w:val="003A67A6"/>
    <w:rsid w:val="003B162F"/>
    <w:rsid w:val="003B3407"/>
    <w:rsid w:val="003B3611"/>
    <w:rsid w:val="003D6BF4"/>
    <w:rsid w:val="003E0850"/>
    <w:rsid w:val="003E41E3"/>
    <w:rsid w:val="003F04F8"/>
    <w:rsid w:val="003F0892"/>
    <w:rsid w:val="003F6FBB"/>
    <w:rsid w:val="00404239"/>
    <w:rsid w:val="004060F8"/>
    <w:rsid w:val="00410AAD"/>
    <w:rsid w:val="0041301B"/>
    <w:rsid w:val="004131A7"/>
    <w:rsid w:val="004137E3"/>
    <w:rsid w:val="004160C6"/>
    <w:rsid w:val="004244E9"/>
    <w:rsid w:val="00431251"/>
    <w:rsid w:val="00434BD2"/>
    <w:rsid w:val="004400FD"/>
    <w:rsid w:val="00441609"/>
    <w:rsid w:val="00442863"/>
    <w:rsid w:val="00442BD7"/>
    <w:rsid w:val="00445AE8"/>
    <w:rsid w:val="00446856"/>
    <w:rsid w:val="00450559"/>
    <w:rsid w:val="00455077"/>
    <w:rsid w:val="0045567F"/>
    <w:rsid w:val="004607A3"/>
    <w:rsid w:val="00460FFA"/>
    <w:rsid w:val="00464621"/>
    <w:rsid w:val="00466570"/>
    <w:rsid w:val="00474E0B"/>
    <w:rsid w:val="00483637"/>
    <w:rsid w:val="00486052"/>
    <w:rsid w:val="00490772"/>
    <w:rsid w:val="00491365"/>
    <w:rsid w:val="00495D9A"/>
    <w:rsid w:val="00496C5C"/>
    <w:rsid w:val="00497426"/>
    <w:rsid w:val="004A0302"/>
    <w:rsid w:val="004A3F57"/>
    <w:rsid w:val="004B2085"/>
    <w:rsid w:val="004B72EE"/>
    <w:rsid w:val="004B7B6A"/>
    <w:rsid w:val="004C0691"/>
    <w:rsid w:val="004C1560"/>
    <w:rsid w:val="004D0A41"/>
    <w:rsid w:val="004D5D1B"/>
    <w:rsid w:val="004D7576"/>
    <w:rsid w:val="004E0BC5"/>
    <w:rsid w:val="004E356E"/>
    <w:rsid w:val="004E6B43"/>
    <w:rsid w:val="004F46A4"/>
    <w:rsid w:val="0050050D"/>
    <w:rsid w:val="00512589"/>
    <w:rsid w:val="005128F8"/>
    <w:rsid w:val="00524E6F"/>
    <w:rsid w:val="0053189A"/>
    <w:rsid w:val="00532E19"/>
    <w:rsid w:val="00536F9B"/>
    <w:rsid w:val="0053724D"/>
    <w:rsid w:val="005479A4"/>
    <w:rsid w:val="00555002"/>
    <w:rsid w:val="00555B17"/>
    <w:rsid w:val="00556A06"/>
    <w:rsid w:val="00562F91"/>
    <w:rsid w:val="005635E0"/>
    <w:rsid w:val="00567185"/>
    <w:rsid w:val="00572F3C"/>
    <w:rsid w:val="0057421B"/>
    <w:rsid w:val="0058456A"/>
    <w:rsid w:val="00590590"/>
    <w:rsid w:val="0059213D"/>
    <w:rsid w:val="00592E85"/>
    <w:rsid w:val="005A3DEA"/>
    <w:rsid w:val="005A442B"/>
    <w:rsid w:val="005A729C"/>
    <w:rsid w:val="005B173A"/>
    <w:rsid w:val="005B4B21"/>
    <w:rsid w:val="005B7530"/>
    <w:rsid w:val="005C022D"/>
    <w:rsid w:val="005C50AD"/>
    <w:rsid w:val="005C7C15"/>
    <w:rsid w:val="005D03CA"/>
    <w:rsid w:val="005D1C91"/>
    <w:rsid w:val="005D7BC2"/>
    <w:rsid w:val="005E03BB"/>
    <w:rsid w:val="005E4994"/>
    <w:rsid w:val="005E57EF"/>
    <w:rsid w:val="005F16B6"/>
    <w:rsid w:val="005F38C1"/>
    <w:rsid w:val="006005CF"/>
    <w:rsid w:val="00603BDA"/>
    <w:rsid w:val="00604021"/>
    <w:rsid w:val="00607D40"/>
    <w:rsid w:val="00616D83"/>
    <w:rsid w:val="00617065"/>
    <w:rsid w:val="00631B8D"/>
    <w:rsid w:val="006416A0"/>
    <w:rsid w:val="00646E1D"/>
    <w:rsid w:val="00650ECD"/>
    <w:rsid w:val="00650EFD"/>
    <w:rsid w:val="006518E3"/>
    <w:rsid w:val="00655109"/>
    <w:rsid w:val="006608D6"/>
    <w:rsid w:val="0066180F"/>
    <w:rsid w:val="006625A2"/>
    <w:rsid w:val="0066317D"/>
    <w:rsid w:val="0066705B"/>
    <w:rsid w:val="006A30B5"/>
    <w:rsid w:val="006A34AB"/>
    <w:rsid w:val="006A380B"/>
    <w:rsid w:val="006A4229"/>
    <w:rsid w:val="006A58A2"/>
    <w:rsid w:val="006B3087"/>
    <w:rsid w:val="006B3907"/>
    <w:rsid w:val="006B75E1"/>
    <w:rsid w:val="006C3325"/>
    <w:rsid w:val="006C3E26"/>
    <w:rsid w:val="006C45ED"/>
    <w:rsid w:val="006C556F"/>
    <w:rsid w:val="006D0EFB"/>
    <w:rsid w:val="006D4283"/>
    <w:rsid w:val="006E0FAA"/>
    <w:rsid w:val="006E4C4E"/>
    <w:rsid w:val="006E6809"/>
    <w:rsid w:val="006E6C18"/>
    <w:rsid w:val="006F08DF"/>
    <w:rsid w:val="006F3A1F"/>
    <w:rsid w:val="006F72BE"/>
    <w:rsid w:val="0070657E"/>
    <w:rsid w:val="00710F2D"/>
    <w:rsid w:val="00713A8E"/>
    <w:rsid w:val="00714075"/>
    <w:rsid w:val="0071437D"/>
    <w:rsid w:val="00717009"/>
    <w:rsid w:val="00721C22"/>
    <w:rsid w:val="0072455E"/>
    <w:rsid w:val="00724A39"/>
    <w:rsid w:val="0074202E"/>
    <w:rsid w:val="00747B0D"/>
    <w:rsid w:val="00747E38"/>
    <w:rsid w:val="00751959"/>
    <w:rsid w:val="00754BF0"/>
    <w:rsid w:val="0076153D"/>
    <w:rsid w:val="007639BA"/>
    <w:rsid w:val="00764FBB"/>
    <w:rsid w:val="00770A99"/>
    <w:rsid w:val="00774DB9"/>
    <w:rsid w:val="00775D08"/>
    <w:rsid w:val="0078328A"/>
    <w:rsid w:val="00783872"/>
    <w:rsid w:val="00784063"/>
    <w:rsid w:val="007A7C38"/>
    <w:rsid w:val="007B0A7A"/>
    <w:rsid w:val="007B7C20"/>
    <w:rsid w:val="007C38D1"/>
    <w:rsid w:val="007C6317"/>
    <w:rsid w:val="007C6439"/>
    <w:rsid w:val="007D566E"/>
    <w:rsid w:val="007E12D8"/>
    <w:rsid w:val="007E3A71"/>
    <w:rsid w:val="007E571E"/>
    <w:rsid w:val="007E7647"/>
    <w:rsid w:val="007F11D6"/>
    <w:rsid w:val="007F565B"/>
    <w:rsid w:val="007F5C86"/>
    <w:rsid w:val="00800FE7"/>
    <w:rsid w:val="00802F98"/>
    <w:rsid w:val="00803FE4"/>
    <w:rsid w:val="00807742"/>
    <w:rsid w:val="008123A5"/>
    <w:rsid w:val="00812844"/>
    <w:rsid w:val="00813AE2"/>
    <w:rsid w:val="008243B5"/>
    <w:rsid w:val="008259BC"/>
    <w:rsid w:val="008267EF"/>
    <w:rsid w:val="008368C8"/>
    <w:rsid w:val="00840825"/>
    <w:rsid w:val="00847509"/>
    <w:rsid w:val="00851EB7"/>
    <w:rsid w:val="008538FF"/>
    <w:rsid w:val="00855F78"/>
    <w:rsid w:val="008618F0"/>
    <w:rsid w:val="00862E29"/>
    <w:rsid w:val="00864770"/>
    <w:rsid w:val="00870259"/>
    <w:rsid w:val="00875448"/>
    <w:rsid w:val="00876BFC"/>
    <w:rsid w:val="00885DEB"/>
    <w:rsid w:val="00890AB1"/>
    <w:rsid w:val="00897516"/>
    <w:rsid w:val="008A06E3"/>
    <w:rsid w:val="008A3D1F"/>
    <w:rsid w:val="008A681A"/>
    <w:rsid w:val="008A70FE"/>
    <w:rsid w:val="008B0F08"/>
    <w:rsid w:val="008B2B5B"/>
    <w:rsid w:val="008B6F3C"/>
    <w:rsid w:val="008C075D"/>
    <w:rsid w:val="008C4D12"/>
    <w:rsid w:val="008D1BC6"/>
    <w:rsid w:val="008D3947"/>
    <w:rsid w:val="008D6342"/>
    <w:rsid w:val="008E57EF"/>
    <w:rsid w:val="008E6950"/>
    <w:rsid w:val="008E7BF1"/>
    <w:rsid w:val="008F05FF"/>
    <w:rsid w:val="008F0F79"/>
    <w:rsid w:val="008F296F"/>
    <w:rsid w:val="008F5E58"/>
    <w:rsid w:val="008F6E55"/>
    <w:rsid w:val="008F7937"/>
    <w:rsid w:val="00906630"/>
    <w:rsid w:val="0091032A"/>
    <w:rsid w:val="009130B3"/>
    <w:rsid w:val="00914111"/>
    <w:rsid w:val="009265C0"/>
    <w:rsid w:val="00927631"/>
    <w:rsid w:val="00934856"/>
    <w:rsid w:val="00936E6C"/>
    <w:rsid w:val="00937C54"/>
    <w:rsid w:val="00944046"/>
    <w:rsid w:val="00946CAB"/>
    <w:rsid w:val="00950F05"/>
    <w:rsid w:val="00951BED"/>
    <w:rsid w:val="00956EA6"/>
    <w:rsid w:val="00963283"/>
    <w:rsid w:val="00967BC5"/>
    <w:rsid w:val="00973515"/>
    <w:rsid w:val="00974422"/>
    <w:rsid w:val="009B60AC"/>
    <w:rsid w:val="009B74CB"/>
    <w:rsid w:val="009C28EA"/>
    <w:rsid w:val="009C44A5"/>
    <w:rsid w:val="009C50D4"/>
    <w:rsid w:val="009C5F52"/>
    <w:rsid w:val="009C77C3"/>
    <w:rsid w:val="009D126E"/>
    <w:rsid w:val="009D169F"/>
    <w:rsid w:val="009D45AF"/>
    <w:rsid w:val="009D648B"/>
    <w:rsid w:val="009D6A2C"/>
    <w:rsid w:val="009E023B"/>
    <w:rsid w:val="009E0B4C"/>
    <w:rsid w:val="009E1E42"/>
    <w:rsid w:val="009E7CE9"/>
    <w:rsid w:val="009F5B97"/>
    <w:rsid w:val="00A04F00"/>
    <w:rsid w:val="00A054C3"/>
    <w:rsid w:val="00A06D3D"/>
    <w:rsid w:val="00A0765B"/>
    <w:rsid w:val="00A120F7"/>
    <w:rsid w:val="00A1245B"/>
    <w:rsid w:val="00A14880"/>
    <w:rsid w:val="00A2296B"/>
    <w:rsid w:val="00A23E8A"/>
    <w:rsid w:val="00A33B00"/>
    <w:rsid w:val="00A33E0C"/>
    <w:rsid w:val="00A35350"/>
    <w:rsid w:val="00A3631D"/>
    <w:rsid w:val="00A42CE1"/>
    <w:rsid w:val="00A42F7F"/>
    <w:rsid w:val="00A44985"/>
    <w:rsid w:val="00A45014"/>
    <w:rsid w:val="00A50E1B"/>
    <w:rsid w:val="00A55EDD"/>
    <w:rsid w:val="00A61408"/>
    <w:rsid w:val="00A63FC8"/>
    <w:rsid w:val="00A652C1"/>
    <w:rsid w:val="00A766CB"/>
    <w:rsid w:val="00A76F4F"/>
    <w:rsid w:val="00A80C85"/>
    <w:rsid w:val="00A816C6"/>
    <w:rsid w:val="00A81DB7"/>
    <w:rsid w:val="00A8239E"/>
    <w:rsid w:val="00A82449"/>
    <w:rsid w:val="00A85300"/>
    <w:rsid w:val="00A91F3C"/>
    <w:rsid w:val="00A93D70"/>
    <w:rsid w:val="00A96884"/>
    <w:rsid w:val="00AA1992"/>
    <w:rsid w:val="00AA4F5F"/>
    <w:rsid w:val="00AB0740"/>
    <w:rsid w:val="00AB29F6"/>
    <w:rsid w:val="00AB6053"/>
    <w:rsid w:val="00AC239B"/>
    <w:rsid w:val="00AC2824"/>
    <w:rsid w:val="00AC3F8E"/>
    <w:rsid w:val="00AE0FC6"/>
    <w:rsid w:val="00AE42C6"/>
    <w:rsid w:val="00AE6297"/>
    <w:rsid w:val="00AE78FA"/>
    <w:rsid w:val="00AF29F3"/>
    <w:rsid w:val="00AF7708"/>
    <w:rsid w:val="00AF772A"/>
    <w:rsid w:val="00B06A35"/>
    <w:rsid w:val="00B10578"/>
    <w:rsid w:val="00B120DF"/>
    <w:rsid w:val="00B20A52"/>
    <w:rsid w:val="00B24059"/>
    <w:rsid w:val="00B244B0"/>
    <w:rsid w:val="00B3638D"/>
    <w:rsid w:val="00B37452"/>
    <w:rsid w:val="00B418B5"/>
    <w:rsid w:val="00B47780"/>
    <w:rsid w:val="00B51BDF"/>
    <w:rsid w:val="00B61DE9"/>
    <w:rsid w:val="00B624D9"/>
    <w:rsid w:val="00B66B30"/>
    <w:rsid w:val="00B75524"/>
    <w:rsid w:val="00B8262A"/>
    <w:rsid w:val="00B85DA3"/>
    <w:rsid w:val="00B96D8D"/>
    <w:rsid w:val="00BA05FD"/>
    <w:rsid w:val="00BA3669"/>
    <w:rsid w:val="00BA6C61"/>
    <w:rsid w:val="00BA6F9A"/>
    <w:rsid w:val="00BB1BD0"/>
    <w:rsid w:val="00BC2BC0"/>
    <w:rsid w:val="00BC7054"/>
    <w:rsid w:val="00BD34DE"/>
    <w:rsid w:val="00BE09B1"/>
    <w:rsid w:val="00BE0C8F"/>
    <w:rsid w:val="00C00944"/>
    <w:rsid w:val="00C0248F"/>
    <w:rsid w:val="00C031F8"/>
    <w:rsid w:val="00C16CC1"/>
    <w:rsid w:val="00C16E4B"/>
    <w:rsid w:val="00C2190A"/>
    <w:rsid w:val="00C25DBE"/>
    <w:rsid w:val="00C30E3E"/>
    <w:rsid w:val="00C33D64"/>
    <w:rsid w:val="00C34E9C"/>
    <w:rsid w:val="00C434A4"/>
    <w:rsid w:val="00C44F50"/>
    <w:rsid w:val="00C46203"/>
    <w:rsid w:val="00C47AFB"/>
    <w:rsid w:val="00C5073E"/>
    <w:rsid w:val="00C516C3"/>
    <w:rsid w:val="00C7399C"/>
    <w:rsid w:val="00C745C8"/>
    <w:rsid w:val="00C806FE"/>
    <w:rsid w:val="00C843B6"/>
    <w:rsid w:val="00C84D03"/>
    <w:rsid w:val="00C91DE3"/>
    <w:rsid w:val="00C97561"/>
    <w:rsid w:val="00CA0143"/>
    <w:rsid w:val="00CA489E"/>
    <w:rsid w:val="00CA5223"/>
    <w:rsid w:val="00CB0A45"/>
    <w:rsid w:val="00CB0C69"/>
    <w:rsid w:val="00CB534D"/>
    <w:rsid w:val="00CC0265"/>
    <w:rsid w:val="00CC14FC"/>
    <w:rsid w:val="00CD7C82"/>
    <w:rsid w:val="00CE0397"/>
    <w:rsid w:val="00CE2946"/>
    <w:rsid w:val="00CE2F67"/>
    <w:rsid w:val="00CE3ED9"/>
    <w:rsid w:val="00CE4B11"/>
    <w:rsid w:val="00CE55CE"/>
    <w:rsid w:val="00CF0696"/>
    <w:rsid w:val="00CF439D"/>
    <w:rsid w:val="00D03A5E"/>
    <w:rsid w:val="00D03F03"/>
    <w:rsid w:val="00D056F0"/>
    <w:rsid w:val="00D05C3B"/>
    <w:rsid w:val="00D06ADA"/>
    <w:rsid w:val="00D11324"/>
    <w:rsid w:val="00D1354C"/>
    <w:rsid w:val="00D15EE6"/>
    <w:rsid w:val="00D17F9A"/>
    <w:rsid w:val="00D3243B"/>
    <w:rsid w:val="00D37E07"/>
    <w:rsid w:val="00D40928"/>
    <w:rsid w:val="00D40FD0"/>
    <w:rsid w:val="00D464FA"/>
    <w:rsid w:val="00D46937"/>
    <w:rsid w:val="00D6213A"/>
    <w:rsid w:val="00D63800"/>
    <w:rsid w:val="00D7066E"/>
    <w:rsid w:val="00D728EC"/>
    <w:rsid w:val="00D764DA"/>
    <w:rsid w:val="00D77FBD"/>
    <w:rsid w:val="00D82790"/>
    <w:rsid w:val="00D93BC0"/>
    <w:rsid w:val="00D94427"/>
    <w:rsid w:val="00D94E38"/>
    <w:rsid w:val="00D95D8B"/>
    <w:rsid w:val="00DA2ABB"/>
    <w:rsid w:val="00DA61C8"/>
    <w:rsid w:val="00DA74B9"/>
    <w:rsid w:val="00DB0DBA"/>
    <w:rsid w:val="00DB625A"/>
    <w:rsid w:val="00DC3885"/>
    <w:rsid w:val="00DC516A"/>
    <w:rsid w:val="00DC67D9"/>
    <w:rsid w:val="00DC710B"/>
    <w:rsid w:val="00DC7467"/>
    <w:rsid w:val="00DE153E"/>
    <w:rsid w:val="00DE4423"/>
    <w:rsid w:val="00DF50AF"/>
    <w:rsid w:val="00DF59BD"/>
    <w:rsid w:val="00DF5C68"/>
    <w:rsid w:val="00E1170B"/>
    <w:rsid w:val="00E131FA"/>
    <w:rsid w:val="00E13EAB"/>
    <w:rsid w:val="00E17E19"/>
    <w:rsid w:val="00E2193A"/>
    <w:rsid w:val="00E45D01"/>
    <w:rsid w:val="00E54BF6"/>
    <w:rsid w:val="00E57B44"/>
    <w:rsid w:val="00E60BD0"/>
    <w:rsid w:val="00E651C3"/>
    <w:rsid w:val="00E65C20"/>
    <w:rsid w:val="00E71728"/>
    <w:rsid w:val="00E72061"/>
    <w:rsid w:val="00E72390"/>
    <w:rsid w:val="00E87C3F"/>
    <w:rsid w:val="00E91D80"/>
    <w:rsid w:val="00E94592"/>
    <w:rsid w:val="00E947C1"/>
    <w:rsid w:val="00E956DC"/>
    <w:rsid w:val="00EB429E"/>
    <w:rsid w:val="00EB540C"/>
    <w:rsid w:val="00EC01F3"/>
    <w:rsid w:val="00EC148F"/>
    <w:rsid w:val="00ED1433"/>
    <w:rsid w:val="00ED315D"/>
    <w:rsid w:val="00ED3FA5"/>
    <w:rsid w:val="00EE01DC"/>
    <w:rsid w:val="00EE7906"/>
    <w:rsid w:val="00EF1483"/>
    <w:rsid w:val="00F02697"/>
    <w:rsid w:val="00F1240E"/>
    <w:rsid w:val="00F250A8"/>
    <w:rsid w:val="00F2577F"/>
    <w:rsid w:val="00F30A95"/>
    <w:rsid w:val="00F34D03"/>
    <w:rsid w:val="00F3681D"/>
    <w:rsid w:val="00F41C5C"/>
    <w:rsid w:val="00F47BCA"/>
    <w:rsid w:val="00F574D5"/>
    <w:rsid w:val="00F57B6B"/>
    <w:rsid w:val="00F60CB0"/>
    <w:rsid w:val="00F66F60"/>
    <w:rsid w:val="00F74D0B"/>
    <w:rsid w:val="00F771C0"/>
    <w:rsid w:val="00F813DD"/>
    <w:rsid w:val="00F84238"/>
    <w:rsid w:val="00F84AE9"/>
    <w:rsid w:val="00F9429E"/>
    <w:rsid w:val="00F963B7"/>
    <w:rsid w:val="00FA6064"/>
    <w:rsid w:val="00FB07E4"/>
    <w:rsid w:val="00FB22E4"/>
    <w:rsid w:val="00FB441D"/>
    <w:rsid w:val="00FC590A"/>
    <w:rsid w:val="00FD3EC5"/>
    <w:rsid w:val="00FD4D1B"/>
    <w:rsid w:val="00FE0D2C"/>
    <w:rsid w:val="00FE0D2F"/>
    <w:rsid w:val="00FE2039"/>
    <w:rsid w:val="00FE2986"/>
    <w:rsid w:val="00FE35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7EA58"/>
  <w15:chartTrackingRefBased/>
  <w15:docId w15:val="{DA6678B5-4358-4A34-A961-9F2AD1FF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6047"/>
    <w:pPr>
      <w:widowControl w:val="0"/>
      <w:autoSpaceDE w:val="0"/>
      <w:autoSpaceDN w:val="0"/>
      <w:adjustRightInd w:val="0"/>
      <w:spacing w:before="113" w:after="0" w:line="220" w:lineRule="exact"/>
      <w:jc w:val="both"/>
    </w:pPr>
    <w:rPr>
      <w:rFonts w:ascii="Times" w:eastAsiaTheme="minorEastAsia" w:hAnsi="Times" w:cs="Arial"/>
      <w:kern w:val="0"/>
      <w:sz w:val="20"/>
      <w:szCs w:val="20"/>
      <w:lang w:eastAsia="pl-PL"/>
      <w14:ligatures w14:val="none"/>
    </w:rPr>
  </w:style>
  <w:style w:type="paragraph" w:styleId="Nagwek1">
    <w:name w:val="heading 1"/>
    <w:basedOn w:val="Normalny"/>
    <w:next w:val="Normalny"/>
    <w:link w:val="Nagwek1Znak"/>
    <w:uiPriority w:val="99"/>
    <w:qFormat/>
    <w:rsid w:val="000B6047"/>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paragraph" w:styleId="Nagwek2">
    <w:name w:val="heading 2"/>
    <w:basedOn w:val="Normalny"/>
    <w:next w:val="Normalny"/>
    <w:link w:val="Nagwek2Znak"/>
    <w:qFormat/>
    <w:rsid w:val="000B6047"/>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qFormat/>
    <w:rsid w:val="000B6047"/>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0B6047"/>
    <w:pPr>
      <w:keepNext/>
      <w:keepLines/>
      <w:widowControl/>
      <w:autoSpaceDE/>
      <w:autoSpaceDN/>
      <w:adjustRightInd/>
      <w:spacing w:before="200" w:after="60" w:line="240" w:lineRule="auto"/>
      <w:outlineLvl w:val="4"/>
    </w:pPr>
    <w:rPr>
      <w:rFonts w:asciiTheme="majorHAnsi" w:eastAsiaTheme="majorEastAsia" w:hAnsiTheme="majorHAnsi" w:cstheme="majorBidi"/>
      <w:color w:val="1F3763"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B6047"/>
    <w:rPr>
      <w:rFonts w:asciiTheme="majorHAnsi" w:eastAsiaTheme="majorEastAsia" w:hAnsiTheme="majorHAnsi" w:cstheme="majorBidi"/>
      <w:b/>
      <w:bCs/>
      <w:color w:val="2F5496" w:themeColor="accent1" w:themeShade="BF"/>
      <w:kern w:val="1"/>
      <w:sz w:val="28"/>
      <w:szCs w:val="28"/>
      <w:lang w:eastAsia="ar-SA"/>
      <w14:ligatures w14:val="none"/>
    </w:rPr>
  </w:style>
  <w:style w:type="character" w:customStyle="1" w:styleId="Nagwek2Znak">
    <w:name w:val="Nagłówek 2 Znak"/>
    <w:basedOn w:val="Domylnaczcionkaakapitu"/>
    <w:link w:val="Nagwek2"/>
    <w:rsid w:val="000B6047"/>
    <w:rPr>
      <w:rFonts w:ascii="Arial" w:hAnsi="Arial"/>
      <w:b/>
      <w:i/>
      <w:kern w:val="0"/>
      <w:sz w:val="20"/>
      <w14:ligatures w14:val="none"/>
    </w:rPr>
  </w:style>
  <w:style w:type="character" w:customStyle="1" w:styleId="Nagwek3Znak">
    <w:name w:val="Nagłówek 3 Znak"/>
    <w:basedOn w:val="Domylnaczcionkaakapitu"/>
    <w:link w:val="Nagwek3"/>
    <w:rsid w:val="000B6047"/>
    <w:rPr>
      <w:rFonts w:ascii="Times" w:eastAsia="Arial Unicode MS" w:hAnsi="Times" w:cs="Times New Roman"/>
      <w:b/>
      <w:kern w:val="0"/>
      <w:sz w:val="26"/>
      <w:szCs w:val="20"/>
      <w:lang w:eastAsia="pl-PL"/>
      <w14:ligatures w14:val="none"/>
    </w:rPr>
  </w:style>
  <w:style w:type="character" w:customStyle="1" w:styleId="Nagwek5Znak">
    <w:name w:val="Nagłówek 5 Znak"/>
    <w:basedOn w:val="Domylnaczcionkaakapitu"/>
    <w:link w:val="Nagwek5"/>
    <w:uiPriority w:val="9"/>
    <w:semiHidden/>
    <w:rsid w:val="000B6047"/>
    <w:rPr>
      <w:rFonts w:asciiTheme="majorHAnsi" w:eastAsiaTheme="majorEastAsia" w:hAnsiTheme="majorHAnsi" w:cstheme="majorBidi"/>
      <w:color w:val="1F3763" w:themeColor="accent1" w:themeShade="7F"/>
      <w:kern w:val="0"/>
      <w:sz w:val="20"/>
      <w14:ligatures w14:val="none"/>
    </w:rPr>
  </w:style>
  <w:style w:type="paragraph" w:customStyle="1" w:styleId="ZLITwPKTzmlitwpktartykuempunktem">
    <w:name w:val="Z/LIT_w_PKT – zm. lit. w pkt artykułem (punktem)"/>
    <w:basedOn w:val="LITlitera"/>
    <w:uiPriority w:val="32"/>
    <w:qFormat/>
    <w:rsid w:val="000B6047"/>
    <w:pPr>
      <w:ind w:left="1497"/>
    </w:pPr>
  </w:style>
  <w:style w:type="paragraph" w:customStyle="1" w:styleId="ZTIRwPKTzmtirwpktartykuempunktem">
    <w:name w:val="Z/TIR_w_PKT – zm. tir. w pkt artykułem (punktem)"/>
    <w:basedOn w:val="TIRtiret"/>
    <w:uiPriority w:val="33"/>
    <w:qFormat/>
    <w:rsid w:val="000B604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B6047"/>
    <w:pPr>
      <w:ind w:left="1021"/>
    </w:pPr>
  </w:style>
  <w:style w:type="paragraph" w:customStyle="1" w:styleId="2TIRpodwjnytiret">
    <w:name w:val="2TIR – podwójny tiret"/>
    <w:basedOn w:val="TIRtiret"/>
    <w:qFormat/>
    <w:rsid w:val="000B6047"/>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0B6047"/>
    <w:rPr>
      <w:rFonts w:cs="Times New Roman"/>
      <w:vertAlign w:val="superscript"/>
    </w:rPr>
  </w:style>
  <w:style w:type="paragraph" w:styleId="Nagwek">
    <w:name w:val="header"/>
    <w:basedOn w:val="Normalny"/>
    <w:link w:val="NagwekZnak"/>
    <w:uiPriority w:val="99"/>
    <w:rsid w:val="000B604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basedOn w:val="Domylnaczcionkaakapitu"/>
    <w:link w:val="Nagwek"/>
    <w:uiPriority w:val="99"/>
    <w:rsid w:val="000B6047"/>
    <w:rPr>
      <w:rFonts w:ascii="Times" w:eastAsia="Times New Roman" w:hAnsi="Times" w:cs="Times New Roman"/>
      <w:kern w:val="1"/>
      <w:sz w:val="20"/>
      <w:szCs w:val="24"/>
      <w:lang w:eastAsia="ar-SA"/>
      <w14:ligatures w14:val="none"/>
    </w:rPr>
  </w:style>
  <w:style w:type="paragraph" w:styleId="Stopka">
    <w:name w:val="footer"/>
    <w:basedOn w:val="Normalny"/>
    <w:link w:val="StopkaZnak"/>
    <w:uiPriority w:val="99"/>
    <w:rsid w:val="000B604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basedOn w:val="Domylnaczcionkaakapitu"/>
    <w:link w:val="Stopka"/>
    <w:uiPriority w:val="99"/>
    <w:rsid w:val="000B6047"/>
    <w:rPr>
      <w:rFonts w:ascii="Times" w:eastAsia="Times New Roman" w:hAnsi="Times" w:cs="Times New Roman"/>
      <w:kern w:val="1"/>
      <w:sz w:val="20"/>
      <w:szCs w:val="24"/>
      <w:lang w:eastAsia="ar-SA"/>
      <w14:ligatures w14:val="none"/>
    </w:rPr>
  </w:style>
  <w:style w:type="paragraph" w:styleId="Tekstdymka">
    <w:name w:val="Balloon Text"/>
    <w:basedOn w:val="Normalny"/>
    <w:link w:val="TekstdymkaZnak"/>
    <w:uiPriority w:val="99"/>
    <w:rsid w:val="000B604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rsid w:val="000B6047"/>
    <w:rPr>
      <w:rFonts w:ascii="Tahoma" w:eastAsia="Times New Roman" w:hAnsi="Tahoma" w:cs="Tahoma"/>
      <w:kern w:val="1"/>
      <w:sz w:val="20"/>
      <w:szCs w:val="16"/>
      <w:lang w:eastAsia="ar-SA"/>
      <w14:ligatures w14:val="none"/>
    </w:rPr>
  </w:style>
  <w:style w:type="paragraph" w:customStyle="1" w:styleId="ARTartustawynprozporzdzenia">
    <w:name w:val="ART(§) – art. ustawy (§ np. rozporządzenia)"/>
    <w:uiPriority w:val="11"/>
    <w:qFormat/>
    <w:rsid w:val="000B6047"/>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eastAsia="pl-PL"/>
      <w14:ligatures w14:val="none"/>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B6047"/>
    <w:pPr>
      <w:ind w:left="1497"/>
    </w:pPr>
  </w:style>
  <w:style w:type="paragraph" w:customStyle="1" w:styleId="ZTIRwLITzmtirwlitartykuempunktem">
    <w:name w:val="Z/TIR_w_LIT – zm. tir. w lit. artykułem (punktem)"/>
    <w:basedOn w:val="TIRtiret"/>
    <w:uiPriority w:val="33"/>
    <w:qFormat/>
    <w:rsid w:val="000B604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B6047"/>
  </w:style>
  <w:style w:type="paragraph" w:styleId="Bezodstpw">
    <w:name w:val="No Spacing"/>
    <w:uiPriority w:val="99"/>
    <w:qFormat/>
    <w:rsid w:val="000B6047"/>
    <w:pPr>
      <w:widowControl w:val="0"/>
      <w:suppressAutoHyphens/>
      <w:spacing w:after="0" w:line="360" w:lineRule="auto"/>
    </w:pPr>
    <w:rPr>
      <w:rFonts w:ascii="Times" w:eastAsia="Times New Roman" w:hAnsi="Times" w:cs="Times New Roman"/>
      <w:kern w:val="1"/>
      <w:sz w:val="24"/>
      <w:szCs w:val="24"/>
      <w:lang w:eastAsia="ar-SA"/>
      <w14:ligatures w14:val="none"/>
    </w:rPr>
  </w:style>
  <w:style w:type="paragraph" w:customStyle="1" w:styleId="ZPKTzmpktartykuempunktem">
    <w:name w:val="Z/PKT – zm. pkt artykułem (punktem)"/>
    <w:basedOn w:val="PKTpunkt"/>
    <w:uiPriority w:val="31"/>
    <w:qFormat/>
    <w:rsid w:val="000B6047"/>
    <w:pPr>
      <w:ind w:left="1020"/>
    </w:pPr>
  </w:style>
  <w:style w:type="paragraph" w:customStyle="1" w:styleId="ZARTzmartartykuempunktem">
    <w:name w:val="Z/ART(§) – zm. art. (§) artykułem (punktem)"/>
    <w:basedOn w:val="ARTartustawynprozporzdzenia"/>
    <w:uiPriority w:val="30"/>
    <w:qFormat/>
    <w:rsid w:val="000B604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0B6047"/>
    <w:pPr>
      <w:keepNext/>
      <w:suppressAutoHyphens/>
      <w:spacing w:before="120" w:after="120" w:line="360" w:lineRule="auto"/>
      <w:jc w:val="center"/>
    </w:pPr>
    <w:rPr>
      <w:rFonts w:ascii="Times" w:eastAsiaTheme="minorEastAsia" w:hAnsi="Times" w:cs="Arial"/>
      <w:bCs/>
      <w:kern w:val="0"/>
      <w:sz w:val="24"/>
      <w:szCs w:val="24"/>
      <w:lang w:eastAsia="pl-PL"/>
      <w14:ligatures w14:val="none"/>
    </w:rPr>
  </w:style>
  <w:style w:type="paragraph" w:customStyle="1" w:styleId="TYTUAKTUprzedmiotregulacjiustawylubrozporzdzenia">
    <w:name w:val="TYTUŁ_AKTU – przedmiot regulacji ustawy lub rozporządzenia"/>
    <w:next w:val="ARTartustawynprozporzdzenia"/>
    <w:uiPriority w:val="6"/>
    <w:qFormat/>
    <w:rsid w:val="000B6047"/>
    <w:pPr>
      <w:keepNext/>
      <w:suppressAutoHyphens/>
      <w:spacing w:before="120" w:after="360" w:line="360" w:lineRule="auto"/>
      <w:jc w:val="center"/>
    </w:pPr>
    <w:rPr>
      <w:rFonts w:ascii="Times" w:eastAsiaTheme="minorEastAsia" w:hAnsi="Times" w:cs="Arial"/>
      <w:b/>
      <w:bCs/>
      <w:kern w:val="0"/>
      <w:sz w:val="24"/>
      <w:szCs w:val="24"/>
      <w:lang w:eastAsia="pl-PL"/>
      <w14:ligatures w14:val="none"/>
    </w:rPr>
  </w:style>
  <w:style w:type="paragraph" w:customStyle="1" w:styleId="CZKSIGAoznaczenieiprzedmiotczcilubksigi">
    <w:name w:val="CZĘŚĆ(KSIĘGA) – oznaczenie i przedmiot części lub księgi"/>
    <w:next w:val="ARTartustawynprozporzdzenia"/>
    <w:uiPriority w:val="8"/>
    <w:qFormat/>
    <w:rsid w:val="000B6047"/>
    <w:pPr>
      <w:keepNext/>
      <w:suppressAutoHyphens/>
      <w:spacing w:before="120" w:after="0" w:line="360" w:lineRule="auto"/>
      <w:jc w:val="center"/>
    </w:pPr>
    <w:rPr>
      <w:rFonts w:ascii="Times" w:eastAsia="Times New Roman" w:hAnsi="Times" w:cs="Times New Roman"/>
      <w:b/>
      <w:bCs/>
      <w:caps/>
      <w:kern w:val="24"/>
      <w:sz w:val="24"/>
      <w:szCs w:val="24"/>
      <w:lang w:eastAsia="pl-PL"/>
      <w14:ligatures w14:val="none"/>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B6047"/>
    <w:rPr>
      <w:bCs/>
    </w:rPr>
  </w:style>
  <w:style w:type="paragraph" w:customStyle="1" w:styleId="OZNRODZAKTUtznustawalubrozporzdzenieiorganwydajcy">
    <w:name w:val="OZN_RODZ_AKTU – tzn. ustawa lub rozporządzenie i organ wydający"/>
    <w:next w:val="DATAAKTUdatauchwalenialubwydaniaaktu"/>
    <w:uiPriority w:val="5"/>
    <w:qFormat/>
    <w:rsid w:val="000B6047"/>
    <w:pPr>
      <w:keepNext/>
      <w:suppressAutoHyphens/>
      <w:spacing w:after="120" w:line="360" w:lineRule="auto"/>
      <w:jc w:val="center"/>
    </w:pPr>
    <w:rPr>
      <w:rFonts w:ascii="Times" w:eastAsia="Times New Roman" w:hAnsi="Times" w:cs="Times New Roman"/>
      <w:b/>
      <w:bCs/>
      <w:caps/>
      <w:spacing w:val="54"/>
      <w:kern w:val="24"/>
      <w:sz w:val="24"/>
      <w:szCs w:val="24"/>
      <w:lang w:eastAsia="pl-PL"/>
      <w14:ligatures w14:val="none"/>
    </w:rPr>
  </w:style>
  <w:style w:type="paragraph" w:customStyle="1" w:styleId="USTustnpkodeksu">
    <w:name w:val="UST(§) – ust. (§ np. kodeksu)"/>
    <w:basedOn w:val="ARTartustawynprozporzdzenia"/>
    <w:qFormat/>
    <w:rsid w:val="000B6047"/>
    <w:pPr>
      <w:spacing w:before="0"/>
    </w:pPr>
    <w:rPr>
      <w:bCs/>
    </w:rPr>
  </w:style>
  <w:style w:type="paragraph" w:customStyle="1" w:styleId="PKTpunkt">
    <w:name w:val="PKT – punkt"/>
    <w:uiPriority w:val="13"/>
    <w:qFormat/>
    <w:rsid w:val="000B6047"/>
    <w:pPr>
      <w:spacing w:after="0" w:line="360" w:lineRule="auto"/>
      <w:ind w:left="510" w:hanging="510"/>
      <w:jc w:val="both"/>
    </w:pPr>
    <w:rPr>
      <w:rFonts w:ascii="Times" w:eastAsiaTheme="minorEastAsia" w:hAnsi="Times" w:cs="Arial"/>
      <w:bCs/>
      <w:kern w:val="0"/>
      <w:sz w:val="24"/>
      <w:szCs w:val="20"/>
      <w:lang w:eastAsia="pl-PL"/>
      <w14:ligatures w14:val="none"/>
    </w:rPr>
  </w:style>
  <w:style w:type="paragraph" w:customStyle="1" w:styleId="CZWSPPKTczwsplnapunktw">
    <w:name w:val="CZ_WSP_PKT – część wspólna punktów"/>
    <w:basedOn w:val="PKTpunkt"/>
    <w:next w:val="USTustnpkodeksu"/>
    <w:uiPriority w:val="16"/>
    <w:qFormat/>
    <w:rsid w:val="000B6047"/>
    <w:pPr>
      <w:ind w:left="0" w:firstLine="0"/>
    </w:pPr>
  </w:style>
  <w:style w:type="paragraph" w:customStyle="1" w:styleId="LITlitera">
    <w:name w:val="LIT – litera"/>
    <w:basedOn w:val="PKTpunkt"/>
    <w:uiPriority w:val="14"/>
    <w:qFormat/>
    <w:rsid w:val="000B6047"/>
    <w:pPr>
      <w:ind w:left="986" w:hanging="476"/>
    </w:pPr>
  </w:style>
  <w:style w:type="paragraph" w:customStyle="1" w:styleId="CZWSPLITczwsplnaliter">
    <w:name w:val="CZ_WSP_LIT – część wspólna liter"/>
    <w:basedOn w:val="LITlitera"/>
    <w:next w:val="USTustnpkodeksu"/>
    <w:uiPriority w:val="17"/>
    <w:qFormat/>
    <w:rsid w:val="000B6047"/>
    <w:pPr>
      <w:ind w:left="510" w:firstLine="0"/>
    </w:pPr>
    <w:rPr>
      <w:szCs w:val="24"/>
    </w:rPr>
  </w:style>
  <w:style w:type="paragraph" w:customStyle="1" w:styleId="TIRtiret">
    <w:name w:val="TIR – tiret"/>
    <w:basedOn w:val="LITlitera"/>
    <w:uiPriority w:val="15"/>
    <w:qFormat/>
    <w:rsid w:val="000B6047"/>
    <w:pPr>
      <w:ind w:left="1384" w:hanging="397"/>
    </w:pPr>
  </w:style>
  <w:style w:type="paragraph" w:customStyle="1" w:styleId="CZWSPTIRczwsplnatiret">
    <w:name w:val="CZ_WSP_TIR – część wspólna tiret"/>
    <w:basedOn w:val="TIRtiret"/>
    <w:next w:val="USTustnpkodeksu"/>
    <w:uiPriority w:val="17"/>
    <w:qFormat/>
    <w:rsid w:val="000B6047"/>
    <w:pPr>
      <w:ind w:left="987" w:firstLine="0"/>
    </w:pPr>
  </w:style>
  <w:style w:type="paragraph" w:customStyle="1" w:styleId="CYTcytatnpprzysigi">
    <w:name w:val="CYT – cytat np. przysięgi"/>
    <w:basedOn w:val="USTustnpkodeksu"/>
    <w:next w:val="USTustnpkodeksu"/>
    <w:uiPriority w:val="18"/>
    <w:qFormat/>
    <w:rsid w:val="000B604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B6047"/>
    <w:pPr>
      <w:keepNext/>
      <w:suppressAutoHyphens/>
      <w:spacing w:before="120" w:after="0" w:line="360" w:lineRule="auto"/>
      <w:jc w:val="center"/>
    </w:pPr>
    <w:rPr>
      <w:rFonts w:ascii="Times" w:eastAsiaTheme="minorEastAsia" w:hAnsi="Times" w:cs="Times New Roman"/>
      <w:b/>
      <w:bCs/>
      <w:kern w:val="0"/>
      <w:sz w:val="24"/>
      <w:szCs w:val="24"/>
      <w:lang w:eastAsia="pl-PL"/>
      <w14:ligatures w14:val="none"/>
    </w:rPr>
  </w:style>
  <w:style w:type="paragraph" w:customStyle="1" w:styleId="ZLITzmlitartykuempunktem">
    <w:name w:val="Z/LIT – zm. lit. artykułem (punktem)"/>
    <w:basedOn w:val="LITlitera"/>
    <w:uiPriority w:val="32"/>
    <w:qFormat/>
    <w:rsid w:val="000B6047"/>
  </w:style>
  <w:style w:type="paragraph" w:customStyle="1" w:styleId="ZLITCZWSPTIRwLITzmczciwsptirwlitliter">
    <w:name w:val="Z_LIT/CZ_WSP_TIR_w_LIT – zm. części wsp. tir. w lit. literą"/>
    <w:basedOn w:val="CZWSPTIRczwsplnatiret"/>
    <w:next w:val="LITlitera"/>
    <w:uiPriority w:val="51"/>
    <w:qFormat/>
    <w:rsid w:val="000B6047"/>
    <w:pPr>
      <w:ind w:left="1463"/>
    </w:pPr>
  </w:style>
  <w:style w:type="paragraph" w:customStyle="1" w:styleId="ZLITTIRwLITzmtirwlitliter">
    <w:name w:val="Z_LIT/TIR_w_LIT – zm. tir. w lit. literą"/>
    <w:basedOn w:val="TIRtiret"/>
    <w:uiPriority w:val="49"/>
    <w:qFormat/>
    <w:rsid w:val="000B6047"/>
    <w:pPr>
      <w:ind w:left="1860"/>
    </w:pPr>
  </w:style>
  <w:style w:type="paragraph" w:customStyle="1" w:styleId="TYTDZOZNoznaczenietytuulubdziau">
    <w:name w:val="TYT(DZ)_OZN – oznaczenie tytułu lub działu"/>
    <w:next w:val="Normalny"/>
    <w:uiPriority w:val="9"/>
    <w:qFormat/>
    <w:rsid w:val="000B6047"/>
    <w:pPr>
      <w:keepNext/>
      <w:spacing w:before="120" w:after="0" w:line="360" w:lineRule="auto"/>
      <w:jc w:val="center"/>
    </w:pPr>
    <w:rPr>
      <w:rFonts w:ascii="Times" w:eastAsiaTheme="minorEastAsia" w:hAnsi="Times" w:cs="Arial"/>
      <w:bCs/>
      <w:caps/>
      <w:kern w:val="24"/>
      <w:sz w:val="24"/>
      <w:szCs w:val="24"/>
      <w:lang w:eastAsia="pl-PL"/>
      <w14:ligatures w14:val="none"/>
    </w:rPr>
  </w:style>
  <w:style w:type="paragraph" w:customStyle="1" w:styleId="ZWMATFIZCHEMzmwzorumatfizlubchemartykuempunktem">
    <w:name w:val="Z/W_MAT(FIZ|CHEM) – zm. wzoru mat. (fiz. lub chem.) artykułem (punktem)"/>
    <w:basedOn w:val="WMATFIZCHEMwzrmatfizlubchem"/>
    <w:uiPriority w:val="38"/>
    <w:qFormat/>
    <w:rsid w:val="000B604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B604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B6047"/>
    <w:pPr>
      <w:keepNext/>
      <w:suppressAutoHyphens/>
      <w:spacing w:after="0" w:line="360" w:lineRule="auto"/>
      <w:ind w:left="510"/>
      <w:jc w:val="center"/>
    </w:pPr>
    <w:rPr>
      <w:rFonts w:ascii="Times" w:eastAsia="Times New Roman" w:hAnsi="Times" w:cs="Times New Roman"/>
      <w:kern w:val="0"/>
      <w:sz w:val="24"/>
      <w:szCs w:val="26"/>
      <w:lang w:eastAsia="pl-PL"/>
      <w14:ligatures w14:val="none"/>
    </w:rPr>
  </w:style>
  <w:style w:type="paragraph" w:customStyle="1" w:styleId="ZTIRzmtirartykuempunktem">
    <w:name w:val="Z/TIR – zm. tir. artykułem (punktem)"/>
    <w:basedOn w:val="TIRtiret"/>
    <w:next w:val="PKTpunkt"/>
    <w:uiPriority w:val="33"/>
    <w:qFormat/>
    <w:rsid w:val="000B604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B6047"/>
    <w:pPr>
      <w:ind w:left="510"/>
    </w:pPr>
  </w:style>
  <w:style w:type="paragraph" w:customStyle="1" w:styleId="ZZLITzmianazmlit">
    <w:name w:val="ZZ/LIT – zmiana zm. lit."/>
    <w:basedOn w:val="ZZPKTzmianazmpkt"/>
    <w:uiPriority w:val="67"/>
    <w:qFormat/>
    <w:rsid w:val="000B6047"/>
    <w:pPr>
      <w:ind w:left="2370" w:hanging="476"/>
    </w:pPr>
  </w:style>
  <w:style w:type="paragraph" w:customStyle="1" w:styleId="ZZTIRzmianazmtir">
    <w:name w:val="ZZ/TIR – zmiana zm. tir."/>
    <w:basedOn w:val="ZZLITzmianazmlit"/>
    <w:uiPriority w:val="67"/>
    <w:qFormat/>
    <w:rsid w:val="000B604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B6047"/>
    <w:pPr>
      <w:keepNext/>
      <w:suppressAutoHyphens/>
      <w:spacing w:after="0" w:line="360" w:lineRule="auto"/>
      <w:ind w:left="510"/>
      <w:jc w:val="center"/>
    </w:pPr>
    <w:rPr>
      <w:rFonts w:ascii="Times" w:eastAsiaTheme="minorEastAsia" w:hAnsi="Times" w:cs="Arial"/>
      <w:bCs/>
      <w:kern w:val="24"/>
      <w:sz w:val="24"/>
      <w:szCs w:val="24"/>
      <w:lang w:eastAsia="pl-PL"/>
      <w14:ligatures w14:val="none"/>
    </w:rPr>
  </w:style>
  <w:style w:type="paragraph" w:customStyle="1" w:styleId="ZLITUSTzmustliter">
    <w:name w:val="Z_LIT/UST(§) – zm. ust. (§) literą"/>
    <w:basedOn w:val="USTustnpkodeksu"/>
    <w:uiPriority w:val="46"/>
    <w:qFormat/>
    <w:rsid w:val="000B6047"/>
    <w:pPr>
      <w:ind w:left="987"/>
    </w:pPr>
  </w:style>
  <w:style w:type="paragraph" w:customStyle="1" w:styleId="ZLITPKTzmpktliter">
    <w:name w:val="Z_LIT/PKT – zm. pkt literą"/>
    <w:basedOn w:val="PKTpunkt"/>
    <w:uiPriority w:val="47"/>
    <w:qFormat/>
    <w:rsid w:val="000B6047"/>
    <w:pPr>
      <w:ind w:left="1497"/>
    </w:pPr>
  </w:style>
  <w:style w:type="paragraph" w:customStyle="1" w:styleId="ZZCZWSPPKTzmianazmczciwsppkt">
    <w:name w:val="ZZ/CZ_WSP_PKT – zmiana. zm. części wsp. pkt"/>
    <w:basedOn w:val="ZZARTzmianazmart"/>
    <w:next w:val="ZPKTzmpktartykuempunktem"/>
    <w:uiPriority w:val="68"/>
    <w:qFormat/>
    <w:rsid w:val="000B6047"/>
    <w:pPr>
      <w:ind w:firstLine="0"/>
    </w:pPr>
  </w:style>
  <w:style w:type="paragraph" w:customStyle="1" w:styleId="ZLITLITzmlitliter">
    <w:name w:val="Z_LIT/LIT – zm. lit. literą"/>
    <w:basedOn w:val="LITlitera"/>
    <w:uiPriority w:val="48"/>
    <w:qFormat/>
    <w:rsid w:val="000B6047"/>
    <w:pPr>
      <w:ind w:left="1463"/>
    </w:pPr>
  </w:style>
  <w:style w:type="paragraph" w:customStyle="1" w:styleId="ZLITCZWSPPKTzmczciwsppktliter">
    <w:name w:val="Z_LIT/CZ_WSP_PKT – zm. części wsp. pkt literą"/>
    <w:basedOn w:val="CZWSPLITczwsplnaliter"/>
    <w:next w:val="LITlitera"/>
    <w:uiPriority w:val="50"/>
    <w:qFormat/>
    <w:rsid w:val="000B6047"/>
    <w:pPr>
      <w:ind w:left="987"/>
    </w:pPr>
  </w:style>
  <w:style w:type="paragraph" w:customStyle="1" w:styleId="ZLITTIRzmtirliter">
    <w:name w:val="Z_LIT/TIR – zm. tir. literą"/>
    <w:basedOn w:val="TIRtiret"/>
    <w:uiPriority w:val="49"/>
    <w:qFormat/>
    <w:rsid w:val="000B6047"/>
  </w:style>
  <w:style w:type="paragraph" w:customStyle="1" w:styleId="ZZCZWSPLITwPKTzmianazmczciwsplitwpkt">
    <w:name w:val="ZZ/CZ_WSP_LIT_w_PKT – zmiana zm. części wsp. lit. w pkt"/>
    <w:basedOn w:val="ZZLITwPKTzmianazmlitwpkt"/>
    <w:uiPriority w:val="69"/>
    <w:qFormat/>
    <w:rsid w:val="000B6047"/>
    <w:pPr>
      <w:ind w:left="2404" w:firstLine="0"/>
    </w:pPr>
  </w:style>
  <w:style w:type="paragraph" w:customStyle="1" w:styleId="ZLITLITwPKTzmlitwpktliter">
    <w:name w:val="Z_LIT/LIT_w_PKT – zm. lit. w pkt literą"/>
    <w:basedOn w:val="LITlitera"/>
    <w:uiPriority w:val="48"/>
    <w:qFormat/>
    <w:rsid w:val="000B6047"/>
    <w:pPr>
      <w:ind w:left="1973"/>
    </w:pPr>
  </w:style>
  <w:style w:type="paragraph" w:customStyle="1" w:styleId="ZLITCZWSPLITwPKTzmczciwsplitwpktliter">
    <w:name w:val="Z_LIT/CZ_WSP_LIT_w_PKT – zm. części wsp. lit. w pkt literą"/>
    <w:basedOn w:val="CZWSPLITczwsplnaliter"/>
    <w:next w:val="LITlitera"/>
    <w:uiPriority w:val="51"/>
    <w:qFormat/>
    <w:rsid w:val="000B6047"/>
    <w:pPr>
      <w:ind w:left="1497"/>
    </w:pPr>
  </w:style>
  <w:style w:type="paragraph" w:customStyle="1" w:styleId="ZLITTIRwPKTzmtirwpktliter">
    <w:name w:val="Z_LIT/TIR_w_PKT – zm. tir. w pkt literą"/>
    <w:basedOn w:val="TIRtiret"/>
    <w:uiPriority w:val="49"/>
    <w:qFormat/>
    <w:rsid w:val="000B6047"/>
    <w:pPr>
      <w:ind w:left="2370"/>
    </w:pPr>
  </w:style>
  <w:style w:type="paragraph" w:customStyle="1" w:styleId="ZLITCZWSPTIRwPKTzmczciwsptirwpktliter">
    <w:name w:val="Z_LIT/CZ_WSP_TIR_w_PKT – zm. części wsp. tir. w pkt literą"/>
    <w:basedOn w:val="CZWSPTIRczwsplnatiret"/>
    <w:next w:val="LITlitera"/>
    <w:uiPriority w:val="51"/>
    <w:qFormat/>
    <w:rsid w:val="000B6047"/>
    <w:pPr>
      <w:ind w:left="1973"/>
    </w:pPr>
  </w:style>
  <w:style w:type="paragraph" w:styleId="Tekstprzypisudolnego">
    <w:name w:val="footnote text"/>
    <w:basedOn w:val="Normalny"/>
    <w:link w:val="TekstprzypisudolnegoZnak"/>
    <w:uiPriority w:val="99"/>
    <w:semiHidden/>
    <w:qFormat/>
    <w:rsid w:val="000B6047"/>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0B6047"/>
    <w:rPr>
      <w:rFonts w:ascii="Times" w:eastAsia="Times New Roman" w:hAnsi="Times" w:cs="Times New Roman"/>
      <w:kern w:val="0"/>
      <w:sz w:val="20"/>
      <w:szCs w:val="24"/>
      <w:lang w:eastAsia="pl-PL"/>
      <w14:ligatures w14:val="none"/>
    </w:rPr>
  </w:style>
  <w:style w:type="paragraph" w:customStyle="1" w:styleId="ZTIRLITzmlittiret">
    <w:name w:val="Z_TIR/LIT – zm. lit. tiret"/>
    <w:basedOn w:val="LITlitera"/>
    <w:uiPriority w:val="57"/>
    <w:qFormat/>
    <w:rsid w:val="000B6047"/>
    <w:pPr>
      <w:ind w:left="1859"/>
    </w:pPr>
  </w:style>
  <w:style w:type="paragraph" w:customStyle="1" w:styleId="ZTIRCZWSPPKTzmczciwsppkttiret">
    <w:name w:val="Z_TIR/CZ_WSP_PKT – zm. części wsp. pkt tiret"/>
    <w:basedOn w:val="CZWSPLITczwsplnaliter"/>
    <w:next w:val="TIRtiret"/>
    <w:uiPriority w:val="58"/>
    <w:qFormat/>
    <w:rsid w:val="000B6047"/>
    <w:pPr>
      <w:ind w:left="1383"/>
    </w:pPr>
  </w:style>
  <w:style w:type="paragraph" w:customStyle="1" w:styleId="ZTIRTIRzmtirtiret">
    <w:name w:val="Z_TIR/TIR – zm. tir. tiret"/>
    <w:basedOn w:val="TIRtiret"/>
    <w:uiPriority w:val="57"/>
    <w:qFormat/>
    <w:rsid w:val="000B6047"/>
    <w:pPr>
      <w:ind w:left="1780"/>
    </w:pPr>
  </w:style>
  <w:style w:type="paragraph" w:customStyle="1" w:styleId="ZZCZWSPTIRwPKTzmianazmczciwsptirwpkt">
    <w:name w:val="ZZ/CZ_WSP_TIR_w_PKT – zmiana zm. części wsp. tir. w pkt"/>
    <w:basedOn w:val="ZZTIRwPKTzmianazmtirwpkt"/>
    <w:uiPriority w:val="70"/>
    <w:qFormat/>
    <w:rsid w:val="000B6047"/>
    <w:pPr>
      <w:ind w:left="2880" w:firstLine="0"/>
    </w:pPr>
  </w:style>
  <w:style w:type="paragraph" w:customStyle="1" w:styleId="ZZTIRwLITzmianazmtirwlit">
    <w:name w:val="ZZ/TIR_w_LIT – zmiana zm. tir. w lit."/>
    <w:basedOn w:val="ZZTIRzmianazmtir"/>
    <w:uiPriority w:val="67"/>
    <w:qFormat/>
    <w:rsid w:val="000B6047"/>
    <w:pPr>
      <w:ind w:left="2767"/>
    </w:pPr>
  </w:style>
  <w:style w:type="paragraph" w:customStyle="1" w:styleId="ZTIRTIRwLITzmtirwlittiret">
    <w:name w:val="Z_TIR/TIR_w_LIT – zm. tir. w lit. tiret"/>
    <w:basedOn w:val="TIRtiret"/>
    <w:uiPriority w:val="57"/>
    <w:qFormat/>
    <w:rsid w:val="000B6047"/>
    <w:pPr>
      <w:ind w:left="2257"/>
    </w:pPr>
  </w:style>
  <w:style w:type="paragraph" w:customStyle="1" w:styleId="ZTIRCZWSPTIRwLITzmczciwsptirwlittiret">
    <w:name w:val="Z_TIR/CZ_WSP_TIR_w_LIT – zm. części wsp. tir. w lit. tiret"/>
    <w:basedOn w:val="CZWSPTIRczwsplnatiret"/>
    <w:next w:val="TIRtiret"/>
    <w:uiPriority w:val="60"/>
    <w:qFormat/>
    <w:rsid w:val="000B6047"/>
    <w:pPr>
      <w:ind w:left="1860"/>
    </w:pPr>
  </w:style>
  <w:style w:type="paragraph" w:customStyle="1" w:styleId="CZWSP2TIRczwsplnapodwjnychtiret">
    <w:name w:val="CZ_WSP_2TIR – część wspólna podwójnych tiret"/>
    <w:basedOn w:val="CZWSPTIRczwsplnatiret"/>
    <w:next w:val="TIRtiret"/>
    <w:uiPriority w:val="73"/>
    <w:qFormat/>
    <w:rsid w:val="000B6047"/>
    <w:pPr>
      <w:ind w:left="1780"/>
    </w:pPr>
  </w:style>
  <w:style w:type="paragraph" w:customStyle="1" w:styleId="Z2TIRzmpodwtirartykuempunktem">
    <w:name w:val="Z/2TIR – zm. podw. tir. artykułem (punktem)"/>
    <w:basedOn w:val="TIRtiret"/>
    <w:uiPriority w:val="73"/>
    <w:qFormat/>
    <w:rsid w:val="000B6047"/>
    <w:pPr>
      <w:ind w:left="907"/>
    </w:pPr>
  </w:style>
  <w:style w:type="paragraph" w:customStyle="1" w:styleId="ZZCZWSPTIRwLITzmianazmczciwsptirwlit">
    <w:name w:val="ZZ/CZ_WSP_TIR_w_LIT – zmiana zm. części wsp. tir. w lit."/>
    <w:basedOn w:val="ZZTIRwLITzmianazmtirwlit"/>
    <w:uiPriority w:val="70"/>
    <w:qFormat/>
    <w:rsid w:val="000B6047"/>
    <w:pPr>
      <w:ind w:left="2370" w:firstLine="0"/>
    </w:pPr>
  </w:style>
  <w:style w:type="paragraph" w:customStyle="1" w:styleId="ZLIT2TIRzmpodwtirliter">
    <w:name w:val="Z_LIT/2TIR – zm. podw. tir. literą"/>
    <w:basedOn w:val="TIRtiret"/>
    <w:uiPriority w:val="75"/>
    <w:qFormat/>
    <w:rsid w:val="000B6047"/>
  </w:style>
  <w:style w:type="paragraph" w:customStyle="1" w:styleId="ZTIR2TIRzmpodwtirtiret">
    <w:name w:val="Z_TIR/2TIR – zm. podw. tir. tiret"/>
    <w:basedOn w:val="TIRtiret"/>
    <w:uiPriority w:val="78"/>
    <w:qFormat/>
    <w:rsid w:val="000B604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B6047"/>
    <w:pPr>
      <w:ind w:left="1780"/>
    </w:pPr>
  </w:style>
  <w:style w:type="paragraph" w:customStyle="1" w:styleId="Z2TIRwPKTzmpodwtirwpktartykuempunktem">
    <w:name w:val="Z/2TIR_w_PKT – zm. podw. tir. w pkt artykułem (punktem)"/>
    <w:basedOn w:val="TIRtiret"/>
    <w:next w:val="ZPKTzmpktartykuempunktem"/>
    <w:uiPriority w:val="74"/>
    <w:qFormat/>
    <w:rsid w:val="000B6047"/>
    <w:pPr>
      <w:ind w:left="2291"/>
    </w:pPr>
  </w:style>
  <w:style w:type="paragraph" w:customStyle="1" w:styleId="ZTIRPKTzmpkttiret">
    <w:name w:val="Z_TIR/PKT – zm. pkt tiret"/>
    <w:basedOn w:val="PKTpunkt"/>
    <w:uiPriority w:val="56"/>
    <w:qFormat/>
    <w:rsid w:val="000B6047"/>
    <w:pPr>
      <w:ind w:left="1893"/>
    </w:pPr>
  </w:style>
  <w:style w:type="paragraph" w:customStyle="1" w:styleId="ZTIRLITwPKTzmlitwpkttiret">
    <w:name w:val="Z_TIR/LIT_w_PKT – zm. lit. w pkt tiret"/>
    <w:basedOn w:val="LITlitera"/>
    <w:uiPriority w:val="57"/>
    <w:qFormat/>
    <w:rsid w:val="000B6047"/>
    <w:pPr>
      <w:ind w:left="2336"/>
    </w:pPr>
  </w:style>
  <w:style w:type="paragraph" w:customStyle="1" w:styleId="ZTIRCZWSPLITwPKTzmczciwsplitwpkttiret">
    <w:name w:val="Z_TIR/CZ_WSP_LIT_w_PKT – zm. części wsp. lit. w pkt tiret"/>
    <w:basedOn w:val="CZWSPLITczwsplnaliter"/>
    <w:uiPriority w:val="59"/>
    <w:qFormat/>
    <w:rsid w:val="000B6047"/>
    <w:pPr>
      <w:ind w:left="1860"/>
    </w:pPr>
  </w:style>
  <w:style w:type="paragraph" w:customStyle="1" w:styleId="ZTIR2TIRwLITzmpodwtirwlittiret">
    <w:name w:val="Z_TIR/2TIR_w_LIT – zm. podw. tir. w lit. tiret"/>
    <w:basedOn w:val="TIRtiret"/>
    <w:uiPriority w:val="79"/>
    <w:qFormat/>
    <w:rsid w:val="000B604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B6047"/>
    <w:pPr>
      <w:ind w:left="2257"/>
    </w:pPr>
  </w:style>
  <w:style w:type="paragraph" w:customStyle="1" w:styleId="ZTIR2TIRwTIRzmpodwtirwtirtiret">
    <w:name w:val="Z_TIR/2TIR_w_TIR – zm. podw. tir. w tir. tiret"/>
    <w:basedOn w:val="TIRtiret"/>
    <w:uiPriority w:val="78"/>
    <w:qFormat/>
    <w:rsid w:val="000B6047"/>
    <w:pPr>
      <w:ind w:left="2177"/>
    </w:pPr>
  </w:style>
  <w:style w:type="paragraph" w:customStyle="1" w:styleId="ZTIRCZWSP2TIRwTIRzmczciwsppodwtirwtirtiret">
    <w:name w:val="Z_TIR/CZ_WSP_2TIR_w_TIR – zm. części wsp. podw. tir. w tir. tiret"/>
    <w:basedOn w:val="CZWSPTIRczwsplnatiret"/>
    <w:uiPriority w:val="79"/>
    <w:qFormat/>
    <w:rsid w:val="000B6047"/>
    <w:pPr>
      <w:ind w:left="1780"/>
    </w:pPr>
  </w:style>
  <w:style w:type="paragraph" w:customStyle="1" w:styleId="Z2TIRLITzmlitpodwjnymtiret">
    <w:name w:val="Z_2TIR/LIT – zm. lit. podwójnym tiret"/>
    <w:basedOn w:val="LITlitera"/>
    <w:uiPriority w:val="84"/>
    <w:qFormat/>
    <w:rsid w:val="000B6047"/>
    <w:pPr>
      <w:ind w:left="2256"/>
    </w:pPr>
  </w:style>
  <w:style w:type="paragraph" w:customStyle="1" w:styleId="ZZ2TIRwTIRzmianazmpodwtirwtir">
    <w:name w:val="ZZ/2TIR_w_TIR – zmiana zm. podw. tir. w tir."/>
    <w:basedOn w:val="ZZCZWSP2TIRzmianazmczciwsppodwtir"/>
    <w:uiPriority w:val="93"/>
    <w:qFormat/>
    <w:rsid w:val="000B6047"/>
    <w:pPr>
      <w:ind w:left="2688" w:hanging="397"/>
    </w:pPr>
  </w:style>
  <w:style w:type="paragraph" w:customStyle="1" w:styleId="ZZ2TIRwLITzmianazmpodwtirwlit">
    <w:name w:val="ZZ/2TIR_w_LIT – zmiana zm. podw. tir. w lit."/>
    <w:basedOn w:val="ZZ2TIRwTIRzmianazmpodwtirwtir"/>
    <w:uiPriority w:val="94"/>
    <w:qFormat/>
    <w:rsid w:val="000B6047"/>
    <w:pPr>
      <w:ind w:left="3164"/>
    </w:pPr>
  </w:style>
  <w:style w:type="paragraph" w:customStyle="1" w:styleId="Z2TIRTIRwLITzmtirwlitpodwjnymtiret">
    <w:name w:val="Z_2TIR/TIR_w_LIT – zm. tir. w lit. podwójnym tiret"/>
    <w:basedOn w:val="TIRtiret"/>
    <w:uiPriority w:val="84"/>
    <w:qFormat/>
    <w:rsid w:val="000B604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B6047"/>
    <w:pPr>
      <w:ind w:left="2257"/>
    </w:pPr>
  </w:style>
  <w:style w:type="paragraph" w:customStyle="1" w:styleId="ZZ2TIRwPKTzmianazmpodwtirwpkt">
    <w:name w:val="ZZ/2TIR_w_PKT – zmiana zm. podw. tir. w pkt"/>
    <w:basedOn w:val="ZZ2TIRwLITzmianazmpodwtirwlit"/>
    <w:uiPriority w:val="94"/>
    <w:qFormat/>
    <w:rsid w:val="000B6047"/>
    <w:pPr>
      <w:ind w:left="3674"/>
    </w:pPr>
  </w:style>
  <w:style w:type="paragraph" w:customStyle="1" w:styleId="ZZCZWSP2TIRwTIRzmianazmczciwsppodwtirwtir">
    <w:name w:val="ZZ/CZ_WSP_2TIR_w_TIR – zmiana zm. części wsp. podw. tir. w tir."/>
    <w:basedOn w:val="ZZ2TIRwLITzmianazmpodwtirwlit"/>
    <w:uiPriority w:val="94"/>
    <w:qFormat/>
    <w:rsid w:val="000B6047"/>
    <w:pPr>
      <w:ind w:left="2291" w:firstLine="0"/>
    </w:pPr>
  </w:style>
  <w:style w:type="paragraph" w:customStyle="1" w:styleId="Z2TIR2TIRwTIRzmpodwtirwtirpodwjnymtiret">
    <w:name w:val="Z_2TIR/2TIR_w_TIR – zm. podw. tir. w tir. podwójnym tiret"/>
    <w:basedOn w:val="TIRtiret"/>
    <w:uiPriority w:val="85"/>
    <w:qFormat/>
    <w:rsid w:val="000B604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B6047"/>
    <w:pPr>
      <w:ind w:left="2177"/>
    </w:pPr>
  </w:style>
  <w:style w:type="paragraph" w:customStyle="1" w:styleId="Z2TIR2TIRwLITzmpodwtirwlitpodwjnymtiret">
    <w:name w:val="Z_2TIR/2TIR_w_LIT – zm. podw. tir. w lit. podwójnym tiret"/>
    <w:basedOn w:val="TIRtiret"/>
    <w:uiPriority w:val="86"/>
    <w:qFormat/>
    <w:rsid w:val="000B604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B604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B604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B6047"/>
    <w:pPr>
      <w:spacing w:after="120"/>
      <w:ind w:left="510"/>
    </w:pPr>
    <w:rPr>
      <w:b w:val="0"/>
    </w:rPr>
  </w:style>
  <w:style w:type="character" w:styleId="Odwoaniedokomentarza">
    <w:name w:val="annotation reference"/>
    <w:basedOn w:val="Domylnaczcionkaakapitu"/>
    <w:uiPriority w:val="99"/>
    <w:rsid w:val="000B6047"/>
    <w:rPr>
      <w:sz w:val="16"/>
      <w:szCs w:val="16"/>
    </w:rPr>
  </w:style>
  <w:style w:type="paragraph" w:styleId="Tekstkomentarza">
    <w:name w:val="annotation text"/>
    <w:basedOn w:val="Normalny"/>
    <w:link w:val="TekstkomentarzaZnak"/>
    <w:uiPriority w:val="99"/>
    <w:rsid w:val="000B6047"/>
    <w:rPr>
      <w:rFonts w:eastAsia="Times New Roman" w:cs="Times New Roman"/>
      <w:szCs w:val="24"/>
    </w:rPr>
  </w:style>
  <w:style w:type="character" w:customStyle="1" w:styleId="TekstkomentarzaZnak">
    <w:name w:val="Tekst komentarza Znak"/>
    <w:basedOn w:val="Domylnaczcionkaakapitu"/>
    <w:link w:val="Tekstkomentarza"/>
    <w:uiPriority w:val="99"/>
    <w:rsid w:val="000B6047"/>
    <w:rPr>
      <w:rFonts w:ascii="Times" w:eastAsia="Times New Roman" w:hAnsi="Times" w:cs="Times New Roman"/>
      <w:kern w:val="0"/>
      <w:sz w:val="20"/>
      <w:szCs w:val="24"/>
      <w:lang w:eastAsia="pl-PL"/>
      <w14:ligatures w14:val="none"/>
    </w:rPr>
  </w:style>
  <w:style w:type="paragraph" w:styleId="Tematkomentarza">
    <w:name w:val="annotation subject"/>
    <w:basedOn w:val="Tekstkomentarza"/>
    <w:next w:val="Tekstkomentarza"/>
    <w:link w:val="TematkomentarzaZnak"/>
    <w:uiPriority w:val="99"/>
    <w:rsid w:val="000B6047"/>
    <w:rPr>
      <w:b/>
      <w:bCs/>
    </w:rPr>
  </w:style>
  <w:style w:type="character" w:customStyle="1" w:styleId="TematkomentarzaZnak">
    <w:name w:val="Temat komentarza Znak"/>
    <w:basedOn w:val="TekstkomentarzaZnak"/>
    <w:link w:val="Tematkomentarza"/>
    <w:uiPriority w:val="99"/>
    <w:rsid w:val="000B6047"/>
    <w:rPr>
      <w:rFonts w:ascii="Times" w:eastAsia="Times New Roman" w:hAnsi="Times" w:cs="Times New Roman"/>
      <w:b/>
      <w:bCs/>
      <w:kern w:val="0"/>
      <w:sz w:val="20"/>
      <w:szCs w:val="24"/>
      <w:lang w:eastAsia="pl-PL"/>
      <w14:ligatures w14:val="none"/>
    </w:rPr>
  </w:style>
  <w:style w:type="paragraph" w:customStyle="1" w:styleId="ZZARTzmianazmart">
    <w:name w:val="ZZ/ART(§) – zmiana zm. art. (§)"/>
    <w:basedOn w:val="ZARTzmartartykuempunktem"/>
    <w:uiPriority w:val="65"/>
    <w:qFormat/>
    <w:rsid w:val="000B6047"/>
    <w:pPr>
      <w:ind w:left="1894"/>
    </w:pPr>
  </w:style>
  <w:style w:type="paragraph" w:customStyle="1" w:styleId="ZZPKTzmianazmpkt">
    <w:name w:val="ZZ/PKT – zmiana zm. pkt"/>
    <w:basedOn w:val="ZPKTzmpktartykuempunktem"/>
    <w:uiPriority w:val="66"/>
    <w:qFormat/>
    <w:rsid w:val="000B6047"/>
    <w:pPr>
      <w:ind w:left="2404"/>
    </w:pPr>
  </w:style>
  <w:style w:type="paragraph" w:customStyle="1" w:styleId="ZZLITwPKTzmianazmlitwpkt">
    <w:name w:val="ZZ/LIT_w_PKT – zmiana zm. lit. w pkt"/>
    <w:basedOn w:val="ZLITwPKTzmlitwpktartykuempunktem"/>
    <w:uiPriority w:val="67"/>
    <w:qFormat/>
    <w:rsid w:val="000B6047"/>
    <w:pPr>
      <w:ind w:left="2880"/>
    </w:pPr>
  </w:style>
  <w:style w:type="paragraph" w:customStyle="1" w:styleId="ZZTIRwPKTzmianazmtirwpkt">
    <w:name w:val="ZZ/TIR_w_PKT – zmiana zm. tir. w pkt"/>
    <w:basedOn w:val="ZTIRwPKTzmtirwpktartykuempunktem"/>
    <w:uiPriority w:val="67"/>
    <w:qFormat/>
    <w:rsid w:val="000B6047"/>
    <w:pPr>
      <w:ind w:left="3277"/>
    </w:pPr>
  </w:style>
  <w:style w:type="paragraph" w:customStyle="1" w:styleId="ZZWMATFIZCHEMzmwzorumatfizlubchem">
    <w:name w:val="ZZ/W_MAT(FIZ|CHEM) – zm. wzoru mat. (fiz. lub chem.)"/>
    <w:basedOn w:val="ZWMATFIZCHEMzmwzorumatfizlubchemartykuempunktem"/>
    <w:uiPriority w:val="71"/>
    <w:qFormat/>
    <w:rsid w:val="000B6047"/>
    <w:pPr>
      <w:ind w:left="2404"/>
    </w:pPr>
  </w:style>
  <w:style w:type="paragraph" w:customStyle="1" w:styleId="ODNONIKtreodnonika">
    <w:name w:val="ODNOŚNIK – treść odnośnika"/>
    <w:uiPriority w:val="19"/>
    <w:qFormat/>
    <w:rsid w:val="000B6047"/>
    <w:pPr>
      <w:spacing w:after="0" w:line="240" w:lineRule="auto"/>
      <w:ind w:left="284" w:hanging="284"/>
      <w:jc w:val="both"/>
    </w:pPr>
    <w:rPr>
      <w:rFonts w:ascii="Times New Roman" w:eastAsiaTheme="minorEastAsia" w:hAnsi="Times New Roman" w:cs="Arial"/>
      <w:kern w:val="0"/>
      <w:sz w:val="20"/>
      <w:szCs w:val="20"/>
      <w:lang w:eastAsia="pl-PL"/>
      <w14:ligatures w14:val="none"/>
    </w:rPr>
  </w:style>
  <w:style w:type="paragraph" w:customStyle="1" w:styleId="ZFRAGzmfragmentunpzdaniaartykuempunktem">
    <w:name w:val="Z/FRAG – zm. fragmentu (np. zdania) artykułem (punktem)"/>
    <w:basedOn w:val="ZARTzmartartykuempunktem"/>
    <w:next w:val="PKTpunkt"/>
    <w:uiPriority w:val="36"/>
    <w:qFormat/>
    <w:rsid w:val="000B604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B604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B6047"/>
    <w:rPr>
      <w:rFonts w:ascii="Times New Roman" w:hAnsi="Times New Roman"/>
    </w:rPr>
  </w:style>
  <w:style w:type="paragraph" w:customStyle="1" w:styleId="ZTIRTIRwPKTzmtirwpkttiret">
    <w:name w:val="Z_TIR/TIR_w_PKT – zm. tir. w pkt tiret"/>
    <w:basedOn w:val="ZTIRTIRwLITzmtirwlittiret"/>
    <w:uiPriority w:val="57"/>
    <w:qFormat/>
    <w:rsid w:val="000B6047"/>
    <w:pPr>
      <w:ind w:left="2733"/>
    </w:pPr>
  </w:style>
  <w:style w:type="paragraph" w:customStyle="1" w:styleId="ZTIRCZWSPTIRwPKTzmczciwsptirtiret">
    <w:name w:val="Z_TIR/CZ_WSP_TIR_w_PKT – zm. części wsp. tir. tiret"/>
    <w:basedOn w:val="ZTIRTIRwPKTzmtirwpkttiret"/>
    <w:next w:val="TIRtiret"/>
    <w:uiPriority w:val="60"/>
    <w:qFormat/>
    <w:rsid w:val="000B604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B6047"/>
    <w:pPr>
      <w:ind w:left="510" w:firstLine="0"/>
    </w:pPr>
  </w:style>
  <w:style w:type="paragraph" w:customStyle="1" w:styleId="ROZDZODDZOZNoznaczenierozdziauluboddziau">
    <w:name w:val="ROZDZ(ODDZ)_OZN – oznaczenie rozdziału lub oddziału"/>
    <w:next w:val="ARTartustawynprozporzdzenia"/>
    <w:uiPriority w:val="10"/>
    <w:qFormat/>
    <w:rsid w:val="000B6047"/>
    <w:pPr>
      <w:keepNext/>
      <w:suppressAutoHyphens/>
      <w:spacing w:before="120" w:after="0" w:line="360" w:lineRule="auto"/>
      <w:jc w:val="center"/>
    </w:pPr>
    <w:rPr>
      <w:rFonts w:ascii="Times" w:eastAsiaTheme="minorEastAsia" w:hAnsi="Times" w:cs="Arial"/>
      <w:bCs/>
      <w:kern w:val="24"/>
      <w:sz w:val="24"/>
      <w:szCs w:val="24"/>
      <w:lang w:eastAsia="pl-PL"/>
      <w14:ligatures w14:val="none"/>
    </w:rPr>
  </w:style>
  <w:style w:type="paragraph" w:customStyle="1" w:styleId="Z2TIR2TIRzmpodwtirpodwjnymtiret">
    <w:name w:val="Z_2TIR/2TIR – zm. podw. tir. podwójnym tiret"/>
    <w:basedOn w:val="TIRtiret"/>
    <w:uiPriority w:val="85"/>
    <w:qFormat/>
    <w:rsid w:val="000B6047"/>
    <w:pPr>
      <w:ind w:left="2177"/>
    </w:pPr>
  </w:style>
  <w:style w:type="paragraph" w:customStyle="1" w:styleId="Z2TIRTIRzmtirpodwjnymtiret">
    <w:name w:val="Z_2TIR/TIR – zm. tir. podwójnym tiret"/>
    <w:basedOn w:val="TIRtiret"/>
    <w:uiPriority w:val="84"/>
    <w:qFormat/>
    <w:rsid w:val="000B604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B6047"/>
    <w:pPr>
      <w:ind w:left="1021"/>
    </w:pPr>
  </w:style>
  <w:style w:type="paragraph" w:customStyle="1" w:styleId="ZLITSKARNzmsankcjikarnejliter">
    <w:name w:val="Z_LIT/S_KARN – zm. sankcji karnej literą"/>
    <w:basedOn w:val="ZSKARNzmsankcjikarnejwszczeglnociwKodeksiekarnym"/>
    <w:uiPriority w:val="53"/>
    <w:qFormat/>
    <w:rsid w:val="000B604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B604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B6047"/>
    <w:pPr>
      <w:ind w:left="1894" w:firstLine="0"/>
    </w:pPr>
  </w:style>
  <w:style w:type="paragraph" w:customStyle="1" w:styleId="Z2TIRwLITzmpodwtirwlitartykuempunktem">
    <w:name w:val="Z/2TIR_w_LIT – zm. podw. tir. w lit. artykułem (punktem)"/>
    <w:basedOn w:val="Z2TIRwPKTzmpodwtirwpktartykuempunktem"/>
    <w:uiPriority w:val="74"/>
    <w:qFormat/>
    <w:rsid w:val="000B6047"/>
    <w:pPr>
      <w:ind w:left="1780"/>
    </w:pPr>
  </w:style>
  <w:style w:type="paragraph" w:customStyle="1" w:styleId="Z2TIRwTIRzmpodwtirwtirartykuempunktem">
    <w:name w:val="Z/2TIR_w_TIR – zm. podw. tir. w tir. artykułem (punktem)"/>
    <w:basedOn w:val="Z2TIRwLITzmpodwtirwlitartykuempunktem"/>
    <w:uiPriority w:val="73"/>
    <w:qFormat/>
    <w:rsid w:val="000B604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B604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B6047"/>
    <w:pPr>
      <w:ind w:left="1383" w:firstLine="0"/>
    </w:pPr>
  </w:style>
  <w:style w:type="paragraph" w:customStyle="1" w:styleId="ZZCZWSP2TIRzmianazmczciwsppodwtir">
    <w:name w:val="ZZ/CZ_WSP_2TIR – zmiana zm. części wsp. podw. tir."/>
    <w:basedOn w:val="ZZTIRzmianazmtir"/>
    <w:next w:val="ZZUSTzmianazmust"/>
    <w:uiPriority w:val="94"/>
    <w:qFormat/>
    <w:rsid w:val="000B6047"/>
    <w:pPr>
      <w:ind w:left="1894" w:firstLine="0"/>
    </w:pPr>
  </w:style>
  <w:style w:type="paragraph" w:customStyle="1" w:styleId="PKTODNONIKApunktodnonika">
    <w:name w:val="PKT_ODNOŚNIKA – punkt odnośnika"/>
    <w:basedOn w:val="ODNONIKtreodnonika"/>
    <w:uiPriority w:val="19"/>
    <w:qFormat/>
    <w:rsid w:val="000B6047"/>
    <w:pPr>
      <w:ind w:left="568"/>
    </w:pPr>
  </w:style>
  <w:style w:type="paragraph" w:customStyle="1" w:styleId="ZODNONIKAzmtekstuodnonikaartykuempunktem">
    <w:name w:val="Z/ODNOŚNIKA – zm. tekstu odnośnika artykułem (punktem)"/>
    <w:basedOn w:val="ODNONIKtreodnonika"/>
    <w:uiPriority w:val="39"/>
    <w:qFormat/>
    <w:rsid w:val="000B604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B6047"/>
    <w:pPr>
      <w:ind w:left="1304"/>
    </w:pPr>
  </w:style>
  <w:style w:type="paragraph" w:customStyle="1" w:styleId="ZPKTODNONIKAzmpktodnonikaartykuempunktem">
    <w:name w:val="Z/PKT_ODNOŚNIKA – zm. pkt odnośnika artykułem (punktem)"/>
    <w:basedOn w:val="ZODNONIKAzmtekstuodnonikaartykuempunktem"/>
    <w:uiPriority w:val="39"/>
    <w:qFormat/>
    <w:rsid w:val="000B6047"/>
  </w:style>
  <w:style w:type="paragraph" w:customStyle="1" w:styleId="ZLIT2TIRwTIRzmpodwtirwtirliter">
    <w:name w:val="Z_LIT/2TIR_w_TIR – zm. podw. tir. w tir. literą"/>
    <w:basedOn w:val="ZLIT2TIRzmpodwtirliter"/>
    <w:uiPriority w:val="75"/>
    <w:qFormat/>
    <w:rsid w:val="000B6047"/>
    <w:pPr>
      <w:ind w:left="1780"/>
    </w:pPr>
  </w:style>
  <w:style w:type="paragraph" w:customStyle="1" w:styleId="ZLIT2TIRwLITzmpodwtirwlitliter">
    <w:name w:val="Z_LIT/2TIR_w_LIT – zm. podw. tir. w lit. literą"/>
    <w:basedOn w:val="ZLIT2TIRwTIRzmpodwtirwtirliter"/>
    <w:uiPriority w:val="76"/>
    <w:qFormat/>
    <w:rsid w:val="000B6047"/>
    <w:pPr>
      <w:ind w:left="2257"/>
    </w:pPr>
  </w:style>
  <w:style w:type="paragraph" w:customStyle="1" w:styleId="ZLIT2TIRwPKTzmpodwtirwpktliter">
    <w:name w:val="Z_LIT/2TIR_w_PKT – zm. podw. tir. w pkt literą"/>
    <w:basedOn w:val="ZLIT2TIRwLITzmpodwtirwlitliter"/>
    <w:uiPriority w:val="76"/>
    <w:qFormat/>
    <w:rsid w:val="000B604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B604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B604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B6047"/>
    <w:pPr>
      <w:ind w:left="2370" w:firstLine="0"/>
    </w:pPr>
  </w:style>
  <w:style w:type="paragraph" w:customStyle="1" w:styleId="ZTIR2TIRwPKTzmpodwtirwpkttiret">
    <w:name w:val="Z_TIR/2TIR_w_PKT – zm. podw. tir. w pkt tiret"/>
    <w:basedOn w:val="ZTIR2TIRwLITzmpodwtirwlittiret"/>
    <w:uiPriority w:val="79"/>
    <w:qFormat/>
    <w:rsid w:val="000B604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B604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B6047"/>
    <w:pPr>
      <w:ind w:left="2767"/>
    </w:pPr>
  </w:style>
  <w:style w:type="paragraph" w:customStyle="1" w:styleId="ZZCZWSP2TIRwPKTzmianazmczciwsppodwtirwpkt">
    <w:name w:val="ZZ/CZ_WSP_2TIR_w_PKT – zmiana zm. części wsp. podw. tir. w pkt"/>
    <w:basedOn w:val="ZZ2TIRwLITzmianazmpodwtirwlit"/>
    <w:uiPriority w:val="95"/>
    <w:qFormat/>
    <w:rsid w:val="000B604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B6047"/>
  </w:style>
  <w:style w:type="paragraph" w:customStyle="1" w:styleId="ZLITCZWSP2TIRzmczciwsppodwtirliter">
    <w:name w:val="Z_LIT/CZ_WSP_2TIR – zm. części wsp. podw. tir. literą"/>
    <w:basedOn w:val="ZLITCZWSPPKTzmczciwsppktliter"/>
    <w:next w:val="LITlitera"/>
    <w:uiPriority w:val="76"/>
    <w:qFormat/>
    <w:rsid w:val="000B6047"/>
  </w:style>
  <w:style w:type="paragraph" w:customStyle="1" w:styleId="ZTIRCZWSP2TIRzmczciwsppodwtirtiret">
    <w:name w:val="Z_TIR/CZ_WSP_2TIR – zm. części wsp. podw. tir. tiret"/>
    <w:basedOn w:val="ZLITCZWSP2TIRzmczciwsppodwtirliter"/>
    <w:next w:val="TIRtiret"/>
    <w:uiPriority w:val="79"/>
    <w:qFormat/>
    <w:rsid w:val="000B6047"/>
  </w:style>
  <w:style w:type="paragraph" w:customStyle="1" w:styleId="ZZ2TIRzmianazmpodwtir">
    <w:name w:val="ZZ/2TIR – zmiana zm. podw. tir."/>
    <w:basedOn w:val="ZZCZWSP2TIRzmianazmczciwsppodwtir"/>
    <w:uiPriority w:val="93"/>
    <w:qFormat/>
    <w:rsid w:val="000B604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B6047"/>
  </w:style>
  <w:style w:type="paragraph" w:customStyle="1" w:styleId="ZCZWSPTIRzmczciwsptirartykuempunktem">
    <w:name w:val="Z/CZ_WSP_TIR – zm. części wsp. tir. artykułem (punktem)"/>
    <w:basedOn w:val="ZCZWSPPKTzmczciwsppktartykuempunktem"/>
    <w:next w:val="PKTpunkt"/>
    <w:uiPriority w:val="35"/>
    <w:qFormat/>
    <w:rsid w:val="000B6047"/>
  </w:style>
  <w:style w:type="paragraph" w:customStyle="1" w:styleId="ZLITCZWSPLITzmczciwsplitliter">
    <w:name w:val="Z_LIT/CZ_WSP_LIT – zm. części wsp. lit. literą"/>
    <w:basedOn w:val="ZLITCZWSPPKTzmczciwsppktliter"/>
    <w:next w:val="LITlitera"/>
    <w:uiPriority w:val="51"/>
    <w:qFormat/>
    <w:rsid w:val="000B6047"/>
  </w:style>
  <w:style w:type="paragraph" w:customStyle="1" w:styleId="ZLITCZWSPTIRzmczciwsptirliter">
    <w:name w:val="Z_LIT/CZ_WSP_TIR – zm. części wsp. tir. literą"/>
    <w:basedOn w:val="ZLITCZWSPPKTzmczciwsppktliter"/>
    <w:next w:val="LITlitera"/>
    <w:uiPriority w:val="51"/>
    <w:qFormat/>
    <w:rsid w:val="000B6047"/>
  </w:style>
  <w:style w:type="paragraph" w:customStyle="1" w:styleId="ZTIRCZWSPLITzmczciwsplittiret">
    <w:name w:val="Z_TIR/CZ_WSP_LIT – zm. części wsp. lit. tiret"/>
    <w:basedOn w:val="ZTIRCZWSPPKTzmczciwsppkttiret"/>
    <w:next w:val="TIRtiret"/>
    <w:uiPriority w:val="59"/>
    <w:qFormat/>
    <w:rsid w:val="000B6047"/>
  </w:style>
  <w:style w:type="paragraph" w:customStyle="1" w:styleId="ZTIRCZWSPTIRzmczciwsptirtiret">
    <w:name w:val="Z_TIR/CZ_WSP_TIR – zm. części wsp. tir. tiret"/>
    <w:basedOn w:val="ZTIRCZWSPPKTzmczciwsppkttiret"/>
    <w:next w:val="TIRtiret"/>
    <w:uiPriority w:val="60"/>
    <w:qFormat/>
    <w:rsid w:val="000B6047"/>
  </w:style>
  <w:style w:type="paragraph" w:customStyle="1" w:styleId="ZZCZWSPLITzmianazmczciwsplit">
    <w:name w:val="ZZ/CZ_WSP_LIT – zmiana. zm. części wsp. lit."/>
    <w:basedOn w:val="ZZCZWSPPKTzmianazmczciwsppkt"/>
    <w:uiPriority w:val="69"/>
    <w:qFormat/>
    <w:rsid w:val="000B6047"/>
  </w:style>
  <w:style w:type="paragraph" w:customStyle="1" w:styleId="ZZCZWSPTIRzmianazmczciwsptir">
    <w:name w:val="ZZ/CZ_WSP_TIR – zmiana. zm. części wsp. tir."/>
    <w:basedOn w:val="ZZCZWSPPKTzmianazmczciwsppkt"/>
    <w:uiPriority w:val="69"/>
    <w:qFormat/>
    <w:rsid w:val="000B6047"/>
  </w:style>
  <w:style w:type="paragraph" w:customStyle="1" w:styleId="Z2TIRCZWSPTIRzmczciwsptirpodwjnymtiret">
    <w:name w:val="Z_2TIR/CZ_WSP_TIR – zm. części wsp. tir. podwójnym tiret"/>
    <w:basedOn w:val="Z2TIRCZWSPLITzmczciwsplitpodwjnymtiret"/>
    <w:next w:val="2TIRpodwjnytiret"/>
    <w:uiPriority w:val="87"/>
    <w:qFormat/>
    <w:rsid w:val="000B604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B6047"/>
  </w:style>
  <w:style w:type="paragraph" w:customStyle="1" w:styleId="ZUSTzmustartykuempunktem">
    <w:name w:val="Z/UST(§) – zm. ust. (§) artykułem (punktem)"/>
    <w:basedOn w:val="ZARTzmartartykuempunktem"/>
    <w:uiPriority w:val="30"/>
    <w:qFormat/>
    <w:rsid w:val="000B6047"/>
  </w:style>
  <w:style w:type="paragraph" w:customStyle="1" w:styleId="ZZUSTzmianazmust">
    <w:name w:val="ZZ/UST(§) – zmiana zm. ust. (§)"/>
    <w:basedOn w:val="ZZARTzmianazmart"/>
    <w:uiPriority w:val="65"/>
    <w:qFormat/>
    <w:rsid w:val="000B6047"/>
  </w:style>
  <w:style w:type="paragraph" w:customStyle="1" w:styleId="TYTDZPRZEDMprzedmiotregulacjitytuulubdziau">
    <w:name w:val="TYT(DZ)_PRZEDM – przedmiot regulacji tytułu lub działu"/>
    <w:next w:val="ARTartustawynprozporzdzenia"/>
    <w:uiPriority w:val="9"/>
    <w:qFormat/>
    <w:rsid w:val="000B6047"/>
    <w:pPr>
      <w:keepNext/>
      <w:suppressAutoHyphens/>
      <w:spacing w:before="120" w:after="0" w:line="360" w:lineRule="auto"/>
      <w:jc w:val="center"/>
    </w:pPr>
    <w:rPr>
      <w:rFonts w:ascii="Times" w:eastAsia="Times New Roman" w:hAnsi="Times" w:cs="Times New Roman"/>
      <w:b/>
      <w:kern w:val="0"/>
      <w:sz w:val="24"/>
      <w:szCs w:val="26"/>
      <w:lang w:eastAsia="pl-PL"/>
      <w14:ligatures w14:val="none"/>
    </w:rPr>
  </w:style>
  <w:style w:type="paragraph" w:customStyle="1" w:styleId="ZNIEARTTEKSTzmtekstunieartykuowanego">
    <w:name w:val="Z/NIEART_TEKST – zm. tekstu nieartykułowanego"/>
    <w:basedOn w:val="NIEARTTEKSTtekstnieartykuowanynppodstprawnarozplubpreambua"/>
    <w:uiPriority w:val="37"/>
    <w:qFormat/>
    <w:rsid w:val="000B604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B604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B604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B604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B604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B6047"/>
    <w:pPr>
      <w:ind w:left="1894"/>
    </w:pPr>
  </w:style>
  <w:style w:type="paragraph" w:customStyle="1" w:styleId="P1wTABELIpoziom1numeracjiwtabeli">
    <w:name w:val="P1_w_TABELI – poziom 1 numeracji w tabeli"/>
    <w:basedOn w:val="PKTpunkt"/>
    <w:uiPriority w:val="24"/>
    <w:qFormat/>
    <w:rsid w:val="000B604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B6047"/>
    <w:pPr>
      <w:ind w:left="0" w:firstLine="0"/>
    </w:pPr>
  </w:style>
  <w:style w:type="paragraph" w:customStyle="1" w:styleId="P2wTABELIpoziom2numeracjiwtabeli">
    <w:name w:val="P2_w_TABELI – poziom 2 numeracji w tabeli"/>
    <w:basedOn w:val="P1wTABELIpoziom1numeracjiwtabeli"/>
    <w:uiPriority w:val="24"/>
    <w:qFormat/>
    <w:rsid w:val="000B6047"/>
    <w:pPr>
      <w:ind w:left="794"/>
    </w:pPr>
  </w:style>
  <w:style w:type="paragraph" w:customStyle="1" w:styleId="P3wTABELIpoziom3numeracjiwtabeli">
    <w:name w:val="P3_w_TABELI – poziom 3 numeracji w tabeli"/>
    <w:basedOn w:val="P2wTABELIpoziom2numeracjiwtabeli"/>
    <w:uiPriority w:val="24"/>
    <w:qFormat/>
    <w:rsid w:val="000B604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B604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B604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B6047"/>
    <w:pPr>
      <w:ind w:left="1191"/>
    </w:pPr>
  </w:style>
  <w:style w:type="paragraph" w:customStyle="1" w:styleId="P4wTABELIpoziom4numeracjiwtabeli">
    <w:name w:val="P4_w_TABELI – poziom 4 numeracji w tabeli"/>
    <w:basedOn w:val="P3wTABELIpoziom3numeracjiwtabeli"/>
    <w:uiPriority w:val="24"/>
    <w:qFormat/>
    <w:rsid w:val="000B6047"/>
    <w:pPr>
      <w:ind w:left="1588"/>
    </w:pPr>
  </w:style>
  <w:style w:type="paragraph" w:customStyle="1" w:styleId="TYTTABELItytutabeli">
    <w:name w:val="TYT_TABELI – tytuł tabeli"/>
    <w:basedOn w:val="TYTDZOZNoznaczenietytuulubdziau"/>
    <w:uiPriority w:val="22"/>
    <w:qFormat/>
    <w:rsid w:val="000B6047"/>
    <w:rPr>
      <w:b/>
    </w:rPr>
  </w:style>
  <w:style w:type="paragraph" w:customStyle="1" w:styleId="OZNPROJEKTUwskazaniedatylubwersjiprojektu">
    <w:name w:val="OZN_PROJEKTU – wskazanie daty lub wersji projektu"/>
    <w:next w:val="OZNRODZAKTUtznustawalubrozporzdzenieiorganwydajcy"/>
    <w:uiPriority w:val="5"/>
    <w:qFormat/>
    <w:rsid w:val="000B6047"/>
    <w:pPr>
      <w:spacing w:after="0" w:line="360" w:lineRule="auto"/>
      <w:jc w:val="right"/>
    </w:pPr>
    <w:rPr>
      <w:rFonts w:ascii="Times New Roman" w:eastAsiaTheme="minorEastAsia" w:hAnsi="Times New Roman" w:cs="Arial"/>
      <w:kern w:val="0"/>
      <w:sz w:val="24"/>
      <w:szCs w:val="20"/>
      <w:u w:val="single"/>
      <w:lang w:eastAsia="pl-PL"/>
      <w14:ligatures w14:val="none"/>
    </w:rPr>
  </w:style>
  <w:style w:type="paragraph" w:customStyle="1" w:styleId="NAZORGWYDnazwaorganuwydajcegoprojektowanyakt">
    <w:name w:val="NAZ_ORG_WYD – nazwa organu wydającego projektowany akt"/>
    <w:basedOn w:val="OZNRODZAKTUtznustawalubrozporzdzenieiorganwydajcy"/>
    <w:uiPriority w:val="27"/>
    <w:qFormat/>
    <w:rsid w:val="000B604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B6047"/>
    <w:pPr>
      <w:ind w:left="0" w:right="4820"/>
      <w:jc w:val="left"/>
    </w:pPr>
  </w:style>
  <w:style w:type="paragraph" w:customStyle="1" w:styleId="TEKSTwporozumieniu">
    <w:name w:val="TEKST&quot;w porozumieniu:&quot;"/>
    <w:next w:val="NAZORGWPOROZUMIENIUnazwaorganuwporozumieniuzktrymaktjestwydawany"/>
    <w:uiPriority w:val="27"/>
    <w:qFormat/>
    <w:rsid w:val="000B6047"/>
    <w:pPr>
      <w:spacing w:after="0" w:line="360" w:lineRule="auto"/>
    </w:pPr>
    <w:rPr>
      <w:rFonts w:ascii="Times New Roman" w:eastAsiaTheme="minorEastAsia" w:hAnsi="Times New Roman" w:cs="Arial"/>
      <w:b/>
      <w:kern w:val="0"/>
      <w:sz w:val="24"/>
      <w:szCs w:val="20"/>
      <w:lang w:eastAsia="pl-PL"/>
      <w14:ligatures w14:val="none"/>
    </w:rPr>
  </w:style>
  <w:style w:type="paragraph" w:customStyle="1" w:styleId="CZWSPPKTODNONIKAczwsppunkwodnonika">
    <w:name w:val="CZ_WSP_PKT_ODNOŚNIKA – część wsp. punków odnośnika"/>
    <w:basedOn w:val="PKTODNONIKApunktodnonika"/>
    <w:uiPriority w:val="21"/>
    <w:qFormat/>
    <w:rsid w:val="000B604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B6047"/>
    <w:pPr>
      <w:ind w:left="510" w:firstLine="0"/>
    </w:pPr>
  </w:style>
  <w:style w:type="paragraph" w:customStyle="1" w:styleId="NOTATKILEGISLATORA">
    <w:name w:val="NOTATKI_LEGISLATORA"/>
    <w:basedOn w:val="Normalny"/>
    <w:uiPriority w:val="5"/>
    <w:qFormat/>
    <w:rsid w:val="000B6047"/>
    <w:rPr>
      <w:b/>
      <w:i/>
    </w:rPr>
  </w:style>
  <w:style w:type="paragraph" w:customStyle="1" w:styleId="OZNZACZNIKAwskazanienrzacznika">
    <w:name w:val="OZN_ZAŁĄCZNIKA – wskazanie nr załącznika"/>
    <w:basedOn w:val="OZNPROJEKTUwskazaniedatylubwersjiprojektu"/>
    <w:uiPriority w:val="28"/>
    <w:qFormat/>
    <w:rsid w:val="000B6047"/>
    <w:pPr>
      <w:keepNext/>
    </w:pPr>
    <w:rPr>
      <w:b/>
      <w:u w:val="none"/>
    </w:rPr>
  </w:style>
  <w:style w:type="paragraph" w:customStyle="1" w:styleId="OZNPARAFYADNOTACJE">
    <w:name w:val="OZN_PARAFY(ADNOTACJE)"/>
    <w:basedOn w:val="ODNONIKtreodnonika"/>
    <w:uiPriority w:val="26"/>
    <w:qFormat/>
    <w:rsid w:val="000B6047"/>
  </w:style>
  <w:style w:type="paragraph" w:customStyle="1" w:styleId="TEKSTZacznikido">
    <w:name w:val="TEKST&quot;Załącznik(i) do ...&quot;"/>
    <w:uiPriority w:val="28"/>
    <w:qFormat/>
    <w:rsid w:val="000B6047"/>
    <w:pPr>
      <w:keepNext/>
      <w:spacing w:after="240" w:line="240" w:lineRule="auto"/>
      <w:ind w:left="5670"/>
      <w:contextualSpacing/>
    </w:pPr>
    <w:rPr>
      <w:rFonts w:ascii="Times New Roman" w:eastAsiaTheme="minorEastAsia" w:hAnsi="Times New Roman" w:cs="Arial"/>
      <w:kern w:val="0"/>
      <w:sz w:val="24"/>
      <w:szCs w:val="20"/>
      <w:lang w:eastAsia="pl-PL"/>
      <w14:ligatures w14:val="none"/>
    </w:rPr>
  </w:style>
  <w:style w:type="paragraph" w:customStyle="1" w:styleId="LITODNONIKAliteraodnonika">
    <w:name w:val="LIT_ODNOŚNIKA – litera odnośnika"/>
    <w:basedOn w:val="PKTODNONIKApunktodnonika"/>
    <w:uiPriority w:val="20"/>
    <w:qFormat/>
    <w:rsid w:val="000B6047"/>
    <w:pPr>
      <w:ind w:left="851"/>
    </w:pPr>
  </w:style>
  <w:style w:type="paragraph" w:customStyle="1" w:styleId="CZWSPLITODNONIKAczwspliterodnonika">
    <w:name w:val="CZ_WSP_LIT_ODNOŚNIKA – część wsp. liter odnośnika"/>
    <w:basedOn w:val="LITODNONIKAliteraodnonika"/>
    <w:uiPriority w:val="22"/>
    <w:qFormat/>
    <w:rsid w:val="000B6047"/>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0B604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0B604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0B6047"/>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0B6047"/>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0B6047"/>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0B604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B6047"/>
  </w:style>
  <w:style w:type="paragraph" w:customStyle="1" w:styleId="ZLITwPKTODNONIKAzmlitwpktodnonikaartykuempunktem">
    <w:name w:val="Z/LIT_w_PKT_ODNOŚNIKA – zm. lit. w pkt odnośnika artykułem (punktem)"/>
    <w:basedOn w:val="ZLITODNONIKAzmlitodnonikaartykuempunktem"/>
    <w:uiPriority w:val="40"/>
    <w:qFormat/>
    <w:rsid w:val="000B604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B604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B604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B604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B604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B604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B6047"/>
  </w:style>
  <w:style w:type="paragraph" w:customStyle="1" w:styleId="ZZFRAGzmianazmfragmentunpzdania">
    <w:name w:val="ZZ/FRAG – zmiana zm. fragmentu (np. zdania)"/>
    <w:basedOn w:val="ZZCZWSPPKTzmianazmczciwsppkt"/>
    <w:uiPriority w:val="70"/>
    <w:qFormat/>
    <w:rsid w:val="000B6047"/>
  </w:style>
  <w:style w:type="paragraph" w:customStyle="1" w:styleId="Z2TIRPKTzmpktpodwjnymtiret">
    <w:name w:val="Z_2TIR/PKT – zm. pkt podwójnym tiret"/>
    <w:basedOn w:val="Z2TIRLITzmlitpodwjnymtiret"/>
    <w:uiPriority w:val="83"/>
    <w:qFormat/>
    <w:rsid w:val="000B604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B604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B604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B604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B6047"/>
    <w:pPr>
      <w:ind w:left="1780" w:firstLine="510"/>
    </w:pPr>
  </w:style>
  <w:style w:type="paragraph" w:customStyle="1" w:styleId="Z2TIRUSTzmustpodwjnymtiret">
    <w:name w:val="Z_2TIR/UST(§) – zm. ust. (§) podwójnym tiret"/>
    <w:basedOn w:val="Z2TIRPKTzmpktpodwjnymtiret"/>
    <w:uiPriority w:val="82"/>
    <w:qFormat/>
    <w:rsid w:val="000B604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B6047"/>
    <w:pPr>
      <w:ind w:left="3164" w:firstLine="0"/>
    </w:pPr>
  </w:style>
  <w:style w:type="paragraph" w:customStyle="1" w:styleId="Z2TIRCZWSPPKTzmczciwsppktpodwjnymtiret">
    <w:name w:val="Z_2TIR/CZ_WSP_PKT – zm. części wsp. pkt podwójnym tiret"/>
    <w:basedOn w:val="Z2TIRPKTzmpktpodwjnymtiret"/>
    <w:uiPriority w:val="86"/>
    <w:qFormat/>
    <w:rsid w:val="000B604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B604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B6047"/>
    <w:pPr>
      <w:ind w:left="2767" w:firstLine="0"/>
    </w:pPr>
  </w:style>
  <w:style w:type="paragraph" w:customStyle="1" w:styleId="ZLITARTzmartliter">
    <w:name w:val="Z_LIT/ART(§) – zm. art. (§) literą"/>
    <w:basedOn w:val="ZLITUSTzmustliter"/>
    <w:uiPriority w:val="46"/>
    <w:qFormat/>
    <w:rsid w:val="000B6047"/>
    <w:rPr>
      <w:rFonts w:ascii="Times New Roman" w:hAnsi="Times New Roman"/>
    </w:rPr>
  </w:style>
  <w:style w:type="paragraph" w:customStyle="1" w:styleId="ZTIRARTzmarttiret">
    <w:name w:val="Z_TIR/ART(§) – zm. art. (§) tiret"/>
    <w:basedOn w:val="ZTIRPKTzmpkttiret"/>
    <w:uiPriority w:val="55"/>
    <w:qFormat/>
    <w:rsid w:val="000B6047"/>
    <w:pPr>
      <w:ind w:left="1383" w:firstLine="510"/>
    </w:pPr>
    <w:rPr>
      <w:rFonts w:ascii="Times New Roman" w:hAnsi="Times New Roman"/>
    </w:rPr>
  </w:style>
  <w:style w:type="paragraph" w:customStyle="1" w:styleId="ZTIRUSTzmusttiret">
    <w:name w:val="Z_TIR/UST(§) – zm. ust. (§) tiret"/>
    <w:basedOn w:val="ZTIRARTzmarttiret"/>
    <w:uiPriority w:val="55"/>
    <w:qFormat/>
    <w:rsid w:val="000B6047"/>
  </w:style>
  <w:style w:type="paragraph" w:customStyle="1" w:styleId="ZLITKSIGIzmozniprzedmksigiliter">
    <w:name w:val="Z_LIT/KSIĘGI – zm. ozn. i przedm. księgi literą"/>
    <w:basedOn w:val="ZCZCIKSIGIzmozniprzedmczciksigiartykuempunktem"/>
    <w:uiPriority w:val="44"/>
    <w:qFormat/>
    <w:rsid w:val="000B604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B604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B604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B604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B6047"/>
    <w:pPr>
      <w:ind w:left="987"/>
    </w:pPr>
  </w:style>
  <w:style w:type="paragraph" w:customStyle="1" w:styleId="ZTIRDZOZNzmozndziautiret">
    <w:name w:val="Z_TIR/DZ_OZN – zm. ozn. działu tiret"/>
    <w:basedOn w:val="ZLITTYTDZOZNzmozntytuudziauliter"/>
    <w:next w:val="ZTIRDZPRZEDMzmprzedmdziautiret"/>
    <w:uiPriority w:val="54"/>
    <w:qFormat/>
    <w:rsid w:val="000B6047"/>
    <w:pPr>
      <w:ind w:left="1383"/>
    </w:pPr>
  </w:style>
  <w:style w:type="paragraph" w:customStyle="1" w:styleId="ZTIRDZPRZEDMzmprzedmdziautiret">
    <w:name w:val="Z_TIR/DZ_PRZEDM – zm. przedm. działu tiret"/>
    <w:basedOn w:val="ZLITTYTDZPRZEDMzmprzedmtytuudziauliter"/>
    <w:uiPriority w:val="54"/>
    <w:qFormat/>
    <w:rsid w:val="000B604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B6047"/>
    <w:pPr>
      <w:ind w:left="1383"/>
    </w:pPr>
  </w:style>
  <w:style w:type="paragraph" w:customStyle="1" w:styleId="ZTIRROZDZODDZPRZEDMzmprzedmrozdzoddztiret">
    <w:name w:val="Z_TIR/ROZDZ(ODDZ)_PRZEDM – zm. przedm. rozdz. (oddz.) tiret"/>
    <w:basedOn w:val="ZLITROZDZODDZPRZEDMzmprzedmrozdzoddzliter"/>
    <w:uiPriority w:val="54"/>
    <w:qFormat/>
    <w:rsid w:val="000B604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B604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B6047"/>
    <w:pPr>
      <w:ind w:left="1780"/>
    </w:pPr>
  </w:style>
  <w:style w:type="character" w:customStyle="1" w:styleId="IGindeksgrny">
    <w:name w:val="_IG_ – indeks górny"/>
    <w:basedOn w:val="Domylnaczcionkaakapitu"/>
    <w:uiPriority w:val="2"/>
    <w:qFormat/>
    <w:rsid w:val="000B6047"/>
    <w:rPr>
      <w:b w:val="0"/>
      <w:i w:val="0"/>
      <w:vanish w:val="0"/>
      <w:spacing w:val="0"/>
      <w:vertAlign w:val="superscript"/>
    </w:rPr>
  </w:style>
  <w:style w:type="character" w:customStyle="1" w:styleId="IDindeksdolny">
    <w:name w:val="_ID_ – indeks dolny"/>
    <w:basedOn w:val="Domylnaczcionkaakapitu"/>
    <w:uiPriority w:val="3"/>
    <w:qFormat/>
    <w:rsid w:val="000B604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B6047"/>
    <w:rPr>
      <w:b/>
      <w:vanish w:val="0"/>
      <w:spacing w:val="0"/>
      <w:vertAlign w:val="subscript"/>
    </w:rPr>
  </w:style>
  <w:style w:type="character" w:customStyle="1" w:styleId="IDKindeksdolnyikursywa">
    <w:name w:val="_ID_K_ – indeks dolny i kursywa"/>
    <w:basedOn w:val="Domylnaczcionkaakapitu"/>
    <w:uiPriority w:val="3"/>
    <w:qFormat/>
    <w:rsid w:val="000B6047"/>
    <w:rPr>
      <w:i/>
      <w:vanish w:val="0"/>
      <w:spacing w:val="0"/>
      <w:vertAlign w:val="subscript"/>
    </w:rPr>
  </w:style>
  <w:style w:type="character" w:customStyle="1" w:styleId="IGPindeksgrnyipogrubienie">
    <w:name w:val="_IG_P_ – indeks górny i pogrubienie"/>
    <w:basedOn w:val="Domylnaczcionkaakapitu"/>
    <w:uiPriority w:val="2"/>
    <w:qFormat/>
    <w:rsid w:val="000B6047"/>
    <w:rPr>
      <w:b/>
      <w:vanish w:val="0"/>
      <w:spacing w:val="0"/>
      <w:vertAlign w:val="superscript"/>
    </w:rPr>
  </w:style>
  <w:style w:type="character" w:customStyle="1" w:styleId="IGKindeksgrnyikursywa">
    <w:name w:val="_IG_K_ – indeks górny i kursywa"/>
    <w:basedOn w:val="Domylnaczcionkaakapitu"/>
    <w:uiPriority w:val="2"/>
    <w:qFormat/>
    <w:rsid w:val="000B604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B604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B6047"/>
    <w:rPr>
      <w:b/>
      <w:i/>
      <w:vanish w:val="0"/>
      <w:spacing w:val="0"/>
      <w:vertAlign w:val="subscript"/>
    </w:rPr>
  </w:style>
  <w:style w:type="character" w:customStyle="1" w:styleId="Ppogrubienie">
    <w:name w:val="_P_ – pogrubienie"/>
    <w:basedOn w:val="Domylnaczcionkaakapitu"/>
    <w:uiPriority w:val="1"/>
    <w:qFormat/>
    <w:rsid w:val="000B6047"/>
    <w:rPr>
      <w:b/>
    </w:rPr>
  </w:style>
  <w:style w:type="character" w:customStyle="1" w:styleId="Kkursywa">
    <w:name w:val="_K_ – kursywa"/>
    <w:basedOn w:val="Domylnaczcionkaakapitu"/>
    <w:uiPriority w:val="1"/>
    <w:qFormat/>
    <w:rsid w:val="000B6047"/>
    <w:rPr>
      <w:i/>
    </w:rPr>
  </w:style>
  <w:style w:type="character" w:customStyle="1" w:styleId="PKpogrubieniekursywa">
    <w:name w:val="_P_K_ – pogrubienie kursywa"/>
    <w:basedOn w:val="Domylnaczcionkaakapitu"/>
    <w:uiPriority w:val="1"/>
    <w:qFormat/>
    <w:rsid w:val="000B6047"/>
    <w:rPr>
      <w:b/>
      <w:i/>
    </w:rPr>
  </w:style>
  <w:style w:type="character" w:customStyle="1" w:styleId="TEKSTOZNACZONYWDOKUMENCIERDOWYMJAKOUKRYTY">
    <w:name w:val="_TEKST_OZNACZONY_W_DOKUMENCIE_ŹRÓDŁOWYM_JAKO_UKRYTY_"/>
    <w:basedOn w:val="Domylnaczcionkaakapitu"/>
    <w:uiPriority w:val="4"/>
    <w:unhideWhenUsed/>
    <w:qFormat/>
    <w:rsid w:val="000B6047"/>
    <w:rPr>
      <w:vanish w:val="0"/>
      <w:color w:val="FF0000"/>
      <w:u w:val="single" w:color="FF0000"/>
    </w:rPr>
  </w:style>
  <w:style w:type="character" w:customStyle="1" w:styleId="BEZWERSALIKW">
    <w:name w:val="_BEZ_WERSALIKÓW_"/>
    <w:basedOn w:val="Domylnaczcionkaakapitu"/>
    <w:uiPriority w:val="4"/>
    <w:qFormat/>
    <w:rsid w:val="000B6047"/>
    <w:rPr>
      <w:caps/>
    </w:rPr>
  </w:style>
  <w:style w:type="character" w:customStyle="1" w:styleId="IIGPindeksgrnyindeksugrnegoipogrubienie">
    <w:name w:val="_IIG_P_ – indeks górny indeksu górnego i pogrubienie"/>
    <w:basedOn w:val="Domylnaczcionkaakapitu"/>
    <w:uiPriority w:val="3"/>
    <w:qFormat/>
    <w:rsid w:val="000B604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B604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B6047"/>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0B6047"/>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0B6047"/>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0B6047"/>
    <w:pPr>
      <w:ind w:left="1894"/>
    </w:pPr>
  </w:style>
  <w:style w:type="paragraph" w:customStyle="1" w:styleId="ZZSKARNzmianazmsankcjikarnej">
    <w:name w:val="ZZ/S_KARN – zmiana zm. sankcji karnej"/>
    <w:basedOn w:val="ZZFRAGzmianazmfragmentunpzdania"/>
    <w:uiPriority w:val="71"/>
    <w:qFormat/>
    <w:rsid w:val="000B604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B6047"/>
    <w:pPr>
      <w:ind w:left="2291" w:firstLine="0"/>
    </w:pPr>
  </w:style>
  <w:style w:type="paragraph" w:customStyle="1" w:styleId="WMATFIZCHEMwzrmatfizlubchem">
    <w:name w:val="W_MAT(FIZ|CHEM) – wzór mat. (fiz. lub chem.)"/>
    <w:uiPriority w:val="18"/>
    <w:qFormat/>
    <w:rsid w:val="000B6047"/>
    <w:pPr>
      <w:spacing w:after="0" w:line="360" w:lineRule="auto"/>
      <w:jc w:val="center"/>
    </w:pPr>
    <w:rPr>
      <w:rFonts w:ascii="Times New Roman" w:eastAsiaTheme="minorEastAsia" w:hAnsi="Times New Roman" w:cs="Arial"/>
      <w:kern w:val="0"/>
      <w:sz w:val="24"/>
      <w:szCs w:val="20"/>
      <w:lang w:eastAsia="pl-PL"/>
      <w14:ligatures w14:val="none"/>
    </w:rPr>
  </w:style>
  <w:style w:type="paragraph" w:customStyle="1" w:styleId="LEGWMATFIZCHEMlegendawzorumatfizlubchem">
    <w:name w:val="LEG_W_MAT(FIZ|CHEM) – legenda wzoru mat. (fiz. lub chem.)"/>
    <w:basedOn w:val="WMATFIZCHEMwzrmatfizlubchem"/>
    <w:uiPriority w:val="19"/>
    <w:qFormat/>
    <w:rsid w:val="000B604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B604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B604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B604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B604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B604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B604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B604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B6047"/>
    <w:pPr>
      <w:ind w:left="3085"/>
    </w:pPr>
  </w:style>
  <w:style w:type="paragraph" w:customStyle="1" w:styleId="ZLITCYTzmcytatunpprzysigiliter">
    <w:name w:val="Z_LIT/CYT – zm. cytatu np. przysięgi literą"/>
    <w:basedOn w:val="ZCYTzmcytatunpprzysigiartykuempunktem"/>
    <w:uiPriority w:val="53"/>
    <w:qFormat/>
    <w:rsid w:val="000B6047"/>
    <w:pPr>
      <w:ind w:left="1497"/>
    </w:pPr>
  </w:style>
  <w:style w:type="paragraph" w:customStyle="1" w:styleId="ZTIRCYTzmcytatunpprzysigitiret">
    <w:name w:val="Z_TIR/CYT – zm. cytatu np. przysięgi tiret"/>
    <w:basedOn w:val="ZLITCYTzmcytatunpprzysigiliter"/>
    <w:next w:val="ZTIRUSTzmusttiret"/>
    <w:uiPriority w:val="61"/>
    <w:qFormat/>
    <w:rsid w:val="000B604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B6047"/>
    <w:pPr>
      <w:ind w:left="2291"/>
    </w:pPr>
  </w:style>
  <w:style w:type="paragraph" w:customStyle="1" w:styleId="ZZCYTzmianazmcytatunpprzysigi">
    <w:name w:val="ZZ/CYT – zmiana zm. cytatu np. przysięgi"/>
    <w:basedOn w:val="ZZFRAGzmianazmfragmentunpzdania"/>
    <w:next w:val="ZZUSTzmianazmust"/>
    <w:uiPriority w:val="71"/>
    <w:qFormat/>
    <w:rsid w:val="000B604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B6047"/>
    <w:pPr>
      <w:ind w:left="1780"/>
    </w:pPr>
  </w:style>
  <w:style w:type="table" w:styleId="Tabela-Siatka">
    <w:name w:val="Table Grid"/>
    <w:basedOn w:val="Standardowy"/>
    <w:rsid w:val="000B6047"/>
    <w:pPr>
      <w:spacing w:after="0" w:line="240" w:lineRule="auto"/>
    </w:pPr>
    <w:rPr>
      <w:rFonts w:ascii="Times" w:eastAsia="Times New Roman" w:hAnsi="Times" w:cs="Times New Roman"/>
      <w:kern w:val="0"/>
      <w:sz w:val="24"/>
      <w:szCs w:val="24"/>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0B6047"/>
    <w:pPr>
      <w:widowControl w:val="0"/>
      <w:autoSpaceDE w:val="0"/>
      <w:autoSpaceDN w:val="0"/>
      <w:adjustRightInd w:val="0"/>
      <w:spacing w:after="0" w:line="360" w:lineRule="auto"/>
      <w:jc w:val="both"/>
    </w:pPr>
    <w:rPr>
      <w:rFonts w:ascii="Times" w:eastAsia="Times New Roman" w:hAnsi="Times" w:cs="Times New Roman"/>
      <w:kern w:val="0"/>
      <w:sz w:val="24"/>
      <w:szCs w:val="24"/>
      <w:lang w:eastAsia="pl-P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B6047"/>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B604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B604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0B6047"/>
    <w:rPr>
      <w:color w:val="808080"/>
    </w:rPr>
  </w:style>
  <w:style w:type="paragraph" w:customStyle="1" w:styleId="Notatkanamarginesie">
    <w:name w:val="Notatka na marginesie"/>
    <w:basedOn w:val="Normalny"/>
    <w:qFormat/>
    <w:rsid w:val="000B6047"/>
    <w:pPr>
      <w:spacing w:line="240" w:lineRule="auto"/>
    </w:pPr>
  </w:style>
  <w:style w:type="paragraph" w:styleId="Akapitzlist">
    <w:name w:val="List Paragraph"/>
    <w:aliases w:val="Wyliczanie,List Paragraph,BulletC,A_wyliczenie,K-P_odwolanie,Akapit z listą5,maz_wyliczenie,opis dzialania,Table of contents numbered,Numerowanie,Tytuły tabel i wykresów,Akapit z listą 1,L1,T_SZ_List Paragraph,Dot pt,F5 List Paragraph,lp1"/>
    <w:basedOn w:val="Normalny"/>
    <w:uiPriority w:val="34"/>
    <w:qFormat/>
    <w:rsid w:val="000B6047"/>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0B6047"/>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uiPriority w:val="99"/>
    <w:rsid w:val="000B6047"/>
    <w:rPr>
      <w:rFonts w:ascii="Times" w:eastAsia="Times New Roman" w:hAnsi="Times" w:cs="Times New Roman"/>
      <w:b/>
      <w:kern w:val="0"/>
      <w:sz w:val="26"/>
      <w:szCs w:val="20"/>
      <w:lang w:eastAsia="pl-PL"/>
      <w14:ligatures w14:val="none"/>
    </w:rPr>
  </w:style>
  <w:style w:type="paragraph" w:styleId="Tekstpodstawowywcity3">
    <w:name w:val="Body Text Indent 3"/>
    <w:basedOn w:val="Normalny"/>
    <w:link w:val="Tekstpodstawowywcity3Znak"/>
    <w:uiPriority w:val="99"/>
    <w:rsid w:val="000B6047"/>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uiPriority w:val="99"/>
    <w:rsid w:val="000B6047"/>
    <w:rPr>
      <w:rFonts w:ascii="Times" w:eastAsia="Times New Roman" w:hAnsi="Times" w:cs="Times New Roman"/>
      <w:b/>
      <w:bCs/>
      <w:color w:val="000000"/>
      <w:kern w:val="0"/>
      <w:sz w:val="20"/>
      <w:szCs w:val="24"/>
      <w:lang w:eastAsia="pl-PL"/>
      <w14:ligatures w14:val="none"/>
    </w:rPr>
  </w:style>
  <w:style w:type="paragraph" w:styleId="Tekstprzypisukocowego">
    <w:name w:val="endnote text"/>
    <w:basedOn w:val="Normalny"/>
    <w:link w:val="TekstprzypisukocowegoZnak"/>
    <w:uiPriority w:val="99"/>
    <w:unhideWhenUsed/>
    <w:rsid w:val="000B6047"/>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rsid w:val="000B6047"/>
    <w:rPr>
      <w:rFonts w:ascii="Calibri" w:eastAsia="Calibri" w:hAnsi="Calibri" w:cs="Times New Roman"/>
      <w:kern w:val="0"/>
      <w:sz w:val="20"/>
      <w:szCs w:val="20"/>
      <w:lang w:eastAsia="pl-PL"/>
      <w14:ligatures w14:val="none"/>
    </w:rPr>
  </w:style>
  <w:style w:type="character" w:styleId="Hipercze">
    <w:name w:val="Hyperlink"/>
    <w:basedOn w:val="Domylnaczcionkaakapitu"/>
    <w:uiPriority w:val="99"/>
    <w:unhideWhenUsed/>
    <w:rsid w:val="000B6047"/>
    <w:rPr>
      <w:color w:val="0000FF"/>
      <w:u w:val="single"/>
    </w:rPr>
  </w:style>
  <w:style w:type="paragraph" w:styleId="NormalnyWeb">
    <w:name w:val="Normal (Web)"/>
    <w:basedOn w:val="Normalny"/>
    <w:uiPriority w:val="99"/>
    <w:unhideWhenUsed/>
    <w:rsid w:val="000B6047"/>
    <w:rPr>
      <w:rFonts w:cs="Times New Roman"/>
      <w:szCs w:val="24"/>
    </w:rPr>
  </w:style>
  <w:style w:type="character" w:styleId="Odwoanieprzypisukocowego">
    <w:name w:val="endnote reference"/>
    <w:basedOn w:val="Domylnaczcionkaakapitu"/>
    <w:uiPriority w:val="99"/>
    <w:semiHidden/>
    <w:unhideWhenUsed/>
    <w:rsid w:val="000B6047"/>
    <w:rPr>
      <w:vertAlign w:val="superscript"/>
    </w:rPr>
  </w:style>
  <w:style w:type="character" w:styleId="Numerstrony">
    <w:name w:val="page number"/>
    <w:basedOn w:val="Domylnaczcionkaakapitu"/>
    <w:uiPriority w:val="99"/>
    <w:rsid w:val="000B6047"/>
  </w:style>
  <w:style w:type="character" w:styleId="Numerwiersza">
    <w:name w:val="line number"/>
    <w:basedOn w:val="Domylnaczcionkaakapitu"/>
    <w:uiPriority w:val="99"/>
    <w:rsid w:val="000B6047"/>
  </w:style>
  <w:style w:type="paragraph" w:styleId="Tekstpodstawowy">
    <w:name w:val="Body Text"/>
    <w:basedOn w:val="Normalny"/>
    <w:link w:val="TekstpodstawowyZnak"/>
    <w:uiPriority w:val="99"/>
    <w:rsid w:val="000B6047"/>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0B6047"/>
    <w:rPr>
      <w:rFonts w:ascii="Calibri" w:hAnsi="Calibri"/>
      <w:kern w:val="0"/>
      <w:sz w:val="20"/>
      <w14:ligatures w14:val="none"/>
    </w:rPr>
  </w:style>
  <w:style w:type="paragraph" w:styleId="Tekstpodstawowyzwciciem">
    <w:name w:val="Body Text First Indent"/>
    <w:basedOn w:val="Tekstpodstawowy"/>
    <w:link w:val="TekstpodstawowyzwciciemZnak"/>
    <w:uiPriority w:val="99"/>
    <w:semiHidden/>
    <w:unhideWhenUsed/>
    <w:rsid w:val="000B6047"/>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0B6047"/>
    <w:rPr>
      <w:rFonts w:ascii="Calibri" w:hAnsi="Calibri"/>
      <w:kern w:val="0"/>
      <w:sz w:val="20"/>
      <w14:ligatures w14:val="none"/>
    </w:rPr>
  </w:style>
  <w:style w:type="paragraph" w:styleId="Tekstpodstawowyzwciciem2">
    <w:name w:val="Body Text First Indent 2"/>
    <w:basedOn w:val="Tekstpodstawowywcity"/>
    <w:link w:val="Tekstpodstawowyzwciciem2Znak"/>
    <w:uiPriority w:val="99"/>
    <w:semiHidden/>
    <w:unhideWhenUsed/>
    <w:rsid w:val="000B6047"/>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0B6047"/>
    <w:rPr>
      <w:rFonts w:ascii="Times" w:eastAsia="Times New Roman" w:hAnsi="Times" w:cs="Times New Roman"/>
      <w:b w:val="0"/>
      <w:kern w:val="0"/>
      <w:sz w:val="24"/>
      <w:szCs w:val="20"/>
      <w:lang w:eastAsia="pl-PL"/>
      <w14:ligatures w14:val="none"/>
    </w:rPr>
  </w:style>
  <w:style w:type="paragraph" w:styleId="Tytu">
    <w:name w:val="Title"/>
    <w:basedOn w:val="Normalny"/>
    <w:link w:val="TytuZnak"/>
    <w:uiPriority w:val="99"/>
    <w:qFormat/>
    <w:rsid w:val="000B6047"/>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0B6047"/>
    <w:rPr>
      <w:rFonts w:ascii="Arial" w:eastAsia="Times New Roman" w:hAnsi="Arial"/>
      <w:b/>
      <w:kern w:val="28"/>
      <w:sz w:val="32"/>
      <w14:ligatures w14:val="none"/>
    </w:rPr>
  </w:style>
  <w:style w:type="character" w:styleId="Uwydatnienie">
    <w:name w:val="Emphasis"/>
    <w:basedOn w:val="Domylnaczcionkaakapitu"/>
    <w:qFormat/>
    <w:rsid w:val="000B6047"/>
    <w:rPr>
      <w:i/>
      <w:iCs/>
    </w:rPr>
  </w:style>
  <w:style w:type="paragraph" w:styleId="Poprawka">
    <w:name w:val="Revision"/>
    <w:uiPriority w:val="99"/>
    <w:rsid w:val="000B6047"/>
    <w:pPr>
      <w:spacing w:after="0" w:line="240" w:lineRule="auto"/>
    </w:pPr>
    <w:rPr>
      <w:rFonts w:ascii="Times New Roman" w:eastAsia="Times New Roman" w:hAnsi="Times New Roman" w:cs="Arial"/>
      <w:kern w:val="0"/>
      <w:sz w:val="24"/>
      <w:szCs w:val="20"/>
      <w:lang w:eastAsia="pl-PL"/>
      <w14:ligatures w14:val="none"/>
    </w:rPr>
  </w:style>
  <w:style w:type="character" w:styleId="UyteHipercze">
    <w:name w:val="FollowedHyperlink"/>
    <w:basedOn w:val="Domylnaczcionkaakapitu"/>
    <w:uiPriority w:val="99"/>
    <w:semiHidden/>
    <w:unhideWhenUsed/>
    <w:rsid w:val="000B6047"/>
    <w:rPr>
      <w:color w:val="954F72" w:themeColor="followedHyperlink"/>
      <w:u w:val="single"/>
    </w:rPr>
  </w:style>
  <w:style w:type="paragraph" w:styleId="Podtytu">
    <w:name w:val="Subtitle"/>
    <w:basedOn w:val="Normalny"/>
    <w:next w:val="Normalny"/>
    <w:link w:val="PodtytuZnak"/>
    <w:uiPriority w:val="11"/>
    <w:qFormat/>
    <w:rsid w:val="000B6047"/>
    <w:pPr>
      <w:widowControl/>
      <w:autoSpaceDE/>
      <w:autoSpaceDN/>
      <w:adjustRightInd/>
      <w:spacing w:before="0" w:after="60" w:line="240" w:lineRule="auto"/>
      <w:jc w:val="center"/>
      <w:outlineLvl w:val="1"/>
    </w:pPr>
    <w:rPr>
      <w:rFonts w:ascii="Calibri Light" w:eastAsia="Times New Roman" w:hAnsi="Calibri Light" w:cs="Times New Roman"/>
      <w:sz w:val="24"/>
      <w:szCs w:val="24"/>
    </w:rPr>
  </w:style>
  <w:style w:type="character" w:customStyle="1" w:styleId="PodtytuZnak">
    <w:name w:val="Podtytuł Znak"/>
    <w:basedOn w:val="Domylnaczcionkaakapitu"/>
    <w:link w:val="Podtytu"/>
    <w:uiPriority w:val="11"/>
    <w:rsid w:val="000B6047"/>
    <w:rPr>
      <w:rFonts w:ascii="Calibri Light" w:eastAsia="Times New Roman" w:hAnsi="Calibri Light" w:cs="Times New Roman"/>
      <w:kern w:val="0"/>
      <w:sz w:val="24"/>
      <w:szCs w:val="24"/>
      <w:lang w:eastAsia="pl-PL"/>
      <w14:ligatures w14:val="none"/>
    </w:rPr>
  </w:style>
  <w:style w:type="paragraph" w:customStyle="1" w:styleId="tytu0">
    <w:name w:val="tytuł"/>
    <w:basedOn w:val="Normalny"/>
    <w:rsid w:val="000B6047"/>
    <w:pPr>
      <w:widowControl/>
      <w:suppressLineNumbers/>
      <w:overflowPunct w:val="0"/>
      <w:spacing w:before="80" w:after="80" w:line="240" w:lineRule="auto"/>
      <w:jc w:val="center"/>
      <w:textAlignment w:val="baseline"/>
    </w:pPr>
    <w:rPr>
      <w:rFonts w:ascii="Times New Roman" w:eastAsia="Times New Roman" w:hAnsi="Times New Roman" w:cs="Times New Roman"/>
      <w:b/>
      <w:sz w:val="24"/>
    </w:rPr>
  </w:style>
  <w:style w:type="paragraph" w:customStyle="1" w:styleId="tiret">
    <w:name w:val="tiret"/>
    <w:basedOn w:val="Normalny"/>
    <w:next w:val="Normalny"/>
    <w:qFormat/>
    <w:rsid w:val="000B6047"/>
    <w:pPr>
      <w:widowControl/>
      <w:autoSpaceDE/>
      <w:autoSpaceDN/>
      <w:adjustRightInd/>
      <w:spacing w:before="60" w:after="60" w:line="240" w:lineRule="auto"/>
      <w:ind w:left="1276" w:hanging="340"/>
      <w:outlineLvl w:val="5"/>
    </w:pPr>
    <w:rPr>
      <w:rFonts w:ascii="Times New Roman" w:eastAsiaTheme="minorHAnsi" w:hAnsi="Times New Roman" w:cstheme="minorBidi"/>
      <w:sz w:val="24"/>
      <w:szCs w:val="22"/>
      <w:lang w:eastAsia="en-US"/>
    </w:rPr>
  </w:style>
  <w:style w:type="paragraph" w:customStyle="1" w:styleId="tekst">
    <w:name w:val="tekst"/>
    <w:basedOn w:val="Normalny"/>
    <w:rsid w:val="000B6047"/>
    <w:pPr>
      <w:widowControl/>
      <w:overflowPunct w:val="0"/>
      <w:spacing w:before="0" w:after="80" w:line="240" w:lineRule="auto"/>
      <w:textAlignment w:val="baseline"/>
    </w:pPr>
    <w:rPr>
      <w:rFonts w:ascii="Times New Roman" w:eastAsia="Times New Roman" w:hAnsi="Times New Roman" w:cs="Times New Roman"/>
      <w:sz w:val="24"/>
    </w:rPr>
  </w:style>
  <w:style w:type="character" w:customStyle="1" w:styleId="highlight">
    <w:name w:val="highlight"/>
    <w:basedOn w:val="Domylnaczcionkaakapitu"/>
    <w:rsid w:val="00812844"/>
  </w:style>
  <w:style w:type="character" w:customStyle="1" w:styleId="cf01">
    <w:name w:val="cf01"/>
    <w:basedOn w:val="Domylnaczcionkaakapitu"/>
    <w:rsid w:val="00812844"/>
    <w:rPr>
      <w:rFonts w:ascii="Segoe UI" w:hAnsi="Segoe UI" w:cs="Segoe UI" w:hint="default"/>
      <w:color w:val="333333"/>
      <w:sz w:val="18"/>
      <w:szCs w:val="18"/>
      <w:shd w:val="clear" w:color="auto" w:fill="FFFFFF"/>
    </w:rPr>
  </w:style>
  <w:style w:type="character" w:customStyle="1" w:styleId="Nierozpoznanawzmianka1">
    <w:name w:val="Nierozpoznana wzmianka1"/>
    <w:basedOn w:val="Domylnaczcionkaakapitu"/>
    <w:uiPriority w:val="99"/>
    <w:semiHidden/>
    <w:unhideWhenUsed/>
    <w:rsid w:val="000C4A76"/>
    <w:rPr>
      <w:color w:val="605E5C"/>
      <w:shd w:val="clear" w:color="auto" w:fill="E1DFDD"/>
    </w:rPr>
  </w:style>
  <w:style w:type="character" w:customStyle="1" w:styleId="highlight-disabled">
    <w:name w:val="highlight-disabled"/>
    <w:basedOn w:val="Domylnaczcionkaakapitu"/>
    <w:rsid w:val="001C7228"/>
  </w:style>
  <w:style w:type="character" w:customStyle="1" w:styleId="footnote">
    <w:name w:val="footnote"/>
    <w:basedOn w:val="Domylnaczcionkaakapitu"/>
    <w:rsid w:val="00AB29F6"/>
  </w:style>
  <w:style w:type="character" w:customStyle="1" w:styleId="ui-provider">
    <w:name w:val="ui-provider"/>
    <w:basedOn w:val="Domylnaczcionkaakapitu"/>
    <w:rsid w:val="00FD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240999">
      <w:bodyDiv w:val="1"/>
      <w:marLeft w:val="0"/>
      <w:marRight w:val="0"/>
      <w:marTop w:val="0"/>
      <w:marBottom w:val="0"/>
      <w:divBdr>
        <w:top w:val="none" w:sz="0" w:space="0" w:color="auto"/>
        <w:left w:val="none" w:sz="0" w:space="0" w:color="auto"/>
        <w:bottom w:val="none" w:sz="0" w:space="0" w:color="auto"/>
        <w:right w:val="none" w:sz="0" w:space="0" w:color="auto"/>
      </w:divBdr>
      <w:divsChild>
        <w:div w:id="1069420935">
          <w:marLeft w:val="0"/>
          <w:marRight w:val="0"/>
          <w:marTop w:val="0"/>
          <w:marBottom w:val="0"/>
          <w:divBdr>
            <w:top w:val="none" w:sz="0" w:space="0" w:color="auto"/>
            <w:left w:val="none" w:sz="0" w:space="0" w:color="auto"/>
            <w:bottom w:val="none" w:sz="0" w:space="0" w:color="auto"/>
            <w:right w:val="none" w:sz="0" w:space="0" w:color="auto"/>
          </w:divBdr>
          <w:divsChild>
            <w:div w:id="248195920">
              <w:marLeft w:val="0"/>
              <w:marRight w:val="0"/>
              <w:marTop w:val="105"/>
              <w:marBottom w:val="0"/>
              <w:divBdr>
                <w:top w:val="none" w:sz="0" w:space="0" w:color="auto"/>
                <w:left w:val="none" w:sz="0" w:space="0" w:color="auto"/>
                <w:bottom w:val="none" w:sz="0" w:space="0" w:color="auto"/>
                <w:right w:val="none" w:sz="0" w:space="0" w:color="auto"/>
              </w:divBdr>
            </w:div>
            <w:div w:id="1242446731">
              <w:marLeft w:val="0"/>
              <w:marRight w:val="0"/>
              <w:marTop w:val="0"/>
              <w:marBottom w:val="0"/>
              <w:divBdr>
                <w:top w:val="none" w:sz="0" w:space="0" w:color="auto"/>
                <w:left w:val="none" w:sz="0" w:space="0" w:color="auto"/>
                <w:bottom w:val="none" w:sz="0" w:space="0" w:color="auto"/>
                <w:right w:val="none" w:sz="0" w:space="0" w:color="auto"/>
              </w:divBdr>
              <w:divsChild>
                <w:div w:id="606422456">
                  <w:marLeft w:val="255"/>
                  <w:marRight w:val="0"/>
                  <w:marTop w:val="0"/>
                  <w:marBottom w:val="0"/>
                  <w:divBdr>
                    <w:top w:val="none" w:sz="0" w:space="0" w:color="auto"/>
                    <w:left w:val="none" w:sz="0" w:space="0" w:color="auto"/>
                    <w:bottom w:val="none" w:sz="0" w:space="0" w:color="auto"/>
                    <w:right w:val="none" w:sz="0" w:space="0" w:color="auto"/>
                  </w:divBdr>
                </w:div>
              </w:divsChild>
            </w:div>
            <w:div w:id="2102751458">
              <w:marLeft w:val="0"/>
              <w:marRight w:val="0"/>
              <w:marTop w:val="0"/>
              <w:marBottom w:val="0"/>
              <w:divBdr>
                <w:top w:val="none" w:sz="0" w:space="0" w:color="auto"/>
                <w:left w:val="none" w:sz="0" w:space="0" w:color="auto"/>
                <w:bottom w:val="none" w:sz="0" w:space="0" w:color="auto"/>
                <w:right w:val="none" w:sz="0" w:space="0" w:color="auto"/>
              </w:divBdr>
              <w:divsChild>
                <w:div w:id="1754352145">
                  <w:marLeft w:val="255"/>
                  <w:marRight w:val="0"/>
                  <w:marTop w:val="0"/>
                  <w:marBottom w:val="0"/>
                  <w:divBdr>
                    <w:top w:val="none" w:sz="0" w:space="0" w:color="auto"/>
                    <w:left w:val="none" w:sz="0" w:space="0" w:color="auto"/>
                    <w:bottom w:val="none" w:sz="0" w:space="0" w:color="auto"/>
                    <w:right w:val="none" w:sz="0" w:space="0" w:color="auto"/>
                  </w:divBdr>
                </w:div>
              </w:divsChild>
            </w:div>
            <w:div w:id="1593470093">
              <w:marLeft w:val="0"/>
              <w:marRight w:val="0"/>
              <w:marTop w:val="0"/>
              <w:marBottom w:val="0"/>
              <w:divBdr>
                <w:top w:val="none" w:sz="0" w:space="0" w:color="auto"/>
                <w:left w:val="none" w:sz="0" w:space="0" w:color="auto"/>
                <w:bottom w:val="none" w:sz="0" w:space="0" w:color="auto"/>
                <w:right w:val="none" w:sz="0" w:space="0" w:color="auto"/>
              </w:divBdr>
              <w:divsChild>
                <w:div w:id="761950845">
                  <w:marLeft w:val="255"/>
                  <w:marRight w:val="0"/>
                  <w:marTop w:val="0"/>
                  <w:marBottom w:val="0"/>
                  <w:divBdr>
                    <w:top w:val="none" w:sz="0" w:space="0" w:color="auto"/>
                    <w:left w:val="none" w:sz="0" w:space="0" w:color="auto"/>
                    <w:bottom w:val="none" w:sz="0" w:space="0" w:color="auto"/>
                    <w:right w:val="none" w:sz="0" w:space="0" w:color="auto"/>
                  </w:divBdr>
                </w:div>
              </w:divsChild>
            </w:div>
            <w:div w:id="1162282624">
              <w:marLeft w:val="0"/>
              <w:marRight w:val="0"/>
              <w:marTop w:val="0"/>
              <w:marBottom w:val="0"/>
              <w:divBdr>
                <w:top w:val="none" w:sz="0" w:space="0" w:color="auto"/>
                <w:left w:val="none" w:sz="0" w:space="0" w:color="auto"/>
                <w:bottom w:val="none" w:sz="0" w:space="0" w:color="auto"/>
                <w:right w:val="none" w:sz="0" w:space="0" w:color="auto"/>
              </w:divBdr>
              <w:divsChild>
                <w:div w:id="123236201">
                  <w:marLeft w:val="255"/>
                  <w:marRight w:val="0"/>
                  <w:marTop w:val="0"/>
                  <w:marBottom w:val="0"/>
                  <w:divBdr>
                    <w:top w:val="none" w:sz="0" w:space="0" w:color="auto"/>
                    <w:left w:val="none" w:sz="0" w:space="0" w:color="auto"/>
                    <w:bottom w:val="none" w:sz="0" w:space="0" w:color="auto"/>
                    <w:right w:val="none" w:sz="0" w:space="0" w:color="auto"/>
                  </w:divBdr>
                </w:div>
              </w:divsChild>
            </w:div>
            <w:div w:id="1778712831">
              <w:marLeft w:val="0"/>
              <w:marRight w:val="0"/>
              <w:marTop w:val="0"/>
              <w:marBottom w:val="0"/>
              <w:divBdr>
                <w:top w:val="none" w:sz="0" w:space="0" w:color="auto"/>
                <w:left w:val="none" w:sz="0" w:space="0" w:color="auto"/>
                <w:bottom w:val="none" w:sz="0" w:space="0" w:color="auto"/>
                <w:right w:val="none" w:sz="0" w:space="0" w:color="auto"/>
              </w:divBdr>
              <w:divsChild>
                <w:div w:id="165428752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42369209">
          <w:marLeft w:val="0"/>
          <w:marRight w:val="0"/>
          <w:marTop w:val="0"/>
          <w:marBottom w:val="0"/>
          <w:divBdr>
            <w:top w:val="none" w:sz="0" w:space="0" w:color="auto"/>
            <w:left w:val="none" w:sz="0" w:space="0" w:color="auto"/>
            <w:bottom w:val="none" w:sz="0" w:space="0" w:color="auto"/>
            <w:right w:val="none" w:sz="0" w:space="0" w:color="auto"/>
          </w:divBdr>
          <w:divsChild>
            <w:div w:id="1729721394">
              <w:marLeft w:val="0"/>
              <w:marRight w:val="0"/>
              <w:marTop w:val="105"/>
              <w:marBottom w:val="0"/>
              <w:divBdr>
                <w:top w:val="none" w:sz="0" w:space="0" w:color="auto"/>
                <w:left w:val="none" w:sz="0" w:space="0" w:color="auto"/>
                <w:bottom w:val="none" w:sz="0" w:space="0" w:color="auto"/>
                <w:right w:val="none" w:sz="0" w:space="0" w:color="auto"/>
              </w:divBdr>
            </w:div>
            <w:div w:id="2061439345">
              <w:marLeft w:val="0"/>
              <w:marRight w:val="0"/>
              <w:marTop w:val="0"/>
              <w:marBottom w:val="0"/>
              <w:divBdr>
                <w:top w:val="none" w:sz="0" w:space="0" w:color="auto"/>
                <w:left w:val="none" w:sz="0" w:space="0" w:color="auto"/>
                <w:bottom w:val="none" w:sz="0" w:space="0" w:color="auto"/>
                <w:right w:val="none" w:sz="0" w:space="0" w:color="auto"/>
              </w:divBdr>
              <w:divsChild>
                <w:div w:id="997342522">
                  <w:marLeft w:val="255"/>
                  <w:marRight w:val="0"/>
                  <w:marTop w:val="0"/>
                  <w:marBottom w:val="0"/>
                  <w:divBdr>
                    <w:top w:val="none" w:sz="0" w:space="0" w:color="auto"/>
                    <w:left w:val="none" w:sz="0" w:space="0" w:color="auto"/>
                    <w:bottom w:val="none" w:sz="0" w:space="0" w:color="auto"/>
                    <w:right w:val="none" w:sz="0" w:space="0" w:color="auto"/>
                  </w:divBdr>
                </w:div>
              </w:divsChild>
            </w:div>
            <w:div w:id="286549121">
              <w:marLeft w:val="0"/>
              <w:marRight w:val="0"/>
              <w:marTop w:val="0"/>
              <w:marBottom w:val="0"/>
              <w:divBdr>
                <w:top w:val="none" w:sz="0" w:space="0" w:color="auto"/>
                <w:left w:val="none" w:sz="0" w:space="0" w:color="auto"/>
                <w:bottom w:val="none" w:sz="0" w:space="0" w:color="auto"/>
                <w:right w:val="none" w:sz="0" w:space="0" w:color="auto"/>
              </w:divBdr>
              <w:divsChild>
                <w:div w:id="597058407">
                  <w:marLeft w:val="255"/>
                  <w:marRight w:val="0"/>
                  <w:marTop w:val="0"/>
                  <w:marBottom w:val="0"/>
                  <w:divBdr>
                    <w:top w:val="none" w:sz="0" w:space="0" w:color="auto"/>
                    <w:left w:val="none" w:sz="0" w:space="0" w:color="auto"/>
                    <w:bottom w:val="none" w:sz="0" w:space="0" w:color="auto"/>
                    <w:right w:val="none" w:sz="0" w:space="0" w:color="auto"/>
                  </w:divBdr>
                </w:div>
              </w:divsChild>
            </w:div>
            <w:div w:id="1971085868">
              <w:marLeft w:val="0"/>
              <w:marRight w:val="0"/>
              <w:marTop w:val="0"/>
              <w:marBottom w:val="0"/>
              <w:divBdr>
                <w:top w:val="none" w:sz="0" w:space="0" w:color="auto"/>
                <w:left w:val="none" w:sz="0" w:space="0" w:color="auto"/>
                <w:bottom w:val="none" w:sz="0" w:space="0" w:color="auto"/>
                <w:right w:val="none" w:sz="0" w:space="0" w:color="auto"/>
              </w:divBdr>
              <w:divsChild>
                <w:div w:id="1604260501">
                  <w:marLeft w:val="255"/>
                  <w:marRight w:val="0"/>
                  <w:marTop w:val="0"/>
                  <w:marBottom w:val="0"/>
                  <w:divBdr>
                    <w:top w:val="none" w:sz="0" w:space="0" w:color="auto"/>
                    <w:left w:val="none" w:sz="0" w:space="0" w:color="auto"/>
                    <w:bottom w:val="none" w:sz="0" w:space="0" w:color="auto"/>
                    <w:right w:val="none" w:sz="0" w:space="0" w:color="auto"/>
                  </w:divBdr>
                </w:div>
              </w:divsChild>
            </w:div>
            <w:div w:id="936210621">
              <w:marLeft w:val="0"/>
              <w:marRight w:val="0"/>
              <w:marTop w:val="0"/>
              <w:marBottom w:val="0"/>
              <w:divBdr>
                <w:top w:val="none" w:sz="0" w:space="0" w:color="auto"/>
                <w:left w:val="none" w:sz="0" w:space="0" w:color="auto"/>
                <w:bottom w:val="none" w:sz="0" w:space="0" w:color="auto"/>
                <w:right w:val="none" w:sz="0" w:space="0" w:color="auto"/>
              </w:divBdr>
              <w:divsChild>
                <w:div w:id="1418866406">
                  <w:marLeft w:val="255"/>
                  <w:marRight w:val="0"/>
                  <w:marTop w:val="0"/>
                  <w:marBottom w:val="0"/>
                  <w:divBdr>
                    <w:top w:val="none" w:sz="0" w:space="0" w:color="auto"/>
                    <w:left w:val="none" w:sz="0" w:space="0" w:color="auto"/>
                    <w:bottom w:val="none" w:sz="0" w:space="0" w:color="auto"/>
                    <w:right w:val="none" w:sz="0" w:space="0" w:color="auto"/>
                  </w:divBdr>
                </w:div>
              </w:divsChild>
            </w:div>
            <w:div w:id="854196573">
              <w:marLeft w:val="0"/>
              <w:marRight w:val="0"/>
              <w:marTop w:val="0"/>
              <w:marBottom w:val="0"/>
              <w:divBdr>
                <w:top w:val="none" w:sz="0" w:space="0" w:color="auto"/>
                <w:left w:val="none" w:sz="0" w:space="0" w:color="auto"/>
                <w:bottom w:val="none" w:sz="0" w:space="0" w:color="auto"/>
                <w:right w:val="none" w:sz="0" w:space="0" w:color="auto"/>
              </w:divBdr>
              <w:divsChild>
                <w:div w:id="855845305">
                  <w:marLeft w:val="255"/>
                  <w:marRight w:val="0"/>
                  <w:marTop w:val="0"/>
                  <w:marBottom w:val="0"/>
                  <w:divBdr>
                    <w:top w:val="none" w:sz="0" w:space="0" w:color="auto"/>
                    <w:left w:val="none" w:sz="0" w:space="0" w:color="auto"/>
                    <w:bottom w:val="none" w:sz="0" w:space="0" w:color="auto"/>
                    <w:right w:val="none" w:sz="0" w:space="0" w:color="auto"/>
                  </w:divBdr>
                </w:div>
              </w:divsChild>
            </w:div>
            <w:div w:id="1506019744">
              <w:marLeft w:val="0"/>
              <w:marRight w:val="0"/>
              <w:marTop w:val="0"/>
              <w:marBottom w:val="0"/>
              <w:divBdr>
                <w:top w:val="none" w:sz="0" w:space="0" w:color="auto"/>
                <w:left w:val="none" w:sz="0" w:space="0" w:color="auto"/>
                <w:bottom w:val="none" w:sz="0" w:space="0" w:color="auto"/>
                <w:right w:val="none" w:sz="0" w:space="0" w:color="auto"/>
              </w:divBdr>
              <w:divsChild>
                <w:div w:id="161717212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890416686">
          <w:marLeft w:val="0"/>
          <w:marRight w:val="0"/>
          <w:marTop w:val="0"/>
          <w:marBottom w:val="0"/>
          <w:divBdr>
            <w:top w:val="none" w:sz="0" w:space="0" w:color="auto"/>
            <w:left w:val="none" w:sz="0" w:space="0" w:color="auto"/>
            <w:bottom w:val="none" w:sz="0" w:space="0" w:color="auto"/>
            <w:right w:val="none" w:sz="0" w:space="0" w:color="auto"/>
          </w:divBdr>
          <w:divsChild>
            <w:div w:id="912786745">
              <w:marLeft w:val="0"/>
              <w:marRight w:val="0"/>
              <w:marTop w:val="105"/>
              <w:marBottom w:val="0"/>
              <w:divBdr>
                <w:top w:val="none" w:sz="0" w:space="0" w:color="auto"/>
                <w:left w:val="none" w:sz="0" w:space="0" w:color="auto"/>
                <w:bottom w:val="none" w:sz="0" w:space="0" w:color="auto"/>
                <w:right w:val="none" w:sz="0" w:space="0" w:color="auto"/>
              </w:divBdr>
            </w:div>
            <w:div w:id="1599867858">
              <w:marLeft w:val="0"/>
              <w:marRight w:val="0"/>
              <w:marTop w:val="0"/>
              <w:marBottom w:val="0"/>
              <w:divBdr>
                <w:top w:val="none" w:sz="0" w:space="0" w:color="auto"/>
                <w:left w:val="none" w:sz="0" w:space="0" w:color="auto"/>
                <w:bottom w:val="none" w:sz="0" w:space="0" w:color="auto"/>
                <w:right w:val="none" w:sz="0" w:space="0" w:color="auto"/>
              </w:divBdr>
              <w:divsChild>
                <w:div w:id="1720783372">
                  <w:marLeft w:val="255"/>
                  <w:marRight w:val="0"/>
                  <w:marTop w:val="0"/>
                  <w:marBottom w:val="0"/>
                  <w:divBdr>
                    <w:top w:val="none" w:sz="0" w:space="0" w:color="auto"/>
                    <w:left w:val="none" w:sz="0" w:space="0" w:color="auto"/>
                    <w:bottom w:val="none" w:sz="0" w:space="0" w:color="auto"/>
                    <w:right w:val="none" w:sz="0" w:space="0" w:color="auto"/>
                  </w:divBdr>
                </w:div>
              </w:divsChild>
            </w:div>
            <w:div w:id="29652370">
              <w:marLeft w:val="0"/>
              <w:marRight w:val="0"/>
              <w:marTop w:val="0"/>
              <w:marBottom w:val="0"/>
              <w:divBdr>
                <w:top w:val="none" w:sz="0" w:space="0" w:color="auto"/>
                <w:left w:val="none" w:sz="0" w:space="0" w:color="auto"/>
                <w:bottom w:val="none" w:sz="0" w:space="0" w:color="auto"/>
                <w:right w:val="none" w:sz="0" w:space="0" w:color="auto"/>
              </w:divBdr>
              <w:divsChild>
                <w:div w:id="2005893042">
                  <w:marLeft w:val="255"/>
                  <w:marRight w:val="0"/>
                  <w:marTop w:val="0"/>
                  <w:marBottom w:val="0"/>
                  <w:divBdr>
                    <w:top w:val="none" w:sz="0" w:space="0" w:color="auto"/>
                    <w:left w:val="none" w:sz="0" w:space="0" w:color="auto"/>
                    <w:bottom w:val="none" w:sz="0" w:space="0" w:color="auto"/>
                    <w:right w:val="none" w:sz="0" w:space="0" w:color="auto"/>
                  </w:divBdr>
                </w:div>
              </w:divsChild>
            </w:div>
            <w:div w:id="2006517092">
              <w:marLeft w:val="0"/>
              <w:marRight w:val="0"/>
              <w:marTop w:val="0"/>
              <w:marBottom w:val="0"/>
              <w:divBdr>
                <w:top w:val="none" w:sz="0" w:space="0" w:color="auto"/>
                <w:left w:val="none" w:sz="0" w:space="0" w:color="auto"/>
                <w:bottom w:val="none" w:sz="0" w:space="0" w:color="auto"/>
                <w:right w:val="none" w:sz="0" w:space="0" w:color="auto"/>
              </w:divBdr>
              <w:divsChild>
                <w:div w:id="48264674">
                  <w:marLeft w:val="255"/>
                  <w:marRight w:val="0"/>
                  <w:marTop w:val="0"/>
                  <w:marBottom w:val="0"/>
                  <w:divBdr>
                    <w:top w:val="none" w:sz="0" w:space="0" w:color="auto"/>
                    <w:left w:val="none" w:sz="0" w:space="0" w:color="auto"/>
                    <w:bottom w:val="none" w:sz="0" w:space="0" w:color="auto"/>
                    <w:right w:val="none" w:sz="0" w:space="0" w:color="auto"/>
                  </w:divBdr>
                </w:div>
              </w:divsChild>
            </w:div>
            <w:div w:id="120347022">
              <w:marLeft w:val="0"/>
              <w:marRight w:val="0"/>
              <w:marTop w:val="0"/>
              <w:marBottom w:val="0"/>
              <w:divBdr>
                <w:top w:val="none" w:sz="0" w:space="0" w:color="auto"/>
                <w:left w:val="none" w:sz="0" w:space="0" w:color="auto"/>
                <w:bottom w:val="none" w:sz="0" w:space="0" w:color="auto"/>
                <w:right w:val="none" w:sz="0" w:space="0" w:color="auto"/>
              </w:divBdr>
              <w:divsChild>
                <w:div w:id="1699966927">
                  <w:marLeft w:val="255"/>
                  <w:marRight w:val="0"/>
                  <w:marTop w:val="0"/>
                  <w:marBottom w:val="0"/>
                  <w:divBdr>
                    <w:top w:val="none" w:sz="0" w:space="0" w:color="auto"/>
                    <w:left w:val="none" w:sz="0" w:space="0" w:color="auto"/>
                    <w:bottom w:val="none" w:sz="0" w:space="0" w:color="auto"/>
                    <w:right w:val="none" w:sz="0" w:space="0" w:color="auto"/>
                  </w:divBdr>
                </w:div>
              </w:divsChild>
            </w:div>
            <w:div w:id="1030036328">
              <w:marLeft w:val="0"/>
              <w:marRight w:val="0"/>
              <w:marTop w:val="0"/>
              <w:marBottom w:val="0"/>
              <w:divBdr>
                <w:top w:val="none" w:sz="0" w:space="0" w:color="auto"/>
                <w:left w:val="none" w:sz="0" w:space="0" w:color="auto"/>
                <w:bottom w:val="none" w:sz="0" w:space="0" w:color="auto"/>
                <w:right w:val="none" w:sz="0" w:space="0" w:color="auto"/>
              </w:divBdr>
              <w:divsChild>
                <w:div w:id="964889152">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12992062">
          <w:marLeft w:val="0"/>
          <w:marRight w:val="0"/>
          <w:marTop w:val="0"/>
          <w:marBottom w:val="0"/>
          <w:divBdr>
            <w:top w:val="none" w:sz="0" w:space="0" w:color="auto"/>
            <w:left w:val="none" w:sz="0" w:space="0" w:color="auto"/>
            <w:bottom w:val="none" w:sz="0" w:space="0" w:color="auto"/>
            <w:right w:val="none" w:sz="0" w:space="0" w:color="auto"/>
          </w:divBdr>
          <w:divsChild>
            <w:div w:id="693116291">
              <w:marLeft w:val="0"/>
              <w:marRight w:val="0"/>
              <w:marTop w:val="105"/>
              <w:marBottom w:val="0"/>
              <w:divBdr>
                <w:top w:val="none" w:sz="0" w:space="0" w:color="auto"/>
                <w:left w:val="none" w:sz="0" w:space="0" w:color="auto"/>
                <w:bottom w:val="none" w:sz="0" w:space="0" w:color="auto"/>
                <w:right w:val="none" w:sz="0" w:space="0" w:color="auto"/>
              </w:divBdr>
            </w:div>
          </w:divsChild>
        </w:div>
        <w:div w:id="1482964021">
          <w:marLeft w:val="0"/>
          <w:marRight w:val="0"/>
          <w:marTop w:val="0"/>
          <w:marBottom w:val="0"/>
          <w:divBdr>
            <w:top w:val="none" w:sz="0" w:space="0" w:color="auto"/>
            <w:left w:val="none" w:sz="0" w:space="0" w:color="auto"/>
            <w:bottom w:val="none" w:sz="0" w:space="0" w:color="auto"/>
            <w:right w:val="none" w:sz="0" w:space="0" w:color="auto"/>
          </w:divBdr>
          <w:divsChild>
            <w:div w:id="976498390">
              <w:marLeft w:val="0"/>
              <w:marRight w:val="0"/>
              <w:marTop w:val="105"/>
              <w:marBottom w:val="0"/>
              <w:divBdr>
                <w:top w:val="none" w:sz="0" w:space="0" w:color="auto"/>
                <w:left w:val="none" w:sz="0" w:space="0" w:color="auto"/>
                <w:bottom w:val="none" w:sz="0" w:space="0" w:color="auto"/>
                <w:right w:val="none" w:sz="0" w:space="0" w:color="auto"/>
              </w:divBdr>
            </w:div>
          </w:divsChild>
        </w:div>
        <w:div w:id="642657644">
          <w:marLeft w:val="0"/>
          <w:marRight w:val="0"/>
          <w:marTop w:val="0"/>
          <w:marBottom w:val="0"/>
          <w:divBdr>
            <w:top w:val="none" w:sz="0" w:space="0" w:color="auto"/>
            <w:left w:val="none" w:sz="0" w:space="0" w:color="auto"/>
            <w:bottom w:val="none" w:sz="0" w:space="0" w:color="auto"/>
            <w:right w:val="none" w:sz="0" w:space="0" w:color="auto"/>
          </w:divBdr>
          <w:divsChild>
            <w:div w:id="151141002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12341185">
      <w:bodyDiv w:val="1"/>
      <w:marLeft w:val="0"/>
      <w:marRight w:val="0"/>
      <w:marTop w:val="0"/>
      <w:marBottom w:val="0"/>
      <w:divBdr>
        <w:top w:val="none" w:sz="0" w:space="0" w:color="auto"/>
        <w:left w:val="none" w:sz="0" w:space="0" w:color="auto"/>
        <w:bottom w:val="none" w:sz="0" w:space="0" w:color="auto"/>
        <w:right w:val="none" w:sz="0" w:space="0" w:color="auto"/>
      </w:divBdr>
    </w:div>
    <w:div w:id="207835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23be030-83f1-452f-a933-003be82a47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A9E193A559FC04B8F4A26AD569210C0" ma:contentTypeVersion="14" ma:contentTypeDescription="Utwórz nowy dokument." ma:contentTypeScope="" ma:versionID="b63063e63b27187a760931f15ecd83e6">
  <xsd:schema xmlns:xsd="http://www.w3.org/2001/XMLSchema" xmlns:xs="http://www.w3.org/2001/XMLSchema" xmlns:p="http://schemas.microsoft.com/office/2006/metadata/properties" xmlns:ns3="423be030-83f1-452f-a933-003be82a4740" xmlns:ns4="c84d6b99-2b6f-493f-8e5b-774acb40c23e" targetNamespace="http://schemas.microsoft.com/office/2006/metadata/properties" ma:root="true" ma:fieldsID="0a60cf6680b538e4b77172cf5b644b14" ns3:_="" ns4:_="">
    <xsd:import namespace="423be030-83f1-452f-a933-003be82a4740"/>
    <xsd:import namespace="c84d6b99-2b6f-493f-8e5b-774acb40c23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e030-83f1-452f-a933-003be82a4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4d6b99-2b6f-493f-8e5b-774acb40c23e"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3DC8F-EE78-4C6C-884D-304CBBD625B6}">
  <ds:schemaRefs>
    <ds:schemaRef ds:uri="http://schemas.microsoft.com/office/2006/metadata/properties"/>
    <ds:schemaRef ds:uri="http://schemas.microsoft.com/office/infopath/2007/PartnerControls"/>
    <ds:schemaRef ds:uri="423be030-83f1-452f-a933-003be82a4740"/>
  </ds:schemaRefs>
</ds:datastoreItem>
</file>

<file path=customXml/itemProps2.xml><?xml version="1.0" encoding="utf-8"?>
<ds:datastoreItem xmlns:ds="http://schemas.openxmlformats.org/officeDocument/2006/customXml" ds:itemID="{0DD189E9-7706-4BE1-927F-DEE4CD580249}">
  <ds:schemaRefs>
    <ds:schemaRef ds:uri="http://schemas.microsoft.com/sharepoint/v3/contenttype/forms"/>
  </ds:schemaRefs>
</ds:datastoreItem>
</file>

<file path=customXml/itemProps3.xml><?xml version="1.0" encoding="utf-8"?>
<ds:datastoreItem xmlns:ds="http://schemas.openxmlformats.org/officeDocument/2006/customXml" ds:itemID="{F7E5CDD8-0392-4FEC-B529-814E59828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e030-83f1-452f-a933-003be82a4740"/>
    <ds:schemaRef ds:uri="c84d6b99-2b6f-493f-8e5b-774acb40c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2F29D4-1ABC-49DD-962E-436188E3E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3685</Words>
  <Characters>22116</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Grzegorz Molesztak</cp:lastModifiedBy>
  <cp:revision>2</cp:revision>
  <cp:lastPrinted>2023-04-28T09:05:00Z</cp:lastPrinted>
  <dcterms:created xsi:type="dcterms:W3CDTF">2023-05-18T22:22:00Z</dcterms:created>
  <dcterms:modified xsi:type="dcterms:W3CDTF">2023-05-23T12:01:00Z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0x0101004A9E193A559FC04B8F4A26AD569210C0</vt:lpwstr>
  </property>
</Properties>
</file>