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6FB" w:rsidRPr="00CF127C" w:rsidRDefault="002D46FB" w:rsidP="00CF127C">
      <w:pPr>
        <w:keepNext/>
        <w:suppressAutoHyphens/>
        <w:spacing w:after="240" w:line="360" w:lineRule="auto"/>
        <w:jc w:val="center"/>
        <w:rPr>
          <w:rFonts w:ascii="Times New Roman" w:eastAsia="Times New Roman" w:hAnsi="Times New Roman" w:cs="Times New Roman"/>
          <w:bCs/>
          <w:kern w:val="24"/>
          <w:sz w:val="24"/>
          <w:szCs w:val="24"/>
          <w:lang w:eastAsia="pl-PL"/>
        </w:rPr>
      </w:pPr>
      <w:bookmarkStart w:id="0" w:name="_GoBack"/>
      <w:bookmarkEnd w:id="0"/>
      <w:r w:rsidRPr="00CF127C">
        <w:rPr>
          <w:rFonts w:ascii="Times New Roman" w:eastAsia="Times New Roman" w:hAnsi="Times New Roman" w:cs="Times New Roman"/>
          <w:bCs/>
          <w:kern w:val="24"/>
          <w:sz w:val="24"/>
          <w:szCs w:val="24"/>
          <w:lang w:eastAsia="pl-PL"/>
        </w:rPr>
        <w:t>UZASADNIENIE</w:t>
      </w:r>
    </w:p>
    <w:p w:rsidR="002D46FB" w:rsidRPr="002D46FB" w:rsidRDefault="002D46FB" w:rsidP="002D46FB">
      <w:pPr>
        <w:tabs>
          <w:tab w:val="left" w:pos="426"/>
        </w:tabs>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lang w:eastAsia="pl-PL"/>
        </w:rPr>
      </w:pPr>
      <w:r w:rsidRPr="002D46FB">
        <w:rPr>
          <w:rFonts w:ascii="Times New Roman" w:eastAsia="Times New Roman" w:hAnsi="Times New Roman" w:cs="Times New Roman"/>
          <w:b/>
          <w:bCs/>
          <w:sz w:val="24"/>
          <w:szCs w:val="24"/>
          <w:lang w:eastAsia="pl-PL"/>
        </w:rPr>
        <w:t>I.</w:t>
      </w:r>
      <w:r>
        <w:rPr>
          <w:rFonts w:ascii="Times New Roman" w:eastAsia="Times New Roman" w:hAnsi="Times New Roman" w:cs="Times New Roman"/>
          <w:b/>
          <w:bCs/>
          <w:sz w:val="24"/>
          <w:szCs w:val="24"/>
          <w:lang w:eastAsia="pl-PL"/>
        </w:rPr>
        <w:tab/>
      </w:r>
      <w:r w:rsidRPr="002D46FB">
        <w:rPr>
          <w:rFonts w:ascii="Times New Roman" w:eastAsia="Times New Roman" w:hAnsi="Times New Roman" w:cs="Times New Roman"/>
          <w:b/>
          <w:bCs/>
          <w:sz w:val="24"/>
          <w:szCs w:val="24"/>
          <w:lang w:eastAsia="pl-PL"/>
        </w:rPr>
        <w:t>Potrzeba i cel wydania projektowanej ustawy</w:t>
      </w:r>
    </w:p>
    <w:p w:rsidR="002D46FB" w:rsidRPr="002D46FB" w:rsidRDefault="002D46FB" w:rsidP="002D46F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Potrzeba wydania projektowanej </w:t>
      </w:r>
      <w:r w:rsidRPr="002D46FB">
        <w:rPr>
          <w:rFonts w:ascii="Times New Roman" w:eastAsia="Times New Roman" w:hAnsi="Times New Roman" w:cs="Times New Roman"/>
          <w:bCs/>
          <w:i/>
          <w:sz w:val="24"/>
          <w:szCs w:val="24"/>
          <w:lang w:eastAsia="pl-PL"/>
        </w:rPr>
        <w:t>ustawy o delegowaniu kierowców w transporcie drogowym</w:t>
      </w:r>
      <w:r w:rsidRPr="002D46FB">
        <w:rPr>
          <w:rFonts w:ascii="Times New Roman" w:eastAsia="Times New Roman" w:hAnsi="Times New Roman" w:cs="Times New Roman"/>
          <w:bCs/>
          <w:sz w:val="24"/>
          <w:szCs w:val="24"/>
          <w:lang w:eastAsia="pl-PL"/>
        </w:rPr>
        <w:t xml:space="preserve"> wynika z konieczności wdrożenia do polskiego porządku prawnego przepisów </w:t>
      </w:r>
      <w:r w:rsidRPr="002D46FB">
        <w:rPr>
          <w:rFonts w:ascii="Times New Roman" w:eastAsia="Times New Roman" w:hAnsi="Times New Roman" w:cs="Times New Roman"/>
          <w:bCs/>
          <w:i/>
          <w:sz w:val="24"/>
          <w:szCs w:val="24"/>
          <w:lang w:eastAsia="pl-PL"/>
        </w:rPr>
        <w:t>dyrektywy Parlamentu Europejskiego i Rady (UE) 2020/1057 z dnia 15 lipca 2020 r. ustanawiającej przepisy szczególne w odniesieniu do dyrektywy 96/71/WE i dyrektywy 2014/67/UE dotyczące delegowania kierowców w sektorze transportu drogowego oraz zmieniającej dyrektywę 2006/22/WE w odniesieniu do wymogów w zakresie egzekwowania przepisów oraz rozporządzenie (UE) nr 1024/2012</w:t>
      </w:r>
      <w:r w:rsidRPr="002D46FB">
        <w:rPr>
          <w:rFonts w:ascii="Times New Roman" w:eastAsia="Times New Roman" w:hAnsi="Times New Roman" w:cs="Times New Roman"/>
          <w:bCs/>
          <w:sz w:val="24"/>
          <w:szCs w:val="24"/>
          <w:lang w:eastAsia="pl-PL"/>
        </w:rPr>
        <w:t xml:space="preserve"> (Dz. Urz. UE L 249 z 31.</w:t>
      </w:r>
      <w:r w:rsidRPr="00DE7276">
        <w:rPr>
          <w:rFonts w:ascii="Times New Roman" w:eastAsia="Times New Roman" w:hAnsi="Times New Roman" w:cs="Times New Roman"/>
          <w:bCs/>
          <w:sz w:val="24"/>
          <w:szCs w:val="24"/>
          <w:lang w:eastAsia="pl-PL"/>
        </w:rPr>
        <w:t>07.2020, str. 49), zwanej dalej „wdraża</w:t>
      </w:r>
      <w:r w:rsidRPr="002D46FB">
        <w:rPr>
          <w:rFonts w:ascii="Times New Roman" w:eastAsia="Times New Roman" w:hAnsi="Times New Roman" w:cs="Times New Roman"/>
          <w:bCs/>
          <w:sz w:val="24"/>
          <w:szCs w:val="24"/>
          <w:lang w:eastAsia="pl-PL"/>
        </w:rPr>
        <w:t xml:space="preserve">ną dyrektywą”. Dyrektywa ta stanowi jeden z elementów tzw. Pakietu Mobilności I,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skład którego wchodzą także:</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1)</w:t>
      </w:r>
      <w:r>
        <w:rPr>
          <w:rFonts w:ascii="Times New Roman" w:eastAsia="Times New Roman" w:hAnsi="Times New Roman" w:cs="Times New Roman"/>
          <w:bCs/>
          <w:sz w:val="24"/>
          <w:szCs w:val="24"/>
          <w:lang w:eastAsia="pl-PL"/>
        </w:rPr>
        <w:tab/>
      </w:r>
      <w:r w:rsidRPr="002D46FB">
        <w:rPr>
          <w:rFonts w:ascii="Times New Roman" w:eastAsia="Times New Roman" w:hAnsi="Times New Roman" w:cs="Times New Roman"/>
          <w:bCs/>
          <w:i/>
          <w:sz w:val="24"/>
          <w:szCs w:val="24"/>
          <w:lang w:eastAsia="pl-PL"/>
        </w:rPr>
        <w:t>rozporządzenie Parlamentu Europejskiego i Rady (WE) 2020/1055 z dnia 15 lipca 2020 r. zmieniające rozporządzenia (WE) nr 1071/2009, (WE) nr 1072/2009 i (UE) nr 1024/2012 w celu dostosowania ich do zmian w transporcie drogowym</w:t>
      </w:r>
      <w:r w:rsidRPr="002D46FB">
        <w:rPr>
          <w:rFonts w:ascii="Times New Roman" w:eastAsia="Times New Roman" w:hAnsi="Times New Roman" w:cs="Times New Roman"/>
          <w:bCs/>
          <w:sz w:val="24"/>
          <w:szCs w:val="24"/>
          <w:lang w:eastAsia="pl-PL"/>
        </w:rPr>
        <w:t xml:space="preserve"> (Dz. Urz. UE L 249 </w:t>
      </w:r>
      <w:r w:rsidR="000C4FB1" w:rsidRPr="002D46FB">
        <w:rPr>
          <w:rFonts w:ascii="Times New Roman" w:eastAsia="Times New Roman" w:hAnsi="Times New Roman" w:cs="Times New Roman"/>
          <w:bCs/>
          <w:sz w:val="24"/>
          <w:szCs w:val="24"/>
          <w:lang w:eastAsia="pl-PL"/>
        </w:rPr>
        <w:t>z</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31.07.2020, str. 17) oraz</w:t>
      </w:r>
    </w:p>
    <w:p w:rsidR="002D46FB" w:rsidRPr="00DE7276"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i/>
          <w:sz w:val="24"/>
          <w:szCs w:val="24"/>
          <w:lang w:eastAsia="pl-PL"/>
        </w:rPr>
      </w:pPr>
      <w:r w:rsidRPr="002D46FB">
        <w:rPr>
          <w:rFonts w:ascii="Times New Roman" w:eastAsia="Times New Roman" w:hAnsi="Times New Roman" w:cs="Times New Roman"/>
          <w:bCs/>
          <w:sz w:val="24"/>
          <w:szCs w:val="24"/>
          <w:lang w:eastAsia="pl-PL"/>
        </w:rPr>
        <w:t>2)</w:t>
      </w:r>
      <w:r>
        <w:rPr>
          <w:rFonts w:ascii="Times New Roman" w:eastAsia="Times New Roman" w:hAnsi="Times New Roman" w:cs="Times New Roman"/>
          <w:bCs/>
          <w:sz w:val="24"/>
          <w:szCs w:val="24"/>
          <w:lang w:eastAsia="pl-PL"/>
        </w:rPr>
        <w:tab/>
      </w:r>
      <w:r w:rsidRPr="002D46FB">
        <w:rPr>
          <w:rFonts w:ascii="Times New Roman" w:eastAsia="Times New Roman" w:hAnsi="Times New Roman" w:cs="Times New Roman"/>
          <w:bCs/>
          <w:i/>
          <w:sz w:val="24"/>
          <w:szCs w:val="24"/>
          <w:lang w:eastAsia="pl-PL"/>
        </w:rPr>
        <w:t>rozporządzenie Parlamentu Europejskiego i Rady (UE) 2020/1054 z dnia 15 lipca 2020 r. zmieniające rozporządzenie (WE) nr 561/2006 w odniesieniu do minimalnych wymogów dotyczących maksymalnego dziennego i tygodniowego czasu prowadzenia pojazdu, minimalnych przerw oraz dziennego i tygodniowego okresu odpoczynku oraz zmieniające rozporządzenie (UE) nr 165/2014 w odniesieniu do określania położenia za pomocą tachografów</w:t>
      </w:r>
      <w:r w:rsidRPr="00DE7276">
        <w:rPr>
          <w:rFonts w:ascii="Times New Roman" w:eastAsia="Times New Roman" w:hAnsi="Times New Roman" w:cs="Times New Roman"/>
          <w:bCs/>
          <w:sz w:val="24"/>
          <w:szCs w:val="24"/>
          <w:lang w:eastAsia="pl-PL"/>
        </w:rPr>
        <w:t xml:space="preserve"> (Dz. Urz. UE L 249 z 31.07.2020, str. 1).</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E7276">
        <w:rPr>
          <w:rFonts w:ascii="Times New Roman" w:eastAsia="Times New Roman" w:hAnsi="Times New Roman" w:cs="Times New Roman"/>
          <w:bCs/>
          <w:sz w:val="24"/>
          <w:szCs w:val="24"/>
          <w:lang w:eastAsia="pl-PL"/>
        </w:rPr>
        <w:t>Pakiet Mobilności I</w:t>
      </w:r>
      <w:r w:rsidRPr="002D46FB">
        <w:rPr>
          <w:rFonts w:ascii="Times New Roman" w:eastAsia="Times New Roman" w:hAnsi="Times New Roman" w:cs="Times New Roman"/>
          <w:bCs/>
          <w:sz w:val="24"/>
          <w:szCs w:val="24"/>
          <w:lang w:eastAsia="pl-PL"/>
        </w:rPr>
        <w:t xml:space="preserve"> został wydany przede wszystkim w celu udoskonalenia, uporządkowania </w:t>
      </w:r>
      <w:r w:rsidR="007A6ED9" w:rsidRPr="002D46FB">
        <w:rPr>
          <w:rFonts w:ascii="Times New Roman" w:eastAsia="Times New Roman" w:hAnsi="Times New Roman" w:cs="Times New Roman"/>
          <w:bCs/>
          <w:sz w:val="24"/>
          <w:szCs w:val="24"/>
          <w:lang w:eastAsia="pl-PL"/>
        </w:rPr>
        <w:t>i</w:t>
      </w:r>
      <w:r w:rsidR="007A6ED9">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harmonizacji przepisów państw członkowskich Unii Europejskiej w zakresie transportu drogowego, w tym w celu ułatwienia poprawy warunków pracy kierowców i warunków prowadzenia działalności przedsiębiorstw transportowych, które mają podstawowe znaczenie dla utworzenia bezpiecznego, efektywnego i społecznie odpowiedzialnego sektora transportu drogowego, w którym zostanie zapewniona niedyskryminacja i który będzie przyciągać wykwalifikowanych pracowników.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Natomiast szczegółowym celem wdrażanej dyrektywy (motyw 1) jest utworzenie bezpiecznego, efektywnego i społecznie odpowiedzialnego sektora transportu drogowego, zapewnienie, z jednej strony, odpowiednich warunków pracy i ochrony socjalnej kierowcom oraz, z drugiej strony, odpowiednich warunków do prowadzenia działalności gospodarczej </w:t>
      </w:r>
      <w:r w:rsidRPr="002D46FB">
        <w:rPr>
          <w:rFonts w:ascii="Times New Roman" w:eastAsia="Times New Roman" w:hAnsi="Times New Roman" w:cs="Times New Roman"/>
          <w:bCs/>
          <w:sz w:val="24"/>
          <w:szCs w:val="24"/>
          <w:lang w:eastAsia="pl-PL"/>
        </w:rPr>
        <w:lastRenderedPageBreak/>
        <w:t xml:space="preserve">i uczciwej konkurencji przewoźnikom drogowym – w warunkach wysokiego stopnia mobilności siły roboczej w sektorze transportu drogowego i potrzeby zapewnienia równowagi między swobodą świadczenia usług transgranicznych przez przewoźników, swobodnym przepływem towarów, odpowiednimi warunkami pracy i ochroną socjalną kierowców.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Projektowana ustawa w zakresie swojej regulacji dokonuje implementacji przede wszystkim przepisów dotyczących delegowania kierowców w sektorze transportu drogowego (art. 1 wdrażanej dyrektywy).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Implementacja wdrażanej dyrektywy do krajowego porządku prawnego, zgodnie z art. 9 ust. 1 tej dyrektywy, powinna była nastąpić nie później niż z dniem 2 lutego 2022 r.</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Kwestie objęte projektowaną ustawą nie były dotychczas uregulowane w obowiązujących przepisach. Należy jednakże zwrócić uwagę na przepisy pokrewne, zawarte w ustawie </w:t>
      </w:r>
      <w:r w:rsidRPr="002D46FB">
        <w:rPr>
          <w:rFonts w:ascii="Times New Roman" w:eastAsia="Times New Roman" w:hAnsi="Times New Roman" w:cs="Times New Roman"/>
          <w:bCs/>
          <w:i/>
          <w:sz w:val="24"/>
          <w:szCs w:val="24"/>
          <w:lang w:eastAsia="pl-PL"/>
        </w:rPr>
        <w:t>z dnia 10 czerwca 2016 r. o delegowaniu pracowników w ramach świadczenia usług</w:t>
      </w:r>
      <w:r w:rsidRPr="002D46FB">
        <w:rPr>
          <w:rFonts w:ascii="Times New Roman" w:eastAsia="Times New Roman" w:hAnsi="Times New Roman" w:cs="Times New Roman"/>
          <w:bCs/>
          <w:sz w:val="24"/>
          <w:szCs w:val="24"/>
          <w:lang w:eastAsia="pl-PL"/>
        </w:rPr>
        <w:t xml:space="preserve"> (Dz. U. z 2021 r. poz. 1140, z późn. zm.). Jakkolwiek przepisy tej ustawy częściowo regulują kwestie zbliżone do normowanych niniejszym projektem, z uwagi na istotne odrębności między tymi regulacjami została podjęta decyzja o opracowaniu projektu odrębnej ustawy implementującej wdrażaną dyrektywę. Przepisy </w:t>
      </w:r>
      <w:r w:rsidRPr="002D46FB">
        <w:rPr>
          <w:rFonts w:ascii="Times New Roman" w:eastAsia="Times New Roman" w:hAnsi="Times New Roman" w:cs="Times New Roman"/>
          <w:bCs/>
          <w:i/>
          <w:sz w:val="24"/>
          <w:szCs w:val="24"/>
          <w:lang w:eastAsia="pl-PL"/>
        </w:rPr>
        <w:t>ustawy z dnia 10 czerwca 2016 r. o delegowaniu pracowników w ramach świadczenia usług</w:t>
      </w:r>
      <w:r w:rsidRPr="002D46FB">
        <w:rPr>
          <w:rFonts w:ascii="Times New Roman" w:eastAsia="Times New Roman" w:hAnsi="Times New Roman" w:cs="Times New Roman"/>
          <w:bCs/>
          <w:sz w:val="24"/>
          <w:szCs w:val="24"/>
          <w:lang w:eastAsia="pl-PL"/>
        </w:rPr>
        <w:t xml:space="preserve"> będą miały zastosowanie do stanów faktycznych i prawnych regulowanych niniejszym projektem w ograniczonym zakresie. </w:t>
      </w:r>
    </w:p>
    <w:p w:rsidR="002D46FB" w:rsidRPr="002D46FB" w:rsidRDefault="002D46FB" w:rsidP="00CF127C">
      <w:pPr>
        <w:tabs>
          <w:tab w:val="left" w:pos="426"/>
        </w:tabs>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lang w:eastAsia="pl-PL"/>
        </w:rPr>
      </w:pPr>
      <w:r w:rsidRPr="002D46FB">
        <w:rPr>
          <w:rFonts w:ascii="Times New Roman" w:eastAsia="Times New Roman" w:hAnsi="Times New Roman" w:cs="Times New Roman"/>
          <w:b/>
          <w:bCs/>
          <w:sz w:val="24"/>
          <w:szCs w:val="24"/>
          <w:lang w:eastAsia="pl-PL"/>
        </w:rPr>
        <w:t>II.</w:t>
      </w:r>
      <w:r>
        <w:rPr>
          <w:rFonts w:ascii="Times New Roman" w:eastAsia="Times New Roman" w:hAnsi="Times New Roman" w:cs="Times New Roman"/>
          <w:b/>
          <w:bCs/>
          <w:sz w:val="24"/>
          <w:szCs w:val="24"/>
          <w:lang w:eastAsia="pl-PL"/>
        </w:rPr>
        <w:tab/>
      </w:r>
      <w:r w:rsidRPr="002D46FB">
        <w:rPr>
          <w:rFonts w:ascii="Times New Roman" w:eastAsia="Times New Roman" w:hAnsi="Times New Roman" w:cs="Times New Roman"/>
          <w:b/>
          <w:bCs/>
          <w:sz w:val="24"/>
          <w:szCs w:val="24"/>
          <w:lang w:eastAsia="pl-PL"/>
        </w:rPr>
        <w:t>Informacje szczegółowe</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Przepisy ogólne projektowanej ustawy zostały określone w art. 1–6 i mają na celu przede wszystkim ustalenie zakresu zastosowania przepisów tej ustawy oraz siatki terminologicznej, którą projekt się posługuje.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E7276">
        <w:rPr>
          <w:rFonts w:ascii="Times New Roman" w:eastAsia="Times New Roman" w:hAnsi="Times New Roman" w:cs="Times New Roman"/>
          <w:bCs/>
          <w:sz w:val="24"/>
          <w:szCs w:val="24"/>
          <w:lang w:eastAsia="pl-PL"/>
        </w:rPr>
        <w:t>Zakres przedmiotowy projektowanej regulacji obejmuje w szczególności zasady delegowania kierowców w</w:t>
      </w:r>
      <w:r w:rsidRPr="002D46FB">
        <w:rPr>
          <w:rFonts w:ascii="Times New Roman" w:eastAsia="Times New Roman" w:hAnsi="Times New Roman" w:cs="Times New Roman"/>
          <w:bCs/>
          <w:sz w:val="24"/>
          <w:szCs w:val="24"/>
          <w:lang w:eastAsia="pl-PL"/>
        </w:rPr>
        <w:t xml:space="preserve"> transporcie drogowym na terytorium Rzeczypospolitej Polskiej, kontroli przestrzegania przepisów dotyczących tego delegowania (w tym w ramach kontroli drogowej), realizacji obowiązków informacyjnych związanych z delegowaniem kierowców, współpracy między Inspekcją Transportu Drogowego i Państwową Inspekcją Pracy w zakresie ww. kontroli, współpracy z właściwymi organami innych państw członkowskich dotyczącej delegowania kierowców w zakresie regulowanym projektowaną ustawą, a także zasady postępowania w sprawach dotyczących wniosków o powiadomienie o decyzji w sprawie nałożenia na przewoźnika drogowego delegującego kierowcę na terytorium Rzeczypospolitej </w:t>
      </w:r>
      <w:r w:rsidRPr="002D46FB">
        <w:rPr>
          <w:rFonts w:ascii="Times New Roman" w:eastAsia="Times New Roman" w:hAnsi="Times New Roman" w:cs="Times New Roman"/>
          <w:bCs/>
          <w:sz w:val="24"/>
          <w:szCs w:val="24"/>
          <w:lang w:eastAsia="pl-PL"/>
        </w:rPr>
        <w:lastRenderedPageBreak/>
        <w:t xml:space="preserve">Polskiej i z tego terytorium administracyjnej kary pieniężnej lub grzywny administracyjnej oraz o egzekucję takiej kary lub grzywny.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W celu uściślenia zakresu zastosowania projektowanych przepisów projektowana ustawa implementuje do krajowego porządku prawnego szereg </w:t>
      </w:r>
      <w:proofErr w:type="spellStart"/>
      <w:r w:rsidRPr="002D46FB">
        <w:rPr>
          <w:rFonts w:ascii="Times New Roman" w:eastAsia="Times New Roman" w:hAnsi="Times New Roman" w:cs="Times New Roman"/>
          <w:bCs/>
          <w:sz w:val="24"/>
          <w:szCs w:val="24"/>
          <w:lang w:eastAsia="pl-PL"/>
        </w:rPr>
        <w:t>wyłączeń</w:t>
      </w:r>
      <w:proofErr w:type="spellEnd"/>
      <w:r w:rsidRPr="002D46FB">
        <w:rPr>
          <w:rFonts w:ascii="Times New Roman" w:eastAsia="Times New Roman" w:hAnsi="Times New Roman" w:cs="Times New Roman"/>
          <w:bCs/>
          <w:sz w:val="24"/>
          <w:szCs w:val="24"/>
          <w:lang w:eastAsia="pl-PL"/>
        </w:rPr>
        <w:t xml:space="preserve"> przedmiotowych i podmiotowych od stosowania wprowadzanych regulacji (art. 1 ust. 3–6 wdrażanej dyrektywy). W tym kontekście w szczególności wskazuje się, że przepisy projektowanej ustawy nie będą stosowane do kierowców delegowanych:</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1)</w:t>
      </w:r>
      <w:r w:rsidRPr="002D46FB">
        <w:rPr>
          <w:rFonts w:ascii="Times New Roman" w:eastAsia="Times New Roman" w:hAnsi="Times New Roman" w:cs="Times New Roman"/>
          <w:bCs/>
          <w:sz w:val="24"/>
          <w:szCs w:val="24"/>
          <w:lang w:eastAsia="pl-PL"/>
        </w:rPr>
        <w:tab/>
        <w:t>na terytorium Rzeczypospolitej Polskiej:</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a)</w:t>
      </w:r>
      <w:r w:rsidRPr="002D46FB">
        <w:rPr>
          <w:rFonts w:ascii="Times New Roman" w:eastAsia="Times New Roman" w:hAnsi="Times New Roman" w:cs="Times New Roman"/>
          <w:bCs/>
          <w:sz w:val="24"/>
          <w:szCs w:val="24"/>
          <w:lang w:eastAsia="pl-PL"/>
        </w:rPr>
        <w:tab/>
        <w:t>do pracy w oddziale lub przedsiębiorstwie należącym do grupy przedsiębiorstw, do której należy pracodawca delegujący kierowcę na terytorium Rzeczypospolitej Polskiej,</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b)</w:t>
      </w:r>
      <w:r w:rsidRPr="002D46FB">
        <w:rPr>
          <w:rFonts w:ascii="Times New Roman" w:eastAsia="Times New Roman" w:hAnsi="Times New Roman" w:cs="Times New Roman"/>
          <w:bCs/>
          <w:sz w:val="24"/>
          <w:szCs w:val="24"/>
          <w:lang w:eastAsia="pl-PL"/>
        </w:rPr>
        <w:tab/>
        <w:t xml:space="preserve">przez podmiot będący agencją pracy tymczasowej albo agencją wynajmującą personel, który skierował kierowcę do pracodawcy użytkownika, </w:t>
      </w:r>
    </w:p>
    <w:p w:rsidR="002D46FB" w:rsidRPr="002D46FB" w:rsidRDefault="002D46FB" w:rsidP="00022236">
      <w:pPr>
        <w:pStyle w:val="LITlitera"/>
        <w:rPr>
          <w:rFonts w:ascii="Times New Roman" w:eastAsia="Times New Roman" w:hAnsi="Times New Roman" w:cs="Times New Roman"/>
          <w:bCs w:val="0"/>
          <w:szCs w:val="24"/>
        </w:rPr>
      </w:pPr>
      <w:r w:rsidRPr="002D46FB">
        <w:rPr>
          <w:rFonts w:ascii="Times New Roman" w:eastAsia="Times New Roman" w:hAnsi="Times New Roman" w:cs="Times New Roman"/>
          <w:szCs w:val="24"/>
        </w:rPr>
        <w:t>c)</w:t>
      </w:r>
      <w:r w:rsidRPr="002D46FB">
        <w:rPr>
          <w:rFonts w:ascii="Times New Roman" w:eastAsia="Times New Roman" w:hAnsi="Times New Roman" w:cs="Times New Roman"/>
          <w:szCs w:val="24"/>
        </w:rPr>
        <w:tab/>
        <w:t xml:space="preserve">z Konfederacji Szwajcarii, do czasu przyjęcia, w drodze umowy z Unią Europejską, zobowiązania do implementacji do krajowego porządku prawnego przepisów dyrektywy Parlamentu Europejskiego i Rady (UE) 2020/1057 z dnia 15 lipca 2020 r. ustanawiającej przepisy szczególne w odniesieniu do dyrektywy 96/71/WE </w:t>
      </w:r>
      <w:r w:rsidR="000C4FB1" w:rsidRPr="002D46FB">
        <w:rPr>
          <w:rFonts w:ascii="Times New Roman" w:eastAsia="Times New Roman" w:hAnsi="Times New Roman" w:cs="Times New Roman"/>
          <w:szCs w:val="24"/>
        </w:rPr>
        <w:t>i</w:t>
      </w:r>
      <w:r w:rsidR="000C4FB1">
        <w:rPr>
          <w:rFonts w:ascii="Times New Roman" w:eastAsia="Times New Roman" w:hAnsi="Times New Roman" w:cs="Times New Roman"/>
          <w:szCs w:val="24"/>
        </w:rPr>
        <w:t> </w:t>
      </w:r>
      <w:r w:rsidRPr="002D46FB">
        <w:rPr>
          <w:rFonts w:ascii="Times New Roman" w:eastAsia="Times New Roman" w:hAnsi="Times New Roman" w:cs="Times New Roman"/>
          <w:szCs w:val="24"/>
        </w:rPr>
        <w:t>dyrektywy 2014/67/UE dotyczące delegowania kierowców w sektorze transportu drogowego oraz zmieniającej dyrektywę 2006/22/WE w odniesieniu do wymogów w zakresie egzekwowania przepisów oraz rozporządzenie (UE) nr 1024/2012;</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2)</w:t>
      </w:r>
      <w:r w:rsidRPr="002D46FB">
        <w:rPr>
          <w:rFonts w:ascii="Times New Roman" w:eastAsia="Times New Roman" w:hAnsi="Times New Roman" w:cs="Times New Roman"/>
          <w:bCs/>
          <w:sz w:val="24"/>
          <w:szCs w:val="24"/>
          <w:lang w:eastAsia="pl-PL"/>
        </w:rPr>
        <w:tab/>
        <w:t>z terytorium Rzeczypospolitej Polskiej:</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a)</w:t>
      </w:r>
      <w:r w:rsidRPr="002D46FB">
        <w:rPr>
          <w:rFonts w:ascii="Times New Roman" w:eastAsia="Times New Roman" w:hAnsi="Times New Roman" w:cs="Times New Roman"/>
          <w:bCs/>
          <w:sz w:val="24"/>
          <w:szCs w:val="24"/>
          <w:lang w:eastAsia="pl-PL"/>
        </w:rPr>
        <w:tab/>
        <w:t>do pracy w oddziale lub przedsiębiorstwie należącym do grupy przedsiębiorstw, do której należy pracodawca delegujący kierowcę z terytorium Rzeczypospolitej Polskiej,</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b)</w:t>
      </w:r>
      <w:r w:rsidRPr="002D46FB">
        <w:rPr>
          <w:rFonts w:ascii="Times New Roman" w:eastAsia="Times New Roman" w:hAnsi="Times New Roman" w:cs="Times New Roman"/>
          <w:bCs/>
          <w:sz w:val="24"/>
          <w:szCs w:val="24"/>
          <w:lang w:eastAsia="pl-PL"/>
        </w:rPr>
        <w:tab/>
        <w:t>przez podmiot będący agencją pracy tymczasowej,</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c)</w:t>
      </w:r>
      <w:r w:rsidRPr="002D46FB">
        <w:rPr>
          <w:rFonts w:ascii="Times New Roman" w:eastAsia="Times New Roman" w:hAnsi="Times New Roman" w:cs="Times New Roman"/>
          <w:bCs/>
          <w:sz w:val="24"/>
          <w:szCs w:val="24"/>
          <w:lang w:eastAsia="pl-PL"/>
        </w:rPr>
        <w:tab/>
        <w:t xml:space="preserve">na terytorium Konfederacji Szwajcarii, do czasu przyjęcia, w drodze umowy z Unią Europejską, zobowiązania do implementacji do krajowego porządku prawnego przepisów dyrektywy Parlamentu Europejskiego i Rady (UE) 2020/1057 z dnia 15 lipca 2020 r. ustanawiającej przepisy szczególne w odniesieniu do dyrektywy 96/71/WE i dyrektywy 2014/67/UE dotyczące delegowania kierowców w sektorze transportu drogowego oraz zmieniającej dyrektywę 2006/22/WE w odniesieniu do </w:t>
      </w:r>
      <w:r w:rsidRPr="002D46FB">
        <w:rPr>
          <w:rFonts w:ascii="Times New Roman" w:eastAsia="Times New Roman" w:hAnsi="Times New Roman" w:cs="Times New Roman"/>
          <w:bCs/>
          <w:sz w:val="24"/>
          <w:szCs w:val="24"/>
          <w:lang w:eastAsia="pl-PL"/>
        </w:rPr>
        <w:lastRenderedPageBreak/>
        <w:t>wymogów w zakresie egzekwowania przepisów oraz rozporządzenie (UE) nr 1024/2012.</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Zakres zastosowania projektowanej ustawy jest ponadto doprecyzowany przez wskazanie </w:t>
      </w:r>
      <w:proofErr w:type="spellStart"/>
      <w:r w:rsidRPr="002D46FB">
        <w:rPr>
          <w:rFonts w:ascii="Times New Roman" w:eastAsia="Times New Roman" w:hAnsi="Times New Roman" w:cs="Times New Roman"/>
          <w:bCs/>
          <w:sz w:val="24"/>
          <w:szCs w:val="24"/>
          <w:lang w:eastAsia="pl-PL"/>
        </w:rPr>
        <w:t>wyłączeń</w:t>
      </w:r>
      <w:proofErr w:type="spellEnd"/>
      <w:r w:rsidRPr="002D46FB">
        <w:rPr>
          <w:rFonts w:ascii="Times New Roman" w:eastAsia="Times New Roman" w:hAnsi="Times New Roman" w:cs="Times New Roman"/>
          <w:bCs/>
          <w:sz w:val="24"/>
          <w:szCs w:val="24"/>
          <w:lang w:eastAsia="pl-PL"/>
        </w:rPr>
        <w:t xml:space="preserve"> niektórych rodzajów przewozu drogowego. W konsekwencji za kierowcę delegowanego na terytorium Rzeczypospolitej Polskiej nie będzie się uważać m.in. kierowcy, który:</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1)</w:t>
      </w:r>
      <w:r w:rsidRPr="002D46FB">
        <w:rPr>
          <w:rFonts w:ascii="Times New Roman" w:eastAsia="Times New Roman" w:hAnsi="Times New Roman" w:cs="Times New Roman"/>
          <w:bCs/>
          <w:sz w:val="24"/>
          <w:szCs w:val="24"/>
          <w:lang w:eastAsia="pl-PL"/>
        </w:rPr>
        <w:tab/>
        <w:t>wykonuje przejazd tranzytem;</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2)</w:t>
      </w:r>
      <w:r w:rsidRPr="002D46FB">
        <w:rPr>
          <w:rFonts w:ascii="Times New Roman" w:eastAsia="Times New Roman" w:hAnsi="Times New Roman" w:cs="Times New Roman"/>
          <w:bCs/>
          <w:sz w:val="24"/>
          <w:szCs w:val="24"/>
          <w:lang w:eastAsia="pl-PL"/>
        </w:rPr>
        <w:tab/>
        <w:t>wykonuje przewóz dwustronny rzeczy lub przewóz dwustronny osób;</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3)</w:t>
      </w:r>
      <w:r w:rsidRPr="002D46FB">
        <w:rPr>
          <w:rFonts w:ascii="Times New Roman" w:eastAsia="Times New Roman" w:hAnsi="Times New Roman" w:cs="Times New Roman"/>
          <w:bCs/>
          <w:sz w:val="24"/>
          <w:szCs w:val="24"/>
          <w:lang w:eastAsia="pl-PL"/>
        </w:rPr>
        <w:tab/>
        <w:t>w trakcie przewozu dwustronnego rzeczy wykonuje dodatkowo jedną czynność załadunku rzeczy lub rozładunku rzeczy na terytorium Rzeczypospolitej Polskiej, innego państwa członkowskiego lub państwa trzeciego, przez które przejeżdża, pod warunkiem że załadunek rzeczy i rozładunek rzeczy nie jest wykonywany na terytorium tego samego państwa członkowskiego;</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4)</w:t>
      </w:r>
      <w:r w:rsidRPr="002D46FB">
        <w:rPr>
          <w:rFonts w:ascii="Times New Roman" w:eastAsia="Times New Roman" w:hAnsi="Times New Roman" w:cs="Times New Roman"/>
          <w:bCs/>
          <w:sz w:val="24"/>
          <w:szCs w:val="24"/>
          <w:lang w:eastAsia="pl-PL"/>
        </w:rPr>
        <w:tab/>
        <w:t xml:space="preserve">po przewozie dwustronnym rzeczy, który rozpoczęto w państwie członkowskim siedziby </w:t>
      </w:r>
      <w:r w:rsidR="000C4FB1" w:rsidRPr="002D46FB">
        <w:rPr>
          <w:rFonts w:ascii="Times New Roman" w:eastAsia="Times New Roman" w:hAnsi="Times New Roman" w:cs="Times New Roman"/>
          <w:bCs/>
          <w:sz w:val="24"/>
          <w:szCs w:val="24"/>
          <w:lang w:eastAsia="pl-PL"/>
        </w:rPr>
        <w:t>i</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w czasie którego nie wykonano żadnej dodatkowej czynności załadunku rzeczy lub rozładunku rzeczy, następnie wykonuje przewóz dwustronny rzeczy do państwa członkowskiego siedziby, podczas którego wykonuje dodatkowo maksymalnie dwie czynności załadunku rzeczy lub rozładunku rzeczy na terytorium Rzeczypospolitej Polskiej, innego państwa członkowskiego lub państwa trzeciego, przez które przejeżdża, pod warunkiem że dodatkowe czynności załadunku rzeczy i rozładunku rzeczy nie są wykonywane na terytorium tego samego państwa członkowskiego;</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5)</w:t>
      </w:r>
      <w:r w:rsidRPr="002D46FB">
        <w:rPr>
          <w:rFonts w:ascii="Times New Roman" w:eastAsia="Times New Roman" w:hAnsi="Times New Roman" w:cs="Times New Roman"/>
          <w:bCs/>
          <w:sz w:val="24"/>
          <w:szCs w:val="24"/>
          <w:lang w:eastAsia="pl-PL"/>
        </w:rPr>
        <w:tab/>
        <w:t>w trakcie przewozu dwustronnego osób dodatkowo jednokrotnie zabiera pasażerów lub jednokrotnie wysadza pasażerów na terytorium Rzeczypospolitej Polskiej, innego państwa członkowskiego lub państwa trzeciego, przez które przejeżdża, pod warunkiem że przewóz osób nie jest wykonywany między dwoma miejscami położonymi na terytorium tego samego państwa członkowskiego; to samo dotyczy przejazdu powrotnego;</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6)</w:t>
      </w:r>
      <w:r w:rsidRPr="002D46FB">
        <w:rPr>
          <w:rFonts w:ascii="Times New Roman" w:eastAsia="Times New Roman" w:hAnsi="Times New Roman" w:cs="Times New Roman"/>
          <w:bCs/>
          <w:sz w:val="24"/>
          <w:szCs w:val="24"/>
          <w:lang w:eastAsia="pl-PL"/>
        </w:rPr>
        <w:tab/>
        <w:t>wykonuje przewóz drogowy rzeczy na początkowym lub końcowym odcinku transportu kombinowanego, jeżeli ten odcinek sam w sobie składa się z przewozów dwustronnych rzeczy.</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Ponadto do wyżej wymienionych kategorii kierowców delegowanych, w ograniczonym zakresie, będą miały zastosowanie także przepisy </w:t>
      </w:r>
      <w:r w:rsidRPr="002D46FB">
        <w:rPr>
          <w:rFonts w:ascii="Times New Roman" w:eastAsia="Times New Roman" w:hAnsi="Times New Roman" w:cs="Times New Roman"/>
          <w:bCs/>
          <w:i/>
          <w:sz w:val="24"/>
          <w:szCs w:val="24"/>
          <w:lang w:eastAsia="pl-PL"/>
        </w:rPr>
        <w:t xml:space="preserve">ustawy z dnia 10 czerwca 2016 r. </w:t>
      </w:r>
      <w:r w:rsidRPr="002D46FB">
        <w:rPr>
          <w:rFonts w:ascii="Times New Roman" w:eastAsia="Times New Roman" w:hAnsi="Times New Roman" w:cs="Times New Roman"/>
          <w:bCs/>
          <w:i/>
          <w:sz w:val="24"/>
          <w:szCs w:val="24"/>
          <w:lang w:eastAsia="pl-PL"/>
        </w:rPr>
        <w:lastRenderedPageBreak/>
        <w:t>o delegowaniu pracowników w ramach świadczenia usług</w:t>
      </w:r>
      <w:r w:rsidRPr="002D46FB">
        <w:rPr>
          <w:rFonts w:ascii="Times New Roman" w:eastAsia="Times New Roman" w:hAnsi="Times New Roman" w:cs="Times New Roman"/>
          <w:bCs/>
          <w:sz w:val="24"/>
          <w:szCs w:val="24"/>
          <w:lang w:eastAsia="pl-PL"/>
        </w:rPr>
        <w:t xml:space="preserve">. Nie ma bowiem potrzeby, aby w tym zakresie powielać w projekcie analogiczne rozwiązania, które już obowiązują na gruncie pokrewnej regulacji ustawowej. Z uwagi na powyższe, po przeprowadzeniu wnikliwej analizy przepisów </w:t>
      </w:r>
      <w:r w:rsidRPr="002D46FB">
        <w:rPr>
          <w:rFonts w:ascii="Times New Roman" w:eastAsia="Times New Roman" w:hAnsi="Times New Roman" w:cs="Times New Roman"/>
          <w:bCs/>
          <w:i/>
          <w:sz w:val="24"/>
          <w:szCs w:val="24"/>
          <w:lang w:eastAsia="pl-PL"/>
        </w:rPr>
        <w:t>ustawy z dnia 10 czerwca 2016 r. o delegowaniu pracowników w ramach świadczenia usług</w:t>
      </w:r>
      <w:r w:rsidRPr="002D46FB">
        <w:rPr>
          <w:rFonts w:ascii="Times New Roman" w:eastAsia="Times New Roman" w:hAnsi="Times New Roman" w:cs="Times New Roman"/>
          <w:bCs/>
          <w:sz w:val="24"/>
          <w:szCs w:val="24"/>
          <w:lang w:eastAsia="pl-PL"/>
        </w:rPr>
        <w:t xml:space="preserve"> zasadne w art. 2 ust. 2 projektu wskazuje się, że przepisy ww. ustawy stosuje się odpowiednio, co oznacza zgodnie z orzecznictwem Sądu Najwyższego, że normy te mogą być stosowane: bez żadnych zmian do innego zakresu odniesienia, bądź stosowane z pewnymi zmianami, bądź też niestosowane w ogóle do innego zakresu odniesienia, co pozwoli w tym względzie na uwzględnienie specyfiki i praktyki transportu drogowego (por. wyrok Sądu Najwyższego z dnia 15 lutego 2008 r., I CSK 357/07 oraz uchwałę Sądu Najwyższego z dnia 23 sierpnia 2006 r., III CZP 56/06, OSNC 2007, nr 3, poz. 43).</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Ponadto projektodawca określił zakres znaczeniowy poszczególnych, najistotniejszych pojęć, jakimi posługuje się projektowana ustawa (w tzw. słowniczku terminów ustawowych), co służyć ma precyzyjnemu ustaleniu zakresu zastosowania przepisów projektu. Za najistotniejsze w tym kontekście należy uznać wprowadzenie takich pojęć, jak przewoźnik drogowy, przewoźnik drogowy delegujący kierowcę na terytorium Rzeczypospolitej Polskiej, przewoźnik drogowy delegujący kierowcę z terytorium Rzeczypospolitej Polskiej, przewoźnik drogowy z państwa trzeciego delegujący kierowcę na terytorium Rzeczypospolitej Polskiej, kierowca delegowany na terytorium Rzeczypospolitej Polskiej, kierowca delegowany z terytorium Rzeczypospolitej Polskiej, kierowca delegowany na terytorium Rzeczypospolitej Polskiej z państwa trzeciego oraz państwo trzecie. Wyodrębnienie na gruncie projektowanych przepisów powyższych kategorii wynika z konieczności precyzyjnego odróżnienia różnych rodzajów delegowania kierowców w transporcie drogowym uzależnionych od państwa siedziby przewoźnika drogowego delegującego kierowcę, w którym zaczyna się i kończy przewóz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Rzeczypospolitej Polskiej, w innym niż Rzeczpospolita Polska państwie członkowskim Unii Europejskiej albo w państwie innym niż państwo członkowskie Unii Europejskiej oraz inne niż państwo członkowskie Europejskiego Porozumienia o Wolnym Handlu (EFTA) – stronie umowy o Europejskim Obszarze Gospodarczym).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Dodatkowo w projekcie dokonuje się uściślenia zakresu znaczeniowego poszczególnych rodzajów przewozu drogowego</w:t>
      </w:r>
      <w:r w:rsidR="00FE4585">
        <w:rPr>
          <w:rFonts w:ascii="Times New Roman" w:eastAsia="Times New Roman" w:hAnsi="Times New Roman" w:cs="Times New Roman"/>
          <w:bCs/>
          <w:sz w:val="24"/>
          <w:szCs w:val="24"/>
          <w:lang w:eastAsia="pl-PL"/>
        </w:rPr>
        <w:t>,</w:t>
      </w:r>
      <w:r w:rsidRPr="002D46FB">
        <w:rPr>
          <w:rFonts w:ascii="Times New Roman" w:eastAsia="Times New Roman" w:hAnsi="Times New Roman" w:cs="Times New Roman"/>
          <w:bCs/>
          <w:sz w:val="24"/>
          <w:szCs w:val="24"/>
          <w:lang w:eastAsia="pl-PL"/>
        </w:rPr>
        <w:t xml:space="preserve"> takich jak przewóz dwustronny rzeczy, przewóz dwustronny osób, przejazd tranzytem, przewóz kabotażowy czy transport kombinowany. Nie we wszystkich bowiem przypadkach przepisy projektowanej ustawy będą miały zastosowanie.</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lastRenderedPageBreak/>
        <w:t xml:space="preserve">Ponadto art. 5 projektu wskazuje, że kierowcy, o których mowa w ust. 1, nie są pracownikami delegowanymi w rozumieniu przepisów </w:t>
      </w:r>
      <w:bookmarkStart w:id="1" w:name="_Hlk130542517"/>
      <w:r w:rsidRPr="002D46FB">
        <w:rPr>
          <w:rFonts w:ascii="Times New Roman" w:eastAsia="Times New Roman" w:hAnsi="Times New Roman" w:cs="Times New Roman"/>
          <w:i/>
          <w:sz w:val="24"/>
          <w:szCs w:val="24"/>
          <w:lang w:eastAsia="pl-PL"/>
        </w:rPr>
        <w:t>ustawy z dnia 10 czerwca 2016 r. o delegowaniu pracowników w ramach świadczenia usług</w:t>
      </w:r>
      <w:bookmarkEnd w:id="1"/>
      <w:r w:rsidRPr="002D46FB">
        <w:rPr>
          <w:rFonts w:ascii="Times New Roman" w:eastAsia="Times New Roman" w:hAnsi="Times New Roman" w:cs="Times New Roman"/>
          <w:sz w:val="24"/>
          <w:szCs w:val="24"/>
          <w:lang w:eastAsia="pl-PL"/>
        </w:rPr>
        <w:t xml:space="preserve">. Proponowany przepis dotyczy kierowców delegowanych z państw trzecich, którzy wykonują przejazd tranzytem albo wykonują przewóz dwustronny rzeczy lub przewóz dwustronny osób. Kierowcy ci nie powinni być uznawani ani za kierowców delegowanych w rozumieniu projektowanej regulacji, ani w rozumieniu przepisów ustawy o pracownikach delegowanych w ramach świadczenia usług. Przepis ten odpowiada treści art. 4 ust. 3 projektu, odnoszącego się do kierowców, tymczasowo skierowanych do pracy na terytorium RP przez przewoźnika drogowego mającego siedzibę </w:t>
      </w:r>
      <w:r w:rsidR="000C4FB1" w:rsidRPr="002D46FB">
        <w:rPr>
          <w:rFonts w:ascii="Times New Roman" w:eastAsia="Times New Roman" w:hAnsi="Times New Roman" w:cs="Times New Roman"/>
          <w:sz w:val="24"/>
          <w:szCs w:val="24"/>
          <w:lang w:eastAsia="pl-PL"/>
        </w:rPr>
        <w:t>w</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innym państwie członkowskim.</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highlight w:val="yellow"/>
          <w:lang w:eastAsia="pl-PL"/>
        </w:rPr>
      </w:pPr>
      <w:r w:rsidRPr="002D46FB">
        <w:rPr>
          <w:rFonts w:ascii="Times New Roman" w:eastAsia="Times New Roman" w:hAnsi="Times New Roman" w:cs="Times New Roman"/>
          <w:bCs/>
          <w:sz w:val="24"/>
          <w:szCs w:val="24"/>
          <w:lang w:eastAsia="pl-PL"/>
        </w:rPr>
        <w:t xml:space="preserve">Rozdział 2 projektu ma na celu zapewnienie ochrony kierowców delegowanych w sektorze transportu drogowego na terytorium Rzeczypospolitej Polskiej, przez określenie warunków zatrudnienia tych kierowców. W projekcie przewiduje się, że przewoźnik drogowy delegujący kierowcę na terytorium Rzeczypospolitej Polskiej zapewnia takiemu kierowcy warunki zatrudnienia przewidziane w art. 4–4b </w:t>
      </w:r>
      <w:r w:rsidRPr="002D46FB">
        <w:rPr>
          <w:rFonts w:ascii="Times New Roman" w:eastAsia="Times New Roman" w:hAnsi="Times New Roman" w:cs="Times New Roman"/>
          <w:bCs/>
          <w:i/>
          <w:sz w:val="24"/>
          <w:szCs w:val="24"/>
          <w:lang w:eastAsia="pl-PL"/>
        </w:rPr>
        <w:t>ustawy z dnia 10 czerwca 2016 r. o delegowaniu pracowników w ramach świadczenia usług</w:t>
      </w:r>
      <w:r w:rsidRPr="002D46FB">
        <w:rPr>
          <w:rFonts w:ascii="Times New Roman" w:eastAsia="Times New Roman" w:hAnsi="Times New Roman" w:cs="Times New Roman"/>
          <w:bCs/>
          <w:sz w:val="24"/>
          <w:szCs w:val="24"/>
          <w:lang w:eastAsia="pl-PL"/>
        </w:rPr>
        <w:t xml:space="preserve">.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Analogiczna potrzeba zapewnienia odpowiednich warunków zatrudnienia odnosi się do kierowców delegowanych na terytorium Rzeczypospolitej Polskiej z państwa trzeciego. Zgodnie z projektem również w tym przypadku konieczne będzie zapewnienie tym kierowcom warunków zatrudnienia, o których mowa w wyżej wymienionej ustawie, z zastrzeżeniem art. 139a ust. 3</w:t>
      </w:r>
      <w:r w:rsidRPr="002D46FB">
        <w:rPr>
          <w:rFonts w:ascii="Times New Roman" w:eastAsia="Times New Roman" w:hAnsi="Times New Roman" w:cs="Times New Roman"/>
          <w:bCs/>
          <w:i/>
          <w:sz w:val="24"/>
          <w:szCs w:val="24"/>
          <w:lang w:eastAsia="pl-PL"/>
        </w:rPr>
        <w:t xml:space="preserve"> ustawy z dnia 12 grudnia 2013 r. o cudzoziemcach</w:t>
      </w:r>
      <w:r w:rsidRPr="002D46FB">
        <w:rPr>
          <w:rFonts w:ascii="Times New Roman" w:eastAsia="Times New Roman" w:hAnsi="Times New Roman" w:cs="Times New Roman"/>
          <w:bCs/>
          <w:sz w:val="24"/>
          <w:szCs w:val="24"/>
          <w:lang w:eastAsia="pl-PL"/>
        </w:rPr>
        <w:t xml:space="preserve"> (Dz. U. z 2023 r. poz. 519, z późn. zm.) dotyczącego minimalnego wynagrodzenia cudzoziemca.</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Wskazanie w art. 8 ust. 1 projektu, że na potrzeby obliczania okresów delegowania, o których mowa w art. 4 ust. 1, art. 4a ust. 1 i art. 4b ust. 1 </w:t>
      </w:r>
      <w:r w:rsidRPr="002D46FB">
        <w:rPr>
          <w:rFonts w:ascii="Times New Roman" w:eastAsia="Times New Roman" w:hAnsi="Times New Roman" w:cs="Times New Roman"/>
          <w:i/>
          <w:sz w:val="24"/>
          <w:szCs w:val="24"/>
          <w:lang w:eastAsia="pl-PL"/>
        </w:rPr>
        <w:t>ustawy z dnia 10 czerwca 2016 r. o delegowaniu pracowników w ramach świadczenia usług</w:t>
      </w:r>
      <w:r w:rsidRPr="002D46FB">
        <w:rPr>
          <w:rFonts w:ascii="Times New Roman" w:eastAsia="Times New Roman" w:hAnsi="Times New Roman" w:cs="Times New Roman"/>
          <w:sz w:val="24"/>
          <w:szCs w:val="24"/>
          <w:lang w:eastAsia="pl-PL"/>
        </w:rPr>
        <w:t xml:space="preserve">, delegowanie uznaje się za zakończone, gdy kierowca opuszcza terytorium Rzeczypospolitej Polskiej, wykonując międzynarodowy przewóz drogowy rzeczy lub osób dotyczy tylko i wyłącznie delegowania długoterminowego. Okresy delegowania kierowcy wykonującego międzynarodowe przewozy drogowe lub kierowcy go zastępującego nie kumulują się. Zgodnie bowiem z motywem 8 preambuły do dyrektywy (UE) 2020/1057 z uwagi na wysoce mobilny charakter sektora transportu kierowcy nie są co do zasady delegowani do innego państwa członkowskiego na podstawie umów </w:t>
      </w:r>
      <w:r w:rsidR="000C4FB1" w:rsidRPr="002D46FB">
        <w:rPr>
          <w:rFonts w:ascii="Times New Roman" w:eastAsia="Times New Roman" w:hAnsi="Times New Roman" w:cs="Times New Roman"/>
          <w:sz w:val="24"/>
          <w:szCs w:val="24"/>
          <w:lang w:eastAsia="pl-PL"/>
        </w:rPr>
        <w:t>o</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świadczenie usług na długie okresy, jak ma to niekiedy miejsce w innych sektorach. Projektowany przepis ma na celu wyjaśnienie, w jakich okolicznościach zawarte w dyrektywie </w:t>
      </w:r>
      <w:r w:rsidRPr="002D46FB">
        <w:rPr>
          <w:rFonts w:ascii="Times New Roman" w:eastAsia="Times New Roman" w:hAnsi="Times New Roman" w:cs="Times New Roman"/>
          <w:sz w:val="24"/>
          <w:szCs w:val="24"/>
          <w:lang w:eastAsia="pl-PL"/>
        </w:rPr>
        <w:lastRenderedPageBreak/>
        <w:t xml:space="preserve">96/71/WE przepisy dotyczące delegowania długoterminowego nie mają zastosowania do takich kierowców.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W przepisach rozdziału 3 przewiduje się, że podstawowym obowiązkiem przewoźnika drogowego delegującego kierowcę na terytorium Rzeczypospolitej Polskiej będzie (poza zapewnieniem delegowanemu kierowcy odpowiednich warunków zatrudnienia) zgłoszenie delegowania tego kierowcy najpóźniej w momencie rozpoczęcia delegowania, przy użyciu interfejsu publicznego połączonego z systemem wymiany informacji na rynku wewnętrznym (IMI), zwanym dalej „interfejsem publicznym”. W przepisach rozdziału 5 przewiduje się użycie systemu wymiany informacji na rynku wewnętrznym (IMI) w celu kontroli ważności zgłoszeń delegowania przez właściwe organy publiczne. System wymiany informacji na rynku wewnętrznym (IMI)</w:t>
      </w:r>
      <w:r w:rsidR="00491029">
        <w:rPr>
          <w:rFonts w:ascii="Times New Roman" w:eastAsia="Times New Roman" w:hAnsi="Times New Roman" w:cs="Times New Roman"/>
          <w:sz w:val="24"/>
          <w:szCs w:val="24"/>
          <w:lang w:eastAsia="pl-PL"/>
        </w:rPr>
        <w:t>,</w:t>
      </w:r>
      <w:r w:rsidRPr="002D46FB">
        <w:rPr>
          <w:rFonts w:ascii="Times New Roman" w:eastAsia="Times New Roman" w:hAnsi="Times New Roman" w:cs="Times New Roman"/>
          <w:sz w:val="24"/>
          <w:szCs w:val="24"/>
          <w:lang w:eastAsia="pl-PL"/>
        </w:rPr>
        <w:t xml:space="preserve"> o którym mowa w </w:t>
      </w:r>
      <w:r w:rsidRPr="002D46FB">
        <w:rPr>
          <w:rFonts w:ascii="Times New Roman" w:eastAsia="Times New Roman" w:hAnsi="Times New Roman" w:cs="Times New Roman"/>
          <w:i/>
          <w:sz w:val="24"/>
          <w:szCs w:val="24"/>
          <w:lang w:eastAsia="pl-PL"/>
        </w:rPr>
        <w:t xml:space="preserve">rozporządzeniu Parlamentu Europejskiego i Rady (UE) nr 1024/2012 z dnia 25 października 2012 r. w sprawie współpracy administracyjnej za pośrednictwem systemu wymiany informacji na rynku wewnętrznym i uchylającym decyzję Komisji 2008/49/WE </w:t>
      </w:r>
      <w:r w:rsidRPr="002D46FB">
        <w:rPr>
          <w:rFonts w:ascii="Times New Roman" w:eastAsia="Times New Roman" w:hAnsi="Times New Roman" w:cs="Times New Roman"/>
          <w:sz w:val="24"/>
          <w:szCs w:val="24"/>
          <w:lang w:eastAsia="pl-PL"/>
        </w:rPr>
        <w:t>(Dz. Urz. UE L 316 z 14.11.2012, str. 1, z późn. zm.), zwany dalej „systemem IMI</w:t>
      </w:r>
      <w:r w:rsidR="00DE7276">
        <w:rPr>
          <w:rFonts w:ascii="Times New Roman" w:eastAsia="Times New Roman" w:hAnsi="Times New Roman" w:cs="Times New Roman"/>
          <w:sz w:val="24"/>
          <w:szCs w:val="24"/>
          <w:lang w:eastAsia="pl-PL"/>
        </w:rPr>
        <w:t>”</w:t>
      </w:r>
      <w:r w:rsidRPr="00DE7276">
        <w:rPr>
          <w:rFonts w:ascii="Times New Roman" w:eastAsia="Times New Roman" w:hAnsi="Times New Roman" w:cs="Times New Roman"/>
          <w:sz w:val="24"/>
          <w:szCs w:val="24"/>
          <w:lang w:eastAsia="pl-PL"/>
        </w:rPr>
        <w:t>, służy ułatwieniu współpracy administracyjnej i pomocy udzielanej sobie wzajemnie przez organy publiczne państw członkowskich, a przez to usprawnieni</w:t>
      </w:r>
      <w:r w:rsidRPr="002D46FB">
        <w:rPr>
          <w:rFonts w:ascii="Times New Roman" w:eastAsia="Times New Roman" w:hAnsi="Times New Roman" w:cs="Times New Roman"/>
          <w:sz w:val="24"/>
          <w:szCs w:val="24"/>
          <w:lang w:eastAsia="pl-PL"/>
        </w:rPr>
        <w:t xml:space="preserve">u funkcjonowania jednolitego rynku. Administratorem systemu IMI jest Komisja Europejska. Przesyłanie danych w IMI podlega systemowi ochrony ustanowionemu przez prawo unijne </w:t>
      </w:r>
      <w:r w:rsidR="000C4FB1" w:rsidRPr="002D46FB">
        <w:rPr>
          <w:rFonts w:ascii="Times New Roman" w:eastAsia="Times New Roman" w:hAnsi="Times New Roman" w:cs="Times New Roman"/>
          <w:sz w:val="24"/>
          <w:szCs w:val="24"/>
          <w:lang w:eastAsia="pl-PL"/>
        </w:rPr>
        <w:t>i</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wdrażające akty prawa krajowego.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Należy podkreślić, że aby pomóc sektorowi w prawidłowym stosowaniu przepisów dotyczących delegowania kierowców, służby Komisji Europejskiej przygotowały zestawy pytań i odpowiedzi dostępne na stronie Komisji wskazujące „moment rozpoczęcia </w:t>
      </w:r>
      <w:r w:rsidR="000C4FB1" w:rsidRPr="002D46FB">
        <w:rPr>
          <w:rFonts w:ascii="Times New Roman" w:eastAsia="Times New Roman" w:hAnsi="Times New Roman" w:cs="Times New Roman"/>
          <w:sz w:val="24"/>
          <w:szCs w:val="24"/>
          <w:lang w:eastAsia="pl-PL"/>
        </w:rPr>
        <w:t>i</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zakończenia delegowania” (htt</w:t>
      </w:r>
      <w:r w:rsidRPr="00DE7276">
        <w:rPr>
          <w:rFonts w:ascii="Times New Roman" w:eastAsia="Times New Roman" w:hAnsi="Times New Roman" w:cs="Times New Roman"/>
          <w:sz w:val="24"/>
          <w:szCs w:val="24"/>
          <w:lang w:eastAsia="pl-PL"/>
        </w:rPr>
        <w:t>ps://transport.ec.europa.eu/transport-modes/road/mobility-package-i/posting-rules_en</w:t>
      </w:r>
      <w:r w:rsidRPr="002D46FB">
        <w:rPr>
          <w:rFonts w:ascii="Times New Roman" w:eastAsia="Times New Roman" w:hAnsi="Times New Roman" w:cs="Times New Roman"/>
          <w:sz w:val="24"/>
          <w:szCs w:val="24"/>
          <w:lang w:eastAsia="pl-PL"/>
        </w:rPr>
        <w:t>). Jednolite podejście służb kontrolnych we wszystkich państwach członkowskich ma szczególne znaczenie w kontekście zagrożenia karą pieniężną naruszeń obowiązków wskazanych w przepisach obowiązujących na terytorium całej UE. Przepisy nakładające określone obowiązki na przewoźnika drogowego, których niedopełnienie jest sankcjonowane karą pieniężną</w:t>
      </w:r>
      <w:r w:rsidR="00491029">
        <w:rPr>
          <w:rFonts w:ascii="Times New Roman" w:eastAsia="Times New Roman" w:hAnsi="Times New Roman" w:cs="Times New Roman"/>
          <w:sz w:val="24"/>
          <w:szCs w:val="24"/>
          <w:lang w:eastAsia="pl-PL"/>
        </w:rPr>
        <w:t>,</w:t>
      </w:r>
      <w:r w:rsidRPr="002D46FB">
        <w:rPr>
          <w:rFonts w:ascii="Times New Roman" w:eastAsia="Times New Roman" w:hAnsi="Times New Roman" w:cs="Times New Roman"/>
          <w:sz w:val="24"/>
          <w:szCs w:val="24"/>
          <w:lang w:eastAsia="pl-PL"/>
        </w:rPr>
        <w:t xml:space="preserve"> muszą być jednolicie i spójnie stosowane, w szczególności mając na uwadze współpracę odpowiednich organów poszczególnych państw w zakresie ich stosowania, udzielenia wzajemnej pomocy i egzekwowania.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Celem wytycznych Komisji jest przede wszystkim wyjaśnienie i ujednolicenie interpretacji, kiedy zaczyna się i kiedy kończy się delegowanie w różnych scenariuszach operacji transportowych. Są to dokumenty „żywe”, które są uzupełniane na bieżąco w miarę </w:t>
      </w:r>
      <w:r w:rsidRPr="002D46FB">
        <w:rPr>
          <w:rFonts w:ascii="Times New Roman" w:eastAsia="Times New Roman" w:hAnsi="Times New Roman" w:cs="Times New Roman"/>
          <w:bCs/>
          <w:sz w:val="24"/>
          <w:szCs w:val="24"/>
          <w:lang w:eastAsia="pl-PL"/>
        </w:rPr>
        <w:lastRenderedPageBreak/>
        <w:t xml:space="preserve">pojawiających się wątpliwości o dodatkowe kwestie. Szczegółowe wytyczne w powyższym zakresie przyjmowane są w ramach prac Grupy ekspertów ds. delegowania kierowców przy Komisji Europejskiej, w której uczestniczą przedstawiciele właściwych organów państw członkowskich oraz przedstawicieli organizacji reprezentujących branżę transportu drogowego.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Z kolei przy użyciu interfejsu publicznego połączonego z systemem IMI przewoźnik drogowy delegujący kierowcę na terytorium Rzeczypospolitej Polskiej będzie składał zgłoszenie delegowania kierowcy najpóźniej w momencie rozpoczęcia delegowania, a zakres informacji zawieranych w takim zgłoszeniu został określony w art. 9 ust. 2 projektowanej ustawy.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Dodatkowym obowiązkiem ww. przewoźnika będzie zapewnienie, aby kierowca podczas delegowania dysponował określonymi dokumentami w postaci papierowej lub elektronicznej – co będzie pozwalać na kontrolę przestrzegania wymogów wprowadzanych projektowaną ustawą w trakcie kontroli drogowej.</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Proponuje się również doprecyzowanie wskazujące, że dowodami potwierdzającymi wykonywanie przewozów drogowych na terytorium Rzeczypospolitej Polskiej,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szczególności w postaci listów przewozowych, dowodów, o których mowa w art. 8 ust. 3 rozporządzenia (WE) nr 1072/2009, odpowiedniego zezwolenia, wypisu z zezwolenia wraz </w:t>
      </w:r>
      <w:r w:rsidR="000C4FB1" w:rsidRPr="002D46FB">
        <w:rPr>
          <w:rFonts w:ascii="Times New Roman" w:eastAsia="Times New Roman" w:hAnsi="Times New Roman" w:cs="Times New Roman"/>
          <w:bCs/>
          <w:sz w:val="24"/>
          <w:szCs w:val="24"/>
          <w:lang w:eastAsia="pl-PL"/>
        </w:rPr>
        <w:t>z</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obowiązującym rozkładem jazdy, formularza jazdy, odpowiedniej decyzji lub kopii umowy na realizowany przewóz, o których mowa w art. 87 ust. 1 pkt 2 lit. a–d i g </w:t>
      </w:r>
      <w:r w:rsidRPr="002D46FB">
        <w:rPr>
          <w:rFonts w:ascii="Times New Roman" w:eastAsia="Times New Roman" w:hAnsi="Times New Roman" w:cs="Times New Roman"/>
          <w:bCs/>
          <w:i/>
          <w:sz w:val="24"/>
          <w:szCs w:val="24"/>
          <w:lang w:eastAsia="pl-PL"/>
        </w:rPr>
        <w:t xml:space="preserve">ustawy z dnia </w:t>
      </w:r>
      <w:r w:rsidR="000C4FB1" w:rsidRPr="002D46FB">
        <w:rPr>
          <w:rFonts w:ascii="Times New Roman" w:eastAsia="Times New Roman" w:hAnsi="Times New Roman" w:cs="Times New Roman"/>
          <w:bCs/>
          <w:i/>
          <w:sz w:val="24"/>
          <w:szCs w:val="24"/>
          <w:lang w:eastAsia="pl-PL"/>
        </w:rPr>
        <w:t>6</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 xml:space="preserve">września 2001 r. o transporcie drogowym </w:t>
      </w:r>
      <w:r w:rsidRPr="002D46FB">
        <w:rPr>
          <w:rFonts w:ascii="Times New Roman" w:eastAsia="Times New Roman" w:hAnsi="Times New Roman" w:cs="Times New Roman"/>
          <w:bCs/>
          <w:sz w:val="24"/>
          <w:szCs w:val="24"/>
          <w:lang w:eastAsia="pl-PL"/>
        </w:rPr>
        <w:t xml:space="preserve">(Dz. U. z 2022 r. poz. 2201, z późn. zm.), o ile są wymagane. Proponowane doprecyzowanie dotyczy dokumentów wymaganych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międzynarodowym przewozie osób i rzeczy, których kontrola jest niezbędna dla prawidłowej oceny, czy kontrolowanego kierowcę wykonującego określoną operację transportową uznaje się za delegowanego na terytorium RP w świetle projektowanej regulacji i wytycznych Komisji Europejskiej w tym zakresie.</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W celu kontroli, zgodnie z propozycją wyrażoną w art. 9 ust. 5 projektu, przewoźnik drogowy delegujący kierowcę na terytorium Rzeczypospolitej Polskiej ma na bieżąco aktualizować zgłoszenia delegowania w interfejsie publicznym połączonym z systemem IMI. W celu zmniejszenia obciążeń administracyjnych spoczywających na przewoźnikach uproszczono proces przesyłania i aktualizowania zgłoszeń delegowania przy użyciu wielojęzycznego standardowego formularza interfejsu publicznego połączonego z systemem IMI. Dostęp do publicznego interfejsu połączonego z systemem IMI odbywa się z wykorzystaniem </w:t>
      </w:r>
      <w:r w:rsidRPr="002D46FB">
        <w:rPr>
          <w:rFonts w:ascii="Times New Roman" w:eastAsia="Times New Roman" w:hAnsi="Times New Roman" w:cs="Times New Roman"/>
          <w:bCs/>
          <w:sz w:val="24"/>
          <w:szCs w:val="24"/>
          <w:lang w:eastAsia="pl-PL"/>
        </w:rPr>
        <w:lastRenderedPageBreak/>
        <w:t xml:space="preserve">zabezpieczonego konta umożliwiającego upoważnionym użytkownikom zarządzanie zgłoszeniami delegowania i wnioskami o przekazanie dokumentów składanymi przez właściwe organy państwa członkowskiego. Upoważnieni użytkownicy mają możliwość rejestrowania szczegółowych informacji dotyczących przewoźnika, zarządzającego transportem </w:t>
      </w:r>
      <w:r w:rsidR="000C4FB1" w:rsidRPr="002D46FB">
        <w:rPr>
          <w:rFonts w:ascii="Times New Roman" w:eastAsia="Times New Roman" w:hAnsi="Times New Roman" w:cs="Times New Roman"/>
          <w:bCs/>
          <w:sz w:val="24"/>
          <w:szCs w:val="24"/>
          <w:lang w:eastAsia="pl-PL"/>
        </w:rPr>
        <w:t>i</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delegowanych kierowców. Upoważniony użytkownik to osoba działająca w imieniu przewoźnika przy zarządzaniu zgłoszeniami delegowania i odpowiadaniu na wnioski </w:t>
      </w:r>
      <w:r w:rsidR="000C4FB1" w:rsidRPr="002D46FB">
        <w:rPr>
          <w:rFonts w:ascii="Times New Roman" w:eastAsia="Times New Roman" w:hAnsi="Times New Roman" w:cs="Times New Roman"/>
          <w:bCs/>
          <w:sz w:val="24"/>
          <w:szCs w:val="24"/>
          <w:lang w:eastAsia="pl-PL"/>
        </w:rPr>
        <w:t>o</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przekazanie dokumentów ze strony przyjmującego państwa członkowskiego. Mając na uwadze, że zgłoszenia delegowania można składać w publicznym interfejsie maksymalnie na sześć miesięcy</w:t>
      </w:r>
      <w:r w:rsidR="00007882">
        <w:rPr>
          <w:rFonts w:ascii="Times New Roman" w:eastAsia="Times New Roman" w:hAnsi="Times New Roman" w:cs="Times New Roman"/>
          <w:bCs/>
          <w:sz w:val="24"/>
          <w:szCs w:val="24"/>
          <w:lang w:eastAsia="pl-PL"/>
        </w:rPr>
        <w:t>,</w:t>
      </w:r>
      <w:r w:rsidRPr="002D46FB">
        <w:rPr>
          <w:rFonts w:ascii="Times New Roman" w:eastAsia="Times New Roman" w:hAnsi="Times New Roman" w:cs="Times New Roman"/>
          <w:bCs/>
          <w:sz w:val="24"/>
          <w:szCs w:val="24"/>
          <w:lang w:eastAsia="pl-PL"/>
        </w:rPr>
        <w:t xml:space="preserve"> niezbędne jest na bieżąco aktualizowanie tego zgłoszenia, zgodnie z art. 9 ust. 5 projektu.</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Przepisy rozdziału 4 projektowanej ustawy określają odpowiednie obowiązki przewoźników drogowych z państw trzecich delegujących kierowców na terytorium Rzeczypospolitej Polskiej oraz obowiązki delegowanych kierowców. Należy mieć na uwadze, że zgodnie z art. 1 ust. </w:t>
      </w:r>
      <w:r w:rsidR="000C4FB1" w:rsidRPr="002D46FB">
        <w:rPr>
          <w:rFonts w:ascii="Times New Roman" w:eastAsia="Times New Roman" w:hAnsi="Times New Roman" w:cs="Times New Roman"/>
          <w:bCs/>
          <w:sz w:val="24"/>
          <w:szCs w:val="24"/>
          <w:lang w:eastAsia="pl-PL"/>
        </w:rPr>
        <w:t>10</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wdrażanej dyrektywy przedsiębiorstwa transportowe mające siedzibę w państwie niebędącym państwem członkowskim nie mogą być traktowane w sposób bardziej uprzywilejowany niż przedsiębiorstwa mające siedzibę w państwie członkowskim, w tym w trakcie wykonywania przewozów na podstawie umów dwustronnych lub wielostronnych przyznających dostęp do rynku unijnego lub jego części. Projektowana ustawa respektuje tę zasadę. W projektowanych przepisach uwzględniono zróżnicowanie warunków technicznych, w jakich funkcjonują przewoźnicy z państw trzecich, a także przewidywany w najbliższym czasie brak dostępu tych przewoźników do interfejsu publicznego połączonego z systemu IMI. Zgłoszenia delegowania będą bowiem składane za pośrednictwem udostępnionego formularza elektronicznego, a każdorazowo, przed rozpoczęciem przewozu drogowego, potwierdzenie delegowania kierowcy przewoźnik będzie sporządzał w postaci papierowej. Sformułowanie „każdorazowo” oznacza, że przewoźnik drogowy ma obowiązek składania zgłoszenia delegowania do Państwowej Inspekcji Pracy i wystawienia potwierdzenia delegowania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postaci papierowej przed rozpoczęciem każdego przewozu, a nie na okres obejmujący np. kilka tygodni. Ma to szczególne znaczenie bowiem przedsiębiorstwa transportowe mające siedzibę w państwie niebędącym państwem członkowskim nie mają dostępu do interfejsu publicznego połączonego z systemu IMI, a użytkowane przez nich pojazdy nie muszą być wyposażone w najnowsze tachografy inteligentne drugiej generacji, zgodnie ze zmienionymi wymaganiami technicznymi określonymi w przepisach wchodzących w skład Pakietu Mobilności I, które rejestrują każde przekroczenie granicy i moment załadunku oraz </w:t>
      </w:r>
      <w:r w:rsidRPr="002D46FB">
        <w:rPr>
          <w:rFonts w:ascii="Times New Roman" w:eastAsia="Times New Roman" w:hAnsi="Times New Roman" w:cs="Times New Roman"/>
          <w:bCs/>
          <w:sz w:val="24"/>
          <w:szCs w:val="24"/>
          <w:lang w:eastAsia="pl-PL"/>
        </w:rPr>
        <w:lastRenderedPageBreak/>
        <w:t xml:space="preserve">rozładunku. Wobec powyższego zgłoszenie delegowania i potwierdzenie delegowania powinny zawierać aktualne dane pozwalające na precyzyjne określenie momentu rozpoczęcia </w:t>
      </w:r>
      <w:r w:rsidR="000C4FB1" w:rsidRPr="002D46FB">
        <w:rPr>
          <w:rFonts w:ascii="Times New Roman" w:eastAsia="Times New Roman" w:hAnsi="Times New Roman" w:cs="Times New Roman"/>
          <w:bCs/>
          <w:sz w:val="24"/>
          <w:szCs w:val="24"/>
          <w:lang w:eastAsia="pl-PL"/>
        </w:rPr>
        <w:t>i</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zakończenia delegowania na terytorium RP. W celu uniemożliwienia podrabiania, przerabiania lub wystawiania przez kierowców w trakcie wykonywania przewozu potwierdzenie delegowania, dokument ten ma być sporządzany na komputerze lub maszynowo. Potwierdzenie podpisać ma przewoźnik drogowy oraz kierowca delegowany na terytorium Rzeczypospolitej Polskiej z państwa trzeciego.</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Przepisy dotyczące delegowania pracowników, zawarte w dyrektywie 96/71/WE</w:t>
      </w:r>
      <w:r w:rsidR="00071235">
        <w:rPr>
          <w:rFonts w:ascii="Times New Roman" w:eastAsia="Times New Roman" w:hAnsi="Times New Roman" w:cs="Times New Roman"/>
          <w:bCs/>
          <w:sz w:val="24"/>
          <w:szCs w:val="24"/>
          <w:lang w:eastAsia="pl-PL"/>
        </w:rPr>
        <w:t>,</w:t>
      </w:r>
      <w:r w:rsidRPr="002D46FB">
        <w:rPr>
          <w:rFonts w:ascii="Times New Roman" w:eastAsia="Times New Roman" w:hAnsi="Times New Roman" w:cs="Times New Roman"/>
          <w:bCs/>
          <w:sz w:val="24"/>
          <w:szCs w:val="24"/>
          <w:lang w:eastAsia="pl-PL"/>
        </w:rPr>
        <w:t xml:space="preserve"> oraz przepisy dotyczące egzekwowania tych przepisów, zawarte w dyrektywie 2014/67/UE, mają zastosowanie do sektora transportu drogowego, z uwzględnieniem przepisów szczególnych określonych w dyrektywie (UE) 2020/1057. Przepisy sektorowe dotyczące delegowania kierowców zostały oparte na istnieniu wystarczającego powiązania między kierowcą </w:t>
      </w:r>
      <w:r w:rsidR="000C4FB1" w:rsidRPr="002D46FB">
        <w:rPr>
          <w:rFonts w:ascii="Times New Roman" w:eastAsia="Times New Roman" w:hAnsi="Times New Roman" w:cs="Times New Roman"/>
          <w:bCs/>
          <w:sz w:val="24"/>
          <w:szCs w:val="24"/>
          <w:lang w:eastAsia="pl-PL"/>
        </w:rPr>
        <w:t>a</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świadczoną usługą oraz terytorium przyjmującego państwa członkowskiego UE. Podobnie odrębnie zostały uregulowane zasady dotyczące egzekwowanie tych przepisów, zależnie od stopnia powiązania poszczególnych rodzajów przewozów z terytorium przyjmującego państwa członkowskiego UE. W zakresie egzekwowania tych przepisów </w:t>
      </w:r>
      <w:r w:rsidRPr="002D46FB">
        <w:rPr>
          <w:rFonts w:ascii="Times New Roman" w:eastAsia="Times New Roman" w:hAnsi="Times New Roman" w:cs="Times New Roman"/>
          <w:bCs/>
          <w:i/>
          <w:sz w:val="24"/>
          <w:szCs w:val="24"/>
          <w:lang w:eastAsia="pl-PL"/>
        </w:rPr>
        <w:t xml:space="preserve">lex </w:t>
      </w:r>
      <w:proofErr w:type="spellStart"/>
      <w:r w:rsidRPr="002D46FB">
        <w:rPr>
          <w:rFonts w:ascii="Times New Roman" w:eastAsia="Times New Roman" w:hAnsi="Times New Roman" w:cs="Times New Roman"/>
          <w:bCs/>
          <w:i/>
          <w:sz w:val="24"/>
          <w:szCs w:val="24"/>
          <w:lang w:eastAsia="pl-PL"/>
        </w:rPr>
        <w:t>specialis</w:t>
      </w:r>
      <w:proofErr w:type="spellEnd"/>
      <w:r w:rsidRPr="002D46FB">
        <w:rPr>
          <w:rFonts w:ascii="Times New Roman" w:eastAsia="Times New Roman" w:hAnsi="Times New Roman" w:cs="Times New Roman"/>
          <w:bCs/>
          <w:sz w:val="24"/>
          <w:szCs w:val="24"/>
          <w:lang w:eastAsia="pl-PL"/>
        </w:rPr>
        <w:t xml:space="preserve"> wprowadza odstępstwa jedynie od art. 9 ust. 1 i 2 dyrektywy 2014/67/UE. W kwestiach nieuregulowanych w </w:t>
      </w:r>
      <w:r w:rsidRPr="002D46FB">
        <w:rPr>
          <w:rFonts w:ascii="Times New Roman" w:eastAsia="Times New Roman" w:hAnsi="Times New Roman" w:cs="Times New Roman"/>
          <w:bCs/>
          <w:i/>
          <w:sz w:val="24"/>
          <w:szCs w:val="24"/>
          <w:lang w:eastAsia="pl-PL"/>
        </w:rPr>
        <w:t xml:space="preserve">lex </w:t>
      </w:r>
      <w:proofErr w:type="spellStart"/>
      <w:r w:rsidRPr="002D46FB">
        <w:rPr>
          <w:rFonts w:ascii="Times New Roman" w:eastAsia="Times New Roman" w:hAnsi="Times New Roman" w:cs="Times New Roman"/>
          <w:bCs/>
          <w:i/>
          <w:sz w:val="24"/>
          <w:szCs w:val="24"/>
          <w:lang w:eastAsia="pl-PL"/>
        </w:rPr>
        <w:t>specialis</w:t>
      </w:r>
      <w:proofErr w:type="spellEnd"/>
      <w:r w:rsidRPr="002D46FB">
        <w:rPr>
          <w:rFonts w:ascii="Times New Roman" w:eastAsia="Times New Roman" w:hAnsi="Times New Roman" w:cs="Times New Roman"/>
          <w:bCs/>
          <w:sz w:val="24"/>
          <w:szCs w:val="24"/>
          <w:lang w:eastAsia="pl-PL"/>
        </w:rPr>
        <w:t xml:space="preserve"> stosuje się zatem odpowiednio przepisy ogólne.</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Mając na względzie powyższe</w:t>
      </w:r>
      <w:r w:rsidR="00071235">
        <w:rPr>
          <w:rFonts w:ascii="Times New Roman" w:eastAsia="Times New Roman" w:hAnsi="Times New Roman" w:cs="Times New Roman"/>
          <w:bCs/>
          <w:sz w:val="24"/>
          <w:szCs w:val="24"/>
          <w:lang w:eastAsia="pl-PL"/>
        </w:rPr>
        <w:t>,</w:t>
      </w:r>
      <w:r w:rsidRPr="002D46FB">
        <w:rPr>
          <w:rFonts w:ascii="Times New Roman" w:eastAsia="Times New Roman" w:hAnsi="Times New Roman" w:cs="Times New Roman"/>
          <w:bCs/>
          <w:sz w:val="24"/>
          <w:szCs w:val="24"/>
          <w:lang w:eastAsia="pl-PL"/>
        </w:rPr>
        <w:t xml:space="preserve"> należy podkreślić, że zakres danych osobowych, o których mowa w art. 12 ust. 3 pkt 2 niniejszego projektu ustawy został podobnie uregulowany do obecnie obowiązujących przepisów przyjętych w </w:t>
      </w:r>
      <w:r w:rsidRPr="002D46FB">
        <w:rPr>
          <w:rFonts w:ascii="Times New Roman" w:eastAsia="Times New Roman" w:hAnsi="Times New Roman" w:cs="Times New Roman"/>
          <w:bCs/>
          <w:i/>
          <w:sz w:val="24"/>
          <w:szCs w:val="24"/>
          <w:lang w:eastAsia="pl-PL"/>
        </w:rPr>
        <w:t xml:space="preserve">ustawie z dnia 10 czerwca 2016 r. </w:t>
      </w:r>
      <w:r w:rsidR="000C4FB1" w:rsidRPr="002D46FB">
        <w:rPr>
          <w:rFonts w:ascii="Times New Roman" w:eastAsia="Times New Roman" w:hAnsi="Times New Roman" w:cs="Times New Roman"/>
          <w:bCs/>
          <w:i/>
          <w:sz w:val="24"/>
          <w:szCs w:val="24"/>
          <w:lang w:eastAsia="pl-PL"/>
        </w:rPr>
        <w:t>o</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delegowaniu pracowników w ramach świadczenia usług</w:t>
      </w:r>
      <w:r w:rsidRPr="002D46FB">
        <w:rPr>
          <w:rFonts w:ascii="Times New Roman" w:eastAsia="Times New Roman" w:hAnsi="Times New Roman" w:cs="Times New Roman"/>
          <w:bCs/>
          <w:sz w:val="24"/>
          <w:szCs w:val="24"/>
          <w:lang w:eastAsia="pl-PL"/>
        </w:rPr>
        <w:t xml:space="preserve"> (por. art. 24 ust. 1 i 2 oraz ust. 3 pkt 6 ww. ustawy). Przepisy tej ustawy mają zastosowanie do transportu drogowego zgodnie wyrokiem Trybunału Sprawiedliwości UE z dnia 1 grudnia 2020 r. w sprawie C-815/18, </w:t>
      </w:r>
      <w:proofErr w:type="spellStart"/>
      <w:r w:rsidRPr="002D46FB">
        <w:rPr>
          <w:rFonts w:ascii="Times New Roman" w:eastAsia="Times New Roman" w:hAnsi="Times New Roman" w:cs="Times New Roman"/>
          <w:bCs/>
          <w:i/>
          <w:sz w:val="24"/>
          <w:szCs w:val="24"/>
          <w:lang w:eastAsia="pl-PL"/>
        </w:rPr>
        <w:t>Federatie</w:t>
      </w:r>
      <w:proofErr w:type="spellEnd"/>
      <w:r w:rsidRPr="002D46FB">
        <w:rPr>
          <w:rFonts w:ascii="Times New Roman" w:eastAsia="Times New Roman" w:hAnsi="Times New Roman" w:cs="Times New Roman"/>
          <w:bCs/>
          <w:i/>
          <w:sz w:val="24"/>
          <w:szCs w:val="24"/>
          <w:lang w:eastAsia="pl-PL"/>
        </w:rPr>
        <w:t xml:space="preserve"> </w:t>
      </w:r>
      <w:proofErr w:type="spellStart"/>
      <w:r w:rsidRPr="002D46FB">
        <w:rPr>
          <w:rFonts w:ascii="Times New Roman" w:eastAsia="Times New Roman" w:hAnsi="Times New Roman" w:cs="Times New Roman"/>
          <w:bCs/>
          <w:i/>
          <w:sz w:val="24"/>
          <w:szCs w:val="24"/>
          <w:lang w:eastAsia="pl-PL"/>
        </w:rPr>
        <w:t>Nederlandse</w:t>
      </w:r>
      <w:proofErr w:type="spellEnd"/>
      <w:r w:rsidRPr="002D46FB">
        <w:rPr>
          <w:rFonts w:ascii="Times New Roman" w:eastAsia="Times New Roman" w:hAnsi="Times New Roman" w:cs="Times New Roman"/>
          <w:bCs/>
          <w:i/>
          <w:sz w:val="24"/>
          <w:szCs w:val="24"/>
          <w:lang w:eastAsia="pl-PL"/>
        </w:rPr>
        <w:t xml:space="preserve"> </w:t>
      </w:r>
      <w:proofErr w:type="spellStart"/>
      <w:r w:rsidRPr="002D46FB">
        <w:rPr>
          <w:rFonts w:ascii="Times New Roman" w:eastAsia="Times New Roman" w:hAnsi="Times New Roman" w:cs="Times New Roman"/>
          <w:bCs/>
          <w:i/>
          <w:sz w:val="24"/>
          <w:szCs w:val="24"/>
          <w:lang w:eastAsia="pl-PL"/>
        </w:rPr>
        <w:t>Vakbeweging</w:t>
      </w:r>
      <w:proofErr w:type="spellEnd"/>
      <w:r w:rsidRPr="002D46FB">
        <w:rPr>
          <w:rFonts w:ascii="Times New Roman" w:eastAsia="Times New Roman" w:hAnsi="Times New Roman" w:cs="Times New Roman"/>
          <w:bCs/>
          <w:sz w:val="24"/>
          <w:szCs w:val="24"/>
          <w:lang w:eastAsia="pl-PL"/>
        </w:rPr>
        <w:t>.</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Zgodnie z obecnie obowiązującymi obowiązkami pracodawca delegujący pracownika na terytorium RP wyznacza osobę upoważnioną do pośredniczenia w kontaktach z PIP oraz do przesyłania i otrzymywania dokumentów lub zawiadomień, która dodatkowo przebywa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okresie delegowania na terytorium RP. Pracodawca delegujący pracownika na terytorium RP najpóźniej w dniu rozpoczęcia świadczenia usługi składa PIP oświadczenie zawierające m.in. dane ww. osoby, obejmujące jej imię i nazwisko, adres, pod którym przebywa, oraz numer telefonu i adres poczty elektronicznej o charakterze służbowym. Ponadto na żądanie PIP ww. osoba niezwłocznie przekazuje PIP dane osoby upoważnionej przez pracodawcę delegującego </w:t>
      </w:r>
      <w:r w:rsidRPr="002D46FB">
        <w:rPr>
          <w:rFonts w:ascii="Times New Roman" w:eastAsia="Times New Roman" w:hAnsi="Times New Roman" w:cs="Times New Roman"/>
          <w:bCs/>
          <w:sz w:val="24"/>
          <w:szCs w:val="24"/>
          <w:lang w:eastAsia="pl-PL"/>
        </w:rPr>
        <w:lastRenderedPageBreak/>
        <w:t xml:space="preserve">pracownika na terytorium RP do reprezentowania go w trakcie kontroli prowadzonej przez PIP. Dane tej osoby obejmują jej imię i nazwisko, adres, pod którym przebywa, oraz numer telefonu i adres poczty elektronicznej o charakterze służbowym. Na uzasadniony wniosek PIP,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związku z prowadzoną kontrolą, ta osoba powinna być dostępna na terytorium RP.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Warto podkreślić, że dane osobowe gromadzone i przetwarzane w ramach powyższych przepisów mogą dotyczyć aż dwóch osób, tj. osoby upoważnionej do pośredniczenia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kontaktach z PIP oraz osoby upoważnionej do reprezentowania pracodawcy w trakcie kontroli. Obie te osoby powinny być dostępne na terytorium RP i wskazać adres, pod którym przebywają. Niniejszy projekt ustawy znosi natomiast bariery administracyjne dotyczące obowiązku dostępności wyznaczonych osób na terytorium RP oraz przechowywania na terytorium RP w postaci papierowej lub elektronicznej dokumentów, o których mowa w art. 25 ust. 1 </w:t>
      </w:r>
      <w:bookmarkStart w:id="2" w:name="_Hlk130542596"/>
      <w:r w:rsidRPr="002D46FB">
        <w:rPr>
          <w:rFonts w:ascii="Times New Roman" w:eastAsia="Times New Roman" w:hAnsi="Times New Roman" w:cs="Times New Roman"/>
          <w:bCs/>
          <w:i/>
          <w:sz w:val="24"/>
          <w:szCs w:val="24"/>
          <w:lang w:eastAsia="pl-PL"/>
        </w:rPr>
        <w:t>ustawy z dnia 10 czerwca 2016 r. o delegowaniu pracowników w ramach świadczenia usług</w:t>
      </w:r>
      <w:bookmarkEnd w:id="2"/>
      <w:r w:rsidRPr="002D46FB">
        <w:rPr>
          <w:rFonts w:ascii="Times New Roman" w:eastAsia="Times New Roman" w:hAnsi="Times New Roman" w:cs="Times New Roman"/>
          <w:bCs/>
          <w:sz w:val="24"/>
          <w:szCs w:val="24"/>
          <w:lang w:eastAsia="pl-PL"/>
        </w:rPr>
        <w:t>.</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i/>
          <w:sz w:val="24"/>
          <w:szCs w:val="24"/>
          <w:lang w:eastAsia="pl-PL"/>
        </w:rPr>
      </w:pPr>
      <w:r w:rsidRPr="002D46FB">
        <w:rPr>
          <w:rFonts w:ascii="Times New Roman" w:eastAsia="Times New Roman" w:hAnsi="Times New Roman" w:cs="Times New Roman"/>
          <w:bCs/>
          <w:sz w:val="24"/>
          <w:szCs w:val="24"/>
          <w:lang w:eastAsia="pl-PL"/>
        </w:rPr>
        <w:t xml:space="preserve">Nowo projektowane rozwiązania mają na celu minimalizację zbieranych informacji oraz uproszczenie stosowanych procedur. Takie działania nie mogą jednak uniemożliwić zbierania danych niezbędnych PIP do prawidłowego przeprowadzenia czynności kontrolnych. Wskazane w art. 12 ust. 3 pkt 2 projektu ustawy dane umożliwiają bowiem sprawny kontakt z osobą wyznaczoną do kontaktów z PIP oraz upoważnioną do reprezentowania kontrolowanego przewoźnika drogowego. Kontakt telefoniczny lub za pośrednictwem wiadomości elektronicznej umożliwia PIP szybkie i skuteczne uzyskanie koniecznych wyjaśnień, a także przesłanie wymaganych kopii dokumentów. Pozyskane dane będą przetwarzane w sposób niezautomatyzowany zgodnie z obowiązującymi przepisami </w:t>
      </w:r>
      <w:r w:rsidRPr="002D46FB">
        <w:rPr>
          <w:rFonts w:ascii="Times New Roman" w:eastAsia="Times New Roman" w:hAnsi="Times New Roman" w:cs="Times New Roman"/>
          <w:bCs/>
          <w:i/>
          <w:sz w:val="24"/>
          <w:szCs w:val="24"/>
          <w:lang w:eastAsia="pl-PL"/>
        </w:rPr>
        <w:t>ustawy z dnia 10 czerwca 2016 r. o delegowaniu pracowników w ramach świadczenia usług</w:t>
      </w:r>
      <w:r w:rsidRPr="002D46FB">
        <w:rPr>
          <w:rFonts w:ascii="Times New Roman" w:eastAsia="Times New Roman" w:hAnsi="Times New Roman" w:cs="Times New Roman"/>
          <w:bCs/>
          <w:sz w:val="24"/>
          <w:szCs w:val="24"/>
          <w:lang w:eastAsia="pl-PL"/>
        </w:rPr>
        <w:t>.</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Zasada minimalizmu gromadzonych danych osobowych nie może stać jednak w sprzeczności z zasadą legalizacji przetwarzania danych, która wynika w tym wypadku bezpośrednio </w:t>
      </w:r>
      <w:r w:rsidR="000C4FB1" w:rsidRPr="002D46FB">
        <w:rPr>
          <w:rFonts w:ascii="Times New Roman" w:eastAsia="Times New Roman" w:hAnsi="Times New Roman" w:cs="Times New Roman"/>
          <w:bCs/>
          <w:sz w:val="24"/>
          <w:szCs w:val="24"/>
          <w:lang w:eastAsia="pl-PL"/>
        </w:rPr>
        <w:t>z</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konieczności wypełnienia obowiązku prawnego wynikającego z implementowanej dyrektywy (UE) 2020/1057. Przewoźnicy unijni stawiają czoła rosnącej konkurencji ze strony przewoźników z państw trzecich. Kluczowe zatem znaczenie ma, aby przewoźnicy unijni nie byli dyskryminowani. Zgodnie z art. 1 ust. 4 dyrektywy 96/71/WE przedsiębiorstwa mające siedzibę w państwie nieczłonkowskim nie mogą być traktowane w sposób bardziej uprzywilejowany niż przedsiębiorstwa mające siedzibę w państwie członkowskim UE. Zasada ta ma również zastosowanie w odniesieniu do przepisów szczególnych dotyczących delegowania przewidzianych w dyrektywie (UE) 2020/1057. Zgodnie z unijną regulacją zasada </w:t>
      </w:r>
      <w:r w:rsidRPr="002D46FB">
        <w:rPr>
          <w:rFonts w:ascii="Times New Roman" w:eastAsia="Times New Roman" w:hAnsi="Times New Roman" w:cs="Times New Roman"/>
          <w:bCs/>
          <w:sz w:val="24"/>
          <w:szCs w:val="24"/>
          <w:lang w:eastAsia="pl-PL"/>
        </w:rPr>
        <w:lastRenderedPageBreak/>
        <w:t>ta powinna mieć zastosowanie w szczególności, gdy przewoźnicy z państw trzecich wykonują przewozy na podstawie dwustronnych lub wielostronnych umów przyznających dostęp do rynku Unii.</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Z uwagi na obecnie stosowaną praktykę PIP w zakresie kontroli pracodawców delegujących swoich pracowników na terytorium RP oraz po szczegółowym zbadaniu całokształtu okoliczności gromadzenia i przetwarzania danych osobowych, Zespół do spraw opracowania regulacji dotyczącej delegowania kierowców podjął decyzję o utrzymaniu tożsamych do obecnie obowiązujących rozwiązań w ww. zakresie. Gromadzenie i przetwarzanie przez PIP danych w postaci zarówno adresu e-mail, jak i numeru telefonu, nawet gdy polskie prawo nie przewiduje obowiązku posiadania tego rodzaju danych, jest uzasadnione i znacząco wpływa na szybkość kontaktu z kontrolowanym pracodawcą, co ma szczególne znaczenie w przypadku krótkoterminowego delegowania kierowców. Zakres gromadzenia powyższych danych osobowych pod kątem testu prywatności i testu równowagi został zrównany z zakresem danych gromadzonych na podstawie dotychczas obowiązującej ustawy </w:t>
      </w:r>
      <w:r w:rsidRPr="002D46FB">
        <w:rPr>
          <w:rFonts w:ascii="Times New Roman" w:eastAsia="Times New Roman" w:hAnsi="Times New Roman" w:cs="Times New Roman"/>
          <w:bCs/>
          <w:i/>
          <w:sz w:val="24"/>
          <w:szCs w:val="24"/>
          <w:lang w:eastAsia="pl-PL"/>
        </w:rPr>
        <w:t xml:space="preserve">z dnia 10 czerwca 2016 r. </w:t>
      </w:r>
      <w:r w:rsidR="000C4FB1" w:rsidRPr="002D46FB">
        <w:rPr>
          <w:rFonts w:ascii="Times New Roman" w:eastAsia="Times New Roman" w:hAnsi="Times New Roman" w:cs="Times New Roman"/>
          <w:bCs/>
          <w:i/>
          <w:sz w:val="24"/>
          <w:szCs w:val="24"/>
          <w:lang w:eastAsia="pl-PL"/>
        </w:rPr>
        <w:t>o</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delegowaniu pracowników w ramach świadczenia usług</w:t>
      </w:r>
      <w:r w:rsidRPr="002D46FB">
        <w:rPr>
          <w:rFonts w:ascii="Times New Roman" w:eastAsia="Times New Roman" w:hAnsi="Times New Roman" w:cs="Times New Roman"/>
          <w:bCs/>
          <w:sz w:val="24"/>
          <w:szCs w:val="24"/>
          <w:lang w:eastAsia="pl-PL"/>
        </w:rPr>
        <w:t xml:space="preserve">, w tym w zakresie oceny skutków dla ochrony danych w związku z przyjmowaniem podstawy prawnej przetwarzania ww. danych osobowych. W związku z powyższym, nie mając wątpliwości co do prawidłowości przetwarzania i ochrony danych podczas obecnie przeprowadzanych czynności kontrolnych przez PIP, nie było potrzeby przeprowadzenia odrębnych testów ani odrębnej oceny, uznając obecnie obowiązujące przepisy za zgodne z rozporządzeniem (UE) 2016/679.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Powyższe podejście potwierdza zasada, zgodnie z którą PIP kontroluje prawidłowość delegowania lub warunki zatrudnienia kierowcy delegowanego na terytorium RP</w:t>
      </w:r>
      <w:r w:rsidR="00CC0DAD">
        <w:rPr>
          <w:rFonts w:ascii="Times New Roman" w:eastAsia="Times New Roman" w:hAnsi="Times New Roman" w:cs="Times New Roman"/>
          <w:bCs/>
          <w:sz w:val="24"/>
          <w:szCs w:val="24"/>
          <w:lang w:eastAsia="pl-PL"/>
        </w:rPr>
        <w:t>,</w:t>
      </w:r>
      <w:r w:rsidRPr="002D46FB">
        <w:rPr>
          <w:rFonts w:ascii="Times New Roman" w:eastAsia="Times New Roman" w:hAnsi="Times New Roman" w:cs="Times New Roman"/>
          <w:bCs/>
          <w:sz w:val="24"/>
          <w:szCs w:val="24"/>
          <w:lang w:eastAsia="pl-PL"/>
        </w:rPr>
        <w:t xml:space="preserve"> zgodnie </w:t>
      </w:r>
      <w:r w:rsidR="000C4FB1" w:rsidRPr="002D46FB">
        <w:rPr>
          <w:rFonts w:ascii="Times New Roman" w:eastAsia="Times New Roman" w:hAnsi="Times New Roman" w:cs="Times New Roman"/>
          <w:bCs/>
          <w:sz w:val="24"/>
          <w:szCs w:val="24"/>
          <w:lang w:eastAsia="pl-PL"/>
        </w:rPr>
        <w:t>z</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art. 14 i art. 15 </w:t>
      </w:r>
      <w:r w:rsidRPr="002D46FB">
        <w:rPr>
          <w:rFonts w:ascii="Times New Roman" w:eastAsia="Times New Roman" w:hAnsi="Times New Roman" w:cs="Times New Roman"/>
          <w:bCs/>
          <w:i/>
          <w:sz w:val="24"/>
          <w:szCs w:val="24"/>
          <w:lang w:eastAsia="pl-PL"/>
        </w:rPr>
        <w:t>ustawy z dnia 10 czerwca 2016 r. o delegowaniu pracowników w ramach świadczenia usług</w:t>
      </w:r>
      <w:r w:rsidRPr="002D46FB">
        <w:rPr>
          <w:rFonts w:ascii="Times New Roman" w:eastAsia="Times New Roman" w:hAnsi="Times New Roman" w:cs="Times New Roman"/>
          <w:bCs/>
          <w:sz w:val="24"/>
          <w:szCs w:val="24"/>
          <w:lang w:eastAsia="pl-PL"/>
        </w:rPr>
        <w:t>, uwzględniając jedynie dane i informacje, o których mowa w projektowanej ustawie. Wykorzystując dotychczasowe doświadczenia i praktykę stosowania prawa</w:t>
      </w:r>
      <w:r w:rsidR="00CC0DAD">
        <w:rPr>
          <w:rFonts w:ascii="Times New Roman" w:eastAsia="Times New Roman" w:hAnsi="Times New Roman" w:cs="Times New Roman"/>
          <w:bCs/>
          <w:sz w:val="24"/>
          <w:szCs w:val="24"/>
          <w:lang w:eastAsia="pl-PL"/>
        </w:rPr>
        <w:t>,</w:t>
      </w:r>
      <w:r w:rsidRPr="002D46FB">
        <w:rPr>
          <w:rFonts w:ascii="Times New Roman" w:eastAsia="Times New Roman" w:hAnsi="Times New Roman" w:cs="Times New Roman"/>
          <w:bCs/>
          <w:sz w:val="24"/>
          <w:szCs w:val="24"/>
          <w:lang w:eastAsia="pl-PL"/>
        </w:rPr>
        <w:t xml:space="preserve"> przyjęto zatem w obu regulacjach podobne rozwiązania w zakresie gromadzenia i przetwarzania danych osobowych, z uwzględnieniem </w:t>
      </w:r>
      <w:r w:rsidRPr="002D46FB">
        <w:rPr>
          <w:rFonts w:ascii="Times New Roman" w:eastAsia="Times New Roman" w:hAnsi="Times New Roman" w:cs="Times New Roman"/>
          <w:bCs/>
          <w:i/>
          <w:sz w:val="24"/>
          <w:szCs w:val="24"/>
          <w:lang w:eastAsia="pl-PL"/>
        </w:rPr>
        <w:t xml:space="preserve">lex </w:t>
      </w:r>
      <w:proofErr w:type="spellStart"/>
      <w:r w:rsidRPr="002D46FB">
        <w:rPr>
          <w:rFonts w:ascii="Times New Roman" w:eastAsia="Times New Roman" w:hAnsi="Times New Roman" w:cs="Times New Roman"/>
          <w:bCs/>
          <w:i/>
          <w:sz w:val="24"/>
          <w:szCs w:val="24"/>
          <w:lang w:eastAsia="pl-PL"/>
        </w:rPr>
        <w:t>specialis</w:t>
      </w:r>
      <w:proofErr w:type="spellEnd"/>
      <w:r w:rsidRPr="002D46FB">
        <w:rPr>
          <w:rFonts w:ascii="Times New Roman" w:eastAsia="Times New Roman" w:hAnsi="Times New Roman" w:cs="Times New Roman"/>
          <w:bCs/>
          <w:sz w:val="24"/>
          <w:szCs w:val="24"/>
          <w:lang w:eastAsia="pl-PL"/>
        </w:rPr>
        <w:t xml:space="preserve"> w zakresie delegowania kierowców z innego państwa członkowskiego UE w sektorze transportu drogowego.</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Zgodnie z powyższym oraz z zasadami dotyczącymi przetwarzania danych osobowych wymienionymi w art. 5 ust. 1 rozporządzenia (UE) 2016/679, zakres danych dotyczących osoby uprawnionej do reprezentowania przewoźnika drogowego na terytorium RP, wskazany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projektowanym art. 12 ust. 3 pkt 2, jest ograniczony do tego, co jest niezbędne do celów,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których jest przetwarzany zgodnie z zasadą minimalizacji danych, ich prawidłowości oraz </w:t>
      </w:r>
      <w:r w:rsidRPr="002D46FB">
        <w:rPr>
          <w:rFonts w:ascii="Times New Roman" w:eastAsia="Times New Roman" w:hAnsi="Times New Roman" w:cs="Times New Roman"/>
          <w:bCs/>
          <w:sz w:val="24"/>
          <w:szCs w:val="24"/>
          <w:lang w:eastAsia="pl-PL"/>
        </w:rPr>
        <w:lastRenderedPageBreak/>
        <w:t xml:space="preserve">zgodności z prawem. Zgodnie z powyższym cel pozyskiwania ww. danych wynika z faktu, że zgodnie z art. 1 ust. 10 wdrażanej dyrektywy (UE) 2020/1057 przedsiębiorstwa transportowe mające siedzibę w państwie niebędącym państwem członkowskim nie mogą być traktowane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sposób bardziej uprzywilejowany niż przedsiębiorstwa mające siedzibę w państwie członkowskim UE.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Ponadto zgodnie z tą zasadą oraz uwzględniając obecny brak dostępu przewoźników z państw trzecich do interfejsu publicznego połączonego z systemem IMI, niezbędne jest pozyskanie danych umożliwiających PIP bezpośredni kontakt z odpowiednio upoważnionym przedstawicielem przedsiębiorstwa delegującego kierowcę na terytorium RP. Wszelkie dokumenty i informacje, do których powinny mieć dostęp służby kontrolne PIP</w:t>
      </w:r>
      <w:r w:rsidR="009F0CA9">
        <w:rPr>
          <w:rFonts w:ascii="Times New Roman" w:eastAsia="Times New Roman" w:hAnsi="Times New Roman" w:cs="Times New Roman"/>
          <w:bCs/>
          <w:sz w:val="24"/>
          <w:szCs w:val="24"/>
          <w:lang w:eastAsia="pl-PL"/>
        </w:rPr>
        <w:t>,</w:t>
      </w:r>
      <w:r w:rsidRPr="002D46FB">
        <w:rPr>
          <w:rFonts w:ascii="Times New Roman" w:eastAsia="Times New Roman" w:hAnsi="Times New Roman" w:cs="Times New Roman"/>
          <w:bCs/>
          <w:sz w:val="24"/>
          <w:szCs w:val="24"/>
          <w:lang w:eastAsia="pl-PL"/>
        </w:rPr>
        <w:t xml:space="preserve"> mają na celu potwierdzenie czy kierowcy delegowanemu na terytorium RP zapewniono odpowiednie warunki zatrudnienia, wynikające z Kodeksu pracy i innych przepisów regulujących prawa </w:t>
      </w:r>
      <w:r w:rsidR="000C4FB1" w:rsidRPr="002D46FB">
        <w:rPr>
          <w:rFonts w:ascii="Times New Roman" w:eastAsia="Times New Roman" w:hAnsi="Times New Roman" w:cs="Times New Roman"/>
          <w:bCs/>
          <w:sz w:val="24"/>
          <w:szCs w:val="24"/>
          <w:lang w:eastAsia="pl-PL"/>
        </w:rPr>
        <w:t>i</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obowiązki pracowników, na poziomie nie mniej korzystnym niż wskazują ww. regulacje prawne (m.in. dotyczące wynagrodzenia za pracę, wymaganej liczby godzin odpoczynku dobowego i tygodniowego, bezpieczeństwa i higieny pracy), których przewoźnik drogowy delegujący kierowcę na terytorium RP zobowiązany jest przestrzegać.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Warto podkreślić, że takie rozwiązania będą obowiązywać do czasu, gdy na podstawie umowy międzynarodowej przewoźnik drogowy z państwa trzeciego delegujący kierowcę na terytorium RP będzie miał możliwość złożenia zgłoszenie delegowania przy użyciu interfejsu publicznego połączonego z systemem IMI, zgodnie z art. 23 ust. 6 projektu ustawy. Zmiana umów międzynarodowych jest jednak procesem długotrwałym i wymagającym wypracowania rozwiązań możliwych do zaakceptowania przez wszystkie strony tej umowy, dlatego też jest niezbędne przyjęcie wyżej omówionych przepisów, które będą obowiązywały czasowo.</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W zakresie określenia okresu retencji danych w zakresie danych zawartych w zgłoszeniu delegowania kierowcy na terytorium Rzeczypospolitej Polskiej z państwa trzeciego uzasadnione jest przyjęcie w projekcie ustawy 24-miesięcznego okresu przechowywanych danych z wyłączeniem wszczętych i niezakończonych postępowań. Podobne rozwiązania w zakresie przechowywania danych i usuwania ich, gdy dane te nie są już potrzebne do celów, do których zostały zgromadzone i przetworzone, zostały przyjęte w rozporządzeniu wykonawczym Komisji (UE) 2021/2179, które szczegółowo reguluje zasady funkcjonowania publicznego interfejsu połączonego z systemem IMI. Docelowo, po odpowiedniej zmianie umów międzynarodowych, rozwiązania te będą mogły mieć zastosowanie także do przewoźników drogowych z państw trzecich. Przetwarzanie danych osobowych za </w:t>
      </w:r>
      <w:r w:rsidRPr="002D46FB">
        <w:rPr>
          <w:rFonts w:ascii="Times New Roman" w:eastAsia="Times New Roman" w:hAnsi="Times New Roman" w:cs="Times New Roman"/>
          <w:bCs/>
          <w:sz w:val="24"/>
          <w:szCs w:val="24"/>
          <w:lang w:eastAsia="pl-PL"/>
        </w:rPr>
        <w:lastRenderedPageBreak/>
        <w:t xml:space="preserve">pośrednictwem publicznego interfejsu połączonego z systemem IMI odbywa się zgodnie </w:t>
      </w:r>
      <w:r w:rsidR="000C4FB1" w:rsidRPr="002D46FB">
        <w:rPr>
          <w:rFonts w:ascii="Times New Roman" w:eastAsia="Times New Roman" w:hAnsi="Times New Roman" w:cs="Times New Roman"/>
          <w:bCs/>
          <w:sz w:val="24"/>
          <w:szCs w:val="24"/>
          <w:lang w:eastAsia="pl-PL"/>
        </w:rPr>
        <w:t>z</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przepisami unijnymi w zakresie ochrony danych osobowych, a dane usuwane są automatycznie. Ponadto do wszelkiego przetwarzania danych osobowych na podstawie ww. unijnej regulacji stosuje się rozporządzenie (UE) 2018/1725. Powyższe przepisy były także skonsultowane z Europejskim Inspektorem Ochrony Danych.</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Przepisy rozdziału 5 projektowanej ustawy w szczególności określają zakres obowiązków organów przeprowadzających kontrolę delegowania kierowców w sektorze transportu drogowego. Wskazują one m.in. sposób przeprowadzania kontroli na drodze oraz zakres tej kontroli. Do przeprowadzania przedmiotowej kontroli projektowana ustawa upoważnia Inspekcję Transportu Drogowego, a w odpowiednim zakresie włączana w nią będzie również Państwowa Inspekcja Pracy – w szczególności w przypadku gdy podczas kontroli drogowej, kierowca nie okaże kopii zgłoszenia delegowania albo potwierdzenia zgłoszenia. Państwowa Inspekcja Pracy będzie także kontrolować warunki zatrudnienia delegowanych kierowców.</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Wprowadzenie zakazu określonego w art. 16 projektu odnoszącego się do wyposażania kierowcy w przerobione lub podrobione potwierdzenie delegowania wdraża sankcję określoną w grupie naruszeń dyrektywy (UE) 2020/1057 (pozycja 14.3) rozporządzenia Komisji (UE) 2016/403 z dnia 18 marca 2016 r. uzupełniającego rozporządzenie Parlamentu Europejskiego </w:t>
      </w:r>
      <w:r w:rsidR="000C4FB1" w:rsidRPr="002D46FB">
        <w:rPr>
          <w:rFonts w:ascii="Times New Roman" w:eastAsia="Times New Roman" w:hAnsi="Times New Roman" w:cs="Times New Roman"/>
          <w:sz w:val="24"/>
          <w:szCs w:val="24"/>
          <w:lang w:eastAsia="pl-PL"/>
        </w:rPr>
        <w:t>i</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Rady (WE) nr 1071/2009 w odniesieniu do klasyfikacji poważnych naruszeń przepisów unijnych, które mogą prowadzić do utraty dobrej reputacji przez przewoźnika drogowego, oraz zmieniające załącznik III do dyrektywy 2006/22/WE Parlamentu Europejskiego i Rady, zmienionego rozporządzeniem wykonawczym Komisji (UE) 2022/694 z dnia 2 maja 2022 r. zmieniającym rozporządzenie (UE) 2016/403 w odniesieniu do nowych poważnych naruszeń przepisów unijnych, które mogą prowadzić do utraty dobrej reputacji przez przewoźnika drogowego. Mając na uwadze, że w normie prawnej wyróżnia się trzy części składowe</w:t>
      </w:r>
      <w:r w:rsidR="00E90241">
        <w:rPr>
          <w:rFonts w:ascii="Times New Roman" w:eastAsia="Times New Roman" w:hAnsi="Times New Roman" w:cs="Times New Roman"/>
          <w:sz w:val="24"/>
          <w:szCs w:val="24"/>
          <w:lang w:eastAsia="pl-PL"/>
        </w:rPr>
        <w:t>:</w:t>
      </w:r>
      <w:r w:rsidRPr="002D46FB">
        <w:rPr>
          <w:rFonts w:ascii="Times New Roman" w:eastAsia="Times New Roman" w:hAnsi="Times New Roman" w:cs="Times New Roman"/>
          <w:sz w:val="24"/>
          <w:szCs w:val="24"/>
          <w:lang w:eastAsia="pl-PL"/>
        </w:rPr>
        <w:t xml:space="preserve"> hipotezę, dyspozycję i sankcję</w:t>
      </w:r>
      <w:r w:rsidR="00E90241">
        <w:rPr>
          <w:rFonts w:ascii="Times New Roman" w:eastAsia="Times New Roman" w:hAnsi="Times New Roman" w:cs="Times New Roman"/>
          <w:sz w:val="24"/>
          <w:szCs w:val="24"/>
          <w:lang w:eastAsia="pl-PL"/>
        </w:rPr>
        <w:t>,</w:t>
      </w:r>
      <w:r w:rsidRPr="002D46FB">
        <w:rPr>
          <w:rFonts w:ascii="Times New Roman" w:eastAsia="Times New Roman" w:hAnsi="Times New Roman" w:cs="Times New Roman"/>
          <w:sz w:val="24"/>
          <w:szCs w:val="24"/>
          <w:lang w:eastAsia="pl-PL"/>
        </w:rPr>
        <w:t xml:space="preserve"> </w:t>
      </w:r>
      <w:r w:rsidR="00E90241">
        <w:rPr>
          <w:rFonts w:ascii="Times New Roman" w:eastAsia="Times New Roman" w:hAnsi="Times New Roman" w:cs="Times New Roman"/>
          <w:sz w:val="24"/>
          <w:szCs w:val="24"/>
          <w:lang w:eastAsia="pl-PL"/>
        </w:rPr>
        <w:t>n</w:t>
      </w:r>
      <w:r w:rsidRPr="002D46FB">
        <w:rPr>
          <w:rFonts w:ascii="Times New Roman" w:eastAsia="Times New Roman" w:hAnsi="Times New Roman" w:cs="Times New Roman"/>
          <w:sz w:val="24"/>
          <w:szCs w:val="24"/>
          <w:lang w:eastAsia="pl-PL"/>
        </w:rPr>
        <w:t>iezbędne było zatem wprowadzenie przepisu określającego hipotezę tej normy w zakresie jej adresata oraz warunki lub okoliczności, w których temu adresatowi jest coś nakazane, zakazane lub dozwolone czynić.</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Ponadto, mając na uwadze, że inspektorzy Inspekcji Transportu Drogowego przeprowadzają kontrolę drogową, na warunkach i w trybie określonych w przepisach </w:t>
      </w:r>
      <w:r w:rsidRPr="002D46FB">
        <w:rPr>
          <w:rFonts w:ascii="Times New Roman" w:eastAsia="Times New Roman" w:hAnsi="Times New Roman" w:cs="Times New Roman"/>
          <w:bCs/>
          <w:i/>
          <w:sz w:val="24"/>
          <w:szCs w:val="24"/>
          <w:lang w:eastAsia="pl-PL"/>
        </w:rPr>
        <w:t>ustawy z dnia 6 września 2001 r. o transporcie drogowym</w:t>
      </w:r>
      <w:r w:rsidRPr="002D46FB">
        <w:rPr>
          <w:rFonts w:ascii="Times New Roman" w:eastAsia="Times New Roman" w:hAnsi="Times New Roman" w:cs="Times New Roman"/>
          <w:bCs/>
          <w:sz w:val="24"/>
          <w:szCs w:val="24"/>
          <w:lang w:eastAsia="pl-PL"/>
        </w:rPr>
        <w:t xml:space="preserve"> stosowane będą w odpowiednim zakresie protokoły kontroli oraz pokwitowanie poboru kaucji, stosowane przez osoby uprawnione do przeprowadzania kontroli drogowej, określone w rozporządzeniu wydanym na postawie art. 89 ust. 5 pkt 2–4 </w:t>
      </w:r>
      <w:r w:rsidRPr="002D46FB">
        <w:rPr>
          <w:rFonts w:ascii="Times New Roman" w:eastAsia="Times New Roman" w:hAnsi="Times New Roman" w:cs="Times New Roman"/>
          <w:bCs/>
          <w:i/>
          <w:sz w:val="24"/>
          <w:szCs w:val="24"/>
          <w:lang w:eastAsia="pl-PL"/>
        </w:rPr>
        <w:t>ustawy z dnia 6 września 2001 r. o transporcie drogowym</w:t>
      </w:r>
      <w:r w:rsidRPr="002D46FB">
        <w:rPr>
          <w:rFonts w:ascii="Times New Roman" w:eastAsia="Times New Roman" w:hAnsi="Times New Roman" w:cs="Times New Roman"/>
          <w:bCs/>
          <w:sz w:val="24"/>
          <w:szCs w:val="24"/>
          <w:lang w:eastAsia="pl-PL"/>
        </w:rPr>
        <w:t>.</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lastRenderedPageBreak/>
        <w:t xml:space="preserve">Do przyjmowania wniosków o wzajemną pomoc w sprawach dotyczących kontroli warunków zatrudnienia kierowców delegowanych od organów innego niż Rzeczpospolita Polska państwa członkowskiego projektowana ustawa upoważnia Państwową Inspekcję Pracy (rozdział </w:t>
      </w:r>
      <w:r w:rsidR="000C4FB1" w:rsidRPr="002D46FB">
        <w:rPr>
          <w:rFonts w:ascii="Times New Roman" w:eastAsia="Times New Roman" w:hAnsi="Times New Roman" w:cs="Times New Roman"/>
          <w:bCs/>
          <w:sz w:val="24"/>
          <w:szCs w:val="24"/>
          <w:lang w:eastAsia="pl-PL"/>
        </w:rPr>
        <w:t>6</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projektu). Jednocześnie w art. 29 projektu określono procedurę występowania za pośrednictwem systemu IMI z wnioskiem o powiadomienie o decyzji administracyjnej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sprawie nałożenia administracyjnej kary pieniężnej w związku z naruszeniem przepisów dotyczących delegowania kierowców na terytorium Rzeczypospolitej Polskiej do właściwego organu państwa członkowskiego siedziby przewoźnika drogowego delegującego kierowcę na terytorium Rzeczypospolitej Polskiej, którego dotyczy ta decyzja oraz z wnioskiem o egzekucję takiej kary pieniężnej.</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W celu należytego i skutecznego egzekwowania przepisów projektowanej ustawy konieczne jest określenie odpowiednich sankcji nakładanych przez organy państwowe w przypadku naruszenia poszczególnych regulacji tej ustawy. Kwestie te zostały określone w przepisach rozdziału 7 projektowanej ustawy. W tym kontekście zauważyć należy, że projektowane przepisy wprost wskazują, że wpływy z kar nałożonych przez Państwową Inspekcję Pracy stanowią dochód budżetu państwa. Ustanowienie analogicznej regulacji w stosunku do wpływów z kar nakładanych przez Inspekcję Transportu Drogowego jest natomiast zbędne, gdyż wynika ona już z art. 56 </w:t>
      </w:r>
      <w:r w:rsidRPr="002D46FB">
        <w:rPr>
          <w:rFonts w:ascii="Times New Roman" w:eastAsia="Times New Roman" w:hAnsi="Times New Roman" w:cs="Times New Roman"/>
          <w:bCs/>
          <w:i/>
          <w:sz w:val="24"/>
          <w:szCs w:val="24"/>
          <w:lang w:eastAsia="pl-PL"/>
        </w:rPr>
        <w:t xml:space="preserve">ustawy z dnia 6 września 2001 r. o transporcie drogowym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brzmieniu nadanym projektowaną ustawą. Regulacja ta przewiduje, że inspektor Inspekcji Transportu Drogowego będzie miał prawo do nakładania i pobierania kar pieniężnych oraz grzywien w drodze mandatów karnych również zgodnie z przepisami projektowanej ustawy, zaś wpływy z tych kar będą stanowiły wpływy Funduszu rozwoju przewozów autobusowych </w:t>
      </w:r>
      <w:r w:rsidR="000C4FB1" w:rsidRPr="002D46FB">
        <w:rPr>
          <w:rFonts w:ascii="Times New Roman" w:eastAsia="Times New Roman" w:hAnsi="Times New Roman" w:cs="Times New Roman"/>
          <w:bCs/>
          <w:sz w:val="24"/>
          <w:szCs w:val="24"/>
          <w:lang w:eastAsia="pl-PL"/>
        </w:rPr>
        <w:t>o</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charakterze użyteczności publicznej, o którym mowa w </w:t>
      </w:r>
      <w:r w:rsidRPr="002D46FB">
        <w:rPr>
          <w:rFonts w:ascii="Times New Roman" w:eastAsia="Times New Roman" w:hAnsi="Times New Roman" w:cs="Times New Roman"/>
          <w:bCs/>
          <w:i/>
          <w:sz w:val="24"/>
          <w:szCs w:val="24"/>
          <w:lang w:eastAsia="pl-PL"/>
        </w:rPr>
        <w:t xml:space="preserve">ustawie z dnia 16 maja 2019 r. </w:t>
      </w:r>
      <w:bookmarkStart w:id="3" w:name="_Hlk130505920"/>
      <w:r w:rsidR="000C4FB1" w:rsidRPr="002D46FB">
        <w:rPr>
          <w:rFonts w:ascii="Times New Roman" w:eastAsia="Times New Roman" w:hAnsi="Times New Roman" w:cs="Times New Roman"/>
          <w:bCs/>
          <w:i/>
          <w:sz w:val="24"/>
          <w:szCs w:val="24"/>
          <w:lang w:eastAsia="pl-PL"/>
        </w:rPr>
        <w:t>o</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Funduszu rozwoju przewozów autobusowych o charakterze użyteczności publicznej</w:t>
      </w:r>
      <w:r w:rsidRPr="002D46FB">
        <w:rPr>
          <w:rFonts w:ascii="Times New Roman" w:eastAsia="Times New Roman" w:hAnsi="Times New Roman" w:cs="Times New Roman"/>
          <w:bCs/>
          <w:sz w:val="24"/>
          <w:szCs w:val="24"/>
          <w:lang w:eastAsia="pl-PL"/>
        </w:rPr>
        <w:t xml:space="preserve"> </w:t>
      </w:r>
      <w:bookmarkEnd w:id="3"/>
      <w:r w:rsidRPr="002D46FB">
        <w:rPr>
          <w:rFonts w:ascii="Times New Roman" w:eastAsia="Times New Roman" w:hAnsi="Times New Roman" w:cs="Times New Roman"/>
          <w:bCs/>
          <w:sz w:val="24"/>
          <w:szCs w:val="24"/>
          <w:lang w:eastAsia="pl-PL"/>
        </w:rPr>
        <w:t xml:space="preserve">(Dz. U. </w:t>
      </w:r>
      <w:r w:rsidR="000C4FB1" w:rsidRPr="002D46FB">
        <w:rPr>
          <w:rFonts w:ascii="Times New Roman" w:eastAsia="Times New Roman" w:hAnsi="Times New Roman" w:cs="Times New Roman"/>
          <w:bCs/>
          <w:sz w:val="24"/>
          <w:szCs w:val="24"/>
          <w:lang w:eastAsia="pl-PL"/>
        </w:rPr>
        <w:t>z</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2022 r. poz. 2464) (art. 56 ust. 4 w związku z ust. 1 pkt 8 </w:t>
      </w:r>
      <w:r w:rsidRPr="002D46FB">
        <w:rPr>
          <w:rFonts w:ascii="Times New Roman" w:eastAsia="Times New Roman" w:hAnsi="Times New Roman" w:cs="Times New Roman"/>
          <w:bCs/>
          <w:i/>
          <w:sz w:val="24"/>
          <w:szCs w:val="24"/>
          <w:lang w:eastAsia="pl-PL"/>
        </w:rPr>
        <w:t xml:space="preserve">ustawy z dnia 6 września 2001 r. </w:t>
      </w:r>
      <w:r w:rsidR="000C4FB1" w:rsidRPr="002D46FB">
        <w:rPr>
          <w:rFonts w:ascii="Times New Roman" w:eastAsia="Times New Roman" w:hAnsi="Times New Roman" w:cs="Times New Roman"/>
          <w:bCs/>
          <w:i/>
          <w:sz w:val="24"/>
          <w:szCs w:val="24"/>
          <w:lang w:eastAsia="pl-PL"/>
        </w:rPr>
        <w:t>o</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 xml:space="preserve">transporcie drogowym </w:t>
      </w:r>
      <w:r w:rsidRPr="002D46FB">
        <w:rPr>
          <w:rFonts w:ascii="Times New Roman" w:eastAsia="Times New Roman" w:hAnsi="Times New Roman" w:cs="Times New Roman"/>
          <w:bCs/>
          <w:sz w:val="24"/>
          <w:szCs w:val="24"/>
          <w:lang w:eastAsia="pl-PL"/>
        </w:rPr>
        <w:t>w brzmieniu nadanym projektowaną ustawą).</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Zgodnie z art. 32 ust. 1 i 2 kierowca delegowany na terytorium Rzeczypospolitej Polskiej wykonujący przewóz drogowy, w przypadku nieokazania w trakcie kontroli drogowej kopii zgłoszenia delegowania albo odpowiednio potwierdzenia delegowania, podlega karze grzywny w wysokości 500 zł. Należy podkreślić, że prawo do nakładania i ewentualnie pobierania ww. kary grzywny w drodze mandatu karnego przysługuje tylko inspektorom Inspekcji Transportu Drogowego, a nie wszystkim podmiotom uprawnionym do kontroli dokumentów okazywanych przez kierowcę na podstawie art. 89 ust. 1 pkt 1–4 i 6 </w:t>
      </w:r>
      <w:r w:rsidRPr="002D46FB">
        <w:rPr>
          <w:rFonts w:ascii="Times New Roman" w:eastAsia="Times New Roman" w:hAnsi="Times New Roman" w:cs="Times New Roman"/>
          <w:bCs/>
          <w:i/>
          <w:sz w:val="24"/>
          <w:szCs w:val="24"/>
          <w:lang w:eastAsia="pl-PL"/>
        </w:rPr>
        <w:t xml:space="preserve">ustawy z dnia 6 września 2001 r. </w:t>
      </w:r>
      <w:r w:rsidR="000C4FB1" w:rsidRPr="002D46FB">
        <w:rPr>
          <w:rFonts w:ascii="Times New Roman" w:eastAsia="Times New Roman" w:hAnsi="Times New Roman" w:cs="Times New Roman"/>
          <w:bCs/>
          <w:i/>
          <w:sz w:val="24"/>
          <w:szCs w:val="24"/>
          <w:lang w:eastAsia="pl-PL"/>
        </w:rPr>
        <w:lastRenderedPageBreak/>
        <w:t>o</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transporcie drogowym</w:t>
      </w:r>
      <w:r w:rsidRPr="002D46FB">
        <w:rPr>
          <w:rFonts w:ascii="Times New Roman" w:eastAsia="Times New Roman" w:hAnsi="Times New Roman" w:cs="Times New Roman"/>
          <w:bCs/>
          <w:sz w:val="24"/>
          <w:szCs w:val="24"/>
          <w:lang w:eastAsia="pl-PL"/>
        </w:rPr>
        <w:t xml:space="preserve">. Z jednej strony kierowca ma być zaopatrzony przez przewoźnika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odpowiednie dokumenty (wyszczególnione w art. 9 ust. 3 albo art. 12 ust. 2 projektu) oraz ma je posiadać w pojeździe i okazywać na żądanie uprawnionych organów (odpowiednio art. 10 albo art. 13), ale odpowiedzialność przewidzianą w art. 32 ponosi tylko za brak kopii zgłoszenia delegowania albo potwierdzenia delegowania. Mając na uwadze potrzebę uniknięcia podwójnego karania za to samo naruszenie w przypadku braku (nieokazania podczas kontroli) pozostałych dokumentów, kierowca będzie ponosił odpowiedzialność przewidzianą w </w:t>
      </w:r>
      <w:r w:rsidRPr="002D46FB">
        <w:rPr>
          <w:rFonts w:ascii="Times New Roman" w:eastAsia="Times New Roman" w:hAnsi="Times New Roman" w:cs="Times New Roman"/>
          <w:bCs/>
          <w:i/>
          <w:sz w:val="24"/>
          <w:szCs w:val="24"/>
          <w:lang w:eastAsia="pl-PL"/>
        </w:rPr>
        <w:t>ustawie z dnia 6 września 2001 r. o transporcie drogowym</w:t>
      </w:r>
      <w:r w:rsidRPr="002D46FB">
        <w:rPr>
          <w:rFonts w:ascii="Times New Roman" w:eastAsia="Times New Roman" w:hAnsi="Times New Roman" w:cs="Times New Roman"/>
          <w:bCs/>
          <w:sz w:val="24"/>
          <w:szCs w:val="24"/>
          <w:lang w:eastAsia="pl-PL"/>
        </w:rPr>
        <w:t xml:space="preserve">. W istocie bowiem dokumenty związane </w:t>
      </w:r>
      <w:r w:rsidR="000C4FB1" w:rsidRPr="002D46FB">
        <w:rPr>
          <w:rFonts w:ascii="Times New Roman" w:eastAsia="Times New Roman" w:hAnsi="Times New Roman" w:cs="Times New Roman"/>
          <w:bCs/>
          <w:sz w:val="24"/>
          <w:szCs w:val="24"/>
          <w:lang w:eastAsia="pl-PL"/>
        </w:rPr>
        <w:t>z</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wykonywaniem transportu oraz zapisy z tachografu, łącznie z naniesionymi symbolami państw członkowskich (o ile jest to wymagane) są tymi samymi dokumentami, których wymaga się od kierowcy na podstawie art. 87 </w:t>
      </w:r>
      <w:r w:rsidRPr="002D46FB">
        <w:rPr>
          <w:rFonts w:ascii="Times New Roman" w:eastAsia="Times New Roman" w:hAnsi="Times New Roman" w:cs="Times New Roman"/>
          <w:bCs/>
          <w:i/>
          <w:sz w:val="24"/>
          <w:szCs w:val="24"/>
          <w:lang w:eastAsia="pl-PL"/>
        </w:rPr>
        <w:t>ustawy z dnia 6 września 2001 r. o transporcie drogowym</w:t>
      </w:r>
      <w:r w:rsidRPr="002D46FB">
        <w:rPr>
          <w:rFonts w:ascii="Times New Roman" w:eastAsia="Times New Roman" w:hAnsi="Times New Roman" w:cs="Times New Roman"/>
          <w:bCs/>
          <w:sz w:val="24"/>
          <w:szCs w:val="24"/>
          <w:lang w:eastAsia="pl-PL"/>
        </w:rPr>
        <w:t xml:space="preserve">.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Ponadto z uwagi na powyższe należy podkreślić, że wysokość kary grzywny określona na </w:t>
      </w:r>
      <w:r w:rsidR="000C4FB1">
        <w:rPr>
          <w:rFonts w:ascii="Times New Roman" w:eastAsia="Times New Roman" w:hAnsi="Times New Roman" w:cs="Times New Roman"/>
          <w:bCs/>
          <w:sz w:val="24"/>
          <w:szCs w:val="24"/>
          <w:lang w:eastAsia="pl-PL"/>
        </w:rPr>
        <w:t> </w:t>
      </w:r>
      <w:r w:rsidR="000C4FB1" w:rsidRPr="002D46FB">
        <w:rPr>
          <w:rFonts w:ascii="Times New Roman" w:eastAsia="Times New Roman" w:hAnsi="Times New Roman" w:cs="Times New Roman"/>
          <w:bCs/>
          <w:sz w:val="24"/>
          <w:szCs w:val="24"/>
          <w:lang w:eastAsia="pl-PL"/>
        </w:rPr>
        <w:t>500</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zł, w przypadku nieokazania w trakcie kontroli drogowej kopii zgłoszenia delegowania albo odpowiednio potwierdzenia delegowania, zgodna jest z tożsamą sankcją za niewyposażenie kierowcy w inny dokument, o którym mowa w art. 87 </w:t>
      </w:r>
      <w:r w:rsidRPr="002D46FB">
        <w:rPr>
          <w:rFonts w:ascii="Times New Roman" w:eastAsia="Times New Roman" w:hAnsi="Times New Roman" w:cs="Times New Roman"/>
          <w:bCs/>
          <w:i/>
          <w:sz w:val="24"/>
          <w:szCs w:val="24"/>
          <w:lang w:eastAsia="pl-PL"/>
        </w:rPr>
        <w:t>ustawy z dnia 6 września 2001 r. o transporcie drogowym</w:t>
      </w:r>
      <w:r w:rsidRPr="002D46FB">
        <w:rPr>
          <w:rFonts w:ascii="Times New Roman" w:eastAsia="Times New Roman" w:hAnsi="Times New Roman" w:cs="Times New Roman"/>
          <w:bCs/>
          <w:sz w:val="24"/>
          <w:szCs w:val="24"/>
          <w:lang w:eastAsia="pl-PL"/>
        </w:rPr>
        <w:t xml:space="preserve">, wymagany w związku z realizowanym przewozem (500 zł za każdy dokument). Powyższe naruszenie zostało wskazane w załączniku nr 1 do ww. ustawy, lp. 1.7. Bez uszczerbku dla regulacji dotyczących kontroli przestrzegania przepisów </w:t>
      </w:r>
      <w:r w:rsidR="000C4FB1" w:rsidRPr="002D46FB">
        <w:rPr>
          <w:rFonts w:ascii="Times New Roman" w:eastAsia="Times New Roman" w:hAnsi="Times New Roman" w:cs="Times New Roman"/>
          <w:bCs/>
          <w:sz w:val="24"/>
          <w:szCs w:val="24"/>
          <w:lang w:eastAsia="pl-PL"/>
        </w:rPr>
        <w:t>o</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delegowaniu kierowców, sankcja za niewyposażenie kierowcy w kopię zgłoszenia delegowania albo odpowiednio potwierdzenia delegowania powinna podlegać tym samym zasadom dotyczącym określania jej wysokości, tak jak dokumenty, o których mowa w art. 87 </w:t>
      </w:r>
      <w:r w:rsidRPr="002D46FB">
        <w:rPr>
          <w:rFonts w:ascii="Times New Roman" w:eastAsia="Times New Roman" w:hAnsi="Times New Roman" w:cs="Times New Roman"/>
          <w:bCs/>
          <w:i/>
          <w:sz w:val="24"/>
          <w:szCs w:val="24"/>
          <w:lang w:eastAsia="pl-PL"/>
        </w:rPr>
        <w:t>ustawy z dnia 6 września 2001 r. o transporcie drogowym.</w:t>
      </w:r>
      <w:r w:rsidRPr="002D46FB">
        <w:rPr>
          <w:rFonts w:ascii="Times New Roman" w:eastAsia="Times New Roman" w:hAnsi="Times New Roman" w:cs="Times New Roman"/>
          <w:bCs/>
          <w:sz w:val="24"/>
          <w:szCs w:val="24"/>
          <w:lang w:eastAsia="pl-PL"/>
        </w:rPr>
        <w:t xml:space="preserve"> Podczas kontroli drogowej inspektor Inspekcji Transportu Drogowego będzie mógł w sposób jasny i przejrzysty nałożyć karę za brak wszystkich dokumentów wyszczególnionych w art. 9 ust. 3 albo art. 12 ust. 2 projektu. </w:t>
      </w:r>
      <w:r w:rsidR="000C4FB1" w:rsidRPr="002D46FB">
        <w:rPr>
          <w:rFonts w:ascii="Times New Roman" w:eastAsia="Times New Roman" w:hAnsi="Times New Roman" w:cs="Times New Roman"/>
          <w:bCs/>
          <w:sz w:val="24"/>
          <w:szCs w:val="24"/>
          <w:lang w:eastAsia="pl-PL"/>
        </w:rPr>
        <w:t>W</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 xml:space="preserve">pełni uzasadnione jest bowiem zachowanie w tym zakresie spójności regulacji polegającego na wskazaniu sztywnej wysokości grzywny i odstąpienie od zasady określonej w art. 24 § 1 </w:t>
      </w:r>
      <w:r w:rsidRPr="002D46FB">
        <w:rPr>
          <w:rFonts w:ascii="Times New Roman" w:eastAsia="Times New Roman" w:hAnsi="Times New Roman" w:cs="Times New Roman"/>
          <w:bCs/>
          <w:i/>
          <w:sz w:val="24"/>
          <w:szCs w:val="24"/>
          <w:lang w:eastAsia="pl-PL"/>
        </w:rPr>
        <w:t xml:space="preserve">ustawy z dnia 20 maja 1971 r. – Kodeks wykroczeń </w:t>
      </w:r>
      <w:r w:rsidRPr="002D46FB">
        <w:rPr>
          <w:rFonts w:ascii="Times New Roman" w:eastAsia="Times New Roman" w:hAnsi="Times New Roman" w:cs="Times New Roman"/>
          <w:bCs/>
          <w:sz w:val="24"/>
          <w:szCs w:val="24"/>
          <w:lang w:eastAsia="pl-PL"/>
        </w:rPr>
        <w:t xml:space="preserve">(Dz. U. z 2022 r. poz. 2151, z późn. zm.), zgodnie z którą grzywnę wymierza się w wysokości od 20 do 5000 zł, chyba że ustawa stanowi inaczej. Warto także podkreślić, że kary za nieokazanie w trakcie kontroli drogowej kopii zgłoszenia delegowania albo odpowiednio potwierdzenia delegowania mogą być nakładane tylko na kierowców delegowanych z innych państw członkowskich UE albo państw trzecich. Kontrole drogowe wykonuje się jednak bez dyskryminacji ze względu na kraj rejestracji pojazdu, kraj zamieszkania kierowcy, kraj siedziby przedsiębiorstwa, początkowy i docelowy </w:t>
      </w:r>
      <w:r w:rsidRPr="002D46FB">
        <w:rPr>
          <w:rFonts w:ascii="Times New Roman" w:eastAsia="Times New Roman" w:hAnsi="Times New Roman" w:cs="Times New Roman"/>
          <w:bCs/>
          <w:sz w:val="24"/>
          <w:szCs w:val="24"/>
          <w:lang w:eastAsia="pl-PL"/>
        </w:rPr>
        <w:lastRenderedPageBreak/>
        <w:t xml:space="preserve">punkt podróży, rodzaj tachografu </w:t>
      </w:r>
      <w:r w:rsidR="00CC1129" w:rsidRPr="002D46FB">
        <w:rPr>
          <w:rFonts w:ascii="Times New Roman" w:eastAsia="Times New Roman" w:hAnsi="Times New Roman" w:cs="Times New Roman"/>
          <w:bCs/>
          <w:i/>
          <w:sz w:val="24"/>
          <w:szCs w:val="24"/>
          <w:lang w:eastAsia="pl-PL"/>
        </w:rPr>
        <w:t>–</w:t>
      </w:r>
      <w:r w:rsidR="00CC1129">
        <w:rPr>
          <w:rFonts w:ascii="Times New Roman" w:eastAsia="Times New Roman" w:hAnsi="Times New Roman" w:cs="Times New Roman"/>
          <w:bCs/>
          <w:i/>
          <w:sz w:val="24"/>
          <w:szCs w:val="24"/>
          <w:lang w:eastAsia="pl-PL"/>
        </w:rPr>
        <w:t xml:space="preserve"> </w:t>
      </w:r>
      <w:r w:rsidRPr="002D46FB">
        <w:rPr>
          <w:rFonts w:ascii="Times New Roman" w:eastAsia="Times New Roman" w:hAnsi="Times New Roman" w:cs="Times New Roman"/>
          <w:bCs/>
          <w:sz w:val="24"/>
          <w:szCs w:val="24"/>
          <w:lang w:eastAsia="pl-PL"/>
        </w:rPr>
        <w:t xml:space="preserve">analogowy lub cyfrowy. Takie jednolite podejście do wysokości kar w zakresie dokumentów, które kierowca jest obowiązany mieć przy sobie </w:t>
      </w:r>
      <w:r w:rsidR="000C4FB1" w:rsidRPr="002D46FB">
        <w:rPr>
          <w:rFonts w:ascii="Times New Roman" w:eastAsia="Times New Roman" w:hAnsi="Times New Roman" w:cs="Times New Roman"/>
          <w:bCs/>
          <w:sz w:val="24"/>
          <w:szCs w:val="24"/>
          <w:lang w:eastAsia="pl-PL"/>
        </w:rPr>
        <w:t>i</w:t>
      </w:r>
      <w:r w:rsidR="000C4FB1">
        <w:rPr>
          <w:rFonts w:ascii="Times New Roman" w:eastAsia="Times New Roman" w:hAnsi="Times New Roman" w:cs="Times New Roman"/>
          <w:bCs/>
          <w:sz w:val="24"/>
          <w:szCs w:val="24"/>
          <w:lang w:eastAsia="pl-PL"/>
        </w:rPr>
        <w:t> </w:t>
      </w:r>
      <w:r w:rsidRPr="002D46FB">
        <w:rPr>
          <w:rFonts w:ascii="Times New Roman" w:eastAsia="Times New Roman" w:hAnsi="Times New Roman" w:cs="Times New Roman"/>
          <w:bCs/>
          <w:sz w:val="24"/>
          <w:szCs w:val="24"/>
          <w:lang w:eastAsia="pl-PL"/>
        </w:rPr>
        <w:t>okazywać w odpowiednich przypadkach podczas wykonywania przewozu drogowego zgodne jest również z ww. zasadą niedyskryminowania podmiotów podlegających kontroli.</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Wskazanie, że naruszenie, o którym mowa w art. 32 ust. 1, wypełnia znamiona grupy naruszeń nr 14.4 oraz stanowi bardzo poważne naruszenie (BPN), zgodnie z wagą naruszeń, wskazanych w załączniku I do rozporządzenia Komisji (UE) 2016/403 ma na celu doprecyzowanie, że powyższa norma ma na celu dostosowanie polskich przepisów do rozporządzenia wykonawczego Komisji (UE) 2022/694 z dnia 2 maja 2022 r. zmieniającego rozporządzenie (UE) 2016/403. Podobny charakter ma art. 33 ust. 2 projektowanej ustawy.</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Zgodnie z art. 33 projektowanej regulacji przewoźnik drogowy delegujący kierowcę na terytorium Rzeczypospolitej Polskiej oraz przewoźnik drogowy z państwa trzeciego delegujący kierowcę na terytorium Rzeczypospolitej Polskiej z naruszeniem obowiązków lub warunków określonych w ustawie podlegają karze pieniężnej w wysokości od 2000 zł do 3000 zł za każde naruszenie. Wykaz tych naruszeń wysokości kar pieniężnych za poszczególne naruszenia oraz numer grupy naruszeń oraz wagę naruszeń wskazane w załączniku I do rozporządzenia Komisji (UE) 2016/403 określa załącznik do niniejszego projektu ustawy. Doprecyzowanie w lp. 8 i 9, że wskazane tam sankcje dotyczą tylko nieokazania w trakcie kontroli drogowej kopii zgłoszenia delegowania albo odpowiednio potwierdzenia delegowania wyklucza bowiem podwójne karanie za to samo naruszenie, albowiem za niezapewnienie dysponowania przez kierowcę wszystkim</w:t>
      </w:r>
      <w:r w:rsidR="00CC1129">
        <w:rPr>
          <w:rFonts w:ascii="Times New Roman" w:eastAsia="Times New Roman" w:hAnsi="Times New Roman" w:cs="Times New Roman"/>
          <w:sz w:val="24"/>
          <w:szCs w:val="24"/>
          <w:lang w:eastAsia="pl-PL"/>
        </w:rPr>
        <w:t>i</w:t>
      </w:r>
      <w:r w:rsidRPr="002D46FB">
        <w:rPr>
          <w:rFonts w:ascii="Times New Roman" w:eastAsia="Times New Roman" w:hAnsi="Times New Roman" w:cs="Times New Roman"/>
          <w:sz w:val="24"/>
          <w:szCs w:val="24"/>
          <w:lang w:eastAsia="pl-PL"/>
        </w:rPr>
        <w:t xml:space="preserve"> innymi rodzajami dokumentów wymienionych w art. 9 ust. 3 albo 12 ust. 2, wymagane jest także na mocy art. 87 </w:t>
      </w:r>
      <w:r w:rsidRPr="002D46FB">
        <w:rPr>
          <w:rFonts w:ascii="Times New Roman" w:eastAsia="Times New Roman" w:hAnsi="Times New Roman" w:cs="Times New Roman"/>
          <w:i/>
          <w:sz w:val="24"/>
          <w:szCs w:val="24"/>
          <w:lang w:eastAsia="pl-PL"/>
        </w:rPr>
        <w:t>ustawy z dnia 6 września 2001 r. o transporcie drogowym</w:t>
      </w:r>
      <w:r w:rsidRPr="002D46FB">
        <w:rPr>
          <w:rFonts w:ascii="Times New Roman" w:eastAsia="Times New Roman" w:hAnsi="Times New Roman" w:cs="Times New Roman"/>
          <w:sz w:val="24"/>
          <w:szCs w:val="24"/>
          <w:lang w:eastAsia="pl-PL"/>
        </w:rPr>
        <w:t xml:space="preserve">. W ust. 3 tego artykułu ustawodawca zobowiązał przedsiębiorcę do wyposażenia kierowcy wykonującego m.in. transport drogowy w wymagane dokumenty związane </w:t>
      </w:r>
      <w:r w:rsidR="000C4FB1" w:rsidRPr="002D46FB">
        <w:rPr>
          <w:rFonts w:ascii="Times New Roman" w:eastAsia="Times New Roman" w:hAnsi="Times New Roman" w:cs="Times New Roman"/>
          <w:sz w:val="24"/>
          <w:szCs w:val="24"/>
          <w:lang w:eastAsia="pl-PL"/>
        </w:rPr>
        <w:t>z</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wykonywaniem transportu, w tym w zapisy tachografów. Za niedopełnienie tego obowiązku przewoźnik podlega odpowiedzialności za delikt administracyjny określony w art. 92a ust. 1 </w:t>
      </w:r>
      <w:r w:rsidR="000C4FB1" w:rsidRPr="002D46FB">
        <w:rPr>
          <w:rFonts w:ascii="Times New Roman" w:eastAsia="Times New Roman" w:hAnsi="Times New Roman" w:cs="Times New Roman"/>
          <w:sz w:val="24"/>
          <w:szCs w:val="24"/>
          <w:lang w:eastAsia="pl-PL"/>
        </w:rPr>
        <w:t>w</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związku z lp. 1.12 załącznika nr 3 do </w:t>
      </w:r>
      <w:r w:rsidRPr="002D46FB">
        <w:rPr>
          <w:rFonts w:ascii="Times New Roman" w:eastAsia="Times New Roman" w:hAnsi="Times New Roman" w:cs="Times New Roman"/>
          <w:i/>
          <w:sz w:val="24"/>
          <w:szCs w:val="24"/>
          <w:lang w:eastAsia="pl-PL"/>
        </w:rPr>
        <w:t>ustawy z dnia 6 września 2001 r. o transporcie drogowym</w:t>
      </w:r>
      <w:r w:rsidRPr="002D46FB">
        <w:rPr>
          <w:rFonts w:ascii="Times New Roman" w:eastAsia="Times New Roman" w:hAnsi="Times New Roman" w:cs="Times New Roman"/>
          <w:sz w:val="24"/>
          <w:szCs w:val="24"/>
          <w:lang w:eastAsia="pl-PL"/>
        </w:rPr>
        <w:t xml:space="preserve">, za który przewidziano karę pieniężną w wysokości 500 zł za każdy dokument.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W art. 33 ust. 4 projektu ustawy określa się, że decyzja ostateczna podlega wykonaniu po upływie 30 dni od dnia jej doręczenia lub doręczenia powiadomienia o decyzji, w trybie określonym w art. 29 ust. 1, chyba że wstrzymano jej wykonanie. Organ, który wydał decyzję ostateczną, z urzędu wstrzymuje jej wykonanie, w drodze postanowienia, na które nie przysługuje zażalenie, w przypadku wniesienia skargi do sądu administracyjnego. </w:t>
      </w:r>
      <w:r w:rsidRPr="002D46FB">
        <w:rPr>
          <w:rFonts w:ascii="Times New Roman" w:eastAsia="Times New Roman" w:hAnsi="Times New Roman" w:cs="Times New Roman"/>
          <w:sz w:val="24"/>
          <w:szCs w:val="24"/>
          <w:lang w:eastAsia="pl-PL"/>
        </w:rPr>
        <w:lastRenderedPageBreak/>
        <w:t>Sformułowanie dotyczące „doręczenia powiadomienia o decyzji, w trybie określonym w art. 29 ust. 1”, odnosi się do przypadku braku możliwości skutecznego doręczenia decyzji administracyjnej o nałożeniu administracyjnej kary pieniężnej zgodnie z przepisami regulującymi doręczenie takiego dokumentu. W takiej sytuacji organ wnioskujący, który wydał tę decyzję, występuje za pośrednictwem systemu IMI wnioskiem o powiadomienie o decyzji administracyjnej w sprawie nałożenia administracyjnej kary pieniężnej.</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W rozdziale 8 zawarto przepisy zmieniające inne akty ustawowe związane z koniecznością dostosowania obecnie obowiązujących regulacji do projektowanej ustawy.</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i/>
          <w:sz w:val="24"/>
          <w:szCs w:val="24"/>
          <w:lang w:eastAsia="pl-PL"/>
        </w:rPr>
      </w:pPr>
      <w:r w:rsidRPr="002D46FB">
        <w:rPr>
          <w:rFonts w:ascii="Times New Roman" w:eastAsia="Times New Roman" w:hAnsi="Times New Roman" w:cs="Times New Roman"/>
          <w:bCs/>
          <w:sz w:val="24"/>
          <w:szCs w:val="24"/>
          <w:lang w:eastAsia="pl-PL"/>
        </w:rPr>
        <w:t xml:space="preserve">Zmiany mają charakter wynikowy i wprowadzane są w zakresie </w:t>
      </w:r>
      <w:r w:rsidRPr="002D46FB">
        <w:rPr>
          <w:rFonts w:ascii="Times New Roman" w:eastAsia="Times New Roman" w:hAnsi="Times New Roman" w:cs="Times New Roman"/>
          <w:bCs/>
          <w:i/>
          <w:sz w:val="24"/>
          <w:szCs w:val="24"/>
          <w:lang w:eastAsia="pl-PL"/>
        </w:rPr>
        <w:t xml:space="preserve">ustawy z dnia 17 czerwca </w:t>
      </w:r>
      <w:r w:rsidR="000C4FB1" w:rsidRPr="002D46FB">
        <w:rPr>
          <w:rFonts w:ascii="Times New Roman" w:eastAsia="Times New Roman" w:hAnsi="Times New Roman" w:cs="Times New Roman"/>
          <w:bCs/>
          <w:i/>
          <w:sz w:val="24"/>
          <w:szCs w:val="24"/>
          <w:lang w:eastAsia="pl-PL"/>
        </w:rPr>
        <w:t>1966</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r. o postępowaniu egzekucyjnym w administracji</w:t>
      </w:r>
      <w:r w:rsidRPr="002D46FB">
        <w:rPr>
          <w:rFonts w:ascii="Times New Roman" w:eastAsia="Times New Roman" w:hAnsi="Times New Roman" w:cs="Times New Roman"/>
          <w:bCs/>
          <w:sz w:val="24"/>
          <w:szCs w:val="24"/>
          <w:lang w:eastAsia="pl-PL"/>
        </w:rPr>
        <w:t xml:space="preserve"> (Dz. U. z 2022 r. poz. 479, z późn. zm.)</w:t>
      </w:r>
      <w:r w:rsidRPr="002D46FB">
        <w:rPr>
          <w:rFonts w:ascii="Times New Roman" w:eastAsia="Times New Roman" w:hAnsi="Times New Roman" w:cs="Times New Roman"/>
          <w:bCs/>
          <w:i/>
          <w:sz w:val="24"/>
          <w:szCs w:val="24"/>
          <w:lang w:eastAsia="pl-PL"/>
        </w:rPr>
        <w:t>, ustawy z dnia 6 września 2001 r. o transporcie drogowym</w:t>
      </w:r>
      <w:r w:rsidRPr="002D46FB">
        <w:rPr>
          <w:rFonts w:ascii="Times New Roman" w:eastAsia="Times New Roman" w:hAnsi="Times New Roman" w:cs="Times New Roman"/>
          <w:bCs/>
          <w:sz w:val="24"/>
          <w:szCs w:val="24"/>
          <w:lang w:eastAsia="pl-PL"/>
        </w:rPr>
        <w:t xml:space="preserve">, </w:t>
      </w:r>
      <w:r w:rsidRPr="002D46FB">
        <w:rPr>
          <w:rFonts w:ascii="Times New Roman" w:eastAsia="Times New Roman" w:hAnsi="Times New Roman" w:cs="Times New Roman"/>
          <w:bCs/>
          <w:i/>
          <w:sz w:val="24"/>
          <w:szCs w:val="24"/>
          <w:lang w:eastAsia="pl-PL"/>
        </w:rPr>
        <w:t xml:space="preserve">ustawy z dnia 13 kwietnia 2007 r. </w:t>
      </w:r>
      <w:r w:rsidR="000C4FB1" w:rsidRPr="002D46FB">
        <w:rPr>
          <w:rFonts w:ascii="Times New Roman" w:eastAsia="Times New Roman" w:hAnsi="Times New Roman" w:cs="Times New Roman"/>
          <w:bCs/>
          <w:i/>
          <w:sz w:val="24"/>
          <w:szCs w:val="24"/>
          <w:lang w:eastAsia="pl-PL"/>
        </w:rPr>
        <w:t>o</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 xml:space="preserve">Państwowej Inspekcji Pracy </w:t>
      </w:r>
      <w:r w:rsidRPr="002D46FB">
        <w:rPr>
          <w:rFonts w:ascii="Times New Roman" w:eastAsia="Times New Roman" w:hAnsi="Times New Roman" w:cs="Times New Roman"/>
          <w:bCs/>
          <w:sz w:val="24"/>
          <w:szCs w:val="24"/>
          <w:lang w:eastAsia="pl-PL"/>
        </w:rPr>
        <w:t>(Dz. U. z 2022 r. poz. 1614)</w:t>
      </w:r>
      <w:r w:rsidRPr="002D46FB">
        <w:rPr>
          <w:rFonts w:ascii="Times New Roman" w:eastAsia="Times New Roman" w:hAnsi="Times New Roman" w:cs="Times New Roman"/>
          <w:bCs/>
          <w:i/>
          <w:sz w:val="24"/>
          <w:szCs w:val="24"/>
          <w:lang w:eastAsia="pl-PL"/>
        </w:rPr>
        <w:t xml:space="preserve"> </w:t>
      </w:r>
      <w:r w:rsidRPr="002D46FB">
        <w:rPr>
          <w:rFonts w:ascii="Times New Roman" w:eastAsia="Times New Roman" w:hAnsi="Times New Roman" w:cs="Times New Roman"/>
          <w:bCs/>
          <w:sz w:val="24"/>
          <w:szCs w:val="24"/>
          <w:lang w:eastAsia="pl-PL"/>
        </w:rPr>
        <w:t xml:space="preserve">oraz </w:t>
      </w:r>
      <w:r w:rsidRPr="002D46FB">
        <w:rPr>
          <w:rFonts w:ascii="Times New Roman" w:eastAsia="Times New Roman" w:hAnsi="Times New Roman" w:cs="Times New Roman"/>
          <w:bCs/>
          <w:i/>
          <w:sz w:val="24"/>
          <w:szCs w:val="24"/>
          <w:lang w:eastAsia="pl-PL"/>
        </w:rPr>
        <w:t xml:space="preserve">ustawy z dnia 10 czerwca </w:t>
      </w:r>
      <w:r w:rsidR="000C4FB1" w:rsidRPr="002D46FB">
        <w:rPr>
          <w:rFonts w:ascii="Times New Roman" w:eastAsia="Times New Roman" w:hAnsi="Times New Roman" w:cs="Times New Roman"/>
          <w:bCs/>
          <w:i/>
          <w:sz w:val="24"/>
          <w:szCs w:val="24"/>
          <w:lang w:eastAsia="pl-PL"/>
        </w:rPr>
        <w:t>2016</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 xml:space="preserve">r. o delegowaniu pracowników w ramach świadczenia usług </w:t>
      </w:r>
      <w:r w:rsidRPr="002D46FB">
        <w:rPr>
          <w:rFonts w:ascii="Times New Roman" w:eastAsia="Times New Roman" w:hAnsi="Times New Roman" w:cs="Times New Roman"/>
          <w:bCs/>
          <w:sz w:val="24"/>
          <w:szCs w:val="24"/>
          <w:lang w:eastAsia="pl-PL"/>
        </w:rPr>
        <w:t>(Dz. U. z 2021 r. poz. 1140, z późn. zm.).</w:t>
      </w:r>
      <w:r w:rsidRPr="002D46FB">
        <w:rPr>
          <w:rFonts w:ascii="Times New Roman" w:eastAsia="Times New Roman" w:hAnsi="Times New Roman" w:cs="Times New Roman"/>
          <w:bCs/>
          <w:i/>
          <w:sz w:val="24"/>
          <w:szCs w:val="24"/>
          <w:lang w:eastAsia="pl-PL"/>
        </w:rPr>
        <w:t xml:space="preserve">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Ponadto proponuje się zmianę </w:t>
      </w:r>
      <w:bookmarkStart w:id="4" w:name="_Hlk130506456"/>
      <w:r w:rsidRPr="002D46FB">
        <w:rPr>
          <w:rFonts w:ascii="Times New Roman" w:eastAsia="Times New Roman" w:hAnsi="Times New Roman" w:cs="Times New Roman"/>
          <w:bCs/>
          <w:i/>
          <w:sz w:val="24"/>
          <w:szCs w:val="24"/>
          <w:lang w:eastAsia="pl-PL"/>
        </w:rPr>
        <w:t>ustawy z dnia 26 lipca 1991 r. o podatku dochodowym od osób fizycznych</w:t>
      </w:r>
      <w:bookmarkEnd w:id="4"/>
      <w:r w:rsidRPr="002D46FB">
        <w:rPr>
          <w:rFonts w:ascii="Times New Roman" w:eastAsia="Times New Roman" w:hAnsi="Times New Roman" w:cs="Times New Roman"/>
          <w:bCs/>
          <w:i/>
          <w:sz w:val="24"/>
          <w:szCs w:val="24"/>
          <w:lang w:eastAsia="pl-PL"/>
        </w:rPr>
        <w:t xml:space="preserve"> </w:t>
      </w:r>
      <w:r w:rsidRPr="002D46FB">
        <w:rPr>
          <w:rFonts w:ascii="Times New Roman" w:eastAsia="Times New Roman" w:hAnsi="Times New Roman" w:cs="Times New Roman"/>
          <w:bCs/>
          <w:sz w:val="24"/>
          <w:szCs w:val="24"/>
          <w:lang w:eastAsia="pl-PL"/>
        </w:rPr>
        <w:t>(Dz. U. z 2022 r. poz. 2647, z późn. zm.) oraz</w:t>
      </w:r>
      <w:r w:rsidRPr="002D46FB">
        <w:rPr>
          <w:rFonts w:ascii="Times New Roman" w:eastAsia="Times New Roman" w:hAnsi="Times New Roman" w:cs="Times New Roman"/>
          <w:bCs/>
          <w:i/>
          <w:sz w:val="24"/>
          <w:szCs w:val="24"/>
          <w:lang w:eastAsia="pl-PL"/>
        </w:rPr>
        <w:t xml:space="preserve"> ustawy z dnia 16 kwietnia 2004 r. </w:t>
      </w:r>
      <w:r w:rsidR="000C4FB1" w:rsidRPr="002D46FB">
        <w:rPr>
          <w:rFonts w:ascii="Times New Roman" w:eastAsia="Times New Roman" w:hAnsi="Times New Roman" w:cs="Times New Roman"/>
          <w:bCs/>
          <w:i/>
          <w:sz w:val="24"/>
          <w:szCs w:val="24"/>
          <w:lang w:eastAsia="pl-PL"/>
        </w:rPr>
        <w:t>o</w:t>
      </w:r>
      <w:r w:rsidR="000C4FB1">
        <w:rPr>
          <w:rFonts w:ascii="Times New Roman" w:eastAsia="Times New Roman" w:hAnsi="Times New Roman" w:cs="Times New Roman"/>
          <w:bCs/>
          <w:i/>
          <w:sz w:val="24"/>
          <w:szCs w:val="24"/>
          <w:lang w:eastAsia="pl-PL"/>
        </w:rPr>
        <w:t> </w:t>
      </w:r>
      <w:r w:rsidRPr="002D46FB">
        <w:rPr>
          <w:rFonts w:ascii="Times New Roman" w:eastAsia="Times New Roman" w:hAnsi="Times New Roman" w:cs="Times New Roman"/>
          <w:bCs/>
          <w:i/>
          <w:sz w:val="24"/>
          <w:szCs w:val="24"/>
          <w:lang w:eastAsia="pl-PL"/>
        </w:rPr>
        <w:t>czasie pracy kierowców</w:t>
      </w:r>
      <w:r w:rsidRPr="002D46FB">
        <w:rPr>
          <w:rFonts w:ascii="Times New Roman" w:eastAsia="Times New Roman" w:hAnsi="Times New Roman" w:cs="Times New Roman"/>
          <w:bCs/>
          <w:sz w:val="24"/>
          <w:szCs w:val="24"/>
          <w:lang w:eastAsia="pl-PL"/>
        </w:rPr>
        <w:t xml:space="preserve"> (Dz. U. z 2022 r. poz. 1473) przez wprowadzenie rozwiązań mających na celu w szczególności uproszczenie systemu naliczania podstawy wymiaru składek ZUS oraz podatku PIT dla kierowców w transporcie międzynarodowym, zgodnie ze zgłoszonymi uwagami w ramach konsultacji publicznych.</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Zmiana zasad wynagradzania kierowców w międzynarodowym transporcie drogowym, przez odejście od modelu opartego na podróży służbowej kierowców, została wprowadzona od 2 lutego 2022 r. na skutek wejścia w życie przepisów dyrektywy Parlamentu Europejskiego </w:t>
      </w:r>
      <w:r w:rsidR="000C4FB1" w:rsidRPr="002D46FB">
        <w:rPr>
          <w:rFonts w:ascii="Times New Roman" w:eastAsia="Times New Roman" w:hAnsi="Times New Roman" w:cs="Times New Roman"/>
          <w:sz w:val="24"/>
          <w:szCs w:val="24"/>
          <w:lang w:eastAsia="pl-PL"/>
        </w:rPr>
        <w:t>i</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Rady (UE) 2020/1057 z dnia 15 lipca 2020 r. ustanawiającej przepisy szczególne </w:t>
      </w:r>
      <w:r w:rsidR="000C4FB1" w:rsidRPr="002D46FB">
        <w:rPr>
          <w:rFonts w:ascii="Times New Roman" w:eastAsia="Times New Roman" w:hAnsi="Times New Roman" w:cs="Times New Roman"/>
          <w:sz w:val="24"/>
          <w:szCs w:val="24"/>
          <w:lang w:eastAsia="pl-PL"/>
        </w:rPr>
        <w:t>w</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odniesieniu do dyrektywy 96/71/WE i dyrektywy 2014/67/UE dotyczące delegowania kierowców w sektorze transportu drogowego oraz zmieniającej dyrektywę 2006/22/WE </w:t>
      </w:r>
      <w:r w:rsidR="000C4FB1" w:rsidRPr="002D46FB">
        <w:rPr>
          <w:rFonts w:ascii="Times New Roman" w:eastAsia="Times New Roman" w:hAnsi="Times New Roman" w:cs="Times New Roman"/>
          <w:sz w:val="24"/>
          <w:szCs w:val="24"/>
          <w:lang w:eastAsia="pl-PL"/>
        </w:rPr>
        <w:t>w</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odniesieniu do wymogów w zakresie egzekwowania przepisów oraz rozporządzenie (UE) nr 1024/2012, wchodzącej w skład tzw. Pakietu Mobilności I.</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Ww. zasady wynagradzania kierowców zostały wprowadzone w Polsce przepisami ustawy </w:t>
      </w:r>
      <w:r w:rsidR="000C4FB1" w:rsidRPr="002D46FB">
        <w:rPr>
          <w:rFonts w:ascii="Times New Roman" w:eastAsia="Times New Roman" w:hAnsi="Times New Roman" w:cs="Times New Roman"/>
          <w:sz w:val="24"/>
          <w:szCs w:val="24"/>
          <w:lang w:eastAsia="pl-PL"/>
        </w:rPr>
        <w:t>z</w:t>
      </w:r>
      <w:r w:rsidR="000C4FB1">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dnia 26 stycznia 2022 r. o zmianie ustawy o transporcie drogowym, ustawy o czasie pracy kierowców oraz niektórych innych ustaw (Dz. U. 2022 poz. 209), który to akt prawny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głównej części wdrażał przepisy Pakietu Mobilności I, tak aby dostosować krajowe przepisy </w:t>
      </w:r>
      <w:r w:rsidRPr="002D46FB">
        <w:rPr>
          <w:rFonts w:ascii="Times New Roman" w:eastAsia="Times New Roman" w:hAnsi="Times New Roman" w:cs="Times New Roman"/>
          <w:sz w:val="24"/>
          <w:szCs w:val="24"/>
          <w:lang w:eastAsia="pl-PL"/>
        </w:rPr>
        <w:lastRenderedPageBreak/>
        <w:t>do regulacji UE dotyczących delegowania kierowców. Unijne przepisy wprowadziły bowiem brak możliwości wliczania do wynagrodzenia kierowcy wcześniej wypłacanych nieopodatkowanych i nieoskładkowanych diet i ryczałtów za nocleg w określonych przewozach międzynarodowych, co spowodowało nagły i znaczny wzrost obciążeń publicznoprawnych związanych z wypłacaniem wynagrodzenia tej grupie zawodowej.</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Należy jednak zauważyć, że powyższe przepisy nie uwzględniają specyfiki wykonywania zawodu kierowcy w transporcie międzynarodowym, ponieważ odwołują się w zakresie wysokości diet za dobę podróży w poszczególnym państwie, będących podstawą ustalania wymiaru podatku dochodowego od osób fizycznych oraz składek na ubezpieczenie emerytalne i rentowe, do przepisów rozporządzenia Ministra Pracy i Polityki Społecznej z dnia 29 stycznia 2013 r. w sprawie należności przysługujących pracownikowi zatrudnionemu w państwowej lub samorządowej jednostce sfery budżetowej z tytułu podróży służbowej (Dz. U. poz. 167, z późn. zm.). Powyższe normy należy uznać za nieadekwatne, nieprzejrzyste, trudne do stosowania zarówno dla kierowców jak i przedsiębiorców oraz generujące nieuzasadnione </w:t>
      </w:r>
      <w:r w:rsidR="007A6ED9" w:rsidRPr="002D46FB">
        <w:rPr>
          <w:rFonts w:ascii="Times New Roman" w:eastAsia="Times New Roman" w:hAnsi="Times New Roman" w:cs="Times New Roman"/>
          <w:sz w:val="24"/>
          <w:szCs w:val="24"/>
          <w:lang w:eastAsia="pl-PL"/>
        </w:rPr>
        <w:t>i</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nieprzewidywalne koszty zatrudnienia</w:t>
      </w:r>
      <w:r w:rsidR="00C64CF9">
        <w:rPr>
          <w:rFonts w:ascii="Times New Roman" w:eastAsia="Times New Roman" w:hAnsi="Times New Roman" w:cs="Times New Roman"/>
          <w:sz w:val="24"/>
          <w:szCs w:val="24"/>
          <w:lang w:eastAsia="pl-PL"/>
        </w:rPr>
        <w:t>,</w:t>
      </w:r>
      <w:r w:rsidRPr="002D46FB">
        <w:rPr>
          <w:rFonts w:ascii="Times New Roman" w:eastAsia="Times New Roman" w:hAnsi="Times New Roman" w:cs="Times New Roman"/>
          <w:sz w:val="24"/>
          <w:szCs w:val="24"/>
          <w:lang w:eastAsia="pl-PL"/>
        </w:rPr>
        <w:t xml:space="preserve"> a także dodatkowe koszty związane ze skomplikowaną obsługą administracyjną w zakresie określenia wysokości tych należności.</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Takie rozwiązanie, nieuwzględniające szczególnego charakteru wykonywanej przez kierowców pracy, było już przedmiotem rozstrzygnięcia Trybunału Konstytucyjnego w wyroku z 24 listopada 2016 r., w sprawie K11/15. Należy podkreślić, że Trybunał orzekł wówczas niezgodność art. 21a ustawy z dnia 16 kwietnia 2004 r. o czasie pracy kierowców, dotyczącego należności za podróże służbowe kierowców w transporcie międzynarodowym rzeczy, z art. 2 Konstytucji RP, zgodnie z którym Rzeczpospolita Polska jest demokratycznym państwem prawnym, urzeczywistniającym zasady sprawiedliwości społecznej.</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Zgodnie z ww. wyrokiem Trybunału, w sprawie K11/15, potraktowanie w sposób identyczny podmiotów nierównych, tj. np. pracowników sektora administracji publicznej i kierowców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transporcie (w szczególności międzynarodowym), a z drugiej strony także ich pracodawców, należy uznać za wadliwe z punktu widzenia konstytucyjnej zasady równości.</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W ocenie Trybunału, stosowanie przepisów ogólnych dotyczących m.in. wysokości należności przysługujących z tytułu podróży służbowej, określonych na podstawie art. 77</w:t>
      </w:r>
      <w:r w:rsidRPr="002D46FB">
        <w:rPr>
          <w:rFonts w:ascii="Times New Roman" w:eastAsia="Times New Roman" w:hAnsi="Times New Roman" w:cs="Times New Roman"/>
          <w:sz w:val="24"/>
          <w:szCs w:val="24"/>
          <w:vertAlign w:val="superscript"/>
          <w:lang w:eastAsia="pl-PL"/>
        </w:rPr>
        <w:t>5</w:t>
      </w:r>
      <w:r w:rsidRPr="002D46FB">
        <w:rPr>
          <w:rFonts w:ascii="Times New Roman" w:eastAsia="Times New Roman" w:hAnsi="Times New Roman" w:cs="Times New Roman"/>
          <w:sz w:val="24"/>
          <w:szCs w:val="24"/>
          <w:lang w:eastAsia="pl-PL"/>
        </w:rPr>
        <w:t xml:space="preserve"> § 3–5 Kodeksu pracy i wydanego zgodnie z art. 77</w:t>
      </w:r>
      <w:r w:rsidRPr="002D46FB">
        <w:rPr>
          <w:rFonts w:ascii="Times New Roman" w:eastAsia="Times New Roman" w:hAnsi="Times New Roman" w:cs="Times New Roman"/>
          <w:sz w:val="24"/>
          <w:szCs w:val="24"/>
          <w:vertAlign w:val="superscript"/>
          <w:lang w:eastAsia="pl-PL"/>
        </w:rPr>
        <w:t>5</w:t>
      </w:r>
      <w:r w:rsidRPr="002D46FB">
        <w:rPr>
          <w:rFonts w:ascii="Times New Roman" w:eastAsia="Times New Roman" w:hAnsi="Times New Roman" w:cs="Times New Roman"/>
          <w:sz w:val="24"/>
          <w:szCs w:val="24"/>
          <w:lang w:eastAsia="pl-PL"/>
        </w:rPr>
        <w:t xml:space="preserve"> § 2 Kodeksu pracy aktu wykonawczego, do każdego wykonanego przez kierowcę przewozu w transporcie, jest sprzeczne z </w:t>
      </w:r>
      <w:r w:rsidRPr="002D46FB">
        <w:rPr>
          <w:rFonts w:ascii="Times New Roman" w:eastAsia="Times New Roman" w:hAnsi="Times New Roman" w:cs="Times New Roman"/>
          <w:i/>
          <w:sz w:val="24"/>
          <w:szCs w:val="24"/>
          <w:lang w:eastAsia="pl-PL"/>
        </w:rPr>
        <w:t>ratio legis</w:t>
      </w:r>
      <w:r w:rsidRPr="002D46FB">
        <w:rPr>
          <w:rFonts w:ascii="Times New Roman" w:eastAsia="Times New Roman" w:hAnsi="Times New Roman" w:cs="Times New Roman"/>
          <w:sz w:val="24"/>
          <w:szCs w:val="24"/>
          <w:lang w:eastAsia="pl-PL"/>
        </w:rPr>
        <w:t xml:space="preserve"> tych przepisów i świadczy o nieadekwatności przyjętego środka w stosunku do regulowanej </w:t>
      </w:r>
      <w:r w:rsidRPr="002D46FB">
        <w:rPr>
          <w:rFonts w:ascii="Times New Roman" w:eastAsia="Times New Roman" w:hAnsi="Times New Roman" w:cs="Times New Roman"/>
          <w:sz w:val="24"/>
          <w:szCs w:val="24"/>
          <w:lang w:eastAsia="pl-PL"/>
        </w:rPr>
        <w:lastRenderedPageBreak/>
        <w:t xml:space="preserve">dziedziny. Należy podkreślić, że takie rozwiązanie jest obecnie przyjęte w nowelizowanych przepisach ustawy o czasie pracy kierowców.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Za prawidłowe Trybunał uznał uwzględnianie specyfiki wykonywania zawodu kierowcy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transporcie międzynarodowym w kontekście poszanowania negocjacyjnego systemu określenia poziomu wynagrodzeń i diet. Nie zostało to jednak uwzględnione w obecnie obowiązujących od 2 lutego 2022 r. przepisach, w których brakuje regulacji adekwatnych do wykonywanej przez kierowców pracy. W tym zakresie przyjęte jest bowiem błędnie odesłanie w zakresie ustalania warunków i wysokości należności przysługujących tej grupie zawodowej do ogólnych przepisów dotyczących pracowników sfery budżetowej (rozporządzenie Ministra Pracy i Polityki Społecznej z </w:t>
      </w:r>
      <w:r w:rsidR="002742C8">
        <w:rPr>
          <w:rFonts w:ascii="Times New Roman" w:eastAsia="Times New Roman" w:hAnsi="Times New Roman" w:cs="Times New Roman"/>
          <w:sz w:val="24"/>
          <w:szCs w:val="24"/>
          <w:lang w:eastAsia="pl-PL"/>
        </w:rPr>
        <w:t xml:space="preserve">dnia </w:t>
      </w:r>
      <w:r w:rsidRPr="002D46FB">
        <w:rPr>
          <w:rFonts w:ascii="Times New Roman" w:eastAsia="Times New Roman" w:hAnsi="Times New Roman" w:cs="Times New Roman"/>
          <w:sz w:val="24"/>
          <w:szCs w:val="24"/>
          <w:lang w:eastAsia="pl-PL"/>
        </w:rPr>
        <w:t>19 grudnia 2002 r. w sprawie wysokości oraz warunków ustalania należności przysługujących pracownikowi zatrudnionemu w państwowej lub samorządowej jednostce sfery budżetowej z tytułu podróży służbowej poza granicami kraju</w:t>
      </w:r>
      <w:r w:rsidR="002742C8">
        <w:rPr>
          <w:rFonts w:ascii="Times New Roman" w:eastAsia="Times New Roman" w:hAnsi="Times New Roman" w:cs="Times New Roman"/>
          <w:sz w:val="24"/>
          <w:szCs w:val="24"/>
          <w:lang w:eastAsia="pl-PL"/>
        </w:rPr>
        <w:t xml:space="preserve"> (Dz. U. poz. 1991)</w:t>
      </w:r>
      <w:r w:rsidRPr="002D46FB">
        <w:rPr>
          <w:rFonts w:ascii="Times New Roman" w:eastAsia="Times New Roman" w:hAnsi="Times New Roman" w:cs="Times New Roman"/>
          <w:sz w:val="24"/>
          <w:szCs w:val="24"/>
          <w:lang w:eastAsia="pl-PL"/>
        </w:rPr>
        <w:t xml:space="preserve">).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Warto przypomnieć, że w swoim wyroku Trybunał Konstytucyjny rozstrzygnął, że jeżeli ze względu na charakter wykonywanej pracy uznaje się, że istnieje potrzeba odrębnej, szczególnej względem przepisów ogólnych regulacji, takich jak Kodeks pracy, w odniesieniu do konkretnej kategorii pracowników (kierowców w transporcie międzynarodowym), to ustanowienie tych przepisów powinno mieć charakter adekwatny do specyfiki wykonywanej przez nich pracy. Celem ustanowienia norm o charakterze </w:t>
      </w:r>
      <w:r w:rsidRPr="002D46FB">
        <w:rPr>
          <w:rFonts w:ascii="Times New Roman" w:eastAsia="Times New Roman" w:hAnsi="Times New Roman" w:cs="Times New Roman"/>
          <w:i/>
          <w:sz w:val="24"/>
          <w:szCs w:val="24"/>
          <w:lang w:eastAsia="pl-PL"/>
        </w:rPr>
        <w:t xml:space="preserve">lex </w:t>
      </w:r>
      <w:proofErr w:type="spellStart"/>
      <w:r w:rsidRPr="002D46FB">
        <w:rPr>
          <w:rFonts w:ascii="Times New Roman" w:eastAsia="Times New Roman" w:hAnsi="Times New Roman" w:cs="Times New Roman"/>
          <w:i/>
          <w:sz w:val="24"/>
          <w:szCs w:val="24"/>
          <w:lang w:eastAsia="pl-PL"/>
        </w:rPr>
        <w:t>specialis</w:t>
      </w:r>
      <w:proofErr w:type="spellEnd"/>
      <w:r w:rsidRPr="002D46FB">
        <w:rPr>
          <w:rFonts w:ascii="Times New Roman" w:eastAsia="Times New Roman" w:hAnsi="Times New Roman" w:cs="Times New Roman"/>
          <w:sz w:val="24"/>
          <w:szCs w:val="24"/>
          <w:lang w:eastAsia="pl-PL"/>
        </w:rPr>
        <w:t xml:space="preserve"> jest bowiem konieczność odmiennego od zasad ogólnych, bardziej odpowiedniego dla danego obszaru stosunków społecznych uregulowania prawnego wynikającego ze specyfiki tych stosunków. Ustanawianie przepisów </w:t>
      </w:r>
      <w:r w:rsidR="007A6ED9" w:rsidRPr="002D46FB">
        <w:rPr>
          <w:rFonts w:ascii="Times New Roman" w:eastAsia="Times New Roman" w:hAnsi="Times New Roman" w:cs="Times New Roman"/>
          <w:sz w:val="24"/>
          <w:szCs w:val="24"/>
          <w:lang w:eastAsia="pl-PL"/>
        </w:rPr>
        <w:t>o</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charakterze </w:t>
      </w:r>
      <w:r w:rsidRPr="002D46FB">
        <w:rPr>
          <w:rFonts w:ascii="Times New Roman" w:eastAsia="Times New Roman" w:hAnsi="Times New Roman" w:cs="Times New Roman"/>
          <w:i/>
          <w:sz w:val="24"/>
          <w:szCs w:val="24"/>
          <w:lang w:eastAsia="pl-PL"/>
        </w:rPr>
        <w:t xml:space="preserve">lex </w:t>
      </w:r>
      <w:proofErr w:type="spellStart"/>
      <w:r w:rsidRPr="002D46FB">
        <w:rPr>
          <w:rFonts w:ascii="Times New Roman" w:eastAsia="Times New Roman" w:hAnsi="Times New Roman" w:cs="Times New Roman"/>
          <w:i/>
          <w:sz w:val="24"/>
          <w:szCs w:val="24"/>
          <w:lang w:eastAsia="pl-PL"/>
        </w:rPr>
        <w:t>specialis</w:t>
      </w:r>
      <w:proofErr w:type="spellEnd"/>
      <w:r w:rsidRPr="002D46FB">
        <w:rPr>
          <w:rFonts w:ascii="Times New Roman" w:eastAsia="Times New Roman" w:hAnsi="Times New Roman" w:cs="Times New Roman"/>
          <w:sz w:val="24"/>
          <w:szCs w:val="24"/>
          <w:lang w:eastAsia="pl-PL"/>
        </w:rPr>
        <w:t xml:space="preserve"> samo w sobie musi uwzględniać specyfikę regulowanej dziedziny, inaczej bowiem nie ma podstaw do odstąpienia od zasad ogólnych, a działanie ustawodawcy może zostać uznane za nieracjonalne.</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W ocenie Trybunału, uregulowanie należności związanych z wykonywaniem pracy przez kierowców wymaga stworzenia odrębnych przepisów dla tej grupy pracowników, uwzględniających w sposób rzeczywisty specyfikę ich pracy. Trybunał orzekł też, że wcześniejsze rozwiązania szczególne, które w intencjach projektodawcy nowelizacji ustawy </w:t>
      </w:r>
      <w:r w:rsidR="007A6ED9" w:rsidRPr="002D46FB">
        <w:rPr>
          <w:rFonts w:ascii="Times New Roman" w:eastAsia="Times New Roman" w:hAnsi="Times New Roman" w:cs="Times New Roman"/>
          <w:sz w:val="24"/>
          <w:szCs w:val="24"/>
          <w:lang w:eastAsia="pl-PL"/>
        </w:rPr>
        <w:t>o</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czasie pracy kierowców z 2010 r. miały tę specyfikę uwzględniać, należało uznać za pozorne. Sposób ukształtowania należności dla kierowców wynikał bowiem w dalszym ciągu z ogólnych przepisów kodeksowych. Dlatego też niezbędne było ponowne szczegółowe przeanalizowanie szczególnego charakteru pracy kierowców oraz wysokiego poziomu ich mobilności, który wpływa na brak możliwości bezpośredniego stosowania w tym zakresie rozwiązań </w:t>
      </w:r>
      <w:r w:rsidRPr="002D46FB">
        <w:rPr>
          <w:rFonts w:ascii="Times New Roman" w:eastAsia="Times New Roman" w:hAnsi="Times New Roman" w:cs="Times New Roman"/>
          <w:sz w:val="24"/>
          <w:szCs w:val="24"/>
          <w:lang w:eastAsia="pl-PL"/>
        </w:rPr>
        <w:lastRenderedPageBreak/>
        <w:t>kodeksowych oraz szeregu innych wymogów administracyjnych i ogólnych norm prawa pracy. Z tego też względu na terytorium całej Unii Europejskiej obowiązują szczególne zasady dotyczące poszczególnych aspektów pracy kierowców związanych m.in. z normami czasu pracy tej grupy zawodowe</w:t>
      </w:r>
      <w:r w:rsidR="002742C8">
        <w:rPr>
          <w:rFonts w:ascii="Times New Roman" w:eastAsia="Times New Roman" w:hAnsi="Times New Roman" w:cs="Times New Roman"/>
          <w:sz w:val="24"/>
          <w:szCs w:val="24"/>
          <w:lang w:eastAsia="pl-PL"/>
        </w:rPr>
        <w:t>j</w:t>
      </w:r>
      <w:r w:rsidRPr="002D46FB">
        <w:rPr>
          <w:rFonts w:ascii="Times New Roman" w:eastAsia="Times New Roman" w:hAnsi="Times New Roman" w:cs="Times New Roman"/>
          <w:sz w:val="24"/>
          <w:szCs w:val="24"/>
          <w:lang w:eastAsia="pl-PL"/>
        </w:rPr>
        <w:t xml:space="preserve"> oraz odrębne zasady delegowania kierowców.</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Powyższe względy praktyczne, związane ze specyfiką pracy tej grupy zawodowej, w wielu aspektach wyraźnie wpływają na normatywnie określony zakres aktów prawnych Unii Europejskiej. Mając na celu poprawę warunków pracy kierowców oraz zapewnienie uczciwej konkurencji między poszczególnymi przewoźnikami i równowagi między ochroną socjalną kierowców a swobodą świadczenia usług transgranicznych, przepisy dotyczące transportu drogowego i pracowników zatrudnionych w tej branży dążą jednocześnie do poprawy bezpieczeństwa ruchu drogowego.</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Cechą charakterystyczną pracy kierowców jest ich wysoka mobilność związana często </w:t>
      </w:r>
      <w:r w:rsidR="007A6ED9" w:rsidRPr="002D46FB">
        <w:rPr>
          <w:rFonts w:ascii="Times New Roman" w:eastAsia="Times New Roman" w:hAnsi="Times New Roman" w:cs="Times New Roman"/>
          <w:sz w:val="24"/>
          <w:szCs w:val="24"/>
          <w:lang w:eastAsia="pl-PL"/>
        </w:rPr>
        <w:t>z</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wieloetapowym i międzynarodowym charakterem wykonywanych operacji transportowych, wymianą załóg kierowców oraz nieprzewidywalnością podejmowanych zadań, wynikającą np. z wykonywania usług przewozowych będących następstwem transportu międzynarodowego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ramach kabotażu. Taka organizacja czasu pracy kierowców pozwala ograniczyć liczbę tzw. „pustych przejazdów”, czyli bez ładunku, oraz efektywniej wykorzystywać ich czas pracy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ramach międzynarodowych przewozów drogowych, co wiąże się jednak bezpośrednio </w:t>
      </w:r>
      <w:r w:rsidR="007A6ED9" w:rsidRPr="002D46FB">
        <w:rPr>
          <w:rFonts w:ascii="Times New Roman" w:eastAsia="Times New Roman" w:hAnsi="Times New Roman" w:cs="Times New Roman"/>
          <w:sz w:val="24"/>
          <w:szCs w:val="24"/>
          <w:lang w:eastAsia="pl-PL"/>
        </w:rPr>
        <w:t>z</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przekazywaniem od pracodawcy na bieżąco lub z krótkim wyprzedzeniem czasowym informacji na temat kolejnych zleceń.</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Z uwagi na powyższe kierowca wykonujący międzynarodowe przewozy drogowe podczas jednego dnia może pracować nawet w kilku państwach. Poważne trudności budzi prawidłowe ustalenie wysokości podstawy wymiaru podatku dochodowego od osób fizycznych – na podstawie przepisów dotyczących osób zatrudnionych w kraju i przebywających czasowo za granicą, o których mowa w art. 21 ust. 1 pkt 20 ustawy z dnia 26 lipca 1991 r. o podatku dochodowym od osób fizycznych, jak również podstawy wymiaru składek na ubezpieczenie emerytalne i rentowe – na podstawie przepisów wydanych zgodnie z art. 21 ustawy z dnia </w:t>
      </w:r>
      <w:r w:rsidR="007A6ED9" w:rsidRPr="002D46FB">
        <w:rPr>
          <w:rFonts w:ascii="Times New Roman" w:eastAsia="Times New Roman" w:hAnsi="Times New Roman" w:cs="Times New Roman"/>
          <w:sz w:val="24"/>
          <w:szCs w:val="24"/>
          <w:lang w:eastAsia="pl-PL"/>
        </w:rPr>
        <w:t>13</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października 1998 r. o systemie ubezpieczeń społecznych (Dz. U. z 2022 r. poz. 1009, </w:t>
      </w:r>
      <w:r w:rsidR="007A6ED9" w:rsidRPr="002D46FB">
        <w:rPr>
          <w:rFonts w:ascii="Times New Roman" w:eastAsia="Times New Roman" w:hAnsi="Times New Roman" w:cs="Times New Roman"/>
          <w:sz w:val="24"/>
          <w:szCs w:val="24"/>
          <w:lang w:eastAsia="pl-PL"/>
        </w:rPr>
        <w:t>z</w:t>
      </w:r>
      <w:r w:rsidR="007A6ED9">
        <w:rPr>
          <w:rFonts w:ascii="Times New Roman" w:eastAsia="Times New Roman" w:hAnsi="Times New Roman" w:cs="Times New Roman"/>
          <w:sz w:val="24"/>
          <w:szCs w:val="24"/>
          <w:lang w:eastAsia="pl-PL"/>
        </w:rPr>
        <w:t> </w:t>
      </w:r>
      <w:proofErr w:type="spellStart"/>
      <w:r w:rsidRPr="002D46FB">
        <w:rPr>
          <w:rFonts w:ascii="Times New Roman" w:eastAsia="Times New Roman" w:hAnsi="Times New Roman" w:cs="Times New Roman"/>
          <w:sz w:val="24"/>
          <w:szCs w:val="24"/>
          <w:lang w:eastAsia="pl-PL"/>
        </w:rPr>
        <w:t>późn</w:t>
      </w:r>
      <w:proofErr w:type="spellEnd"/>
      <w:r w:rsidRPr="002D46FB">
        <w:rPr>
          <w:rFonts w:ascii="Times New Roman" w:eastAsia="Times New Roman" w:hAnsi="Times New Roman" w:cs="Times New Roman"/>
          <w:sz w:val="24"/>
          <w:szCs w:val="24"/>
          <w:lang w:eastAsia="pl-PL"/>
        </w:rPr>
        <w:t xml:space="preserve">. zm.) dotyczących pracowników zatrudnionych za granicą u polskich pracodawców. Powyższe przepisy nie uwzględniają bowiem specyfiki pracy kierowcy.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Warunki i specyfika pracy kierowców są w oczywisty sposób nieporównywalne z warunkami i specyfiką pracy w innych zawodach. Analizując zatem orzecznictwo Trybunału </w:t>
      </w:r>
      <w:r w:rsidRPr="002D46FB">
        <w:rPr>
          <w:rFonts w:ascii="Times New Roman" w:eastAsia="Times New Roman" w:hAnsi="Times New Roman" w:cs="Times New Roman"/>
          <w:sz w:val="24"/>
          <w:szCs w:val="24"/>
          <w:lang w:eastAsia="pl-PL"/>
        </w:rPr>
        <w:lastRenderedPageBreak/>
        <w:t>Konstytucyjnego</w:t>
      </w:r>
      <w:r w:rsidR="00B435D6">
        <w:rPr>
          <w:rFonts w:ascii="Times New Roman" w:eastAsia="Times New Roman" w:hAnsi="Times New Roman" w:cs="Times New Roman"/>
          <w:sz w:val="24"/>
          <w:szCs w:val="24"/>
          <w:lang w:eastAsia="pl-PL"/>
        </w:rPr>
        <w:t>,</w:t>
      </w:r>
      <w:r w:rsidRPr="002D46FB">
        <w:rPr>
          <w:rFonts w:ascii="Times New Roman" w:eastAsia="Times New Roman" w:hAnsi="Times New Roman" w:cs="Times New Roman"/>
          <w:sz w:val="24"/>
          <w:szCs w:val="24"/>
          <w:lang w:eastAsia="pl-PL"/>
        </w:rPr>
        <w:t xml:space="preserve"> zasadne jest uznanie za wadliwe zastosowanie odesłań do przepisów ogólnych, w sytuacji, kiedy specyfika pracy zawodu kierowcy w transporcie międzynarodowym wymagałaby stworzenia w samej ustawie o czasie pracy kierowcy regulacji szczególnej, określającej zasady ustalania należności przysługujących tej szczególnej grupie zawodowej.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Przepisy ustawy o czasie pracy kierowców stanowią szczególną regulację w stosunku do ogólnych przepisów indywidualnego prawa pracy, a zatem zgodnie z generalną zasadą </w:t>
      </w:r>
      <w:r w:rsidRPr="002D46FB">
        <w:rPr>
          <w:rFonts w:ascii="Times New Roman" w:eastAsia="Times New Roman" w:hAnsi="Times New Roman" w:cs="Times New Roman"/>
          <w:i/>
          <w:sz w:val="24"/>
          <w:szCs w:val="24"/>
          <w:lang w:eastAsia="pl-PL"/>
        </w:rPr>
        <w:t xml:space="preserve">lex </w:t>
      </w:r>
      <w:proofErr w:type="spellStart"/>
      <w:r w:rsidRPr="002D46FB">
        <w:rPr>
          <w:rFonts w:ascii="Times New Roman" w:eastAsia="Times New Roman" w:hAnsi="Times New Roman" w:cs="Times New Roman"/>
          <w:i/>
          <w:sz w:val="24"/>
          <w:szCs w:val="24"/>
          <w:lang w:eastAsia="pl-PL"/>
        </w:rPr>
        <w:t>specialis</w:t>
      </w:r>
      <w:proofErr w:type="spellEnd"/>
      <w:r w:rsidRPr="002D46FB">
        <w:rPr>
          <w:rFonts w:ascii="Times New Roman" w:eastAsia="Times New Roman" w:hAnsi="Times New Roman" w:cs="Times New Roman"/>
          <w:i/>
          <w:sz w:val="24"/>
          <w:szCs w:val="24"/>
          <w:lang w:eastAsia="pl-PL"/>
        </w:rPr>
        <w:t xml:space="preserve"> derogat legi </w:t>
      </w:r>
      <w:proofErr w:type="spellStart"/>
      <w:r w:rsidRPr="002D46FB">
        <w:rPr>
          <w:rFonts w:ascii="Times New Roman" w:eastAsia="Times New Roman" w:hAnsi="Times New Roman" w:cs="Times New Roman"/>
          <w:i/>
          <w:sz w:val="24"/>
          <w:szCs w:val="24"/>
          <w:lang w:eastAsia="pl-PL"/>
        </w:rPr>
        <w:t>generali</w:t>
      </w:r>
      <w:proofErr w:type="spellEnd"/>
      <w:r w:rsidRPr="002D46FB">
        <w:rPr>
          <w:rFonts w:ascii="Times New Roman" w:eastAsia="Times New Roman" w:hAnsi="Times New Roman" w:cs="Times New Roman"/>
          <w:sz w:val="24"/>
          <w:szCs w:val="24"/>
          <w:lang w:eastAsia="pl-PL"/>
        </w:rPr>
        <w:t xml:space="preserve">, mają pierwszeństwo wobec regulacji kodeksowych </w:t>
      </w:r>
      <w:r w:rsidR="007A6ED9" w:rsidRPr="002D46FB">
        <w:rPr>
          <w:rFonts w:ascii="Times New Roman" w:eastAsia="Times New Roman" w:hAnsi="Times New Roman" w:cs="Times New Roman"/>
          <w:sz w:val="24"/>
          <w:szCs w:val="24"/>
          <w:lang w:eastAsia="pl-PL"/>
        </w:rPr>
        <w:t>i</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odpowiednich aktów wykonawczych. Kodeks pracy ma do nich zastosowanie posiłkowo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zakresie w nich nieuregulowanym.</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Mając na uwadze liczne postulaty organizacji reprezentujących przewoźników drogowych zwracających się do Rządu RP o przyjęcie pakietu osłonowego dla polskich przedsiębiorców, m.in. w zakresie uproszczenia obowiązujących od 2 lutego br. zmienionych zasad wynagradzania kierowców, w tym zawieszenia części składek odprowadzanych do ZUS, wprowadzenia okresu przejściowego w ww. rozliczeniach, a także innych działań, np. związanych z przyznaniem dopłat lub rekompensat, dofinansowaniem do szkoleń kierowców, zwrotem opłaty za paliwo i akcyzy zawartej w cenie paliwa, niezbędne jest podjęcie działań, które choć w części uwzględniałyby powyższe postulaty, przy jak najmniejszych konsekwencjach finansowych dla budżetu państwa.</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Należy podkreślić, że zbrojna agresja Rosji na Ukrainę wywołała wiele negatywnych zjawisk gospodarczych o globalnym zasięgu. W przypadku Polski, istotnym problemem dla branży transportowej stał się odpływ pracowników zatrudnionych w tej branży, wzrost i wahania cen paliw, przestoje na zewnętrznej granicy Unii Europejskiej z Ukrainą, co wpływa na utrudnienia w zapewnieniu płynności w wykonywaniu przewozów w krajowym i międzynarodowym transporcie drogowym. Konflikt zbrojny w Ukrainie, jego zasięg oraz transgraniczne, gospodarcze skutki są zjawiskiem, którego nie można było przewidzieć i mu zapobiec.</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Pojawienie się w 2020 r. pandemii COVID-19, wejście w życie regulacji unijnych zawartych w Pakiecie Mobilności I, a także rosyjska agresja zbrojna na terytorium Ukrainy zmieniły relacje gospodarcze w Europie i wpłynęły negatywnie na transport drogowy. </w:t>
      </w:r>
      <w:r w:rsidR="00B435D6">
        <w:rPr>
          <w:rFonts w:ascii="Times New Roman" w:eastAsia="Times New Roman" w:hAnsi="Times New Roman" w:cs="Times New Roman"/>
          <w:sz w:val="24"/>
          <w:szCs w:val="24"/>
          <w:lang w:eastAsia="pl-PL"/>
        </w:rPr>
        <w:t>M</w:t>
      </w:r>
      <w:r w:rsidRPr="002D46FB">
        <w:rPr>
          <w:rFonts w:ascii="Times New Roman" w:eastAsia="Times New Roman" w:hAnsi="Times New Roman" w:cs="Times New Roman"/>
          <w:sz w:val="24"/>
          <w:szCs w:val="24"/>
          <w:lang w:eastAsia="pl-PL"/>
        </w:rPr>
        <w:t xml:space="preserve">imo że Polska zachowuje pozycję lidera na europejskim rynku przewozów drogowych, to polscy przewoźnicy borykają się z licznymi problemami, a jednym z najbardziej dotkliwych jest brak wykwalifikowanych nowych pracowników, wysoki średni wiek kierowców, którzy w bliskiej </w:t>
      </w:r>
      <w:r w:rsidRPr="002D46FB">
        <w:rPr>
          <w:rFonts w:ascii="Times New Roman" w:eastAsia="Times New Roman" w:hAnsi="Times New Roman" w:cs="Times New Roman"/>
          <w:sz w:val="24"/>
          <w:szCs w:val="24"/>
          <w:lang w:eastAsia="pl-PL"/>
        </w:rPr>
        <w:lastRenderedPageBreak/>
        <w:t xml:space="preserve">perspektywie czasowej będą przechodzić na emeryturę, a także niewystarczające zainteresowanie młodych ludzi podejmowaniem pracy w zawodzie kierowcy. Powyższy stan ma wiele złożonych przyczyn, od ekonomicznych po zdrowotne i społeczne, związane </w:t>
      </w:r>
      <w:r w:rsidR="007A6ED9" w:rsidRPr="002D46FB">
        <w:rPr>
          <w:rFonts w:ascii="Times New Roman" w:eastAsia="Times New Roman" w:hAnsi="Times New Roman" w:cs="Times New Roman"/>
          <w:sz w:val="24"/>
          <w:szCs w:val="24"/>
          <w:lang w:eastAsia="pl-PL"/>
        </w:rPr>
        <w:t>z</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uciążliwym trybem życia „w trasie”, starzejące się społeczeństwo, migracje i malejącą populację. Należy także podkreślić, że dynamiczny wzrost transportu drogowego prowadzi również do stale pogłębiającego się niedoboru kierowców na rynku pracy, a wybuch wojny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Ukrainie jeszcze bardziej pogłębił istniejące już wcześniej problemy.</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Warto także wskazać, że spowolnienie gospodarcze, a nawet ryzyko recesji gospodarek niektórych państw członkowskich w największym stopniu może uderzyć w kondycję polskich przewoźników drogowych, zważywszy na istotny ich udział w unijnym rynku transportowym. Według danych Eurostatu w 2020 r. udział polskich przewoźników drogowych pod względem transportu w przeliczeniu na tonokilometry wyniósł 19,7% w odniesieniu do transportu ogółem zrealizowanego w całej Unii Europejskiej.</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W odpowiedzi na szereg czynników realnie wpływających na znaczące pogorszenie kondycji branży transportu drogowego w Polsce, związanych m.in. z ograniczaniem negatywnych skutków Pakietu Mobilności I oraz zbrojną agresją na Ukrainę, Ministerstwo Infrastruktury przygotowało propozycje zmian </w:t>
      </w:r>
      <w:r w:rsidRPr="002D46FB">
        <w:rPr>
          <w:rFonts w:ascii="Times New Roman" w:eastAsia="Times New Roman" w:hAnsi="Times New Roman" w:cs="Times New Roman"/>
          <w:bCs/>
          <w:i/>
          <w:sz w:val="24"/>
          <w:szCs w:val="24"/>
          <w:lang w:eastAsia="pl-PL"/>
        </w:rPr>
        <w:t xml:space="preserve">ustawy z dnia 26 lipca 1991 r. o podatku dochodowym od osób fizycznych </w:t>
      </w:r>
      <w:r w:rsidRPr="002D46FB">
        <w:rPr>
          <w:rFonts w:ascii="Times New Roman" w:eastAsia="Times New Roman" w:hAnsi="Times New Roman" w:cs="Times New Roman"/>
          <w:bCs/>
          <w:sz w:val="24"/>
          <w:szCs w:val="24"/>
          <w:lang w:eastAsia="pl-PL"/>
        </w:rPr>
        <w:t xml:space="preserve">oraz </w:t>
      </w:r>
      <w:bookmarkStart w:id="5" w:name="_Hlk130543664"/>
      <w:r w:rsidRPr="002D46FB">
        <w:rPr>
          <w:rFonts w:ascii="Times New Roman" w:eastAsia="Times New Roman" w:hAnsi="Times New Roman" w:cs="Times New Roman"/>
          <w:bCs/>
          <w:i/>
          <w:sz w:val="24"/>
          <w:szCs w:val="24"/>
          <w:lang w:eastAsia="pl-PL"/>
        </w:rPr>
        <w:t>ustawy z dnia 16 kwietnia 2004 r. o czasie pracy kierowców</w:t>
      </w:r>
      <w:bookmarkEnd w:id="5"/>
      <w:r w:rsidRPr="002D46FB">
        <w:rPr>
          <w:rFonts w:ascii="Times New Roman" w:eastAsia="Times New Roman" w:hAnsi="Times New Roman" w:cs="Times New Roman"/>
          <w:bCs/>
          <w:sz w:val="24"/>
          <w:szCs w:val="24"/>
          <w:lang w:eastAsia="pl-PL"/>
        </w:rPr>
        <w:t xml:space="preserve"> mające na celu zmniejszenie kosztów obsługi administracyjnej w zakresie rozliczania kierowców w przedsiębiorstwach transportowych, co ma szczególne znaczenie w przypadku kierowców delegowanych. Proponowane rozwiązania pozytywnie wpłyną na utrzymanie konkurencyjności polskich przedsiębiorców na rynku europejskim, przejrzystość i pewność prawa, a tym samym kształtowanie zaufania między partnerami społecznymi a Rządem RP oraz będą stanowić ważną formę wsparcia tej branży w obliczu trudnych i zmienny warunków wykonywania przewozów na rynku międzynarodowym.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Przedmiotowy projekt ustawy, wprowadzając rozwiązania w zakresie delegowania kierowców na terytorium RP, ma celu przede wszystkim ochronę polskiego rynku przewozów drogowych przed nieuczciwą konkurencją przewoźników z innych państw członkowskich oraz spoza UE, poprawiając jednocześnie sytuacją polskich przewoźników delegujących swoich kierowców za granicę. Wszelkie działania mające na celu wsparcie kierowców podejmujących pracę w tym zawodzie oraz przewoźników drogowych głęboko wpisują się w działania Rządu RP na rzecz polskiej branży transportu drogowego.</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lastRenderedPageBreak/>
        <w:t xml:space="preserve">Z uwagi na fakt, że kierowca wykonujący międzynarodowy transport drogowy jest tzw. pracownikiem wysoko mobilnym i może przebywać w trakcie jednej doby w więcej niż jednym państwie, może to spowodować utrudnienia w naliczaniu prawidłowej wysokości składek do ZUS-u i zaliczek na PIT oraz znacznie utrudnić planowanie budżetu na wynagrodzenia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przedsiębiorstwie transportowym. Jednocześnie warto zaznaczyć, że w praktyce, z uwagi na specyfikę branży międzynarodowego transportu drogowego, trudno określić liczbę dni,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których poszczególni pracownicy będą wykonywać pracę w jednym z kilkudziesięciu państw, do których wykonywane są przewozy drogowe.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Mając powyższe na uwadze proponuje się zmianę zasad w zakresie systemu naliczania podstawy wymiaru składek ZUS oraz podatku PIT dla kierowców w transporcie międzynarodowym mającą na celu zapewnienie przewoźnikom większej przewidywalności ponoszonych kosztów pracy oraz równe traktowanie i brak dyskryminacji wszystkich kierowców, niezależnie od przydzielanych kierowcom zadań i kierunków destynacji wykonywanych przez nich przewozów. Przedmiotowe rozwiązania mają na celu ujednolicenie systemu naliczania podstawy wymiaru składki na ubezpieczenie społeczne (ubezpieczenie emerytalne, rentowe, chorobowe i wypadkowe) oraz wysokości zaliczki na podatek dochodowy kierowców.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Istotę ujednoliconej stawki diety zagranicznej należy rozumieć jako wprowadzenie tzw. „wirtualnej diety”, która ułatwiłaby sposób rozliczania ulg w zakresie naliczania podstawy wymiaru składek ZUS oraz podatku PIT dla kierowców w transporcie międzynarodowym.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Proponuje się zatem, aby w przypadku kierowców zatrudnionych w Polsce i wykonujących zadania służbowe w ramach międzynarodowych przewozów drogowych, których miesięczny przychód jest wyższy niż przeciętne wynagrodzenie, w skład przychodu stanowiącego podstawę wymiaru składki na ubezpieczenie społeczne nie wchodziła kwota stanowiąca równowartość 60,00 EUR za każdy dzień pobytu poza granicami Polski. Oznacza to, że po osiągnięciu przez kierowcę wynagrodzenia brutto w wysokości 6 935,00 zł, pracodawca będzie mógł obniżyć wymiar składki na ubezpieczenie społeczne o 60,00 EUR za każdy dzień pobytu tego kierowcy poza granicami Polski. Obecnie wysokości „wirtualnych diet” różnią się między państwami i wynoszą np. w Niemczech 49,00 EUR, we Francji 55,00 EUR, w Czechach 41,</w:t>
      </w:r>
      <w:r w:rsidR="007A6ED9" w:rsidRPr="002D46FB">
        <w:rPr>
          <w:rFonts w:ascii="Times New Roman" w:eastAsia="Times New Roman" w:hAnsi="Times New Roman" w:cs="Times New Roman"/>
          <w:sz w:val="24"/>
          <w:szCs w:val="24"/>
          <w:lang w:eastAsia="pl-PL"/>
        </w:rPr>
        <w:t>00</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EUR, na Słowacji 47,00 EUR. Takie zróżnicowanie generuje dodatkowe koszty związane ze skomplikowaną obsługą tych rozliczeń. Jeżeli kierowca nie osiągnie wynagrodzenia brutto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wysokości 6 935,00 zł, nie będą miały zastosowania ww. odliczenia. Ministerstwo Infrastruktury zatem nie wprowadza płacy minimalnej dla kierowców </w:t>
      </w:r>
      <w:r w:rsidR="007A6ED9" w:rsidRPr="002D46FB">
        <w:rPr>
          <w:rFonts w:ascii="Times New Roman" w:eastAsia="Times New Roman" w:hAnsi="Times New Roman" w:cs="Times New Roman"/>
          <w:sz w:val="24"/>
          <w:szCs w:val="24"/>
          <w:lang w:eastAsia="pl-PL"/>
        </w:rPr>
        <w:lastRenderedPageBreak/>
        <w:t>i</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obowiązują ogólne zasady. Ponadto proponuje się, aby wolna od podatku PIT była część przychodów kierowców wykonujących międzynarodowe przewozy drogowe uzyskiwanych ze stosunku pracy lub umowy zlecenia, za każdy dzień pobytu zagranicą w wysokości stanowiącej równowartość </w:t>
      </w:r>
      <w:r w:rsidR="007A6ED9" w:rsidRPr="002D46FB">
        <w:rPr>
          <w:rFonts w:ascii="Times New Roman" w:eastAsia="Times New Roman" w:hAnsi="Times New Roman" w:cs="Times New Roman"/>
          <w:sz w:val="24"/>
          <w:szCs w:val="24"/>
          <w:lang w:eastAsia="pl-PL"/>
        </w:rPr>
        <w:t>20</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euro, licząc od pierwszego dnia tego pobytu. Obecnie wysokość tej kwoty jest zmienna </w:t>
      </w:r>
      <w:r w:rsidR="007A6ED9" w:rsidRPr="002D46FB">
        <w:rPr>
          <w:rFonts w:ascii="Times New Roman" w:eastAsia="Times New Roman" w:hAnsi="Times New Roman" w:cs="Times New Roman"/>
          <w:sz w:val="24"/>
          <w:szCs w:val="24"/>
          <w:lang w:eastAsia="pl-PL"/>
        </w:rPr>
        <w:t>i</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uzależniona od kraju, w którym kierowca wykonuje przewozy i wynosi 30% diety odliczanej od składek ZUS.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Dodatkowo w przypadku kierowców wykonujących międzynarodowe przewozy drogowe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skład przychodu stanowiącego podstawę wymiaru składki na ubezpieczenie społeczne </w:t>
      </w:r>
      <w:r w:rsidR="007A6ED9" w:rsidRPr="002D46FB">
        <w:rPr>
          <w:rFonts w:ascii="Times New Roman" w:eastAsia="Times New Roman" w:hAnsi="Times New Roman" w:cs="Times New Roman"/>
          <w:sz w:val="24"/>
          <w:szCs w:val="24"/>
          <w:lang w:eastAsia="pl-PL"/>
        </w:rPr>
        <w:t>i</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zaliczki na podatek PIT nie będą wchodziły należności stanowiące zwrot równowartości poniesionych przez kierowcę kosztów, m.in. noclegu w przypadku tygodniowego regularnego okresu odpoczynku, którego kierowca nie może odbierać w pojeździe, podróży środkami transportu innymi niż pojazd będący w dyspozycji pracodawcy do miejsca, w którym kierowca rozpocznie przewóz oraz innych niezbędnych udokumentowanych wydatków.</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Należy zauważyć, że pracodawca zgodnie z właściwymi przepisami rozporządzenia (WE) nr 561/2006 jest zobowiązany m.in. do zapewnienia kierowcom możliwości powrotu do miejsca zamieszkania lub do centrum operacyjnego przedsiębiorstwa. Służby Komisji Europejskiej podkreśliły, że jeżeli kierowca kończy swój okres pracy w jednym z dwóch miejsc powrotu, które może wybrać, lub w pobliżu jednego z tych miejsc, pracodawca nie ponosi żadnych dodatkowych kosztów podróży, niemniej w przypadku gdy okres pracy poprzedzający powrót do jednego z tych dwóch miejsc kończy się w miejscu oddalonym od wybranego miejsca powrotu, zobowiązanie pracodawcy do zorganizowania powrotu kierowców obejmuje odpowiedzialność finansową na pokrycie kosztów podróży. W tym miejscu warto także wskazać, że z art. 8 ust. 8 akapit drugi ww. rozporządzenia wynika obowiązek zwrotu kosztów zakwaterowania kierowcy poza pojazdem i na pracodawcy ciąży obowiązek pokrycia wszelkich kosztów zakwaterowania kierowcy poza pojazdem. Tym samym konieczne jest zapewnienie możliwości przedsiębiorcom transportowym odliczania kosztów z tym związanych.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Dodatkowo mając na uwadze utrudnienia związane z dostępem do danych rejestrowanych przez tachograf mające wpływ na określenie wysokości wynagrodzenia należnego za pracę kierowcy wykonującego międzynarodowe przewozy drogowe, uznanego za pracownika delegowanego w rozumieniu krajowych przepisów państwa, na terytorium którego kierowca jest delegowany, proponuje się, aby w drodze odstępstwa od art. 85 § 1 i 2 </w:t>
      </w:r>
      <w:r w:rsidRPr="002D46FB">
        <w:rPr>
          <w:rFonts w:ascii="Times New Roman" w:eastAsia="Times New Roman" w:hAnsi="Times New Roman" w:cs="Times New Roman"/>
          <w:i/>
          <w:sz w:val="24"/>
          <w:szCs w:val="24"/>
          <w:lang w:eastAsia="pl-PL"/>
        </w:rPr>
        <w:t xml:space="preserve">ustawy z dnia 26 </w:t>
      </w:r>
      <w:r w:rsidRPr="002D46FB">
        <w:rPr>
          <w:rFonts w:ascii="Times New Roman" w:eastAsia="Times New Roman" w:hAnsi="Times New Roman" w:cs="Times New Roman"/>
          <w:i/>
          <w:sz w:val="24"/>
          <w:szCs w:val="24"/>
          <w:lang w:eastAsia="pl-PL"/>
        </w:rPr>
        <w:lastRenderedPageBreak/>
        <w:t xml:space="preserve">czerwca 1974 r. – Kodeks pracy </w:t>
      </w:r>
      <w:r w:rsidRPr="002D46FB">
        <w:rPr>
          <w:rFonts w:ascii="Times New Roman" w:eastAsia="Times New Roman" w:hAnsi="Times New Roman" w:cs="Times New Roman"/>
          <w:sz w:val="24"/>
          <w:szCs w:val="24"/>
          <w:lang w:eastAsia="pl-PL"/>
        </w:rPr>
        <w:t xml:space="preserve">(Dz. U. z 2022 r. poz. 1510, z późn. zm.), wynagrodzenie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tym przypadku mogło być płatne w dwóch ratach, w stałym i ustalonym z góry terminie:</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Pr="002D46FB">
        <w:rPr>
          <w:rFonts w:ascii="Times New Roman" w:eastAsia="Times New Roman" w:hAnsi="Times New Roman" w:cs="Times New Roman"/>
          <w:sz w:val="24"/>
          <w:szCs w:val="24"/>
          <w:lang w:eastAsia="pl-PL"/>
        </w:rPr>
        <w:t>pierwsza rata, z dołu, nie później jednak niż w ciągu pierwszych 10 dni następnego miesiąca kalendarzowego:</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a)</w:t>
      </w:r>
      <w:r>
        <w:rPr>
          <w:rFonts w:ascii="Times New Roman" w:eastAsia="Times New Roman" w:hAnsi="Times New Roman" w:cs="Times New Roman"/>
          <w:sz w:val="24"/>
          <w:szCs w:val="24"/>
          <w:lang w:eastAsia="pl-PL"/>
        </w:rPr>
        <w:tab/>
      </w:r>
      <w:r w:rsidRPr="002D46FB">
        <w:rPr>
          <w:rFonts w:ascii="Times New Roman" w:eastAsia="Times New Roman" w:hAnsi="Times New Roman" w:cs="Times New Roman"/>
          <w:sz w:val="24"/>
          <w:szCs w:val="24"/>
          <w:lang w:eastAsia="pl-PL"/>
        </w:rPr>
        <w:t xml:space="preserve">w przypadku kierowców, których miesięczny przychód jest niższy niż przeciętne wynagrodzenie – w wysokości co najmniej minimalnego wynagrodzenia za pracę ogłoszonego albo ustalonego na postawie art. 2 ust. 4 albo ust. 5 </w:t>
      </w:r>
      <w:r w:rsidRPr="002D46FB">
        <w:rPr>
          <w:rFonts w:ascii="Times New Roman" w:eastAsia="Times New Roman" w:hAnsi="Times New Roman" w:cs="Times New Roman"/>
          <w:i/>
          <w:sz w:val="24"/>
          <w:szCs w:val="24"/>
          <w:lang w:eastAsia="pl-PL"/>
        </w:rPr>
        <w:t>ustawy z dnia 10 października 2002 r. o minimalnym wynagrodzeniu za pracę</w:t>
      </w:r>
      <w:r w:rsidRPr="002D46FB">
        <w:rPr>
          <w:rFonts w:ascii="Times New Roman" w:eastAsia="Times New Roman" w:hAnsi="Times New Roman" w:cs="Times New Roman"/>
          <w:sz w:val="24"/>
          <w:szCs w:val="24"/>
          <w:lang w:eastAsia="pl-PL"/>
        </w:rPr>
        <w:t xml:space="preserve"> (Dz. U. z 2020 r. poz. 2207),</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b)</w:t>
      </w:r>
      <w:r>
        <w:rPr>
          <w:rFonts w:ascii="Times New Roman" w:eastAsia="Times New Roman" w:hAnsi="Times New Roman" w:cs="Times New Roman"/>
          <w:sz w:val="24"/>
          <w:szCs w:val="24"/>
          <w:lang w:eastAsia="pl-PL"/>
        </w:rPr>
        <w:tab/>
      </w:r>
      <w:r w:rsidRPr="002D46FB">
        <w:rPr>
          <w:rFonts w:ascii="Times New Roman" w:eastAsia="Times New Roman" w:hAnsi="Times New Roman" w:cs="Times New Roman"/>
          <w:sz w:val="24"/>
          <w:szCs w:val="24"/>
          <w:lang w:eastAsia="pl-PL"/>
        </w:rPr>
        <w:t>w przypadku kierowców, których miesięczny przychód jest wyższy niż przeciętne wynagrodzenie – w wysokości przeciętnego wynagrodzenia</w:t>
      </w:r>
      <w:r w:rsidR="00B368CF">
        <w:rPr>
          <w:rFonts w:ascii="Times New Roman" w:eastAsia="Times New Roman" w:hAnsi="Times New Roman" w:cs="Times New Roman"/>
          <w:sz w:val="24"/>
          <w:szCs w:val="24"/>
          <w:lang w:eastAsia="pl-PL"/>
        </w:rPr>
        <w:t>;</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ab/>
      </w:r>
      <w:r w:rsidRPr="002D46FB">
        <w:rPr>
          <w:rFonts w:ascii="Times New Roman" w:eastAsia="Times New Roman" w:hAnsi="Times New Roman" w:cs="Times New Roman"/>
          <w:sz w:val="24"/>
          <w:szCs w:val="24"/>
          <w:lang w:eastAsia="pl-PL"/>
        </w:rPr>
        <w:t>druga rata, z dołu, niezwłocznie po ustaleniu pełnej wysokości wynagrodzenia, nie później jednak niż do 21 dnia następnego miesiąca kalendarzowego.</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Z uwagi na specyfikę pracy kierowców uznanych za pracowników delegowanych niezbędne jest także wprowadzenia odstępstwa od art. 85 § 1 i 2 ustawy z dnia 26 czerwca 1974 r. – Kodeks pracy, aby wynagrodzenie kierowców delegowanych mogło być płatne w dwóch ratach, w stałym i ustalonym z góry terminie. Zgodnie z projektowanymi przepisami pierwsza rata, z dołu, wypłacana byłaby nie później jednak niż w ciągu pierwszych 10 dni następnego miesiąca kalendarzowego, zatem zachowana zostałaby alimentacyjna funkcja wynagrodzenia. Z kolei druga rata, z dołu, wypłacana byłaby niezwłocznie po ustaleniu pełnej wysokości wynagrodzenia, nie później jednak niż do 21 dnia miesiąca kalendarzowego. Prawidłowe wyliczenie należnego wynagrodzenia niewątpliwie utrudnia wysoka mo</w:t>
      </w:r>
      <w:r w:rsidRPr="00DE7276">
        <w:rPr>
          <w:rFonts w:ascii="Times New Roman" w:eastAsia="Times New Roman" w:hAnsi="Times New Roman" w:cs="Times New Roman"/>
          <w:sz w:val="24"/>
          <w:szCs w:val="24"/>
          <w:lang w:eastAsia="pl-PL"/>
        </w:rPr>
        <w:t xml:space="preserve">bilność kierowców wykonujących międzynarodowe przewozy drogowe na terytorium Unii, jak również wymuszony przepisami dyrektywy (UE) 2020/1057 podział konkretnych przewozów drogowych na te objęte, jak i wyłączone spod zasad delegowania. Zapewnienie większej </w:t>
      </w:r>
      <w:r w:rsidRPr="002D46FB">
        <w:rPr>
          <w:rFonts w:ascii="Times New Roman" w:eastAsia="Times New Roman" w:hAnsi="Times New Roman" w:cs="Times New Roman"/>
          <w:sz w:val="24"/>
          <w:szCs w:val="24"/>
          <w:lang w:eastAsia="pl-PL"/>
        </w:rPr>
        <w:t>elastyczności w tym względzie jest niezbędne, w szczególności biorąc pod uwagę strukturę przewozów drogowych rzeczy wykonywanych przez przedsiębiorców transportowych mających siedzibę na terytorium Polski z podziałem na transport krajowy i międzynarodowy UE.</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Konkretne propozycje zmiany </w:t>
      </w:r>
      <w:r w:rsidRPr="002D46FB">
        <w:rPr>
          <w:rFonts w:ascii="Times New Roman" w:eastAsia="Times New Roman" w:hAnsi="Times New Roman" w:cs="Times New Roman"/>
          <w:i/>
          <w:sz w:val="24"/>
          <w:szCs w:val="24"/>
          <w:lang w:eastAsia="pl-PL"/>
        </w:rPr>
        <w:t>ustawy z dnia 16 kwietnia 2004 r. o czasie pracy kierowców</w:t>
      </w:r>
      <w:r w:rsidRPr="002D46FB">
        <w:rPr>
          <w:rFonts w:ascii="Times New Roman" w:eastAsia="Times New Roman" w:hAnsi="Times New Roman" w:cs="Times New Roman"/>
          <w:sz w:val="24"/>
          <w:szCs w:val="24"/>
          <w:lang w:eastAsia="pl-PL"/>
        </w:rPr>
        <w:t xml:space="preserve"> dotyczą zasady liczenia dni pobytu za granicą. Przykładowo do dni pobytu za</w:t>
      </w:r>
      <w:r w:rsidR="00D9152E">
        <w:rPr>
          <w:rFonts w:ascii="Times New Roman" w:eastAsia="Times New Roman" w:hAnsi="Times New Roman" w:cs="Times New Roman"/>
          <w:sz w:val="24"/>
          <w:szCs w:val="24"/>
          <w:lang w:eastAsia="pl-PL"/>
        </w:rPr>
        <w:t xml:space="preserve"> </w:t>
      </w:r>
      <w:r w:rsidRPr="002D46FB">
        <w:rPr>
          <w:rFonts w:ascii="Times New Roman" w:eastAsia="Times New Roman" w:hAnsi="Times New Roman" w:cs="Times New Roman"/>
          <w:sz w:val="24"/>
          <w:szCs w:val="24"/>
          <w:lang w:eastAsia="pl-PL"/>
        </w:rPr>
        <w:t xml:space="preserve">granicą nie zalicza się: dni urlopu wypoczynkowego, dni choroby, ani okresu korzystania z urlopu </w:t>
      </w:r>
      <w:r w:rsidRPr="002D46FB">
        <w:rPr>
          <w:rFonts w:ascii="Times New Roman" w:eastAsia="Times New Roman" w:hAnsi="Times New Roman" w:cs="Times New Roman"/>
          <w:sz w:val="24"/>
          <w:szCs w:val="24"/>
          <w:lang w:eastAsia="pl-PL"/>
        </w:rPr>
        <w:lastRenderedPageBreak/>
        <w:t>bezpłatnego. Natomiast gdy okres pobytu kierowcy wykonującego międzynarodowe przewozy drogowe za</w:t>
      </w:r>
      <w:r w:rsidR="00D9152E">
        <w:rPr>
          <w:rFonts w:ascii="Times New Roman" w:eastAsia="Times New Roman" w:hAnsi="Times New Roman" w:cs="Times New Roman"/>
          <w:sz w:val="24"/>
          <w:szCs w:val="24"/>
          <w:lang w:eastAsia="pl-PL"/>
        </w:rPr>
        <w:t xml:space="preserve"> </w:t>
      </w:r>
      <w:r w:rsidRPr="002D46FB">
        <w:rPr>
          <w:rFonts w:ascii="Times New Roman" w:eastAsia="Times New Roman" w:hAnsi="Times New Roman" w:cs="Times New Roman"/>
          <w:sz w:val="24"/>
          <w:szCs w:val="24"/>
          <w:lang w:eastAsia="pl-PL"/>
        </w:rPr>
        <w:t>granicą jest krótszy niż 12 godzin, wskazane kwoty ulegają zmniejszeniu:</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1)</w:t>
      </w:r>
      <w:r w:rsidRPr="002D46FB">
        <w:rPr>
          <w:rFonts w:ascii="Times New Roman" w:eastAsia="Times New Roman" w:hAnsi="Times New Roman" w:cs="Times New Roman"/>
          <w:sz w:val="24"/>
          <w:szCs w:val="24"/>
          <w:lang w:eastAsia="pl-PL"/>
        </w:rPr>
        <w:tab/>
        <w:t xml:space="preserve">do 1/3 w przypadku pobytu do 8 godzin; </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2)</w:t>
      </w:r>
      <w:r w:rsidRPr="002D46FB">
        <w:rPr>
          <w:rFonts w:ascii="Times New Roman" w:eastAsia="Times New Roman" w:hAnsi="Times New Roman" w:cs="Times New Roman"/>
          <w:sz w:val="24"/>
          <w:szCs w:val="24"/>
          <w:lang w:eastAsia="pl-PL"/>
        </w:rPr>
        <w:tab/>
        <w:t>do 1/2 w przypadku pobytu ponad 8 do 12 godzin.</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Ponadto, w związku z pojawiającymi się wątpliwościami w odniesieniu do zakresu podmiotowego powyższej regulacji, które nasiliły się po 2 lutego br., zaproponowano, aby określone przepisy </w:t>
      </w:r>
      <w:r w:rsidRPr="002D46FB">
        <w:rPr>
          <w:rFonts w:ascii="Times New Roman" w:eastAsia="Times New Roman" w:hAnsi="Times New Roman" w:cs="Times New Roman"/>
          <w:i/>
          <w:sz w:val="24"/>
          <w:szCs w:val="24"/>
          <w:lang w:eastAsia="pl-PL"/>
        </w:rPr>
        <w:t>ustawy z dnia 16 kwietnia 2004 r. o czasie pracy kierowców</w:t>
      </w:r>
      <w:r w:rsidRPr="002D46FB">
        <w:rPr>
          <w:rFonts w:ascii="Times New Roman" w:eastAsia="Times New Roman" w:hAnsi="Times New Roman" w:cs="Times New Roman"/>
          <w:sz w:val="24"/>
          <w:szCs w:val="24"/>
          <w:lang w:eastAsia="pl-PL"/>
        </w:rPr>
        <w:t xml:space="preserve"> nie miały zastosowania do kierowców:</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a)</w:t>
      </w:r>
      <w:r>
        <w:rPr>
          <w:rFonts w:ascii="Times New Roman" w:eastAsia="Times New Roman" w:hAnsi="Times New Roman" w:cs="Times New Roman"/>
          <w:sz w:val="24"/>
          <w:szCs w:val="24"/>
          <w:lang w:eastAsia="pl-PL"/>
        </w:rPr>
        <w:tab/>
      </w:r>
      <w:r w:rsidRPr="002D46FB">
        <w:rPr>
          <w:rFonts w:ascii="Times New Roman" w:eastAsia="Times New Roman" w:hAnsi="Times New Roman" w:cs="Times New Roman"/>
          <w:sz w:val="24"/>
          <w:szCs w:val="24"/>
          <w:lang w:eastAsia="pl-PL"/>
        </w:rPr>
        <w:t>wykonujących przewozy drogowe:</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sym w:font="Symbol" w:char="F02D"/>
      </w:r>
      <w:r>
        <w:rPr>
          <w:rFonts w:ascii="Times New Roman" w:eastAsia="Times New Roman" w:hAnsi="Times New Roman" w:cs="Times New Roman"/>
          <w:sz w:val="24"/>
          <w:szCs w:val="24"/>
          <w:lang w:eastAsia="pl-PL"/>
        </w:rPr>
        <w:tab/>
      </w:r>
      <w:r w:rsidRPr="002D46FB">
        <w:rPr>
          <w:rFonts w:ascii="Times New Roman" w:eastAsia="Times New Roman" w:hAnsi="Times New Roman" w:cs="Times New Roman"/>
          <w:sz w:val="24"/>
          <w:szCs w:val="24"/>
          <w:lang w:eastAsia="pl-PL"/>
        </w:rPr>
        <w:t>rzeczy, gdy dopuszczalna masa całkowita pojazdów łącznie z przyczepą</w:t>
      </w:r>
      <w:r w:rsidR="00DE7276">
        <w:rPr>
          <w:rFonts w:ascii="Times New Roman" w:eastAsia="Times New Roman" w:hAnsi="Times New Roman" w:cs="Times New Roman"/>
          <w:sz w:val="24"/>
          <w:szCs w:val="24"/>
          <w:lang w:eastAsia="pl-PL"/>
        </w:rPr>
        <w:t xml:space="preserve"> </w:t>
      </w:r>
      <w:r w:rsidRPr="002D46FB">
        <w:rPr>
          <w:rFonts w:ascii="Times New Roman" w:eastAsia="Times New Roman" w:hAnsi="Times New Roman" w:cs="Times New Roman"/>
          <w:sz w:val="24"/>
          <w:szCs w:val="24"/>
          <w:lang w:eastAsia="pl-PL"/>
        </w:rPr>
        <w:t>lub naczepą nie przekracza 3,5 tony,</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sz w:val="24"/>
          <w:szCs w:val="24"/>
          <w:lang w:eastAsia="pl-PL"/>
        </w:rPr>
      </w:pPr>
      <w:bookmarkStart w:id="6" w:name="_Hlk123035967"/>
      <w:r w:rsidRPr="002D46FB">
        <w:rPr>
          <w:rFonts w:ascii="Times New Roman" w:eastAsia="Times New Roman" w:hAnsi="Times New Roman" w:cs="Times New Roman"/>
          <w:sz w:val="24"/>
          <w:szCs w:val="24"/>
          <w:lang w:eastAsia="pl-PL"/>
        </w:rPr>
        <w:sym w:font="Symbol" w:char="F02D"/>
      </w:r>
      <w:bookmarkEnd w:id="6"/>
      <w:r>
        <w:rPr>
          <w:rFonts w:ascii="Times New Roman" w:eastAsia="Times New Roman" w:hAnsi="Times New Roman" w:cs="Times New Roman"/>
          <w:sz w:val="24"/>
          <w:szCs w:val="24"/>
          <w:lang w:eastAsia="pl-PL"/>
        </w:rPr>
        <w:tab/>
      </w:r>
      <w:r w:rsidRPr="002D46FB">
        <w:rPr>
          <w:rFonts w:ascii="Times New Roman" w:eastAsia="Times New Roman" w:hAnsi="Times New Roman" w:cs="Times New Roman"/>
          <w:sz w:val="24"/>
          <w:szCs w:val="24"/>
          <w:lang w:eastAsia="pl-PL"/>
        </w:rPr>
        <w:t>rzeczy w międzynarodowym transporcie drogowym lub kabotażowym,</w:t>
      </w:r>
      <w:r w:rsidR="00DE7276">
        <w:rPr>
          <w:rFonts w:ascii="Times New Roman" w:eastAsia="Times New Roman" w:hAnsi="Times New Roman" w:cs="Times New Roman"/>
          <w:sz w:val="24"/>
          <w:szCs w:val="24"/>
          <w:lang w:eastAsia="pl-PL"/>
        </w:rPr>
        <w:t xml:space="preserve"> </w:t>
      </w:r>
      <w:r w:rsidRPr="002D46FB">
        <w:rPr>
          <w:rFonts w:ascii="Times New Roman" w:eastAsia="Times New Roman" w:hAnsi="Times New Roman" w:cs="Times New Roman"/>
          <w:sz w:val="24"/>
          <w:szCs w:val="24"/>
          <w:lang w:eastAsia="pl-PL"/>
        </w:rPr>
        <w:t>gdy dopuszczalna masa całkowita pojazdów łącznie z przyczepą lub naczepą</w:t>
      </w:r>
      <w:r w:rsidR="00DE7276">
        <w:rPr>
          <w:rFonts w:ascii="Times New Roman" w:eastAsia="Times New Roman" w:hAnsi="Times New Roman" w:cs="Times New Roman"/>
          <w:sz w:val="24"/>
          <w:szCs w:val="24"/>
          <w:lang w:eastAsia="pl-PL"/>
        </w:rPr>
        <w:t xml:space="preserve"> </w:t>
      </w:r>
      <w:r w:rsidRPr="002D46FB">
        <w:rPr>
          <w:rFonts w:ascii="Times New Roman" w:eastAsia="Times New Roman" w:hAnsi="Times New Roman" w:cs="Times New Roman"/>
          <w:sz w:val="24"/>
          <w:szCs w:val="24"/>
          <w:lang w:eastAsia="pl-PL"/>
        </w:rPr>
        <w:t>nie przekracza 2,5 tony,</w:t>
      </w:r>
    </w:p>
    <w:p w:rsidR="002D46FB" w:rsidRPr="002D46FB" w:rsidRDefault="002D46FB" w:rsidP="00CF127C">
      <w:pPr>
        <w:suppressAutoHyphens/>
        <w:autoSpaceDE w:val="0"/>
        <w:autoSpaceDN w:val="0"/>
        <w:adjustRightInd w:val="0"/>
        <w:spacing w:before="120" w:after="0" w:line="360" w:lineRule="auto"/>
        <w:ind w:left="851" w:hanging="431"/>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sym w:font="Symbol" w:char="F02D"/>
      </w:r>
      <w:r>
        <w:rPr>
          <w:rFonts w:ascii="Times New Roman" w:eastAsia="Times New Roman" w:hAnsi="Times New Roman" w:cs="Times New Roman"/>
          <w:sz w:val="24"/>
          <w:szCs w:val="24"/>
          <w:lang w:eastAsia="pl-PL"/>
        </w:rPr>
        <w:tab/>
      </w:r>
      <w:r w:rsidRPr="002D46FB">
        <w:rPr>
          <w:rFonts w:ascii="Times New Roman" w:eastAsia="Times New Roman" w:hAnsi="Times New Roman" w:cs="Times New Roman"/>
          <w:sz w:val="24"/>
          <w:szCs w:val="24"/>
          <w:lang w:eastAsia="pl-PL"/>
        </w:rPr>
        <w:t>osób, pojazdami skonstruowanymi lub trwale przystosowanymi i przeznaczonymi</w:t>
      </w:r>
      <w:r>
        <w:rPr>
          <w:rFonts w:ascii="Times New Roman" w:eastAsia="Times New Roman" w:hAnsi="Times New Roman" w:cs="Times New Roman"/>
          <w:sz w:val="24"/>
          <w:szCs w:val="24"/>
          <w:lang w:eastAsia="pl-PL"/>
        </w:rPr>
        <w:t xml:space="preserve"> </w:t>
      </w:r>
      <w:r w:rsidRPr="002D46FB">
        <w:rPr>
          <w:rFonts w:ascii="Times New Roman" w:eastAsia="Times New Roman" w:hAnsi="Times New Roman" w:cs="Times New Roman"/>
          <w:sz w:val="24"/>
          <w:szCs w:val="24"/>
          <w:lang w:eastAsia="pl-PL"/>
        </w:rPr>
        <w:t>do przewozu nie więcej niż dziewięciu osób łącznie z kierowcą,</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b)</w:t>
      </w:r>
      <w:r>
        <w:rPr>
          <w:rFonts w:ascii="Times New Roman" w:eastAsia="Times New Roman" w:hAnsi="Times New Roman" w:cs="Times New Roman"/>
          <w:sz w:val="24"/>
          <w:szCs w:val="24"/>
          <w:lang w:eastAsia="pl-PL"/>
        </w:rPr>
        <w:tab/>
      </w:r>
      <w:r w:rsidRPr="002D46FB">
        <w:rPr>
          <w:rFonts w:ascii="Times New Roman" w:eastAsia="Times New Roman" w:hAnsi="Times New Roman" w:cs="Times New Roman"/>
          <w:sz w:val="24"/>
          <w:szCs w:val="24"/>
          <w:lang w:eastAsia="pl-PL"/>
        </w:rPr>
        <w:t>prowadzących pojazdy wymienione w art. 29 ustawy, w art. 3 rozporządzenia</w:t>
      </w:r>
      <w:r>
        <w:rPr>
          <w:rFonts w:ascii="Times New Roman" w:eastAsia="Times New Roman" w:hAnsi="Times New Roman" w:cs="Times New Roman"/>
          <w:sz w:val="24"/>
          <w:szCs w:val="24"/>
          <w:lang w:eastAsia="pl-PL"/>
        </w:rPr>
        <w:t xml:space="preserve"> </w:t>
      </w:r>
      <w:r w:rsidRPr="002D46FB">
        <w:rPr>
          <w:rFonts w:ascii="Times New Roman" w:eastAsia="Times New Roman" w:hAnsi="Times New Roman" w:cs="Times New Roman"/>
          <w:sz w:val="24"/>
          <w:szCs w:val="24"/>
          <w:lang w:eastAsia="pl-PL"/>
        </w:rPr>
        <w:t>(WE) nr 561/2006 oraz w art. 2 ust. 2 Umowy AETR.</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Doprecyzowanie przepisów w powyższym zakresie nastąpi przez zmianę art. 22 </w:t>
      </w:r>
      <w:r w:rsidRPr="002D46FB">
        <w:rPr>
          <w:rFonts w:ascii="Times New Roman" w:eastAsia="Times New Roman" w:hAnsi="Times New Roman" w:cs="Times New Roman"/>
          <w:i/>
          <w:sz w:val="24"/>
          <w:szCs w:val="24"/>
          <w:lang w:eastAsia="pl-PL"/>
        </w:rPr>
        <w:t>ustawy z dnia 16 kwietnia 2004 r. o czasie pracy kierowców</w:t>
      </w:r>
      <w:r w:rsidRPr="002D46FB">
        <w:rPr>
          <w:rFonts w:ascii="Times New Roman" w:eastAsia="Times New Roman" w:hAnsi="Times New Roman" w:cs="Times New Roman"/>
          <w:sz w:val="24"/>
          <w:szCs w:val="24"/>
          <w:lang w:eastAsia="pl-PL"/>
        </w:rPr>
        <w:t>.</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E7276">
        <w:rPr>
          <w:rFonts w:ascii="Times New Roman" w:eastAsia="Times New Roman" w:hAnsi="Times New Roman" w:cs="Times New Roman"/>
          <w:sz w:val="24"/>
          <w:szCs w:val="24"/>
          <w:lang w:eastAsia="pl-PL"/>
        </w:rPr>
        <w:t xml:space="preserve">Mając na względzie bezpośrednie powiązanie powyżej opisanych rozwiązań z wdrożeniem przepisów dotyczących delegowania kierowców w transporcie drogowym, wchodzących </w:t>
      </w:r>
      <w:r w:rsidR="007A6ED9" w:rsidRPr="00DE7276">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DE7276">
        <w:rPr>
          <w:rFonts w:ascii="Times New Roman" w:eastAsia="Times New Roman" w:hAnsi="Times New Roman" w:cs="Times New Roman"/>
          <w:sz w:val="24"/>
          <w:szCs w:val="24"/>
          <w:lang w:eastAsia="pl-PL"/>
        </w:rPr>
        <w:t>skład Pakietu Mobilności I,</w:t>
      </w:r>
      <w:r w:rsidRPr="002D46FB">
        <w:rPr>
          <w:rFonts w:ascii="Times New Roman" w:eastAsia="Times New Roman" w:hAnsi="Times New Roman" w:cs="Times New Roman"/>
          <w:sz w:val="24"/>
          <w:szCs w:val="24"/>
          <w:lang w:eastAsia="pl-PL"/>
        </w:rPr>
        <w:t xml:space="preserve"> zasadne jest dalsze procedowanie tych zmian w jednym projekcie ustawy. Istnieje bowiem uzasadniona potrzeba pilnego uproszczenia systemu naliczania podstawy wymiaru składek ZUS oraz podatku PIT dla kierowców w transporcie międzynarodowym. Wprowadzone zmiany pozwolą utrzymać wpływy z działalności polskich przewoźników drogowych do budżetu państwa oraz do funduszy, na rzecz których przedsiębiorcy transportowi uiszczają stosowne daniny.</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Z uwagi na powyższe proponuje się włączenie projektowanych rozwiązań do projektu ustawy o delegowaniu kierowców w transporcie drogowym. Uzasadnione jest to bowiem potrzebą </w:t>
      </w:r>
      <w:r w:rsidRPr="002D46FB">
        <w:rPr>
          <w:rFonts w:ascii="Times New Roman" w:eastAsia="Times New Roman" w:hAnsi="Times New Roman" w:cs="Times New Roman"/>
          <w:sz w:val="24"/>
          <w:szCs w:val="24"/>
          <w:lang w:eastAsia="pl-PL"/>
        </w:rPr>
        <w:lastRenderedPageBreak/>
        <w:t>pilnego procedowania zmian mających na celu zapewnienie przewoźnikom większej przewidywalności ponoszonych kosztów pracy, zapewnienie równego traktowania i braku dyskryminacji wszystkich kierowców, a także walkę z pojawiająca się tzw. „szarą strefą” związaną z wypłacaniem kierowcom wynagrodzenia „pod stołem”, które to zjawisko zgodnie z sygnałami płynącymi do Ministerstwa Infrastruktury, nasiliło się po 2 lutego br. oraz wiąże się z brakiem zrozumienia i stosowania przez przewoźników zmienionych zasad wynagradzania kierowców. Wobec powyższego niezbędna jest pilna reakcja Rządu RP, dlatego też proponujemy, aby nowe zasady weszły w życie niezwłocznie.</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Szczególnie istotne jest bowiem podjęcie wszelkich działań, które wspierałyby branżę transportu drogowego w obecnie trudnej i niepewnej sytuacji międzynarodowej oraz przyjmowanie rozwiązań, które pozytywnie wpływałyby na utrzymanie konkurencyjności polskich przewoźników drogowych na rynku europejskim.</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Projektowane rozwiązania mające na celu zapewnienie polskim przewoźnikom większej przewidywalności ponoszonych kosztów pracy przy zmniejszeniu nakładów związanych </w:t>
      </w:r>
      <w:r w:rsidR="007A6ED9" w:rsidRPr="002D46FB">
        <w:rPr>
          <w:rFonts w:ascii="Times New Roman" w:eastAsia="Times New Roman" w:hAnsi="Times New Roman" w:cs="Times New Roman"/>
          <w:sz w:val="24"/>
          <w:szCs w:val="24"/>
          <w:lang w:eastAsia="pl-PL"/>
        </w:rPr>
        <w:t>z</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obsługą administracyjną, a zarazem kierowcom bardziej przejrzystych zasad ich wynagradzania, pozytywnie wpłyną na rynek przewozów drogowych. Takie działania, mające na celu uproszczenie i usprawnienie ww. czynności administracyjnych, są rozwiązaniami niezwykle pożądanymi i oczekiwanymi przez środowisko kierowców i przewoźników drogowych.</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Proponowane ujednolicenie systemu naliczania podstawy wymiaru składki na ubezpieczenie społeczne (ubezpieczenie emerytalne, rentowe, chorobowe i wypadkowe) oraz wysokości zaliczki na podatek dochodowy kierowców, przez zastosowanie jednolitej stawki diety zagranicznej (tzw. „wirtualnej diety”), niewątpliwie pozytywnie wpłynie na wysokość netto wynagrodzenia wypłacanego kierowcom oraz umożliwi samodzielne wyliczenie przez pracowników tych należności. Takie rozwiązanie przyczynia się do większej pewności </w:t>
      </w:r>
      <w:r w:rsidR="007A6ED9" w:rsidRPr="002D46FB">
        <w:rPr>
          <w:rFonts w:ascii="Times New Roman" w:eastAsia="Times New Roman" w:hAnsi="Times New Roman" w:cs="Times New Roman"/>
          <w:sz w:val="24"/>
          <w:szCs w:val="24"/>
          <w:lang w:eastAsia="pl-PL"/>
        </w:rPr>
        <w:t>i</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określoności prawa.</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„Określoność prawa stanowi także element zasady ochrony zaufania obywatela do państwa </w:t>
      </w:r>
      <w:r w:rsidR="007A6ED9" w:rsidRPr="002D46FB">
        <w:rPr>
          <w:rFonts w:ascii="Times New Roman" w:eastAsia="Times New Roman" w:hAnsi="Times New Roman" w:cs="Times New Roman"/>
          <w:sz w:val="24"/>
          <w:szCs w:val="24"/>
          <w:lang w:eastAsia="pl-PL"/>
        </w:rPr>
        <w:t>i</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tworzonego przez nie prawa (...). Jest ona również funkcjonalnie powiązana z zasadami pewności prawa i bezpieczeństwa prawnego” (wyrok TK z 18 marca 2010 r. w sprawie K 8/08). Z kolei „[z] zasady ochrony zaufania jednostki do państwa i stanowionego przez nie prawa wynikają dyrektywy dotyczące stanowienia prawa, które łącznie w orzecznictwie Trybunału Konstytucyjnego nazwane są zasadami poprawnej legislacji. Należą do nich – między innymi </w:t>
      </w:r>
      <w:r w:rsidRPr="002D46FB">
        <w:rPr>
          <w:rFonts w:ascii="Times New Roman" w:eastAsia="Times New Roman" w:hAnsi="Times New Roman" w:cs="Times New Roman"/>
          <w:sz w:val="24"/>
          <w:szCs w:val="24"/>
          <w:lang w:eastAsia="pl-PL"/>
        </w:rPr>
        <w:lastRenderedPageBreak/>
        <w:t xml:space="preserve">– zasada niedziałania prawa wstecz, zasada ochrony praw słusznie nabytych, zasada </w:t>
      </w:r>
      <w:r w:rsidRPr="002D46FB">
        <w:rPr>
          <w:rFonts w:ascii="Times New Roman" w:eastAsia="Times New Roman" w:hAnsi="Times New Roman" w:cs="Times New Roman"/>
          <w:i/>
          <w:sz w:val="24"/>
          <w:szCs w:val="24"/>
          <w:lang w:eastAsia="pl-PL"/>
        </w:rPr>
        <w:t xml:space="preserve">pacta </w:t>
      </w:r>
      <w:proofErr w:type="spellStart"/>
      <w:r w:rsidRPr="002D46FB">
        <w:rPr>
          <w:rFonts w:ascii="Times New Roman" w:eastAsia="Times New Roman" w:hAnsi="Times New Roman" w:cs="Times New Roman"/>
          <w:i/>
          <w:sz w:val="24"/>
          <w:szCs w:val="24"/>
          <w:lang w:eastAsia="pl-PL"/>
        </w:rPr>
        <w:t>sunt</w:t>
      </w:r>
      <w:proofErr w:type="spellEnd"/>
      <w:r w:rsidRPr="002D46FB">
        <w:rPr>
          <w:rFonts w:ascii="Times New Roman" w:eastAsia="Times New Roman" w:hAnsi="Times New Roman" w:cs="Times New Roman"/>
          <w:i/>
          <w:sz w:val="24"/>
          <w:szCs w:val="24"/>
          <w:lang w:eastAsia="pl-PL"/>
        </w:rPr>
        <w:t xml:space="preserve"> </w:t>
      </w:r>
      <w:proofErr w:type="spellStart"/>
      <w:r w:rsidRPr="002D46FB">
        <w:rPr>
          <w:rFonts w:ascii="Times New Roman" w:eastAsia="Times New Roman" w:hAnsi="Times New Roman" w:cs="Times New Roman"/>
          <w:i/>
          <w:sz w:val="24"/>
          <w:szCs w:val="24"/>
          <w:lang w:eastAsia="pl-PL"/>
        </w:rPr>
        <w:t>servanda</w:t>
      </w:r>
      <w:proofErr w:type="spellEnd"/>
      <w:r w:rsidRPr="002D46FB">
        <w:rPr>
          <w:rFonts w:ascii="Times New Roman" w:eastAsia="Times New Roman" w:hAnsi="Times New Roman" w:cs="Times New Roman"/>
          <w:sz w:val="24"/>
          <w:szCs w:val="24"/>
          <w:lang w:eastAsia="pl-PL"/>
        </w:rPr>
        <w:t xml:space="preserve">, zasada poszanowania interesów w toku, zasada stosowania odpowiedniej </w:t>
      </w:r>
      <w:r w:rsidRPr="002D46FB">
        <w:rPr>
          <w:rFonts w:ascii="Times New Roman" w:eastAsia="Times New Roman" w:hAnsi="Times New Roman" w:cs="Times New Roman"/>
          <w:i/>
          <w:sz w:val="24"/>
          <w:szCs w:val="24"/>
          <w:lang w:eastAsia="pl-PL"/>
        </w:rPr>
        <w:t>vacatio legis</w:t>
      </w:r>
      <w:r w:rsidRPr="002D46FB">
        <w:rPr>
          <w:rFonts w:ascii="Times New Roman" w:eastAsia="Times New Roman" w:hAnsi="Times New Roman" w:cs="Times New Roman"/>
          <w:sz w:val="24"/>
          <w:szCs w:val="24"/>
          <w:lang w:eastAsia="pl-PL"/>
        </w:rPr>
        <w:t xml:space="preserve">, zakaz zmiany prawa podatkowego w trakcie trwania roku podatkowego, zasada określoności przepisów prawa” (wyrok TK z 10 stycznia 2012 r. w sprawie P 19/10). Przejawem realizacji zasady określoności przepisów prawa jest formułowanie przepisów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sposób logiczny i precyzyjny oraz poprawny pod względem językowym, tak aby intencja ustawodawcy co do kręgu podmiotów i okoliczności zastosowania danej normy prawnej nie budziła u jej adresatów wątpliwości.</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Dodatkowo, zgodnie z utrwalonym orzecznictwem Trybunału, wywodzona z art. 2 ustawy zasadniczej zasada poprawnej (rzetelnej) legislacji nakazuje prawodawcy m.in. by teksty aktów normatywnych formułował w sposób językowo poprawny, a nadto precyzyjny </w:t>
      </w:r>
      <w:r w:rsidR="007A6ED9" w:rsidRPr="002D46FB">
        <w:rPr>
          <w:rFonts w:ascii="Times New Roman" w:eastAsia="Times New Roman" w:hAnsi="Times New Roman" w:cs="Times New Roman"/>
          <w:sz w:val="24"/>
          <w:szCs w:val="24"/>
          <w:lang w:eastAsia="pl-PL"/>
        </w:rPr>
        <w:t>i</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komunikatywny (jasny), a zatem, by były one zrozumiałe dla ich adresatów i innych podmiotów zainteresowanych oraz by na ich podstawie można było bez wątpliwości ustalić, jakie i komu wyznaczają obowiązki oraz przyznają prawa (zob. zamiast wielu wyrok TK z 21 marca 2001 r. w sprawie K 24/00). W orzecznictwie Trybunału podkreśla się przy tym, że nie każde uchybienie wymaganiu precyzji i komunikatywności aktu normatywnego uzasadnia uznanie go za niekonstytucyjny. Dopiero przekroczenie pewnego poziomu niejasności przepisów prawnych stanowić może samoistną przesłankę stwierdzenia ich niezgodności z art. 2 Konstytucji (zob. np. wyroki z: 13 września 2011 r. w sprawie P 33/09; 29 października </w:t>
      </w:r>
      <w:r w:rsidR="00380A04" w:rsidRPr="002D46FB">
        <w:rPr>
          <w:rFonts w:ascii="Times New Roman" w:eastAsia="Times New Roman" w:hAnsi="Times New Roman" w:cs="Times New Roman"/>
          <w:sz w:val="24"/>
          <w:szCs w:val="24"/>
          <w:lang w:eastAsia="pl-PL"/>
        </w:rPr>
        <w:t>2003</w:t>
      </w:r>
      <w:r w:rsidR="00380A04">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r. w sprawie K 53/02).</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Ponadto proponuje się zmianę </w:t>
      </w:r>
      <w:bookmarkStart w:id="7" w:name="_Hlk130482965"/>
      <w:r w:rsidRPr="002D46FB">
        <w:rPr>
          <w:rFonts w:ascii="Times New Roman" w:eastAsia="Times New Roman" w:hAnsi="Times New Roman" w:cs="Times New Roman"/>
          <w:i/>
          <w:sz w:val="24"/>
          <w:szCs w:val="24"/>
          <w:lang w:eastAsia="pl-PL"/>
        </w:rPr>
        <w:t>ustawy z dnia 5 lipca 2018 r. o tachografach</w:t>
      </w:r>
      <w:r w:rsidRPr="002D46FB">
        <w:rPr>
          <w:rFonts w:ascii="Times New Roman" w:eastAsia="Times New Roman" w:hAnsi="Times New Roman" w:cs="Times New Roman"/>
          <w:sz w:val="24"/>
          <w:szCs w:val="24"/>
          <w:lang w:eastAsia="pl-PL"/>
        </w:rPr>
        <w:t xml:space="preserve"> </w:t>
      </w:r>
      <w:bookmarkEnd w:id="7"/>
      <w:r w:rsidRPr="002D46FB">
        <w:rPr>
          <w:rFonts w:ascii="Times New Roman" w:eastAsia="Times New Roman" w:hAnsi="Times New Roman" w:cs="Times New Roman"/>
          <w:sz w:val="24"/>
          <w:szCs w:val="24"/>
          <w:lang w:eastAsia="pl-PL"/>
        </w:rPr>
        <w:t>(Dz. U. z 2023 r. poz. 324) przez wskazanie, że dane i informacje zgromadzone w ewidencji prowadzonej przez Prezesa Głównego Urzędu Miar (Dalej: „GUM”) udostępnia się bez potrzeby skład</w:t>
      </w:r>
      <w:r w:rsidR="000073CB">
        <w:rPr>
          <w:rFonts w:ascii="Times New Roman" w:eastAsia="Times New Roman" w:hAnsi="Times New Roman" w:cs="Times New Roman"/>
          <w:sz w:val="24"/>
          <w:szCs w:val="24"/>
          <w:lang w:eastAsia="pl-PL"/>
        </w:rPr>
        <w:t>a</w:t>
      </w:r>
      <w:r w:rsidRPr="002D46FB">
        <w:rPr>
          <w:rFonts w:ascii="Times New Roman" w:eastAsia="Times New Roman" w:hAnsi="Times New Roman" w:cs="Times New Roman"/>
          <w:sz w:val="24"/>
          <w:szCs w:val="24"/>
          <w:lang w:eastAsia="pl-PL"/>
        </w:rPr>
        <w:t>nia odrębnego wniosku:</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1)</w:t>
      </w:r>
      <w:r w:rsidRPr="002D46FB">
        <w:rPr>
          <w:rFonts w:ascii="Times New Roman" w:eastAsia="Times New Roman" w:hAnsi="Times New Roman" w:cs="Times New Roman"/>
          <w:sz w:val="24"/>
          <w:szCs w:val="24"/>
          <w:lang w:eastAsia="pl-PL"/>
        </w:rPr>
        <w:tab/>
        <w:t xml:space="preserve">podmiotom uprawnionym do kontroli na podstawie art. 89 ust. 1 pkt 1–4 i 6 ustawy </w:t>
      </w:r>
      <w:r w:rsidR="007A6ED9" w:rsidRPr="002D46FB">
        <w:rPr>
          <w:rFonts w:ascii="Times New Roman" w:eastAsia="Times New Roman" w:hAnsi="Times New Roman" w:cs="Times New Roman"/>
          <w:sz w:val="24"/>
          <w:szCs w:val="24"/>
          <w:lang w:eastAsia="pl-PL"/>
        </w:rPr>
        <w:t>o</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transporcie drogowym;</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2)</w:t>
      </w:r>
      <w:r w:rsidRPr="002D46FB">
        <w:rPr>
          <w:rFonts w:ascii="Times New Roman" w:eastAsia="Times New Roman" w:hAnsi="Times New Roman" w:cs="Times New Roman"/>
          <w:sz w:val="24"/>
          <w:szCs w:val="24"/>
          <w:lang w:eastAsia="pl-PL"/>
        </w:rPr>
        <w:tab/>
        <w:t>podmiotowi wydającemu karty;</w:t>
      </w:r>
    </w:p>
    <w:p w:rsidR="002D46FB" w:rsidRPr="002D46FB" w:rsidRDefault="002D46FB" w:rsidP="00CF127C">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3)</w:t>
      </w:r>
      <w:r w:rsidRPr="002D46FB">
        <w:rPr>
          <w:rFonts w:ascii="Times New Roman" w:eastAsia="Times New Roman" w:hAnsi="Times New Roman" w:cs="Times New Roman"/>
          <w:sz w:val="24"/>
          <w:szCs w:val="24"/>
          <w:lang w:eastAsia="pl-PL"/>
        </w:rPr>
        <w:tab/>
        <w:t>organom administracji miar.</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W myśl przepisów obowiązującej ustawy o tachografach, kompetencje Prezesa GUM są elementem systemu nadzoru nad krajowym i europejskim systemem bezpieczeństwa tachografów. Do systemu należą również Inspektoraty Transportu Drogowego, Policja, </w:t>
      </w:r>
      <w:r w:rsidRPr="002D46FB">
        <w:rPr>
          <w:rFonts w:ascii="Times New Roman" w:eastAsia="Times New Roman" w:hAnsi="Times New Roman" w:cs="Times New Roman"/>
          <w:sz w:val="24"/>
          <w:szCs w:val="24"/>
          <w:lang w:eastAsia="pl-PL"/>
        </w:rPr>
        <w:lastRenderedPageBreak/>
        <w:t>Państwowa Inspekcja Pracy oraz Polska Wytwórnia Papierów Wartościowych S.A. (PWPW S.A.) – jako krajowy wydawca kart do tachografów.</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Dotychczasowa współpraca między GUM i PWPW S.A. polega na wymianie informacji dotyczących techników warsztatu. Do PWPW S.A. wpływają wnioski warsztatów o wydanie kart dla zatrudnionych techników. PWPW S.A. weryfikuje dane podane we wnioskach </w:t>
      </w:r>
      <w:r w:rsidR="007A6ED9" w:rsidRPr="002D46FB">
        <w:rPr>
          <w:rFonts w:ascii="Times New Roman" w:eastAsia="Times New Roman" w:hAnsi="Times New Roman" w:cs="Times New Roman"/>
          <w:sz w:val="24"/>
          <w:szCs w:val="24"/>
          <w:lang w:eastAsia="pl-PL"/>
        </w:rPr>
        <w:t>z</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danymi w ewidencji warsztatów prowadzonej przez GUM i w następstwie wydaje technikowi kartę warsztatową. Karta warsztatowa jest wydawana na okres jednego roku, tak więc wymiana informacji PWPW S.A. – GUM odbywa się co najmniej raz w roku dla każdego </w:t>
      </w:r>
      <w:r w:rsidR="007A6ED9" w:rsidRPr="002D46FB">
        <w:rPr>
          <w:rFonts w:ascii="Times New Roman" w:eastAsia="Times New Roman" w:hAnsi="Times New Roman" w:cs="Times New Roman"/>
          <w:sz w:val="24"/>
          <w:szCs w:val="24"/>
          <w:lang w:eastAsia="pl-PL"/>
        </w:rPr>
        <w:t>z</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zatrudnionych techników (ok. 2 tys. osób). Opisana wymiana informacji ma jednostronny charakter, tj. PWPW S.A. występuje z zapytaniem o technika i po potwierdzeniu jego uprawnień </w:t>
      </w:r>
      <w:r w:rsidR="00DE7276">
        <w:rPr>
          <w:rFonts w:ascii="Times New Roman" w:eastAsia="Times New Roman" w:hAnsi="Times New Roman" w:cs="Times New Roman"/>
          <w:sz w:val="24"/>
          <w:szCs w:val="24"/>
          <w:lang w:eastAsia="pl-PL"/>
        </w:rPr>
        <w:t>–</w:t>
      </w:r>
      <w:r w:rsidRPr="00DE7276">
        <w:rPr>
          <w:rFonts w:ascii="Times New Roman" w:eastAsia="Times New Roman" w:hAnsi="Times New Roman" w:cs="Times New Roman"/>
          <w:sz w:val="24"/>
          <w:szCs w:val="24"/>
          <w:lang w:eastAsia="pl-PL"/>
        </w:rPr>
        <w:t xml:space="preserve"> wydaje kartę. Powstający w GUM projekt TRANS-TACHO ma m.in. za zadanie umożliwić dostęp do ww. danych i szybką wymianę informacji między instytucjami nadzorującymi system tachografów w Polsce. Przedstawiona</w:t>
      </w:r>
      <w:r w:rsidRPr="002D46FB">
        <w:rPr>
          <w:rFonts w:ascii="Times New Roman" w:eastAsia="Times New Roman" w:hAnsi="Times New Roman" w:cs="Times New Roman"/>
          <w:sz w:val="24"/>
          <w:szCs w:val="24"/>
          <w:lang w:eastAsia="pl-PL"/>
        </w:rPr>
        <w:t xml:space="preserve"> powyżej droga i zakres wymiany informacji wymaga więc zmiany przez uchylenie obowiązku każdorazowego składania wniosku o dostęp do informacji zawartych w ewidencji prowadzonej przez GUM. Powyższa zmiana umożliwi zapewnienie automatycznego dostępu dla PWPW S.A. do systemu </w:t>
      </w:r>
      <w:r w:rsidR="00380A04">
        <w:rPr>
          <w:rFonts w:ascii="Times New Roman" w:eastAsia="Times New Roman" w:hAnsi="Times New Roman" w:cs="Times New Roman"/>
          <w:sz w:val="24"/>
          <w:szCs w:val="24"/>
          <w:lang w:eastAsia="pl-PL"/>
        </w:rPr>
        <w:br/>
      </w:r>
      <w:r w:rsidRPr="002D46FB">
        <w:rPr>
          <w:rFonts w:ascii="Times New Roman" w:eastAsia="Times New Roman" w:hAnsi="Times New Roman" w:cs="Times New Roman"/>
          <w:sz w:val="24"/>
          <w:szCs w:val="24"/>
          <w:lang w:eastAsia="pl-PL"/>
        </w:rPr>
        <w:t xml:space="preserve">TRANS-TACHO, co ma szczególne znaczenia przy wydawaniu i wymianie kart warsztatowych. </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 xml:space="preserve">Zmiana w art. 44 w ust. 3 </w:t>
      </w:r>
      <w:r w:rsidRPr="002D46FB">
        <w:rPr>
          <w:rFonts w:ascii="Times New Roman" w:eastAsia="Times New Roman" w:hAnsi="Times New Roman" w:cs="Times New Roman"/>
          <w:i/>
          <w:sz w:val="24"/>
          <w:szCs w:val="24"/>
          <w:lang w:eastAsia="pl-PL"/>
        </w:rPr>
        <w:t>ustawy z dnia 5 lipca 2018 r. o tachografach</w:t>
      </w:r>
      <w:r w:rsidRPr="002D46FB">
        <w:rPr>
          <w:rFonts w:ascii="Times New Roman" w:eastAsia="Times New Roman" w:hAnsi="Times New Roman" w:cs="Times New Roman"/>
          <w:sz w:val="24"/>
          <w:szCs w:val="24"/>
          <w:lang w:eastAsia="pl-PL"/>
        </w:rPr>
        <w:t xml:space="preserve"> odnosi się do załączników do wniosku o wydanie czasowej i nieodnawialnej karty kierowcy, który to przepis należy interpretować łącznie z art. 26 ust. 4 rozporządzenia (UE) nr 165/2014. Przepisy rozporządzenia (UE) nr 165/2014 jednoznacznie wskazują, że wymaganie dotyczące przedstawienia świadectwa kierowcy, o którym mowa w rozporządzeniu (WE) nr 1072/2009, dotyczy tylko sytuacji, w której ma zastosowanie ww. regulacja unijna.</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t>Świadectwo kierowcy jest wydawane przez państwo członkowskie każdemu przewoźnikowi, który jest posiadaczem licencji wspólnotowej, wykonuje zatem międzynarodowe przewozy drogowe oraz legalnie zatrudnia lub w sposób legalny korzysta z usług kierowcy, który nie jest obywatelem państwa członkowskiego ani rezydentem długoterminowym w rozumieniu dyrektywy 2003/109/WE z dnia 25 listopada 2003 r. dotyczącej statusu obywateli państw trzecich będących rezydentami długoterminowymi. Świadectwo kierowcy nie jest zatem wydawane przewoźnikom drogowym zatrudniającym kierowców w krajowych przewozach rzeczy.</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2D46FB">
        <w:rPr>
          <w:rFonts w:ascii="Times New Roman" w:eastAsia="Times New Roman" w:hAnsi="Times New Roman" w:cs="Times New Roman"/>
          <w:sz w:val="24"/>
          <w:szCs w:val="24"/>
          <w:lang w:eastAsia="pl-PL"/>
        </w:rPr>
        <w:lastRenderedPageBreak/>
        <w:t xml:space="preserve">Celem przepisów </w:t>
      </w:r>
      <w:r w:rsidRPr="002D46FB">
        <w:rPr>
          <w:rFonts w:ascii="Times New Roman" w:eastAsia="Times New Roman" w:hAnsi="Times New Roman" w:cs="Times New Roman"/>
          <w:i/>
          <w:sz w:val="24"/>
          <w:szCs w:val="24"/>
          <w:lang w:eastAsia="pl-PL"/>
        </w:rPr>
        <w:t>ustawy z dnia 5 lipca 2018 r. o tachografach</w:t>
      </w:r>
      <w:r w:rsidRPr="002D46FB">
        <w:rPr>
          <w:rFonts w:ascii="Times New Roman" w:eastAsia="Times New Roman" w:hAnsi="Times New Roman" w:cs="Times New Roman"/>
          <w:sz w:val="24"/>
          <w:szCs w:val="24"/>
          <w:lang w:eastAsia="pl-PL"/>
        </w:rPr>
        <w:t xml:space="preserve"> dotyczących wydawania kart do tachografów cyfrowych nie było ograniczanie dostępu do wykonywania krajowych przewozów drogowych kierowcom nieposiadającym normalnego miejsca zamieszkania na terytorium Polski. Kwestia umożliwienia niezakłóconej pracy kierowców, zarówno </w:t>
      </w:r>
      <w:r w:rsidR="007A6ED9" w:rsidRPr="002D46FB">
        <w:rPr>
          <w:rFonts w:ascii="Times New Roman" w:eastAsia="Times New Roman" w:hAnsi="Times New Roman" w:cs="Times New Roman"/>
          <w:sz w:val="24"/>
          <w:szCs w:val="24"/>
          <w:lang w:eastAsia="pl-PL"/>
        </w:rPr>
        <w:t>w</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transporcie krajowym, jak i międzynarodowym, jest niezmiernie istotna. Ma to szczególne znaczenie w związku z odczuwalnym brakiem kierowców w sektorze transportu drogowego, co zmusza polskie przedsiębiorstwa przewozowe do sięgania po kierowców z innych państw. Podejmowanych jest szereg działań mających na celu przeciwdziałanie deficytowi kierowców, poprawę dostępu do zawodu kierowcy oraz umożliwienie kontynuowania działalności transportowej polskim przewoźnikom drogowym zatrudniającym kierowców z państw trzecich. Z uwagi na powyższe, działając zgodnie z rozporządzeniem (UE) nr 165/2014, świadectwo kierowcy powinno być dołączone do wniosku o wydanie czasowej </w:t>
      </w:r>
      <w:r w:rsidR="007A6ED9" w:rsidRPr="002D46FB">
        <w:rPr>
          <w:rFonts w:ascii="Times New Roman" w:eastAsia="Times New Roman" w:hAnsi="Times New Roman" w:cs="Times New Roman"/>
          <w:sz w:val="24"/>
          <w:szCs w:val="24"/>
          <w:lang w:eastAsia="pl-PL"/>
        </w:rPr>
        <w:t>i</w:t>
      </w:r>
      <w:r w:rsidR="007A6ED9">
        <w:rPr>
          <w:rFonts w:ascii="Times New Roman" w:eastAsia="Times New Roman" w:hAnsi="Times New Roman" w:cs="Times New Roman"/>
          <w:sz w:val="24"/>
          <w:szCs w:val="24"/>
          <w:lang w:eastAsia="pl-PL"/>
        </w:rPr>
        <w:t> </w:t>
      </w:r>
      <w:r w:rsidRPr="002D46FB">
        <w:rPr>
          <w:rFonts w:ascii="Times New Roman" w:eastAsia="Times New Roman" w:hAnsi="Times New Roman" w:cs="Times New Roman"/>
          <w:sz w:val="24"/>
          <w:szCs w:val="24"/>
          <w:lang w:eastAsia="pl-PL"/>
        </w:rPr>
        <w:t xml:space="preserve">nieodnawialnej karty kierowcy tylko w przypadkach, w których ma zastosowanie rozporządzenie (WE) nr 1072/2009, czyli w przypadku wykonywania międzynarodowych przewozów drogowych rzeczy, dlatego też proponuje się zmianę w przedmiotowym zakresie art. 44 w ust. 3 </w:t>
      </w:r>
      <w:r w:rsidRPr="002D46FB">
        <w:rPr>
          <w:rFonts w:ascii="Times New Roman" w:eastAsia="Times New Roman" w:hAnsi="Times New Roman" w:cs="Times New Roman"/>
          <w:i/>
          <w:sz w:val="24"/>
          <w:szCs w:val="24"/>
          <w:lang w:eastAsia="pl-PL"/>
        </w:rPr>
        <w:t>ustawy z dnia 5 lipca 2018 r. o tachografach</w:t>
      </w:r>
      <w:r w:rsidRPr="002D46FB">
        <w:rPr>
          <w:rFonts w:ascii="Times New Roman" w:eastAsia="Times New Roman" w:hAnsi="Times New Roman" w:cs="Times New Roman"/>
          <w:sz w:val="24"/>
          <w:szCs w:val="24"/>
          <w:lang w:eastAsia="pl-PL"/>
        </w:rPr>
        <w:t>, przez w tym ustępie dodanie nowego pkt 1a dotyczącego wydawania czasowej i nieodnawialnej karty kierowcy.</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Termin wejścia w życie projektowanej ustawy został określony po upływie 14 dni od dnia ogłoszenia. </w:t>
      </w:r>
    </w:p>
    <w:p w:rsidR="002D46FB" w:rsidRPr="002D46FB" w:rsidRDefault="002D46FB" w:rsidP="00CF127C">
      <w:pPr>
        <w:tabs>
          <w:tab w:val="left" w:pos="426"/>
        </w:tabs>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lang w:eastAsia="pl-PL"/>
        </w:rPr>
      </w:pPr>
      <w:r w:rsidRPr="002D46FB">
        <w:rPr>
          <w:rFonts w:ascii="Times New Roman" w:eastAsia="Times New Roman" w:hAnsi="Times New Roman" w:cs="Times New Roman"/>
          <w:b/>
          <w:bCs/>
          <w:sz w:val="24"/>
          <w:szCs w:val="24"/>
          <w:lang w:eastAsia="pl-PL"/>
        </w:rPr>
        <w:t>III.</w:t>
      </w:r>
      <w:r>
        <w:rPr>
          <w:rFonts w:ascii="Times New Roman" w:eastAsia="Times New Roman" w:hAnsi="Times New Roman" w:cs="Times New Roman"/>
          <w:b/>
          <w:bCs/>
          <w:sz w:val="24"/>
          <w:szCs w:val="24"/>
          <w:lang w:eastAsia="pl-PL"/>
        </w:rPr>
        <w:tab/>
      </w:r>
      <w:r w:rsidRPr="002D46FB">
        <w:rPr>
          <w:rFonts w:ascii="Times New Roman" w:eastAsia="Times New Roman" w:hAnsi="Times New Roman" w:cs="Times New Roman"/>
          <w:b/>
          <w:bCs/>
          <w:sz w:val="24"/>
          <w:szCs w:val="24"/>
          <w:lang w:eastAsia="pl-PL"/>
        </w:rPr>
        <w:t>Pozostałe informacje</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Niniejszy projekt powstał w oparciu o wyniki prac i konsultacji prowadzonych w ramach Zespołu do spraw opracowania regulacji dotyczącej delegowania kierowców utworzonego </w:t>
      </w:r>
      <w:r w:rsidRPr="002D46FB">
        <w:rPr>
          <w:rFonts w:ascii="Times New Roman" w:eastAsia="Times New Roman" w:hAnsi="Times New Roman" w:cs="Times New Roman"/>
          <w:bCs/>
          <w:i/>
          <w:sz w:val="24"/>
          <w:szCs w:val="24"/>
          <w:lang w:eastAsia="pl-PL"/>
        </w:rPr>
        <w:t>zarządzeniem nr 75 Prezesa Rady Ministrów z dnia 12 czerwca 2021 r. w sprawie utworzenia Zespołu do spraw opracowania regulacji dotyczącej delegowania kierowców</w:t>
      </w:r>
      <w:r w:rsidRPr="002D46FB">
        <w:rPr>
          <w:rFonts w:ascii="Times New Roman" w:eastAsia="Times New Roman" w:hAnsi="Times New Roman" w:cs="Times New Roman"/>
          <w:bCs/>
          <w:sz w:val="24"/>
          <w:szCs w:val="24"/>
          <w:lang w:eastAsia="pl-PL"/>
        </w:rPr>
        <w:t>.</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E7276">
        <w:rPr>
          <w:rFonts w:ascii="Times New Roman" w:eastAsia="Times New Roman" w:hAnsi="Times New Roman" w:cs="Times New Roman"/>
          <w:bCs/>
          <w:sz w:val="24"/>
          <w:szCs w:val="24"/>
          <w:lang w:eastAsia="pl-PL"/>
        </w:rPr>
        <w:t xml:space="preserve">Projektowana ustawa nie wymaga notyfikacji w trybie przewidzianym w </w:t>
      </w:r>
      <w:r w:rsidRPr="00DE7276">
        <w:rPr>
          <w:rFonts w:ascii="Times New Roman" w:eastAsia="Times New Roman" w:hAnsi="Times New Roman" w:cs="Times New Roman"/>
          <w:bCs/>
          <w:i/>
          <w:sz w:val="24"/>
          <w:szCs w:val="24"/>
          <w:lang w:eastAsia="pl-PL"/>
        </w:rPr>
        <w:t>rozporządzeniu Rady Ministrów z dnia 23 grudnia 2002 r. w sprawie sposobu funkcjonowania krajowego systemu notyf</w:t>
      </w:r>
      <w:r w:rsidRPr="002D46FB">
        <w:rPr>
          <w:rFonts w:ascii="Times New Roman" w:eastAsia="Times New Roman" w:hAnsi="Times New Roman" w:cs="Times New Roman"/>
          <w:bCs/>
          <w:i/>
          <w:sz w:val="24"/>
          <w:szCs w:val="24"/>
          <w:lang w:eastAsia="pl-PL"/>
        </w:rPr>
        <w:t xml:space="preserve">ikacji norm i aktów prawnych </w:t>
      </w:r>
      <w:r w:rsidRPr="002D46FB">
        <w:rPr>
          <w:rFonts w:ascii="Times New Roman" w:eastAsia="Times New Roman" w:hAnsi="Times New Roman" w:cs="Times New Roman"/>
          <w:bCs/>
          <w:sz w:val="24"/>
          <w:szCs w:val="24"/>
          <w:lang w:eastAsia="pl-PL"/>
        </w:rPr>
        <w:t>(Dz. U. poz. 2039, z późn. zm.).</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Projektowana ustawa nie wymaga przedłożenia właściwym instytucjom i organom Unii Europejskiej, w tym Europejskiemu Bankowi Centralnemu</w:t>
      </w:r>
      <w:r w:rsidR="00D1601F">
        <w:rPr>
          <w:rFonts w:ascii="Times New Roman" w:eastAsia="Times New Roman" w:hAnsi="Times New Roman" w:cs="Times New Roman"/>
          <w:bCs/>
          <w:sz w:val="24"/>
          <w:szCs w:val="24"/>
          <w:lang w:eastAsia="pl-PL"/>
        </w:rPr>
        <w:t>,</w:t>
      </w:r>
      <w:r w:rsidRPr="002D46FB">
        <w:rPr>
          <w:rFonts w:ascii="Times New Roman" w:eastAsia="Times New Roman" w:hAnsi="Times New Roman" w:cs="Times New Roman"/>
          <w:bCs/>
          <w:sz w:val="24"/>
          <w:szCs w:val="24"/>
          <w:lang w:eastAsia="pl-PL"/>
        </w:rPr>
        <w:t xml:space="preserve"> w celu uzyskania opinii, dokonania konsultacji lub uzgodnienia, o których mowa w § 39</w:t>
      </w:r>
      <w:r w:rsidRPr="002D46FB">
        <w:rPr>
          <w:rFonts w:ascii="Times New Roman" w:eastAsia="Times New Roman" w:hAnsi="Times New Roman" w:cs="Times New Roman"/>
          <w:bCs/>
          <w:i/>
          <w:sz w:val="24"/>
          <w:szCs w:val="24"/>
          <w:lang w:eastAsia="pl-PL"/>
        </w:rPr>
        <w:t xml:space="preserve"> uchwały nr 190 Rady Ministrów z dnia 29 października 2013 r. – Regulamin pracy Rady Ministrów</w:t>
      </w:r>
      <w:r w:rsidRPr="002D46FB">
        <w:rPr>
          <w:rFonts w:ascii="Times New Roman" w:eastAsia="Times New Roman" w:hAnsi="Times New Roman" w:cs="Times New Roman"/>
          <w:bCs/>
          <w:sz w:val="24"/>
          <w:szCs w:val="24"/>
          <w:lang w:eastAsia="pl-PL"/>
        </w:rPr>
        <w:t xml:space="preserve"> (M.P. z 2022 r. poz. 348).</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lastRenderedPageBreak/>
        <w:t>Zgodnie z art. 5 ustawy z dnia 7 lipca 2005 r. o działalności lobbingowej w procesie stanowienia prawa (Dz. U. z 2017 r. poz. 248) projektowana ustawa została udostępniona na stronach urzędowego informatora teleinformatycznego – Biuletynu Informacji Publicznej.</w:t>
      </w:r>
    </w:p>
    <w:p w:rsidR="002D46FB" w:rsidRPr="002D46FB" w:rsidRDefault="002D46FB" w:rsidP="00CF127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D46FB">
        <w:rPr>
          <w:rFonts w:ascii="Times New Roman" w:eastAsia="Times New Roman" w:hAnsi="Times New Roman" w:cs="Times New Roman"/>
          <w:bCs/>
          <w:sz w:val="24"/>
          <w:szCs w:val="24"/>
          <w:lang w:eastAsia="pl-PL"/>
        </w:rPr>
        <w:t xml:space="preserve">Zgodnie z § 52 </w:t>
      </w:r>
      <w:r w:rsidRPr="002D46FB">
        <w:rPr>
          <w:rFonts w:ascii="Times New Roman" w:eastAsia="Times New Roman" w:hAnsi="Times New Roman" w:cs="Times New Roman"/>
          <w:bCs/>
          <w:i/>
          <w:sz w:val="24"/>
          <w:szCs w:val="24"/>
          <w:lang w:eastAsia="pl-PL"/>
        </w:rPr>
        <w:t>uchwały nr 190 Rady Ministrów z dnia 29 października 2013 r. – Regulamin pracy Rady Ministrów</w:t>
      </w:r>
      <w:r w:rsidRPr="002D46FB">
        <w:rPr>
          <w:rFonts w:ascii="Times New Roman" w:eastAsia="Times New Roman" w:hAnsi="Times New Roman" w:cs="Times New Roman"/>
          <w:bCs/>
          <w:sz w:val="24"/>
          <w:szCs w:val="24"/>
          <w:lang w:eastAsia="pl-PL"/>
        </w:rPr>
        <w:t>, projektowana ustawa została udostępniona w Biuletynie Informacji Publicznej Rządowego Centrum Legislacji, w serwisie Rządowy Proces Legislacyjny.</w:t>
      </w:r>
    </w:p>
    <w:p w:rsidR="00E36F2B" w:rsidRPr="002D46FB" w:rsidRDefault="002D46FB" w:rsidP="00CF127C">
      <w:pPr>
        <w:suppressAutoHyphens/>
        <w:autoSpaceDE w:val="0"/>
        <w:autoSpaceDN w:val="0"/>
        <w:adjustRightInd w:val="0"/>
        <w:spacing w:before="120" w:after="0" w:line="360" w:lineRule="auto"/>
        <w:jc w:val="both"/>
        <w:rPr>
          <w:rFonts w:ascii="Times New Roman" w:hAnsi="Times New Roman" w:cs="Times New Roman"/>
          <w:sz w:val="24"/>
          <w:szCs w:val="24"/>
        </w:rPr>
      </w:pPr>
      <w:r w:rsidRPr="002D46FB">
        <w:rPr>
          <w:rFonts w:ascii="Times New Roman" w:eastAsia="Times New Roman" w:hAnsi="Times New Roman" w:cs="Times New Roman"/>
          <w:bCs/>
          <w:sz w:val="24"/>
          <w:szCs w:val="24"/>
          <w:lang w:eastAsia="pl-PL"/>
        </w:rPr>
        <w:t>Projektowana ustawa nie jest sprzeczna z przepisami prawa Unii Europejskiej.</w:t>
      </w:r>
    </w:p>
    <w:sectPr w:rsidR="00E36F2B" w:rsidRPr="002D46FB" w:rsidSect="00CF127C">
      <w:footerReference w:type="default" r:id="rId6"/>
      <w:footnotePr>
        <w:numRestart w:val="eachSect"/>
      </w:footnotePr>
      <w:pgSz w:w="11906" w:h="16838"/>
      <w:pgMar w:top="1418" w:right="1418" w:bottom="141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846" w:rsidRDefault="00810846" w:rsidP="002D46FB">
      <w:pPr>
        <w:spacing w:after="0" w:line="240" w:lineRule="auto"/>
      </w:pPr>
      <w:r>
        <w:separator/>
      </w:r>
    </w:p>
  </w:endnote>
  <w:endnote w:type="continuationSeparator" w:id="0">
    <w:p w:rsidR="00810846" w:rsidRDefault="00810846" w:rsidP="002D4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4816756"/>
      <w:docPartObj>
        <w:docPartGallery w:val="Page Numbers (Bottom of Page)"/>
        <w:docPartUnique/>
      </w:docPartObj>
    </w:sdtPr>
    <w:sdtEndPr>
      <w:rPr>
        <w:rFonts w:ascii="Times New Roman" w:hAnsi="Times New Roman" w:cs="Times New Roman"/>
        <w:sz w:val="24"/>
      </w:rPr>
    </w:sdtEndPr>
    <w:sdtContent>
      <w:p w:rsidR="002D46FB" w:rsidRPr="002D46FB" w:rsidRDefault="002D46FB" w:rsidP="002D46FB">
        <w:pPr>
          <w:pStyle w:val="Stopka"/>
          <w:jc w:val="center"/>
          <w:rPr>
            <w:rFonts w:ascii="Times New Roman" w:hAnsi="Times New Roman" w:cs="Times New Roman"/>
            <w:sz w:val="24"/>
          </w:rPr>
        </w:pPr>
        <w:r w:rsidRPr="002D46FB">
          <w:rPr>
            <w:rFonts w:ascii="Times New Roman" w:hAnsi="Times New Roman" w:cs="Times New Roman"/>
            <w:sz w:val="24"/>
          </w:rPr>
          <w:fldChar w:fldCharType="begin"/>
        </w:r>
        <w:r w:rsidRPr="002D46FB">
          <w:rPr>
            <w:rFonts w:ascii="Times New Roman" w:hAnsi="Times New Roman" w:cs="Times New Roman"/>
            <w:sz w:val="24"/>
          </w:rPr>
          <w:instrText>PAGE   \* MERGEFORMAT</w:instrText>
        </w:r>
        <w:r w:rsidRPr="002D46FB">
          <w:rPr>
            <w:rFonts w:ascii="Times New Roman" w:hAnsi="Times New Roman" w:cs="Times New Roman"/>
            <w:sz w:val="24"/>
          </w:rPr>
          <w:fldChar w:fldCharType="separate"/>
        </w:r>
        <w:r w:rsidR="00B555A7">
          <w:rPr>
            <w:rFonts w:ascii="Times New Roman" w:hAnsi="Times New Roman" w:cs="Times New Roman"/>
            <w:noProof/>
            <w:sz w:val="24"/>
          </w:rPr>
          <w:t>21</w:t>
        </w:r>
        <w:r w:rsidRPr="002D46FB">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846" w:rsidRDefault="00810846" w:rsidP="002D46FB">
      <w:pPr>
        <w:spacing w:after="0" w:line="240" w:lineRule="auto"/>
      </w:pPr>
      <w:r>
        <w:separator/>
      </w:r>
    </w:p>
  </w:footnote>
  <w:footnote w:type="continuationSeparator" w:id="0">
    <w:p w:rsidR="00810846" w:rsidRDefault="00810846" w:rsidP="002D46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6FB"/>
    <w:rsid w:val="000073CB"/>
    <w:rsid w:val="00007882"/>
    <w:rsid w:val="00022236"/>
    <w:rsid w:val="00071235"/>
    <w:rsid w:val="000C4FB1"/>
    <w:rsid w:val="001612D3"/>
    <w:rsid w:val="00171F35"/>
    <w:rsid w:val="00186605"/>
    <w:rsid w:val="002742C8"/>
    <w:rsid w:val="002832FB"/>
    <w:rsid w:val="002D46FB"/>
    <w:rsid w:val="00380A04"/>
    <w:rsid w:val="00452B4F"/>
    <w:rsid w:val="00491029"/>
    <w:rsid w:val="005153C9"/>
    <w:rsid w:val="00533CEF"/>
    <w:rsid w:val="005B6FB6"/>
    <w:rsid w:val="005E0556"/>
    <w:rsid w:val="00625DD3"/>
    <w:rsid w:val="007709AC"/>
    <w:rsid w:val="00795877"/>
    <w:rsid w:val="007A6ED9"/>
    <w:rsid w:val="007D139C"/>
    <w:rsid w:val="00810846"/>
    <w:rsid w:val="008A1840"/>
    <w:rsid w:val="00930E10"/>
    <w:rsid w:val="00936B2A"/>
    <w:rsid w:val="009375B1"/>
    <w:rsid w:val="00940431"/>
    <w:rsid w:val="00942468"/>
    <w:rsid w:val="009950E2"/>
    <w:rsid w:val="009B132E"/>
    <w:rsid w:val="009E7F01"/>
    <w:rsid w:val="009F0CA9"/>
    <w:rsid w:val="00A61B6C"/>
    <w:rsid w:val="00B368CF"/>
    <w:rsid w:val="00B435D6"/>
    <w:rsid w:val="00B555A7"/>
    <w:rsid w:val="00C30A21"/>
    <w:rsid w:val="00C64CF9"/>
    <w:rsid w:val="00C94731"/>
    <w:rsid w:val="00CC0DAD"/>
    <w:rsid w:val="00CC1129"/>
    <w:rsid w:val="00CF127C"/>
    <w:rsid w:val="00D1601F"/>
    <w:rsid w:val="00D9152E"/>
    <w:rsid w:val="00DD7E5C"/>
    <w:rsid w:val="00DE7276"/>
    <w:rsid w:val="00E36F2B"/>
    <w:rsid w:val="00E90241"/>
    <w:rsid w:val="00EA4E49"/>
    <w:rsid w:val="00F12915"/>
    <w:rsid w:val="00F2275D"/>
    <w:rsid w:val="00F27B5C"/>
    <w:rsid w:val="00F94B2A"/>
    <w:rsid w:val="00FE45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4A23E-D9BD-4181-98C8-54DCDF03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D46F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46FB"/>
  </w:style>
  <w:style w:type="paragraph" w:styleId="Tekstdymka">
    <w:name w:val="Balloon Text"/>
    <w:basedOn w:val="Normalny"/>
    <w:link w:val="TekstdymkaZnak"/>
    <w:uiPriority w:val="99"/>
    <w:semiHidden/>
    <w:unhideWhenUsed/>
    <w:rsid w:val="002D46F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46FB"/>
    <w:rPr>
      <w:rFonts w:ascii="Segoe UI" w:hAnsi="Segoe UI" w:cs="Segoe UI"/>
      <w:sz w:val="18"/>
      <w:szCs w:val="18"/>
    </w:rPr>
  </w:style>
  <w:style w:type="paragraph" w:styleId="Stopka">
    <w:name w:val="footer"/>
    <w:basedOn w:val="Normalny"/>
    <w:link w:val="StopkaZnak"/>
    <w:uiPriority w:val="99"/>
    <w:unhideWhenUsed/>
    <w:rsid w:val="002D46F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46FB"/>
  </w:style>
  <w:style w:type="paragraph" w:customStyle="1" w:styleId="LITlitera">
    <w:name w:val="LIT – litera"/>
    <w:basedOn w:val="Normalny"/>
    <w:uiPriority w:val="17"/>
    <w:qFormat/>
    <w:rsid w:val="00022236"/>
    <w:pPr>
      <w:spacing w:after="0" w:line="360" w:lineRule="auto"/>
      <w:ind w:left="986" w:hanging="476"/>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11482</Words>
  <Characters>68892</Characters>
  <Application>Microsoft Office Word</Application>
  <DocSecurity>0</DocSecurity>
  <Lines>574</Lines>
  <Paragraphs>160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80214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Trafisz Kinga</dc:creator>
  <cp:keywords/>
  <dc:description/>
  <cp:lastModifiedBy>Grażyna D. Grabowska</cp:lastModifiedBy>
  <cp:revision>2</cp:revision>
  <dcterms:created xsi:type="dcterms:W3CDTF">2023-06-09T10:02:00Z</dcterms:created>
  <dcterms:modified xsi:type="dcterms:W3CDTF">2023-06-09T10:02:00Z</dcterms:modified>
</cp:coreProperties>
</file>