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13AEC" w14:textId="26354F1D" w:rsidR="00EF7560" w:rsidRPr="001D23AD" w:rsidRDefault="00EF7560" w:rsidP="00EF7560">
      <w:pPr>
        <w:pStyle w:val="Tytu"/>
        <w:rPr>
          <w:rFonts w:ascii="Arial" w:hAnsi="Arial" w:cs="Arial"/>
          <w:lang w:val="pt-PT"/>
        </w:rPr>
      </w:pPr>
      <w:bookmarkStart w:id="0" w:name="_GoBack"/>
      <w:bookmarkEnd w:id="0"/>
      <w:r>
        <w:rPr>
          <w:rFonts w:ascii="Arial" w:hAnsi="Arial" w:cs="Arial"/>
          <w:lang w:val="pt-PT"/>
        </w:rPr>
        <w:t xml:space="preserve">R A D A   </w:t>
      </w:r>
      <w:r w:rsidRPr="001D23AD">
        <w:rPr>
          <w:rFonts w:ascii="Arial" w:hAnsi="Arial" w:cs="Arial"/>
          <w:lang w:val="pt-PT"/>
        </w:rPr>
        <w:t>M I N I S T R</w:t>
      </w:r>
      <w:r>
        <w:rPr>
          <w:rFonts w:ascii="Arial" w:hAnsi="Arial" w:cs="Arial"/>
          <w:lang w:val="pt-PT"/>
        </w:rPr>
        <w:t xml:space="preserve"> Ó W</w:t>
      </w:r>
    </w:p>
    <w:p w14:paraId="4B0E4CF2" w14:textId="77777777" w:rsidR="00EF7560" w:rsidRPr="001D23AD" w:rsidRDefault="00EF7560" w:rsidP="00EF7560">
      <w:pPr>
        <w:pStyle w:val="Tytu"/>
        <w:spacing w:before="120"/>
        <w:rPr>
          <w:rFonts w:ascii="Arial" w:hAnsi="Arial" w:cs="Arial"/>
          <w:lang w:val="pt-PT"/>
        </w:rPr>
      </w:pPr>
    </w:p>
    <w:p w14:paraId="7EAACF41" w14:textId="77777777" w:rsidR="00EF7560" w:rsidRPr="001D23AD" w:rsidRDefault="00EF7560" w:rsidP="00EF7560">
      <w:pPr>
        <w:jc w:val="center"/>
        <w:rPr>
          <w:rFonts w:ascii="Arial" w:hAnsi="Arial" w:cs="Arial"/>
          <w:sz w:val="32"/>
          <w:lang w:val="pt-PT"/>
        </w:rPr>
      </w:pPr>
    </w:p>
    <w:p w14:paraId="79DDEDAA" w14:textId="77777777" w:rsidR="00EF7560" w:rsidRPr="001D23AD" w:rsidRDefault="00EF7560" w:rsidP="00EF7560">
      <w:pPr>
        <w:jc w:val="center"/>
        <w:rPr>
          <w:rFonts w:ascii="Arial" w:hAnsi="Arial" w:cs="Arial"/>
          <w:b/>
          <w:sz w:val="32"/>
          <w:lang w:val="pt-PT"/>
        </w:rPr>
      </w:pPr>
    </w:p>
    <w:p w14:paraId="51F3991A" w14:textId="77777777" w:rsidR="00EF7560" w:rsidRPr="001D23AD" w:rsidRDefault="00EF7560" w:rsidP="00EF7560">
      <w:pPr>
        <w:spacing w:after="60" w:line="240" w:lineRule="auto"/>
        <w:jc w:val="center"/>
        <w:rPr>
          <w:rFonts w:ascii="Arial" w:hAnsi="Arial" w:cs="Arial"/>
          <w:b/>
          <w:sz w:val="28"/>
          <w:lang w:val="pt-PT"/>
        </w:rPr>
      </w:pPr>
    </w:p>
    <w:p w14:paraId="09456E83" w14:textId="77777777" w:rsidR="00EF7560" w:rsidRPr="001D23AD" w:rsidRDefault="00EF7560" w:rsidP="00EF7560">
      <w:pPr>
        <w:spacing w:after="60" w:line="240" w:lineRule="auto"/>
        <w:jc w:val="center"/>
        <w:rPr>
          <w:rFonts w:ascii="Arial" w:hAnsi="Arial" w:cs="Arial"/>
          <w:b/>
          <w:sz w:val="28"/>
          <w:lang w:val="pt-PT"/>
        </w:rPr>
      </w:pPr>
    </w:p>
    <w:p w14:paraId="47AD58ED" w14:textId="77777777" w:rsidR="00EF7560" w:rsidRPr="001D23AD" w:rsidRDefault="00EF7560" w:rsidP="00EF7560">
      <w:pPr>
        <w:spacing w:after="60" w:line="240" w:lineRule="auto"/>
        <w:jc w:val="center"/>
        <w:rPr>
          <w:rFonts w:ascii="Arial" w:hAnsi="Arial" w:cs="Arial"/>
          <w:b/>
          <w:sz w:val="28"/>
          <w:lang w:val="pt-PT"/>
        </w:rPr>
      </w:pPr>
    </w:p>
    <w:p w14:paraId="603964EC" w14:textId="77777777" w:rsidR="00EF7560" w:rsidRPr="001D23AD" w:rsidRDefault="00EF7560" w:rsidP="00EF7560">
      <w:pPr>
        <w:spacing w:after="60" w:line="240" w:lineRule="auto"/>
        <w:jc w:val="center"/>
        <w:rPr>
          <w:rFonts w:ascii="Arial" w:hAnsi="Arial" w:cs="Arial"/>
          <w:b/>
          <w:sz w:val="28"/>
          <w:lang w:val="pt-PT"/>
        </w:rPr>
      </w:pPr>
    </w:p>
    <w:p w14:paraId="14E18FFF" w14:textId="77777777" w:rsidR="00EF7560" w:rsidRPr="001D23AD" w:rsidRDefault="00EF7560" w:rsidP="00EF7560">
      <w:pPr>
        <w:spacing w:after="60" w:line="240" w:lineRule="auto"/>
        <w:jc w:val="center"/>
        <w:rPr>
          <w:rFonts w:ascii="Arial" w:hAnsi="Arial" w:cs="Arial"/>
          <w:b/>
          <w:sz w:val="28"/>
          <w:lang w:val="pt-PT"/>
        </w:rPr>
      </w:pPr>
    </w:p>
    <w:p w14:paraId="2C5DF072" w14:textId="77777777" w:rsidR="00EF7560" w:rsidRPr="001D23AD" w:rsidRDefault="00EF7560" w:rsidP="00EF7560">
      <w:pPr>
        <w:spacing w:after="60" w:line="240" w:lineRule="auto"/>
        <w:jc w:val="center"/>
        <w:rPr>
          <w:rFonts w:ascii="Arial" w:hAnsi="Arial" w:cs="Arial"/>
          <w:b/>
          <w:sz w:val="28"/>
          <w:lang w:val="pt-PT"/>
        </w:rPr>
      </w:pPr>
    </w:p>
    <w:p w14:paraId="2ADE11D8" w14:textId="77777777" w:rsidR="00EF7560" w:rsidRPr="001D23AD" w:rsidRDefault="00EF7560" w:rsidP="00EF7560">
      <w:pPr>
        <w:spacing w:after="60" w:line="240" w:lineRule="auto"/>
        <w:rPr>
          <w:rFonts w:ascii="Arial" w:hAnsi="Arial" w:cs="Arial"/>
          <w:b/>
          <w:sz w:val="28"/>
          <w:lang w:val="pt-PT"/>
        </w:rPr>
      </w:pPr>
    </w:p>
    <w:p w14:paraId="245F4970" w14:textId="77777777" w:rsidR="00EF7560" w:rsidRPr="001D23AD" w:rsidRDefault="00EF7560" w:rsidP="00EF7560">
      <w:pPr>
        <w:spacing w:after="60" w:line="240" w:lineRule="auto"/>
        <w:jc w:val="center"/>
        <w:rPr>
          <w:rFonts w:ascii="Arial" w:hAnsi="Arial" w:cs="Arial"/>
          <w:b/>
          <w:sz w:val="28"/>
          <w:lang w:val="pt-PT"/>
        </w:rPr>
      </w:pPr>
    </w:p>
    <w:p w14:paraId="7691097A" w14:textId="52478541" w:rsidR="00EF7560" w:rsidRPr="001D23AD" w:rsidRDefault="00EF7560" w:rsidP="00EF7560">
      <w:pPr>
        <w:jc w:val="center"/>
        <w:rPr>
          <w:rFonts w:ascii="Arial" w:hAnsi="Arial" w:cs="Arial"/>
          <w:b/>
          <w:bCs/>
          <w:sz w:val="44"/>
          <w:szCs w:val="44"/>
        </w:rPr>
      </w:pPr>
      <w:r w:rsidRPr="001D23AD">
        <w:rPr>
          <w:rFonts w:ascii="Arial" w:hAnsi="Arial" w:cs="Arial"/>
          <w:b/>
          <w:bCs/>
          <w:sz w:val="44"/>
          <w:szCs w:val="44"/>
        </w:rPr>
        <w:t xml:space="preserve">U </w:t>
      </w:r>
      <w:r w:rsidR="00530BC9">
        <w:rPr>
          <w:rFonts w:ascii="Arial" w:hAnsi="Arial" w:cs="Arial"/>
          <w:b/>
          <w:bCs/>
          <w:sz w:val="44"/>
          <w:szCs w:val="44"/>
        </w:rPr>
        <w:t>S T A W A   O   Z M I A N I E</w:t>
      </w:r>
    </w:p>
    <w:p w14:paraId="35258B93" w14:textId="77777777" w:rsidR="00EF7560" w:rsidRPr="001D23AD" w:rsidRDefault="00EF7560" w:rsidP="00EF7560">
      <w:pPr>
        <w:jc w:val="center"/>
        <w:rPr>
          <w:rFonts w:ascii="Arial" w:hAnsi="Arial" w:cs="Arial"/>
          <w:b/>
          <w:bCs/>
          <w:sz w:val="44"/>
          <w:szCs w:val="44"/>
        </w:rPr>
      </w:pPr>
      <w:r w:rsidRPr="001D23AD">
        <w:rPr>
          <w:rFonts w:ascii="Arial" w:hAnsi="Arial" w:cs="Arial"/>
          <w:b/>
          <w:bCs/>
          <w:sz w:val="44"/>
          <w:szCs w:val="44"/>
        </w:rPr>
        <w:t>U S T A W Y   B U D Ż E T O W E J</w:t>
      </w:r>
    </w:p>
    <w:p w14:paraId="7C6862C9" w14:textId="77777777" w:rsidR="00EF7560" w:rsidRPr="001D23AD" w:rsidRDefault="00EF7560" w:rsidP="00EF7560">
      <w:pPr>
        <w:spacing w:after="60" w:line="240" w:lineRule="auto"/>
        <w:jc w:val="center"/>
        <w:rPr>
          <w:rFonts w:ascii="Arial" w:hAnsi="Arial" w:cs="Arial"/>
          <w:b/>
          <w:sz w:val="44"/>
          <w:szCs w:val="44"/>
        </w:rPr>
      </w:pPr>
      <w:r>
        <w:rPr>
          <w:rFonts w:ascii="Arial" w:hAnsi="Arial" w:cs="Arial"/>
          <w:b/>
          <w:sz w:val="44"/>
          <w:szCs w:val="44"/>
        </w:rPr>
        <w:t>N A   R O K   2 0 2 3</w:t>
      </w:r>
    </w:p>
    <w:p w14:paraId="4BA2B7CC" w14:textId="77777777" w:rsidR="00EF7560" w:rsidRPr="001D23AD" w:rsidRDefault="00EF7560" w:rsidP="00EF7560">
      <w:pPr>
        <w:spacing w:after="60" w:line="240" w:lineRule="auto"/>
        <w:jc w:val="center"/>
        <w:rPr>
          <w:rFonts w:ascii="Arial" w:hAnsi="Arial" w:cs="Arial"/>
          <w:b/>
          <w:sz w:val="28"/>
        </w:rPr>
      </w:pPr>
    </w:p>
    <w:p w14:paraId="3C71F3D6" w14:textId="77777777" w:rsidR="00EF7560" w:rsidRPr="001D23AD" w:rsidRDefault="00EF7560" w:rsidP="00EF7560">
      <w:pPr>
        <w:spacing w:after="60" w:line="240" w:lineRule="auto"/>
        <w:jc w:val="center"/>
        <w:rPr>
          <w:rFonts w:ascii="Arial" w:hAnsi="Arial" w:cs="Arial"/>
          <w:b/>
          <w:sz w:val="28"/>
        </w:rPr>
      </w:pPr>
    </w:p>
    <w:p w14:paraId="7AA433B4" w14:textId="77777777" w:rsidR="00EF7560" w:rsidRPr="001D23AD" w:rsidRDefault="00EF7560" w:rsidP="00EF7560">
      <w:pPr>
        <w:jc w:val="center"/>
        <w:rPr>
          <w:rFonts w:ascii="Arial" w:hAnsi="Arial" w:cs="Arial"/>
          <w:sz w:val="28"/>
        </w:rPr>
      </w:pPr>
      <w:r w:rsidRPr="001D23AD">
        <w:rPr>
          <w:rFonts w:ascii="Arial" w:hAnsi="Arial" w:cs="Arial"/>
          <w:sz w:val="28"/>
        </w:rPr>
        <w:t>U Z A S A D N I E N I E</w:t>
      </w:r>
    </w:p>
    <w:p w14:paraId="08606DDD" w14:textId="77777777" w:rsidR="00EF7560" w:rsidRPr="001D23AD" w:rsidRDefault="00EF7560" w:rsidP="00EF7560">
      <w:pPr>
        <w:spacing w:after="60"/>
        <w:jc w:val="center"/>
        <w:rPr>
          <w:rFonts w:ascii="Arial" w:hAnsi="Arial" w:cs="Arial"/>
          <w:b/>
        </w:rPr>
      </w:pPr>
    </w:p>
    <w:p w14:paraId="7663794B" w14:textId="77777777" w:rsidR="00EF7560" w:rsidRPr="001D23AD" w:rsidRDefault="00EF7560" w:rsidP="00EF7560">
      <w:pPr>
        <w:jc w:val="center"/>
        <w:rPr>
          <w:rFonts w:ascii="Arial" w:hAnsi="Arial" w:cs="Arial"/>
        </w:rPr>
      </w:pPr>
    </w:p>
    <w:p w14:paraId="6131336C" w14:textId="77777777" w:rsidR="00EF7560" w:rsidRPr="001D23AD" w:rsidRDefault="00EF7560" w:rsidP="00EF7560">
      <w:pPr>
        <w:jc w:val="center"/>
        <w:rPr>
          <w:rFonts w:ascii="Arial" w:hAnsi="Arial" w:cs="Arial"/>
        </w:rPr>
      </w:pPr>
    </w:p>
    <w:p w14:paraId="378E95C5" w14:textId="77777777" w:rsidR="00EF7560" w:rsidRPr="001D23AD" w:rsidRDefault="00EF7560" w:rsidP="00EF7560">
      <w:pPr>
        <w:jc w:val="center"/>
        <w:rPr>
          <w:rFonts w:ascii="Arial" w:hAnsi="Arial" w:cs="Arial"/>
        </w:rPr>
      </w:pPr>
    </w:p>
    <w:p w14:paraId="741470BE" w14:textId="77777777" w:rsidR="00EF7560" w:rsidRPr="001D23AD" w:rsidRDefault="00EF7560" w:rsidP="00EF7560">
      <w:pPr>
        <w:jc w:val="center"/>
        <w:rPr>
          <w:rFonts w:ascii="Arial" w:hAnsi="Arial" w:cs="Arial"/>
        </w:rPr>
      </w:pPr>
    </w:p>
    <w:p w14:paraId="4F36227B" w14:textId="77777777" w:rsidR="00EF7560" w:rsidRPr="001D23AD" w:rsidRDefault="00EF7560" w:rsidP="00EF7560">
      <w:pPr>
        <w:jc w:val="center"/>
        <w:rPr>
          <w:rFonts w:ascii="Arial" w:hAnsi="Arial" w:cs="Arial"/>
        </w:rPr>
      </w:pPr>
    </w:p>
    <w:p w14:paraId="6AD5B374" w14:textId="77777777" w:rsidR="00EF7560" w:rsidRPr="001D23AD" w:rsidRDefault="00EF7560" w:rsidP="00EF7560">
      <w:pPr>
        <w:jc w:val="center"/>
        <w:rPr>
          <w:rFonts w:ascii="Arial" w:hAnsi="Arial" w:cs="Arial"/>
        </w:rPr>
      </w:pPr>
    </w:p>
    <w:p w14:paraId="23526320" w14:textId="77777777" w:rsidR="00EF7560" w:rsidRPr="001D23AD" w:rsidRDefault="00EF7560" w:rsidP="00EF7560">
      <w:pPr>
        <w:jc w:val="center"/>
        <w:rPr>
          <w:rFonts w:ascii="Arial" w:hAnsi="Arial" w:cs="Arial"/>
        </w:rPr>
      </w:pPr>
    </w:p>
    <w:p w14:paraId="2AB19160" w14:textId="77777777" w:rsidR="00EF7560" w:rsidRPr="001D23AD" w:rsidRDefault="00EF7560" w:rsidP="00EF7560">
      <w:pPr>
        <w:jc w:val="center"/>
        <w:rPr>
          <w:rFonts w:ascii="Arial" w:hAnsi="Arial" w:cs="Arial"/>
        </w:rPr>
      </w:pPr>
    </w:p>
    <w:p w14:paraId="7922E60A" w14:textId="77777777" w:rsidR="00EF7560" w:rsidRPr="001D23AD" w:rsidRDefault="00EF7560" w:rsidP="000C1EA7">
      <w:pPr>
        <w:jc w:val="center"/>
        <w:rPr>
          <w:rFonts w:ascii="Arial" w:hAnsi="Arial" w:cs="Arial"/>
        </w:rPr>
      </w:pPr>
    </w:p>
    <w:p w14:paraId="4AE0097D" w14:textId="77777777" w:rsidR="00EF7560" w:rsidRDefault="00EF7560" w:rsidP="00EF7560">
      <w:pPr>
        <w:jc w:val="center"/>
        <w:rPr>
          <w:rFonts w:ascii="Arial" w:hAnsi="Arial" w:cs="Arial"/>
        </w:rPr>
      </w:pPr>
    </w:p>
    <w:p w14:paraId="0FD8E3FE" w14:textId="77777777" w:rsidR="00EF7560" w:rsidRPr="001D23AD" w:rsidRDefault="00EF7560" w:rsidP="00EF7560">
      <w:pPr>
        <w:jc w:val="center"/>
        <w:rPr>
          <w:rFonts w:ascii="Arial" w:hAnsi="Arial" w:cs="Arial"/>
        </w:rPr>
      </w:pPr>
    </w:p>
    <w:p w14:paraId="0EAF4A1D" w14:textId="77777777" w:rsidR="00EF7560" w:rsidRPr="001D23AD" w:rsidRDefault="001508E2" w:rsidP="00EF7560">
      <w:pPr>
        <w:jc w:val="center"/>
        <w:rPr>
          <w:rFonts w:ascii="Arial" w:hAnsi="Arial" w:cs="Arial"/>
          <w:sz w:val="28"/>
        </w:rPr>
      </w:pPr>
      <w:r>
        <w:rPr>
          <w:rFonts w:ascii="Arial" w:hAnsi="Arial" w:cs="Arial"/>
          <w:sz w:val="28"/>
        </w:rPr>
        <w:t>Warszawa, czerwiec</w:t>
      </w:r>
      <w:r w:rsidR="00EF7560">
        <w:rPr>
          <w:rFonts w:ascii="Arial" w:hAnsi="Arial" w:cs="Arial"/>
          <w:sz w:val="28"/>
        </w:rPr>
        <w:t xml:space="preserve"> 2023</w:t>
      </w:r>
    </w:p>
    <w:p w14:paraId="75BAEEE8" w14:textId="77777777" w:rsidR="00EF7560" w:rsidRDefault="00EF7560" w:rsidP="00EF7560">
      <w:pPr>
        <w:jc w:val="center"/>
        <w:rPr>
          <w:sz w:val="28"/>
        </w:rPr>
        <w:sectPr w:rsidR="00EF7560" w:rsidSect="007C2C53">
          <w:headerReference w:type="default" r:id="rId8"/>
          <w:footerReference w:type="even" r:id="rId9"/>
          <w:footerReference w:type="default" r:id="rId10"/>
          <w:pgSz w:w="11906" w:h="16838"/>
          <w:pgMar w:top="1417" w:right="1417" w:bottom="1417" w:left="1417" w:header="708" w:footer="708" w:gutter="0"/>
          <w:cols w:space="708"/>
          <w:titlePg/>
          <w:docGrid w:linePitch="360"/>
        </w:sectPr>
      </w:pPr>
    </w:p>
    <w:p w14:paraId="1F6C3936" w14:textId="77777777" w:rsidR="00EF7560" w:rsidRDefault="00EF7560" w:rsidP="00EF7560">
      <w:pPr>
        <w:jc w:val="center"/>
        <w:rPr>
          <w:sz w:val="28"/>
        </w:rPr>
      </w:pPr>
    </w:p>
    <w:p w14:paraId="15DB9B12" w14:textId="77777777" w:rsidR="00EF7560" w:rsidRDefault="00EF7560" w:rsidP="00EF7560">
      <w:pPr>
        <w:jc w:val="center"/>
        <w:rPr>
          <w:sz w:val="28"/>
        </w:rPr>
      </w:pPr>
    </w:p>
    <w:p w14:paraId="24D8BBD6" w14:textId="77777777" w:rsidR="00EF7560" w:rsidRDefault="00EF7560" w:rsidP="00EF7560">
      <w:pPr>
        <w:jc w:val="center"/>
        <w:rPr>
          <w:sz w:val="28"/>
        </w:rPr>
      </w:pPr>
    </w:p>
    <w:p w14:paraId="29AAC05C" w14:textId="77777777" w:rsidR="00EF7560" w:rsidRDefault="00EF7560" w:rsidP="00EF7560">
      <w:pPr>
        <w:jc w:val="center"/>
        <w:rPr>
          <w:sz w:val="28"/>
        </w:rPr>
      </w:pPr>
    </w:p>
    <w:p w14:paraId="16A24511" w14:textId="77777777" w:rsidR="00EF7560" w:rsidRDefault="00EF7560" w:rsidP="00EF7560">
      <w:pPr>
        <w:jc w:val="center"/>
        <w:rPr>
          <w:sz w:val="28"/>
        </w:rPr>
      </w:pPr>
    </w:p>
    <w:p w14:paraId="6A406721" w14:textId="77777777" w:rsidR="00EF7560" w:rsidRDefault="00EF7560" w:rsidP="00EF7560">
      <w:pPr>
        <w:jc w:val="center"/>
        <w:rPr>
          <w:sz w:val="28"/>
        </w:rPr>
      </w:pPr>
    </w:p>
    <w:p w14:paraId="43C1418B" w14:textId="77777777" w:rsidR="00EF7560" w:rsidRDefault="00EF7560" w:rsidP="00EF7560">
      <w:pPr>
        <w:jc w:val="center"/>
        <w:rPr>
          <w:sz w:val="28"/>
        </w:rPr>
      </w:pPr>
    </w:p>
    <w:p w14:paraId="67FC4231" w14:textId="77777777" w:rsidR="00EF7560" w:rsidRDefault="00EF7560" w:rsidP="00EF7560">
      <w:pPr>
        <w:jc w:val="center"/>
        <w:rPr>
          <w:sz w:val="28"/>
        </w:rPr>
      </w:pPr>
    </w:p>
    <w:p w14:paraId="538443B1" w14:textId="77777777" w:rsidR="00EF7560" w:rsidRDefault="00EF7560" w:rsidP="00EF7560">
      <w:pPr>
        <w:jc w:val="center"/>
        <w:rPr>
          <w:sz w:val="28"/>
        </w:rPr>
      </w:pPr>
    </w:p>
    <w:p w14:paraId="1425BABD" w14:textId="77777777" w:rsidR="00EF7560" w:rsidRDefault="00EF7560" w:rsidP="00EF7560">
      <w:pPr>
        <w:jc w:val="center"/>
        <w:rPr>
          <w:sz w:val="28"/>
        </w:rPr>
      </w:pPr>
    </w:p>
    <w:p w14:paraId="0679AB8C" w14:textId="77777777" w:rsidR="00EF7560" w:rsidRDefault="00EF7560" w:rsidP="00EF7560">
      <w:pPr>
        <w:jc w:val="center"/>
        <w:rPr>
          <w:sz w:val="28"/>
        </w:rPr>
      </w:pPr>
    </w:p>
    <w:p w14:paraId="04B6C6E5" w14:textId="77777777" w:rsidR="00EF7560" w:rsidRDefault="00EF7560" w:rsidP="00EF7560">
      <w:pPr>
        <w:jc w:val="center"/>
        <w:rPr>
          <w:sz w:val="28"/>
        </w:rPr>
      </w:pPr>
    </w:p>
    <w:p w14:paraId="72F8F909" w14:textId="77777777" w:rsidR="00EF7560" w:rsidRDefault="00EF7560" w:rsidP="00EF7560">
      <w:pPr>
        <w:jc w:val="center"/>
        <w:rPr>
          <w:sz w:val="28"/>
        </w:rPr>
      </w:pPr>
    </w:p>
    <w:p w14:paraId="5476B0CD" w14:textId="77777777" w:rsidR="00EF7560" w:rsidRDefault="00EF7560" w:rsidP="00EF7560">
      <w:pPr>
        <w:jc w:val="center"/>
        <w:rPr>
          <w:sz w:val="28"/>
        </w:rPr>
      </w:pPr>
    </w:p>
    <w:p w14:paraId="68697CEA" w14:textId="77777777" w:rsidR="009D4976" w:rsidRDefault="009D4976" w:rsidP="00EF7560">
      <w:pPr>
        <w:jc w:val="center"/>
        <w:rPr>
          <w:sz w:val="28"/>
        </w:rPr>
      </w:pPr>
    </w:p>
    <w:p w14:paraId="31EA120C" w14:textId="77777777" w:rsidR="009D4976" w:rsidRDefault="009D4976" w:rsidP="00EF7560">
      <w:pPr>
        <w:jc w:val="center"/>
        <w:rPr>
          <w:sz w:val="28"/>
        </w:rPr>
      </w:pPr>
    </w:p>
    <w:p w14:paraId="7BC3258E" w14:textId="77777777" w:rsidR="009D4976" w:rsidRDefault="009D4976" w:rsidP="00EF7560">
      <w:pPr>
        <w:jc w:val="center"/>
        <w:rPr>
          <w:sz w:val="28"/>
        </w:rPr>
      </w:pPr>
    </w:p>
    <w:p w14:paraId="0884B891" w14:textId="77777777" w:rsidR="009D4976" w:rsidRDefault="009D4976" w:rsidP="00EF7560">
      <w:pPr>
        <w:jc w:val="center"/>
        <w:rPr>
          <w:sz w:val="28"/>
        </w:rPr>
      </w:pPr>
    </w:p>
    <w:p w14:paraId="66A94F71" w14:textId="77777777" w:rsidR="009D4976" w:rsidRDefault="009D4976" w:rsidP="00EF7560">
      <w:pPr>
        <w:jc w:val="center"/>
        <w:rPr>
          <w:sz w:val="28"/>
        </w:rPr>
      </w:pPr>
    </w:p>
    <w:p w14:paraId="085987CF" w14:textId="77777777" w:rsidR="009D4976" w:rsidRDefault="009D4976" w:rsidP="00EF7560">
      <w:pPr>
        <w:jc w:val="center"/>
        <w:rPr>
          <w:sz w:val="28"/>
        </w:rPr>
      </w:pPr>
    </w:p>
    <w:p w14:paraId="6DBBB6EF" w14:textId="77777777" w:rsidR="00EF7560" w:rsidRDefault="00EF7560" w:rsidP="00EF7560">
      <w:pPr>
        <w:jc w:val="center"/>
        <w:rPr>
          <w:sz w:val="28"/>
        </w:rPr>
      </w:pPr>
    </w:p>
    <w:p w14:paraId="5565EB81" w14:textId="77777777" w:rsidR="00EF7560" w:rsidRDefault="00EF7560" w:rsidP="00EF7560">
      <w:pPr>
        <w:jc w:val="center"/>
        <w:rPr>
          <w:sz w:val="28"/>
        </w:rPr>
      </w:pPr>
    </w:p>
    <w:p w14:paraId="4208974B" w14:textId="77777777" w:rsidR="00EF7560" w:rsidRDefault="00EF7560" w:rsidP="00EF7560">
      <w:pPr>
        <w:jc w:val="center"/>
        <w:rPr>
          <w:sz w:val="28"/>
        </w:rPr>
      </w:pPr>
    </w:p>
    <w:p w14:paraId="5EA0F382" w14:textId="77777777" w:rsidR="00EF7560" w:rsidRDefault="00EF7560" w:rsidP="00EF7560">
      <w:pPr>
        <w:jc w:val="center"/>
        <w:rPr>
          <w:sz w:val="28"/>
        </w:rPr>
      </w:pPr>
    </w:p>
    <w:p w14:paraId="5FAAA535" w14:textId="77777777" w:rsidR="00EF7560" w:rsidRDefault="00EF7560" w:rsidP="00EF7560">
      <w:pPr>
        <w:jc w:val="center"/>
        <w:rPr>
          <w:sz w:val="28"/>
        </w:rPr>
      </w:pPr>
    </w:p>
    <w:p w14:paraId="3090BA12" w14:textId="77777777" w:rsidR="00EF7560" w:rsidRDefault="00EF7560" w:rsidP="00EF7560">
      <w:pPr>
        <w:jc w:val="center"/>
        <w:rPr>
          <w:sz w:val="28"/>
        </w:rPr>
      </w:pPr>
    </w:p>
    <w:p w14:paraId="3B3F19E2" w14:textId="77777777" w:rsidR="00EF7560" w:rsidRPr="000C1EA7" w:rsidRDefault="00EF7560" w:rsidP="00EF7560">
      <w:pPr>
        <w:jc w:val="center"/>
        <w:rPr>
          <w:sz w:val="28"/>
        </w:rPr>
        <w:sectPr w:rsidR="00EF7560" w:rsidRPr="000C1EA7" w:rsidSect="003B6004">
          <w:footerReference w:type="default" r:id="rId11"/>
          <w:pgSz w:w="11906" w:h="16838"/>
          <w:pgMar w:top="1417" w:right="1417" w:bottom="1417" w:left="1417" w:header="708" w:footer="708" w:gutter="0"/>
          <w:cols w:space="708"/>
          <w:titlePg/>
          <w:docGrid w:linePitch="360"/>
        </w:sectPr>
      </w:pPr>
    </w:p>
    <w:p w14:paraId="7ED0C8AB" w14:textId="77777777" w:rsidR="00EF7560" w:rsidRPr="00EF7560" w:rsidRDefault="00EF7560" w:rsidP="00EF7560">
      <w:pPr>
        <w:pStyle w:val="Nagwek3"/>
        <w:tabs>
          <w:tab w:val="left" w:pos="1440"/>
          <w:tab w:val="right" w:pos="9000"/>
        </w:tabs>
        <w:spacing w:before="120" w:after="240" w:line="300" w:lineRule="atLeast"/>
        <w:jc w:val="center"/>
        <w:rPr>
          <w:szCs w:val="24"/>
          <w:u w:val="single"/>
        </w:rPr>
      </w:pPr>
      <w:r w:rsidRPr="00EF7560">
        <w:rPr>
          <w:szCs w:val="24"/>
          <w:u w:val="single"/>
        </w:rPr>
        <w:lastRenderedPageBreak/>
        <w:t>SPIS TREŚCI:</w:t>
      </w:r>
    </w:p>
    <w:p w14:paraId="2AAF3299" w14:textId="77777777" w:rsidR="00EF7560" w:rsidRPr="00EF7560" w:rsidRDefault="00EF7560" w:rsidP="007A3F8C">
      <w:pPr>
        <w:pStyle w:val="Default"/>
        <w:spacing w:line="340" w:lineRule="atLeast"/>
      </w:pPr>
    </w:p>
    <w:p w14:paraId="1E34CF68" w14:textId="77777777" w:rsidR="00EF7560" w:rsidRPr="00EF7560" w:rsidRDefault="00EF7560" w:rsidP="007A3F8C">
      <w:pPr>
        <w:tabs>
          <w:tab w:val="right" w:pos="9072"/>
        </w:tabs>
        <w:spacing w:before="120" w:line="340" w:lineRule="atLeast"/>
        <w:rPr>
          <w:rFonts w:ascii="Arial" w:hAnsi="Arial" w:cs="Arial"/>
          <w:sz w:val="24"/>
          <w:szCs w:val="24"/>
        </w:rPr>
      </w:pPr>
      <w:r w:rsidRPr="00EF7560">
        <w:rPr>
          <w:rFonts w:ascii="Arial" w:hAnsi="Arial" w:cs="Arial"/>
          <w:sz w:val="24"/>
          <w:szCs w:val="24"/>
        </w:rPr>
        <w:t>Wstęp - uwarunkowania nowelizacj</w:t>
      </w:r>
      <w:r w:rsidR="009D4976">
        <w:rPr>
          <w:rFonts w:ascii="Arial" w:hAnsi="Arial" w:cs="Arial"/>
          <w:sz w:val="24"/>
          <w:szCs w:val="24"/>
        </w:rPr>
        <w:t>i ustawy budżetowej na rok 2023</w:t>
      </w:r>
      <w:r w:rsidR="009D4976">
        <w:rPr>
          <w:rFonts w:ascii="Arial" w:hAnsi="Arial" w:cs="Arial"/>
          <w:sz w:val="24"/>
          <w:szCs w:val="24"/>
        </w:rPr>
        <w:tab/>
      </w:r>
      <w:r w:rsidR="005C7626">
        <w:rPr>
          <w:rFonts w:ascii="Arial" w:hAnsi="Arial" w:cs="Arial"/>
          <w:sz w:val="24"/>
          <w:szCs w:val="24"/>
        </w:rPr>
        <w:t>5</w:t>
      </w:r>
    </w:p>
    <w:p w14:paraId="6B05889E" w14:textId="77777777" w:rsidR="00EF7560" w:rsidRPr="00EF7560" w:rsidRDefault="00EF7560" w:rsidP="007A3F8C">
      <w:pPr>
        <w:pStyle w:val="Akapitzlist"/>
        <w:numPr>
          <w:ilvl w:val="0"/>
          <w:numId w:val="1"/>
        </w:numPr>
        <w:tabs>
          <w:tab w:val="right" w:pos="9072"/>
        </w:tabs>
        <w:spacing w:before="120" w:line="340" w:lineRule="atLeast"/>
        <w:ind w:left="284" w:hanging="284"/>
        <w:contextualSpacing w:val="0"/>
        <w:jc w:val="left"/>
        <w:rPr>
          <w:sz w:val="24"/>
          <w:szCs w:val="24"/>
        </w:rPr>
      </w:pPr>
      <w:r w:rsidRPr="00EF7560">
        <w:rPr>
          <w:sz w:val="24"/>
          <w:szCs w:val="24"/>
        </w:rPr>
        <w:t>Założenia makroekonomiczne</w:t>
      </w:r>
      <w:r w:rsidRPr="00EF7560">
        <w:rPr>
          <w:sz w:val="24"/>
          <w:szCs w:val="24"/>
        </w:rPr>
        <w:tab/>
      </w:r>
      <w:r w:rsidR="009D4976">
        <w:rPr>
          <w:sz w:val="24"/>
          <w:szCs w:val="24"/>
        </w:rPr>
        <w:t>7</w:t>
      </w:r>
    </w:p>
    <w:p w14:paraId="4E570C4F" w14:textId="77777777" w:rsidR="00EF7560" w:rsidRPr="00EF7560" w:rsidRDefault="00EF7560" w:rsidP="007A3F8C">
      <w:pPr>
        <w:pStyle w:val="Akapitzlist"/>
        <w:numPr>
          <w:ilvl w:val="0"/>
          <w:numId w:val="1"/>
        </w:numPr>
        <w:tabs>
          <w:tab w:val="right" w:pos="9072"/>
        </w:tabs>
        <w:spacing w:before="120" w:line="340" w:lineRule="atLeast"/>
        <w:ind w:left="284" w:hanging="284"/>
        <w:contextualSpacing w:val="0"/>
        <w:jc w:val="left"/>
        <w:rPr>
          <w:sz w:val="24"/>
          <w:szCs w:val="24"/>
        </w:rPr>
      </w:pPr>
      <w:r w:rsidRPr="00EF7560">
        <w:rPr>
          <w:sz w:val="24"/>
          <w:szCs w:val="24"/>
        </w:rPr>
        <w:t>Stabilizująca reguła wydatkowa</w:t>
      </w:r>
      <w:r w:rsidRPr="00EF7560">
        <w:rPr>
          <w:sz w:val="24"/>
          <w:szCs w:val="24"/>
        </w:rPr>
        <w:tab/>
      </w:r>
      <w:r w:rsidR="005C7626">
        <w:rPr>
          <w:sz w:val="24"/>
          <w:szCs w:val="24"/>
        </w:rPr>
        <w:t>9</w:t>
      </w:r>
    </w:p>
    <w:p w14:paraId="7C8016BA" w14:textId="77777777" w:rsidR="00EF7560" w:rsidRPr="00EF7560" w:rsidRDefault="00EF7560" w:rsidP="007A3F8C">
      <w:pPr>
        <w:pStyle w:val="Akapitzlist"/>
        <w:numPr>
          <w:ilvl w:val="0"/>
          <w:numId w:val="1"/>
        </w:numPr>
        <w:tabs>
          <w:tab w:val="right" w:pos="9072"/>
        </w:tabs>
        <w:spacing w:before="120" w:line="340" w:lineRule="atLeast"/>
        <w:ind w:left="284" w:hanging="284"/>
        <w:contextualSpacing w:val="0"/>
        <w:jc w:val="left"/>
        <w:rPr>
          <w:sz w:val="24"/>
          <w:szCs w:val="24"/>
        </w:rPr>
      </w:pPr>
      <w:r w:rsidRPr="00EF7560">
        <w:rPr>
          <w:sz w:val="24"/>
          <w:szCs w:val="24"/>
        </w:rPr>
        <w:t xml:space="preserve">Zmiany podstawowych wielkości budżetu państwa w 2023 r. </w:t>
      </w:r>
      <w:r w:rsidRPr="00EF7560">
        <w:rPr>
          <w:sz w:val="24"/>
          <w:szCs w:val="24"/>
        </w:rPr>
        <w:tab/>
      </w:r>
      <w:r w:rsidR="005C7626">
        <w:rPr>
          <w:sz w:val="24"/>
          <w:szCs w:val="24"/>
        </w:rPr>
        <w:t>15</w:t>
      </w:r>
    </w:p>
    <w:p w14:paraId="58F4CA37" w14:textId="33FF0A89" w:rsidR="00EF7560" w:rsidRPr="00EF7560" w:rsidRDefault="00EF7560" w:rsidP="007A3F8C">
      <w:pPr>
        <w:pStyle w:val="Akapitzlist"/>
        <w:numPr>
          <w:ilvl w:val="0"/>
          <w:numId w:val="1"/>
        </w:numPr>
        <w:tabs>
          <w:tab w:val="right" w:pos="9072"/>
        </w:tabs>
        <w:spacing w:before="120" w:line="340" w:lineRule="atLeast"/>
        <w:ind w:left="284" w:hanging="284"/>
        <w:contextualSpacing w:val="0"/>
        <w:jc w:val="left"/>
        <w:rPr>
          <w:sz w:val="24"/>
          <w:szCs w:val="24"/>
        </w:rPr>
      </w:pPr>
      <w:r w:rsidRPr="00EF7560">
        <w:rPr>
          <w:sz w:val="24"/>
          <w:szCs w:val="24"/>
        </w:rPr>
        <w:t xml:space="preserve">Dochody budżetu państwa w 2023 r. </w:t>
      </w:r>
      <w:r w:rsidRPr="00EF7560">
        <w:rPr>
          <w:sz w:val="24"/>
          <w:szCs w:val="24"/>
        </w:rPr>
        <w:tab/>
      </w:r>
      <w:r w:rsidR="008045F3">
        <w:rPr>
          <w:sz w:val="24"/>
          <w:szCs w:val="24"/>
        </w:rPr>
        <w:t>16</w:t>
      </w:r>
    </w:p>
    <w:p w14:paraId="41FE8881" w14:textId="77777777" w:rsidR="00EF7560" w:rsidRPr="00EF7560" w:rsidRDefault="00EF7560" w:rsidP="007A3F8C">
      <w:pPr>
        <w:pStyle w:val="Akapitzlist"/>
        <w:numPr>
          <w:ilvl w:val="0"/>
          <w:numId w:val="1"/>
        </w:numPr>
        <w:tabs>
          <w:tab w:val="right" w:pos="9072"/>
        </w:tabs>
        <w:spacing w:before="120" w:line="340" w:lineRule="atLeast"/>
        <w:ind w:left="284" w:hanging="284"/>
        <w:contextualSpacing w:val="0"/>
        <w:jc w:val="left"/>
        <w:rPr>
          <w:sz w:val="24"/>
          <w:szCs w:val="24"/>
        </w:rPr>
      </w:pPr>
      <w:r w:rsidRPr="00EF7560">
        <w:rPr>
          <w:sz w:val="24"/>
          <w:szCs w:val="24"/>
        </w:rPr>
        <w:t xml:space="preserve">Wydatki budżetu państwa w 2023 r. </w:t>
      </w:r>
      <w:r w:rsidRPr="00EF7560">
        <w:rPr>
          <w:sz w:val="24"/>
          <w:szCs w:val="24"/>
        </w:rPr>
        <w:tab/>
      </w:r>
      <w:r w:rsidR="00D67E91">
        <w:rPr>
          <w:sz w:val="24"/>
          <w:szCs w:val="24"/>
        </w:rPr>
        <w:t>20</w:t>
      </w:r>
    </w:p>
    <w:p w14:paraId="5CC7A59D" w14:textId="5DBB485D" w:rsidR="00EF7560" w:rsidRPr="00EF7560" w:rsidRDefault="00EF7560" w:rsidP="007A3F8C">
      <w:pPr>
        <w:pStyle w:val="Akapitzlist"/>
        <w:numPr>
          <w:ilvl w:val="0"/>
          <w:numId w:val="1"/>
        </w:numPr>
        <w:tabs>
          <w:tab w:val="right" w:pos="9072"/>
        </w:tabs>
        <w:spacing w:before="120" w:line="340" w:lineRule="atLeast"/>
        <w:ind w:left="284" w:hanging="284"/>
        <w:contextualSpacing w:val="0"/>
        <w:jc w:val="left"/>
        <w:rPr>
          <w:sz w:val="24"/>
          <w:szCs w:val="24"/>
        </w:rPr>
      </w:pPr>
      <w:r w:rsidRPr="00EF7560">
        <w:rPr>
          <w:sz w:val="24"/>
          <w:szCs w:val="24"/>
        </w:rPr>
        <w:t>Zmiany w planach finansowych</w:t>
      </w:r>
      <w:r w:rsidR="00EB1E41">
        <w:rPr>
          <w:sz w:val="24"/>
          <w:szCs w:val="24"/>
        </w:rPr>
        <w:t xml:space="preserve"> państwowych</w:t>
      </w:r>
      <w:r w:rsidRPr="00EF7560">
        <w:rPr>
          <w:sz w:val="24"/>
          <w:szCs w:val="24"/>
        </w:rPr>
        <w:t xml:space="preserve"> funduszy c</w:t>
      </w:r>
      <w:r w:rsidR="009179D5">
        <w:rPr>
          <w:sz w:val="24"/>
          <w:szCs w:val="24"/>
        </w:rPr>
        <w:t xml:space="preserve">elowych, instytucji gospodarki budżetowej </w:t>
      </w:r>
      <w:r>
        <w:rPr>
          <w:sz w:val="24"/>
          <w:szCs w:val="24"/>
        </w:rPr>
        <w:t>i </w:t>
      </w:r>
      <w:r w:rsidRPr="00EF7560">
        <w:rPr>
          <w:sz w:val="24"/>
          <w:szCs w:val="24"/>
        </w:rPr>
        <w:t>państwowych osób prawnych</w:t>
      </w:r>
      <w:r w:rsidR="00EB1E41">
        <w:rPr>
          <w:sz w:val="24"/>
          <w:szCs w:val="24"/>
        </w:rPr>
        <w:t xml:space="preserve">, o których mowa </w:t>
      </w:r>
      <w:r w:rsidR="00EB1E41">
        <w:rPr>
          <w:sz w:val="24"/>
          <w:szCs w:val="24"/>
        </w:rPr>
        <w:br/>
        <w:t>w art. 9 pkt 14 ustawy o finansach publicznych</w:t>
      </w:r>
      <w:r w:rsidR="008045F3">
        <w:rPr>
          <w:sz w:val="24"/>
          <w:szCs w:val="24"/>
        </w:rPr>
        <w:tab/>
        <w:t>27</w:t>
      </w:r>
    </w:p>
    <w:p w14:paraId="72294F53" w14:textId="0826305B" w:rsidR="00EF7560" w:rsidRPr="00EF7560" w:rsidRDefault="00EF7560" w:rsidP="007A3F8C">
      <w:pPr>
        <w:pStyle w:val="Akapitzlist"/>
        <w:numPr>
          <w:ilvl w:val="0"/>
          <w:numId w:val="1"/>
        </w:numPr>
        <w:tabs>
          <w:tab w:val="right" w:pos="9072"/>
        </w:tabs>
        <w:spacing w:before="120" w:line="340" w:lineRule="atLeast"/>
        <w:ind w:left="284" w:hanging="284"/>
        <w:contextualSpacing w:val="0"/>
        <w:jc w:val="left"/>
        <w:rPr>
          <w:sz w:val="24"/>
          <w:szCs w:val="24"/>
        </w:rPr>
      </w:pPr>
      <w:r w:rsidRPr="00EF7560">
        <w:rPr>
          <w:sz w:val="24"/>
          <w:szCs w:val="24"/>
        </w:rPr>
        <w:t>Finansowanie potrzeb pożyczkowych budżetu państwa</w:t>
      </w:r>
      <w:r w:rsidR="008045F3">
        <w:rPr>
          <w:sz w:val="24"/>
          <w:szCs w:val="24"/>
        </w:rPr>
        <w:tab/>
        <w:t>28</w:t>
      </w:r>
    </w:p>
    <w:p w14:paraId="35D51472" w14:textId="77777777" w:rsidR="00EF7560" w:rsidRPr="00EF7560" w:rsidRDefault="00EF7560" w:rsidP="007A3F8C">
      <w:pPr>
        <w:pStyle w:val="Akapitzlist"/>
        <w:tabs>
          <w:tab w:val="right" w:pos="9072"/>
        </w:tabs>
        <w:spacing w:before="120" w:line="340" w:lineRule="atLeast"/>
        <w:ind w:left="284"/>
        <w:contextualSpacing w:val="0"/>
        <w:jc w:val="left"/>
        <w:rPr>
          <w:sz w:val="24"/>
          <w:szCs w:val="24"/>
        </w:rPr>
      </w:pPr>
    </w:p>
    <w:p w14:paraId="4A7E2577" w14:textId="77777777" w:rsidR="00EF7560" w:rsidRPr="00EF7560" w:rsidRDefault="00EF7560" w:rsidP="007A3F8C">
      <w:pPr>
        <w:tabs>
          <w:tab w:val="right" w:pos="9072"/>
        </w:tabs>
        <w:spacing w:line="340" w:lineRule="atLeast"/>
        <w:rPr>
          <w:rFonts w:ascii="Arial" w:hAnsi="Arial" w:cs="Arial"/>
          <w:sz w:val="24"/>
          <w:szCs w:val="24"/>
        </w:rPr>
      </w:pPr>
      <w:r w:rsidRPr="00EF7560">
        <w:rPr>
          <w:rFonts w:ascii="Arial" w:hAnsi="Arial" w:cs="Arial"/>
          <w:sz w:val="24"/>
          <w:szCs w:val="24"/>
        </w:rPr>
        <w:t>Tablica 1. Podstawowe wskaźnik</w:t>
      </w:r>
      <w:r w:rsidR="00CD60B2">
        <w:rPr>
          <w:rFonts w:ascii="Arial" w:hAnsi="Arial" w:cs="Arial"/>
          <w:sz w:val="24"/>
          <w:szCs w:val="24"/>
        </w:rPr>
        <w:t>i makroekonomiczne w latach 2022</w:t>
      </w:r>
      <w:r w:rsidRPr="00EF7560">
        <w:rPr>
          <w:rFonts w:ascii="Arial" w:hAnsi="Arial" w:cs="Arial"/>
          <w:sz w:val="24"/>
          <w:szCs w:val="24"/>
        </w:rPr>
        <w:t xml:space="preserve"> – 2023</w:t>
      </w:r>
      <w:r w:rsidR="006147E2">
        <w:rPr>
          <w:rFonts w:ascii="Arial" w:hAnsi="Arial" w:cs="Arial"/>
          <w:spacing w:val="-8"/>
          <w:sz w:val="24"/>
          <w:szCs w:val="24"/>
        </w:rPr>
        <w:tab/>
        <w:t>29</w:t>
      </w:r>
    </w:p>
    <w:p w14:paraId="64702E14" w14:textId="77777777" w:rsidR="00EF7560" w:rsidRPr="000C1EA7" w:rsidRDefault="00EF7560" w:rsidP="000C1EA7">
      <w:pPr>
        <w:rPr>
          <w:sz w:val="28"/>
        </w:rPr>
      </w:pPr>
    </w:p>
    <w:p w14:paraId="3EA4AC07" w14:textId="77777777" w:rsidR="00EF7560" w:rsidRPr="000C1EA7" w:rsidRDefault="00EF7560" w:rsidP="000C1EA7">
      <w:pPr>
        <w:tabs>
          <w:tab w:val="right" w:pos="9000"/>
        </w:tabs>
        <w:spacing w:before="120"/>
      </w:pPr>
    </w:p>
    <w:p w14:paraId="4E685E8F" w14:textId="77777777" w:rsidR="00EF7560" w:rsidRDefault="00EF7560" w:rsidP="000C1EA7"/>
    <w:p w14:paraId="150081DF" w14:textId="77777777" w:rsidR="00EF7560" w:rsidRDefault="00EF7560" w:rsidP="00EF7560"/>
    <w:p w14:paraId="4F830D65" w14:textId="77777777" w:rsidR="00EF7560" w:rsidRDefault="00EF7560" w:rsidP="00EF7560"/>
    <w:p w14:paraId="71A5BD2C" w14:textId="77777777" w:rsidR="00EF7560" w:rsidRDefault="00EF7560" w:rsidP="00EF7560"/>
    <w:p w14:paraId="7E5726E2" w14:textId="77777777" w:rsidR="00EF7560" w:rsidRDefault="00EF7560" w:rsidP="00EF7560"/>
    <w:p w14:paraId="707BAD80" w14:textId="77777777" w:rsidR="00EF7560" w:rsidRDefault="00EF7560" w:rsidP="00EF7560"/>
    <w:p w14:paraId="53BBFC03" w14:textId="77777777" w:rsidR="00EF7560" w:rsidRDefault="00EF7560" w:rsidP="00EF7560"/>
    <w:p w14:paraId="6DBFEA4F" w14:textId="77777777" w:rsidR="00EF7560" w:rsidRDefault="00EF7560" w:rsidP="00EF7560"/>
    <w:p w14:paraId="768CD620" w14:textId="77777777" w:rsidR="00EF7560" w:rsidRDefault="00EF7560" w:rsidP="00EF7560"/>
    <w:p w14:paraId="13FF8C87" w14:textId="77777777" w:rsidR="00EF7560" w:rsidRDefault="00EF7560" w:rsidP="00EF7560"/>
    <w:p w14:paraId="4DBED71B" w14:textId="77777777" w:rsidR="00EF7560" w:rsidRDefault="00EF7560" w:rsidP="00EF7560"/>
    <w:p w14:paraId="2D4F0C43" w14:textId="77777777" w:rsidR="00EF7560" w:rsidRDefault="00EF7560" w:rsidP="00EF7560"/>
    <w:p w14:paraId="4C963DEE" w14:textId="77777777" w:rsidR="00EF7560" w:rsidRDefault="00EF7560" w:rsidP="00EF7560"/>
    <w:p w14:paraId="3AD2BA43" w14:textId="77777777" w:rsidR="00EF7560" w:rsidRDefault="00EF7560" w:rsidP="00EF7560"/>
    <w:p w14:paraId="41407E45" w14:textId="77777777" w:rsidR="00EF7560" w:rsidRDefault="00EF7560" w:rsidP="00EF7560"/>
    <w:p w14:paraId="6239066A" w14:textId="77777777" w:rsidR="00EF7560" w:rsidRDefault="00EF7560" w:rsidP="00EF7560"/>
    <w:p w14:paraId="40B7F92F" w14:textId="77777777" w:rsidR="00EF7560" w:rsidRDefault="00EF7560" w:rsidP="00EF7560">
      <w:pPr>
        <w:sectPr w:rsidR="00EF7560" w:rsidSect="003B6004">
          <w:pgSz w:w="11906" w:h="16838"/>
          <w:pgMar w:top="1417" w:right="1417" w:bottom="1417" w:left="1417" w:header="708" w:footer="708" w:gutter="0"/>
          <w:cols w:space="708"/>
          <w:titlePg/>
          <w:docGrid w:linePitch="360"/>
        </w:sectPr>
      </w:pPr>
    </w:p>
    <w:p w14:paraId="6CDF5065" w14:textId="77777777" w:rsidR="00EF7560" w:rsidRDefault="00EF7560" w:rsidP="00EF7560">
      <w:pPr>
        <w:rPr>
          <w:rFonts w:ascii="Arial" w:hAnsi="Arial" w:cs="Arial"/>
          <w:b/>
          <w:sz w:val="24"/>
          <w:szCs w:val="24"/>
        </w:rPr>
      </w:pPr>
      <w:r w:rsidRPr="0080763F">
        <w:rPr>
          <w:rFonts w:ascii="Arial" w:hAnsi="Arial" w:cs="Arial"/>
          <w:b/>
          <w:sz w:val="24"/>
          <w:szCs w:val="24"/>
        </w:rPr>
        <w:lastRenderedPageBreak/>
        <w:t xml:space="preserve">Wstęp </w:t>
      </w:r>
      <w:r w:rsidRPr="00810362">
        <w:rPr>
          <w:rFonts w:ascii="Arial" w:hAnsi="Arial" w:cs="Arial"/>
          <w:b/>
          <w:sz w:val="24"/>
          <w:szCs w:val="24"/>
        </w:rPr>
        <w:t>–</w:t>
      </w:r>
      <w:r w:rsidRPr="0080763F">
        <w:rPr>
          <w:rFonts w:ascii="Arial" w:hAnsi="Arial" w:cs="Arial"/>
          <w:b/>
          <w:sz w:val="24"/>
          <w:szCs w:val="24"/>
        </w:rPr>
        <w:t xml:space="preserve"> </w:t>
      </w:r>
      <w:r>
        <w:rPr>
          <w:rFonts w:ascii="Arial" w:hAnsi="Arial" w:cs="Arial"/>
          <w:b/>
          <w:sz w:val="24"/>
          <w:szCs w:val="24"/>
        </w:rPr>
        <w:t>u</w:t>
      </w:r>
      <w:r w:rsidRPr="0080763F">
        <w:rPr>
          <w:rFonts w:ascii="Arial" w:hAnsi="Arial" w:cs="Arial"/>
          <w:b/>
          <w:sz w:val="24"/>
          <w:szCs w:val="24"/>
        </w:rPr>
        <w:t>warunkowania nowelizac</w:t>
      </w:r>
      <w:r w:rsidR="00593B67">
        <w:rPr>
          <w:rFonts w:ascii="Arial" w:hAnsi="Arial" w:cs="Arial"/>
          <w:b/>
          <w:sz w:val="24"/>
          <w:szCs w:val="24"/>
        </w:rPr>
        <w:t>ji ustawy budżetowej na rok 2023</w:t>
      </w:r>
    </w:p>
    <w:p w14:paraId="4E1C281A" w14:textId="77777777" w:rsidR="00E01EE9" w:rsidRDefault="00E01EE9" w:rsidP="007A3F8C">
      <w:pPr>
        <w:pStyle w:val="Tekst"/>
        <w:spacing w:before="120" w:line="340" w:lineRule="atLeast"/>
      </w:pPr>
    </w:p>
    <w:p w14:paraId="293B5F90" w14:textId="77777777" w:rsidR="00E01EE9" w:rsidRDefault="00E01EE9" w:rsidP="000C1EA7">
      <w:pPr>
        <w:pStyle w:val="Tekst"/>
        <w:spacing w:before="120" w:line="340" w:lineRule="atLeast"/>
      </w:pPr>
      <w:r>
        <w:t>Perspektywy dla 2023 roku w zakresie sytuacji makroekonomicznej w wyniku trwającej wojny w Ukrainie, rosnących cen energii napędzających wzrost inflacji oraz skutków zacieśniania polityki monetarnej uległy pogorszeniu zarówno dla Polski, jak i Europy - obecnie prognozuje się niższe, niż zakładano w ustawie budżetowej na bieżący rok, realne tempo wzrostu PKB, jak również spodziewany jest niższy wzrost realny spożycia prywatnego. Przewiduje się, że realne PKB zwiększy się w bieżącym roku o 0,9%, p</w:t>
      </w:r>
      <w:r w:rsidR="00343757">
        <w:t>o wzroście o 5,1% zanotowanym w </w:t>
      </w:r>
      <w:r>
        <w:t>ubiegłym roku, wobec odpowiednio wzrostu o 1,7% po w</w:t>
      </w:r>
      <w:r w:rsidR="00343757">
        <w:t>zroście o 4,6% zakładanych w </w:t>
      </w:r>
      <w:r>
        <w:t xml:space="preserve">ubiegłorocznym uzasadnieniu do ustawy budżetowej na rok 2023. Nieco wyższa niż pierwotnie prognozowana w ustawie budżetowej będzie natomiast inflacja. </w:t>
      </w:r>
      <w:r w:rsidR="00A95C85">
        <w:br/>
      </w:r>
      <w:r>
        <w:t xml:space="preserve">Niemniej jednak aktualizacja scenariusza makroekonomicznego nie wpływa jednoznacznie negatywnie na prognozę dochodów budżetowych. </w:t>
      </w:r>
    </w:p>
    <w:p w14:paraId="65CDE34A" w14:textId="77777777" w:rsidR="00E01EE9" w:rsidRDefault="00E01EE9" w:rsidP="000C1EA7">
      <w:pPr>
        <w:pStyle w:val="Tekst"/>
        <w:spacing w:before="120" w:line="340" w:lineRule="atLeast"/>
      </w:pPr>
      <w:r>
        <w:t xml:space="preserve">Równolegle dokonywana zmiana prognozy dochodów budżetu państwa na 2023 rok wynika </w:t>
      </w:r>
      <w:r w:rsidR="00A95C85">
        <w:t xml:space="preserve">z ww. </w:t>
      </w:r>
      <w:r>
        <w:t>aktualizacji prognoz makr</w:t>
      </w:r>
      <w:r w:rsidR="00A95C85">
        <w:t xml:space="preserve">oekonomicznych, ale także aktualizacji założeń, </w:t>
      </w:r>
      <w:r>
        <w:t>co do obowiązujących zmian systemowych, w tym odnośnie do utrz</w:t>
      </w:r>
      <w:r w:rsidR="00A95C85">
        <w:t>ymania Tarczy antyinflacyjnej w </w:t>
      </w:r>
      <w:r>
        <w:t>zakresie obniżonych stawek VAT na żywność (tj. utrzymania rozwiązania</w:t>
      </w:r>
      <w:r w:rsidR="00A95C85">
        <w:t>,</w:t>
      </w:r>
      <w:r>
        <w:t xml:space="preserve"> które nie było pierwotnie uwzględniane w prognozie dochodów z VAT na 2023 rok), jak również z uwzględnienia najnowszych informacji dotyczących bieżącego wykonania dochodów. </w:t>
      </w:r>
    </w:p>
    <w:p w14:paraId="26956EC4" w14:textId="77777777" w:rsidR="00E01EE9" w:rsidRDefault="00E01EE9" w:rsidP="000C1EA7">
      <w:pPr>
        <w:pStyle w:val="Tekst"/>
        <w:spacing w:before="120" w:line="340" w:lineRule="atLeast"/>
      </w:pPr>
      <w:r>
        <w:t>Jednocześnie po stronie wydatkowej budżetu państwa dokonano m.in. istotnego zwiększenia kwoty przeznaczonej na uzupełnienie subwencji ogólnej w celu wsparcia realizacji zadań jednostek samorządu terytorialnego. Zdecydowano także o przekazaniu dodatkowych środków z możliwością ich przeznaczenia dla pracowników państwowej sfery budżetowej na jednorazowe wypłaty wynagrodzeń w 2023 roku (dodatkowe środki będą również skierowane dla nauczycieli) oraz o odmrożeniu od 1 lipca 2023 roku podstaw naliczania zakładowego funduszu świadczeń socjalnych oraz funduszy socjalnych (o kolejne 2 lata) w stosunku do wielkości zaplanowanej na rok 2023.</w:t>
      </w:r>
    </w:p>
    <w:p w14:paraId="4DC729B9" w14:textId="77777777" w:rsidR="00E01EE9" w:rsidRDefault="00444CD6" w:rsidP="000C1EA7">
      <w:pPr>
        <w:pStyle w:val="Tekst"/>
        <w:spacing w:before="120" w:line="340" w:lineRule="atLeast"/>
      </w:pPr>
      <w:r>
        <w:t>Wobec powyższego</w:t>
      </w:r>
      <w:r w:rsidR="00E01EE9">
        <w:t xml:space="preserve"> dokonano m.in. rewizji podstawowych parametrów budżetowych, w tym w zakresie kwoty dochodów i wydatków budżetu państwa oraz maksymalnej wielkości deficytu na koniec 2023 roku.</w:t>
      </w:r>
    </w:p>
    <w:p w14:paraId="6C9873D9" w14:textId="77777777" w:rsidR="009179D5" w:rsidRDefault="009179D5" w:rsidP="000C1EA7">
      <w:pPr>
        <w:pStyle w:val="Tekst"/>
        <w:spacing w:before="120" w:line="340" w:lineRule="atLeast"/>
      </w:pPr>
      <w:r>
        <w:t xml:space="preserve">W związku z tym, iż układ zadaniowy powinien zapewniać pełne odzwierciedlenie treści ustawy budżetowej na rok 2023 – zgodnie z uwarunkowaniami metodologicznymi funkcjonowania budżetu zadaniowego, po uchwaleniu i ogłoszeniu zmiany tej ustawy niezbędne będzie ponowne, analogiczne do procedury pierwotnej, dostosowanie układu zadaniowego, do treści prawnie wiążącej zmiany ustawy budżetowej na rok 2023. </w:t>
      </w:r>
    </w:p>
    <w:p w14:paraId="2FA13D46" w14:textId="77777777" w:rsidR="009179D5" w:rsidRDefault="009179D5" w:rsidP="000C1EA7">
      <w:pPr>
        <w:pStyle w:val="Tekst"/>
        <w:spacing w:before="120" w:line="340" w:lineRule="atLeast"/>
      </w:pPr>
      <w:r>
        <w:t xml:space="preserve">Dostosowanie takie, w zakresie części finansowej zadaniowego układu wydatków będzie wykonane w takim zakresie, w jakim dokonane zostaną zmiany wydatków w ustawie budżetowej. Natomiast zmiany treści układu zadaniowego w zakresie części tzw. </w:t>
      </w:r>
      <w:r>
        <w:lastRenderedPageBreak/>
        <w:t xml:space="preserve">sprawnościowej (tj. dotyczącej celów i mierników) zostaną </w:t>
      </w:r>
      <w:r w:rsidR="00343757">
        <w:t>uwzględnione, jeżeli (zgodnie z </w:t>
      </w:r>
      <w:r>
        <w:t xml:space="preserve">analizą oraz oceną dysponentów) ww. zmiany w części finansowej będą miały faktyczny oraz wymierny wpływ m.in. na planowaną dotychczas wartość stosowanych mierników. </w:t>
      </w:r>
    </w:p>
    <w:p w14:paraId="57B88091" w14:textId="77777777" w:rsidR="009179D5" w:rsidRDefault="009179D5" w:rsidP="000C1EA7">
      <w:pPr>
        <w:pStyle w:val="Tekst"/>
        <w:spacing w:before="120" w:line="340" w:lineRule="atLeast"/>
      </w:pPr>
      <w:r>
        <w:t>Zestawienie zmian w układzie zadaniowym (zarówno w części finansowej jak też sprawnościowej) wynikające z przedmiotowej nowelizacji ustawy budżetowej na rok 2023 r. w związku z jej uchwaleniem i ogłoszeniem, zostanie zaprezentowane w Informacji o wykonaniu wydatków w układzie zadaniowym w 2023 r.</w:t>
      </w:r>
    </w:p>
    <w:p w14:paraId="5C292838" w14:textId="77777777" w:rsidR="005E2968" w:rsidRDefault="005E2968" w:rsidP="00EF7560">
      <w:pPr>
        <w:pStyle w:val="Tekst"/>
        <w:spacing w:before="120"/>
      </w:pPr>
    </w:p>
    <w:p w14:paraId="31F8DB9D" w14:textId="77777777" w:rsidR="005E2968" w:rsidRDefault="005E2968" w:rsidP="00EF7560">
      <w:pPr>
        <w:pStyle w:val="Tekst"/>
        <w:spacing w:before="120"/>
        <w:sectPr w:rsidR="005E2968">
          <w:pgSz w:w="11906" w:h="16838"/>
          <w:pgMar w:top="1417" w:right="1417" w:bottom="1417" w:left="1417" w:header="708" w:footer="708" w:gutter="0"/>
          <w:cols w:space="708"/>
          <w:docGrid w:linePitch="360"/>
        </w:sectPr>
      </w:pPr>
    </w:p>
    <w:p w14:paraId="330DE5C3" w14:textId="77777777" w:rsidR="00EF7560" w:rsidRDefault="00EF7560" w:rsidP="00EF7560">
      <w:pPr>
        <w:pStyle w:val="Akapitzlist"/>
        <w:numPr>
          <w:ilvl w:val="0"/>
          <w:numId w:val="5"/>
        </w:numPr>
        <w:ind w:left="426" w:hanging="426"/>
        <w:rPr>
          <w:rFonts w:cs="Arial"/>
          <w:b/>
          <w:sz w:val="24"/>
          <w:szCs w:val="24"/>
        </w:rPr>
      </w:pPr>
      <w:r w:rsidRPr="001053DD">
        <w:rPr>
          <w:rFonts w:cs="Arial"/>
          <w:b/>
          <w:sz w:val="24"/>
          <w:szCs w:val="24"/>
        </w:rPr>
        <w:lastRenderedPageBreak/>
        <w:t>Założenia makroekonomiczne</w:t>
      </w:r>
    </w:p>
    <w:p w14:paraId="37342782" w14:textId="77777777" w:rsidR="00914D99" w:rsidRPr="00914D99" w:rsidRDefault="00914D99" w:rsidP="000C1EA7">
      <w:pPr>
        <w:spacing w:before="360" w:after="0" w:line="340" w:lineRule="atLeast"/>
        <w:ind w:right="125"/>
        <w:rPr>
          <w:rFonts w:ascii="Arial" w:hAnsi="Arial" w:cs="Arial"/>
        </w:rPr>
      </w:pPr>
      <w:r w:rsidRPr="00914D99">
        <w:rPr>
          <w:rFonts w:ascii="Arial" w:hAnsi="Arial" w:cs="Arial"/>
        </w:rPr>
        <w:t xml:space="preserve">W niniejszej nowelizacji ustawy budżetowej wykorzystany został scenariusz makroekonomiczny z </w:t>
      </w:r>
      <w:r w:rsidRPr="00914D99">
        <w:rPr>
          <w:rFonts w:ascii="Arial" w:hAnsi="Arial" w:cs="Arial"/>
          <w:i/>
        </w:rPr>
        <w:t>Wieloletniego Programu Finansowego Państwa na lata 2023-2026.</w:t>
      </w:r>
    </w:p>
    <w:p w14:paraId="66DC6C82" w14:textId="77777777" w:rsidR="00914D99" w:rsidRPr="00914D99" w:rsidRDefault="00914D99" w:rsidP="000C1EA7">
      <w:pPr>
        <w:spacing w:after="96" w:line="340" w:lineRule="atLeast"/>
        <w:ind w:left="5" w:right="124"/>
        <w:rPr>
          <w:rFonts w:ascii="Arial" w:hAnsi="Arial" w:cs="Arial"/>
        </w:rPr>
      </w:pPr>
      <w:r w:rsidRPr="00914D99">
        <w:rPr>
          <w:rFonts w:ascii="Arial" w:hAnsi="Arial" w:cs="Arial"/>
        </w:rPr>
        <w:t xml:space="preserve">W zeszłorocznym uzasadnieniu do </w:t>
      </w:r>
      <w:r w:rsidR="00E01EE9">
        <w:rPr>
          <w:rFonts w:ascii="Arial" w:hAnsi="Arial" w:cs="Arial"/>
        </w:rPr>
        <w:t xml:space="preserve">projektu </w:t>
      </w:r>
      <w:r w:rsidRPr="00914D99">
        <w:rPr>
          <w:rFonts w:ascii="Arial" w:hAnsi="Arial" w:cs="Arial"/>
        </w:rPr>
        <w:t>ustawy budżetowej na rok 2023 (</w:t>
      </w:r>
      <w:r w:rsidRPr="00914D99">
        <w:rPr>
          <w:rFonts w:ascii="Arial" w:hAnsi="Arial" w:cs="Arial"/>
          <w:i/>
        </w:rPr>
        <w:t>Uzasadnienie</w:t>
      </w:r>
      <w:r w:rsidRPr="00914D99">
        <w:rPr>
          <w:rFonts w:ascii="Arial" w:hAnsi="Arial" w:cs="Arial"/>
        </w:rPr>
        <w:t>) założono, że w 2023 r. wzrost realnego PKB wyniesie 1,7</w:t>
      </w:r>
      <w:r>
        <w:rPr>
          <w:rFonts w:ascii="Arial" w:hAnsi="Arial" w:cs="Arial"/>
        </w:rPr>
        <w:t>%, po – szacowanym w </w:t>
      </w:r>
      <w:r w:rsidRPr="00914D99">
        <w:rPr>
          <w:rFonts w:ascii="Arial" w:hAnsi="Arial" w:cs="Arial"/>
        </w:rPr>
        <w:t xml:space="preserve">momencie przygotowania </w:t>
      </w:r>
      <w:r w:rsidRPr="00914D99">
        <w:rPr>
          <w:rFonts w:ascii="Arial" w:hAnsi="Arial" w:cs="Arial"/>
          <w:i/>
        </w:rPr>
        <w:t>Uzasadnienia</w:t>
      </w:r>
      <w:r w:rsidRPr="00914D99">
        <w:rPr>
          <w:rFonts w:ascii="Arial" w:hAnsi="Arial" w:cs="Arial"/>
        </w:rPr>
        <w:t xml:space="preserve"> – wzroście o 4,6% w 2022 r. Przygotowanie scenariusza makroekonomicznego na potrzeby budżetu państwa na rok 2023 odbywało się w warunkach wyjątkowo wysokiej niepewności nie tylko w odniesieniu do przewidywanych tendencji w gospodarce w 2023 r., ale również co do bieżącej sytuacji makroekonomicznej. Prognoza makroekonomiczna sporządzana była bowiem w momencie, kiedy nie znano jeszcze ostatecznie skali i struktury załama</w:t>
      </w:r>
      <w:r w:rsidR="00E01EE9">
        <w:rPr>
          <w:rFonts w:ascii="Arial" w:hAnsi="Arial" w:cs="Arial"/>
        </w:rPr>
        <w:t>nia aktywności gospodarczej w drugiej</w:t>
      </w:r>
      <w:r w:rsidRPr="00914D99">
        <w:rPr>
          <w:rFonts w:ascii="Arial" w:hAnsi="Arial" w:cs="Arial"/>
        </w:rPr>
        <w:t xml:space="preserve"> połowie 2022 r. wynikającej z wojny w Ukrainie, rosnących cen energii napędzających wzrost inflacji oraz skutków zacieśniania polityki monetarnej przez Narodowy Bank Polski. Utrudniało to przewidywanie skali wyhamowania tempa wzrostu realnego PKB w kolejnym roku. </w:t>
      </w:r>
    </w:p>
    <w:p w14:paraId="313B9F9A" w14:textId="435B87B6" w:rsidR="00914D99" w:rsidRPr="00914D99" w:rsidRDefault="00914D99" w:rsidP="000C1EA7">
      <w:pPr>
        <w:spacing w:after="120" w:line="340" w:lineRule="atLeast"/>
        <w:ind w:left="5" w:right="187"/>
        <w:rPr>
          <w:rFonts w:ascii="Arial" w:hAnsi="Arial" w:cs="Arial"/>
        </w:rPr>
      </w:pPr>
      <w:r w:rsidRPr="00914D99">
        <w:rPr>
          <w:rFonts w:ascii="Arial" w:hAnsi="Arial" w:cs="Arial"/>
        </w:rPr>
        <w:t>Wyniki gospodarki w 2022 r. okazały się zbliżone a nawet nieznacznie lepsze od oczekiwań (ostatecznie tempo wzrostu realnego PKB wyniosło 5,1%) jednak perspektywy dla 2023 r. uległy pogorszeniu – zarówno dla Polski, jak i Europy. Według prognoz Komisji Europejskiej (KE) z lutego br. P</w:t>
      </w:r>
      <w:r w:rsidR="002B75AF">
        <w:rPr>
          <w:rFonts w:ascii="Arial" w:hAnsi="Arial" w:cs="Arial"/>
        </w:rPr>
        <w:t xml:space="preserve">KB w UE w 2023 r. zwiększy się </w:t>
      </w:r>
      <w:r w:rsidRPr="00914D99">
        <w:rPr>
          <w:rFonts w:ascii="Arial" w:hAnsi="Arial" w:cs="Arial"/>
        </w:rPr>
        <w:t>o 0,8%. W analogicznej projekcji w lipcu ubiegłego roku KE zakładała, że tempo wzrostu PKB w br. w UE będzie o 0,6 pkt proc. wyższe. Niższa od prognoz dynamika aktywności w krajach UE, a także ogólnie w gospodarce światowej, obrazuje to, że skala spowolnienia wywołanego kryzysem energetycznym jest większa niż pierwotnie zakładano.</w:t>
      </w:r>
    </w:p>
    <w:p w14:paraId="5766B1C2" w14:textId="3FBD8420" w:rsidR="00914D99" w:rsidRPr="00914D99" w:rsidRDefault="00914D99" w:rsidP="000C1EA7">
      <w:pPr>
        <w:spacing w:after="120" w:line="340" w:lineRule="atLeast"/>
        <w:ind w:left="5" w:right="235"/>
        <w:rPr>
          <w:rFonts w:ascii="Arial" w:hAnsi="Arial" w:cs="Arial"/>
        </w:rPr>
      </w:pPr>
      <w:r w:rsidRPr="00914D99">
        <w:rPr>
          <w:rFonts w:ascii="Arial" w:hAnsi="Arial" w:cs="Arial"/>
        </w:rPr>
        <w:t xml:space="preserve">W obecnych warunkach, biorąc pod uwagę również słabe wyniki sprzedaży detalicznej w pierwszych miesiącach br., skorygowano w dół dynamikę konsumpcji prywatnej w br. do 0,7%, wobec 2,2% zakładanych w </w:t>
      </w:r>
      <w:r w:rsidRPr="00914D99">
        <w:rPr>
          <w:rFonts w:ascii="Arial" w:hAnsi="Arial" w:cs="Arial"/>
          <w:i/>
        </w:rPr>
        <w:t>Uzasadnieniu</w:t>
      </w:r>
      <w:r w:rsidR="00E01EE9">
        <w:rPr>
          <w:rFonts w:ascii="Arial" w:hAnsi="Arial" w:cs="Arial"/>
        </w:rPr>
        <w:t xml:space="preserve"> do projektu budżetu na 2023 r.</w:t>
      </w:r>
      <w:r w:rsidRPr="00914D99">
        <w:rPr>
          <w:rFonts w:ascii="Arial" w:hAnsi="Arial" w:cs="Arial"/>
        </w:rPr>
        <w:t xml:space="preserve"> Wyraźny spadek dynamiki spożycia prywatnego w porównaniu do </w:t>
      </w:r>
      <w:r w:rsidR="00A04C97">
        <w:rPr>
          <w:rFonts w:ascii="Arial" w:hAnsi="Arial" w:cs="Arial"/>
        </w:rPr>
        <w:t>lat poprzednich jest związany z </w:t>
      </w:r>
      <w:r w:rsidRPr="00914D99">
        <w:rPr>
          <w:rFonts w:ascii="Arial" w:hAnsi="Arial" w:cs="Arial"/>
        </w:rPr>
        <w:t xml:space="preserve">pogorszeniem się ogólnej sytuacji gospodarczej, pesymizmem konsumentów, nieznacznym spadkiem realnych wynagrodzeń oraz utrzymywaniem się restrykcyjnej polityki monetarnej. W przypadku konsumpcji publicznej założono, że w br. nastąpi jej spowolnienie do 0,4% z 1,0% zakładanych w </w:t>
      </w:r>
      <w:r w:rsidRPr="00914D99">
        <w:rPr>
          <w:rFonts w:ascii="Arial" w:hAnsi="Arial" w:cs="Arial"/>
          <w:i/>
        </w:rPr>
        <w:t>Uzasadnieniu</w:t>
      </w:r>
      <w:r w:rsidRPr="00914D99">
        <w:rPr>
          <w:rFonts w:ascii="Arial" w:hAnsi="Arial" w:cs="Arial"/>
        </w:rPr>
        <w:t xml:space="preserve">. Przewiduje się, że podobnie jak w przypadku konsumpcji prywatnej, również dynamika nakładów inwestycyjnych w br. będzie niższa niż zakładano w </w:t>
      </w:r>
      <w:r w:rsidRPr="00914D99">
        <w:rPr>
          <w:rFonts w:ascii="Arial" w:hAnsi="Arial" w:cs="Arial"/>
          <w:i/>
        </w:rPr>
        <w:t>Uzasadnieniu</w:t>
      </w:r>
      <w:r w:rsidRPr="00914D99">
        <w:rPr>
          <w:rFonts w:ascii="Arial" w:hAnsi="Arial" w:cs="Arial"/>
        </w:rPr>
        <w:t>. Obecnie zakłada się, że inwestycje zwiększą się w br. o 1,1</w:t>
      </w:r>
      <w:r>
        <w:rPr>
          <w:rFonts w:ascii="Arial" w:hAnsi="Arial" w:cs="Arial"/>
        </w:rPr>
        <w:t>%, a nie o </w:t>
      </w:r>
      <w:r w:rsidRPr="00914D99">
        <w:rPr>
          <w:rFonts w:ascii="Arial" w:hAnsi="Arial" w:cs="Arial"/>
        </w:rPr>
        <w:t>6,2% jak zakładano. N</w:t>
      </w:r>
      <w:r w:rsidR="00B3771C">
        <w:rPr>
          <w:rFonts w:ascii="Arial" w:hAnsi="Arial" w:cs="Arial"/>
        </w:rPr>
        <w:t>a ten wynik składa się spadek w </w:t>
      </w:r>
      <w:r w:rsidRPr="00914D99">
        <w:rPr>
          <w:rFonts w:ascii="Arial" w:hAnsi="Arial" w:cs="Arial"/>
        </w:rPr>
        <w:t>ujęciu r/r inwestycji prywatnych, wynikający ze słabej koniunktury, relatywnie wysokiego kosztu kapitału oraz niepewności związanej z sytuacją geopolityczną, który jest kompensowany przez przewidywany wyraźny wzrost inwestycji publicznych. Podobnie jak w </w:t>
      </w:r>
      <w:r w:rsidRPr="00914D99">
        <w:rPr>
          <w:rFonts w:ascii="Arial" w:hAnsi="Arial" w:cs="Arial"/>
          <w:i/>
        </w:rPr>
        <w:t xml:space="preserve">Uzasadnieniu </w:t>
      </w:r>
      <w:r w:rsidRPr="00914D99">
        <w:rPr>
          <w:rFonts w:ascii="Arial" w:hAnsi="Arial" w:cs="Arial"/>
        </w:rPr>
        <w:t>założono, że kontrybucja zmiany</w:t>
      </w:r>
      <w:r w:rsidR="00B3771C">
        <w:rPr>
          <w:rFonts w:ascii="Arial" w:hAnsi="Arial" w:cs="Arial"/>
        </w:rPr>
        <w:t xml:space="preserve"> zapasów do PKB będzie ujemna i </w:t>
      </w:r>
      <w:r w:rsidRPr="00914D99">
        <w:rPr>
          <w:rFonts w:ascii="Arial" w:hAnsi="Arial" w:cs="Arial"/>
        </w:rPr>
        <w:t>wyniesie -1,0 pkt. proc. (w</w:t>
      </w:r>
      <w:r>
        <w:rPr>
          <w:rFonts w:ascii="Arial" w:hAnsi="Arial" w:cs="Arial"/>
        </w:rPr>
        <w:t> </w:t>
      </w:r>
      <w:r w:rsidRPr="00914D99">
        <w:rPr>
          <w:rFonts w:ascii="Arial" w:hAnsi="Arial" w:cs="Arial"/>
        </w:rPr>
        <w:t>porównaniu do -1,3 pkt proc. w </w:t>
      </w:r>
      <w:r w:rsidRPr="00914D99">
        <w:rPr>
          <w:rFonts w:ascii="Arial" w:hAnsi="Arial" w:cs="Arial"/>
          <w:i/>
        </w:rPr>
        <w:t>Uzasadnieniu</w:t>
      </w:r>
      <w:r w:rsidRPr="00914D99">
        <w:rPr>
          <w:rFonts w:ascii="Arial" w:hAnsi="Arial" w:cs="Arial"/>
        </w:rPr>
        <w:t>). W efekcie, p</w:t>
      </w:r>
      <w:r>
        <w:rPr>
          <w:rFonts w:ascii="Arial" w:hAnsi="Arial" w:cs="Arial"/>
        </w:rPr>
        <w:t xml:space="preserve">o </w:t>
      </w:r>
      <w:r>
        <w:rPr>
          <w:rFonts w:ascii="Arial" w:hAnsi="Arial" w:cs="Arial"/>
        </w:rPr>
        <w:lastRenderedPageBreak/>
        <w:t>uwzględnieniu korekt w </w:t>
      </w:r>
      <w:r w:rsidRPr="00914D99">
        <w:rPr>
          <w:rFonts w:ascii="Arial" w:hAnsi="Arial" w:cs="Arial"/>
        </w:rPr>
        <w:t>dół w zakresie konsumpcji prywatnej i publicznej oraz inwestycji zakłada się, że popyt krajowy zmniejszy się w br. o 0,3%, wobe</w:t>
      </w:r>
      <w:r w:rsidR="002B75AF">
        <w:rPr>
          <w:rFonts w:ascii="Arial" w:hAnsi="Arial" w:cs="Arial"/>
        </w:rPr>
        <w:t>c wzrostu o 1,2% przewidywanych</w:t>
      </w:r>
      <w:r w:rsidRPr="00914D99">
        <w:rPr>
          <w:rFonts w:ascii="Arial" w:hAnsi="Arial" w:cs="Arial"/>
        </w:rPr>
        <w:t xml:space="preserve"> w </w:t>
      </w:r>
      <w:r w:rsidRPr="00914D99">
        <w:rPr>
          <w:rFonts w:ascii="Arial" w:hAnsi="Arial" w:cs="Arial"/>
          <w:i/>
        </w:rPr>
        <w:t>Uzasadnieniu</w:t>
      </w:r>
      <w:r w:rsidRPr="00914D99">
        <w:rPr>
          <w:rFonts w:ascii="Arial" w:hAnsi="Arial" w:cs="Arial"/>
        </w:rPr>
        <w:t xml:space="preserve">. </w:t>
      </w:r>
    </w:p>
    <w:p w14:paraId="19BE3F03" w14:textId="77777777" w:rsidR="00914D99" w:rsidRPr="00914D99" w:rsidRDefault="00914D99" w:rsidP="000C1EA7">
      <w:pPr>
        <w:spacing w:after="120" w:line="340" w:lineRule="atLeast"/>
        <w:ind w:left="5" w:right="252"/>
        <w:rPr>
          <w:rFonts w:ascii="Arial" w:hAnsi="Arial" w:cs="Arial"/>
        </w:rPr>
      </w:pPr>
      <w:r w:rsidRPr="00914D99">
        <w:rPr>
          <w:rFonts w:ascii="Arial" w:hAnsi="Arial" w:cs="Arial"/>
        </w:rPr>
        <w:t xml:space="preserve">W przypadku eksportu przewidywana jest nieznacznie wyższa dynamika od tej zakładanej w </w:t>
      </w:r>
      <w:r w:rsidRPr="00914D99">
        <w:rPr>
          <w:rFonts w:ascii="Arial" w:hAnsi="Arial" w:cs="Arial"/>
          <w:i/>
        </w:rPr>
        <w:t>Uzasadnieniu</w:t>
      </w:r>
      <w:r w:rsidRPr="00914D99">
        <w:rPr>
          <w:rFonts w:ascii="Arial" w:hAnsi="Arial" w:cs="Arial"/>
        </w:rPr>
        <w:t xml:space="preserve"> (1,7% względem 1,3%). Z kolei ze względu na wyraźne pogorszenie popytu krajowego zrewidowano prognozę importu i obecn</w:t>
      </w:r>
      <w:r>
        <w:rPr>
          <w:rFonts w:ascii="Arial" w:hAnsi="Arial" w:cs="Arial"/>
        </w:rPr>
        <w:t>ie przewiduje się jego spadek w </w:t>
      </w:r>
      <w:r w:rsidRPr="00914D99">
        <w:rPr>
          <w:rFonts w:ascii="Arial" w:hAnsi="Arial" w:cs="Arial"/>
        </w:rPr>
        <w:t xml:space="preserve">2023 r. o 0,3% (w porównaniu do wzrostu o 0,5% w </w:t>
      </w:r>
      <w:r w:rsidRPr="00914D99">
        <w:rPr>
          <w:rFonts w:ascii="Arial" w:hAnsi="Arial" w:cs="Arial"/>
          <w:i/>
        </w:rPr>
        <w:t>Uzasadnieniu</w:t>
      </w:r>
      <w:r w:rsidRPr="00914D99">
        <w:rPr>
          <w:rFonts w:ascii="Arial" w:hAnsi="Arial" w:cs="Arial"/>
        </w:rPr>
        <w:t xml:space="preserve">). W efekcie wkład eksportu netto we wzrost PKB będzie dodatni i wyniesie 1,2 pkt proc. </w:t>
      </w:r>
    </w:p>
    <w:p w14:paraId="32842045" w14:textId="77777777" w:rsidR="00914D99" w:rsidRPr="00914D99" w:rsidRDefault="00914D99" w:rsidP="000C1EA7">
      <w:pPr>
        <w:spacing w:after="120" w:line="340" w:lineRule="atLeast"/>
        <w:ind w:left="5" w:right="252"/>
        <w:rPr>
          <w:rFonts w:ascii="Arial" w:hAnsi="Arial" w:cs="Arial"/>
        </w:rPr>
      </w:pPr>
      <w:r w:rsidRPr="00914D99">
        <w:rPr>
          <w:rFonts w:ascii="Arial" w:hAnsi="Arial" w:cs="Arial"/>
        </w:rPr>
        <w:t xml:space="preserve">Po uwzględnieniu zmian wszystkich komponentów wydatkowych PKB przewiduje się, że realne PKB zwiększy się w br. o 0,9%, po wzroście o 5,1% zanotowanym w ubiegłym roku, wobec odpowiednio wzrostu o 1,7% po wzroście </w:t>
      </w:r>
      <w:r>
        <w:rPr>
          <w:rFonts w:ascii="Arial" w:hAnsi="Arial" w:cs="Arial"/>
        </w:rPr>
        <w:t>o 4,6% zakładanych w </w:t>
      </w:r>
      <w:r w:rsidRPr="00914D99">
        <w:rPr>
          <w:rFonts w:ascii="Arial" w:hAnsi="Arial" w:cs="Arial"/>
          <w:i/>
        </w:rPr>
        <w:t>Uzasadnieniu</w:t>
      </w:r>
      <w:r w:rsidRPr="00914D99">
        <w:rPr>
          <w:rFonts w:ascii="Arial" w:hAnsi="Arial" w:cs="Arial"/>
        </w:rPr>
        <w:t>. Przewidywane na 2023 r. tempo wzr</w:t>
      </w:r>
      <w:r w:rsidR="00E01EE9">
        <w:rPr>
          <w:rFonts w:ascii="Arial" w:hAnsi="Arial" w:cs="Arial"/>
        </w:rPr>
        <w:t>ostu realnego PKB mieści się</w:t>
      </w:r>
      <w:r>
        <w:rPr>
          <w:rFonts w:ascii="Arial" w:hAnsi="Arial" w:cs="Arial"/>
        </w:rPr>
        <w:t xml:space="preserve"> w </w:t>
      </w:r>
      <w:r w:rsidRPr="00914D99">
        <w:rPr>
          <w:rFonts w:ascii="Arial" w:hAnsi="Arial" w:cs="Arial"/>
        </w:rPr>
        <w:t xml:space="preserve">przedziale prognoz rynkowych i jest zbliżone do mediany prognoz rynkowych (0,8%, Refinitiv, IV ’23), takie samo jak w prognozie NBP (0,9%, </w:t>
      </w:r>
      <w:r w:rsidRPr="00914D99">
        <w:rPr>
          <w:rFonts w:ascii="Arial" w:hAnsi="Arial" w:cs="Arial"/>
          <w:i/>
        </w:rPr>
        <w:t>Raport o inflacji</w:t>
      </w:r>
      <w:r w:rsidRPr="00914D99">
        <w:rPr>
          <w:rFonts w:ascii="Arial" w:hAnsi="Arial" w:cs="Arial"/>
        </w:rPr>
        <w:t xml:space="preserve">, III ’23) oraz wyższe od prognoz KE (0,4%, </w:t>
      </w:r>
      <w:r w:rsidRPr="00914D99">
        <w:rPr>
          <w:rFonts w:ascii="Arial" w:hAnsi="Arial" w:cs="Arial"/>
          <w:i/>
        </w:rPr>
        <w:t>European Economic Forecast, Winter 2023</w:t>
      </w:r>
      <w:r w:rsidRPr="00914D99">
        <w:rPr>
          <w:rFonts w:ascii="Arial" w:hAnsi="Arial" w:cs="Arial"/>
        </w:rPr>
        <w:t xml:space="preserve">). </w:t>
      </w:r>
    </w:p>
    <w:p w14:paraId="11D6CA2A" w14:textId="29BE42A3" w:rsidR="00914D99" w:rsidRPr="00914D99" w:rsidRDefault="00914D99" w:rsidP="000C1EA7">
      <w:pPr>
        <w:spacing w:line="340" w:lineRule="atLeast"/>
        <w:ind w:left="5" w:right="198"/>
        <w:rPr>
          <w:rFonts w:ascii="Arial" w:hAnsi="Arial" w:cs="Arial"/>
        </w:rPr>
      </w:pPr>
      <w:r w:rsidRPr="00914D99">
        <w:rPr>
          <w:rFonts w:ascii="Arial" w:hAnsi="Arial" w:cs="Arial"/>
        </w:rPr>
        <w:t>W momencie przygotowania prognoz do budżetu na rok 2023 przewidywano, że w 2023 r. nastąpi spadek średniorocznej inflacji do 9,8% wobec 13,5% średnio w 2022 r. Zakładano, że spadkowi cen w 2023 r. będzie sprzyjać spadek popytu związany z osłabianiem się wzrostu gospodarczego oraz opóźnione oddziaływanie bardziej restrykcyjnej polityki monetarnej. Prz</w:t>
      </w:r>
      <w:r w:rsidR="00E01EE9">
        <w:rPr>
          <w:rFonts w:ascii="Arial" w:hAnsi="Arial" w:cs="Arial"/>
        </w:rPr>
        <w:t>ebieg procesów inflacyjnych w drugiej</w:t>
      </w:r>
      <w:r w:rsidRPr="00914D99">
        <w:rPr>
          <w:rFonts w:ascii="Arial" w:hAnsi="Arial" w:cs="Arial"/>
        </w:rPr>
        <w:t xml:space="preserve"> połowie 2022 r. oraz pierwszych miesiącach br. wskazuje jednak na konieczność podwyższenia prognozy inflacji na 2023 r. do 12,0% średnio w roku. Pomimo, że począwszy od marca br. rozpoczął się okres wyhamowania inflacji to jej szczyt okazał się nieco wyższy niż początkowo zakładano. Przewidywane obecnie na 2023 r. tempo wzrostu cen towarów i usług konsumpcyjnych mieści się w przedziale prognoz rynkowych i jest nieznacznie wyższe od prognozy NBP (11,9%, </w:t>
      </w:r>
      <w:r w:rsidRPr="00914D99">
        <w:rPr>
          <w:rFonts w:ascii="Arial" w:hAnsi="Arial" w:cs="Arial"/>
          <w:i/>
        </w:rPr>
        <w:t>Raport o inflacji</w:t>
      </w:r>
      <w:r w:rsidRPr="00914D99">
        <w:rPr>
          <w:rFonts w:ascii="Arial" w:hAnsi="Arial" w:cs="Arial"/>
        </w:rPr>
        <w:t>, III ’23), prognozy KE</w:t>
      </w:r>
      <w:r w:rsidRPr="00914D99">
        <w:rPr>
          <w:rStyle w:val="Odwoanieprzypisudolnego"/>
          <w:rFonts w:ascii="Arial" w:hAnsi="Arial" w:cs="Arial"/>
        </w:rPr>
        <w:footnoteReference w:id="2"/>
      </w:r>
      <w:r w:rsidRPr="00914D99">
        <w:rPr>
          <w:rFonts w:ascii="Arial" w:hAnsi="Arial" w:cs="Arial"/>
        </w:rPr>
        <w:t xml:space="preserve"> (11,7%, </w:t>
      </w:r>
      <w:r w:rsidRPr="00914D99">
        <w:rPr>
          <w:rFonts w:ascii="Arial" w:hAnsi="Arial" w:cs="Arial"/>
          <w:i/>
        </w:rPr>
        <w:t xml:space="preserve">European Economic Forecast, </w:t>
      </w:r>
      <w:r w:rsidRPr="00914D99">
        <w:rPr>
          <w:rFonts w:ascii="Arial" w:hAnsi="Arial" w:cs="Arial"/>
          <w:i/>
          <w:spacing w:val="-6"/>
        </w:rPr>
        <w:t>Winter 2023</w:t>
      </w:r>
      <w:r w:rsidRPr="00914D99">
        <w:rPr>
          <w:rFonts w:ascii="Arial" w:hAnsi="Arial" w:cs="Arial"/>
          <w:spacing w:val="-6"/>
        </w:rPr>
        <w:t>) oraz nieznacznie niższe od mediany prognoz rynkowych (12,7%, Refinitiv, IV ’23).</w:t>
      </w:r>
      <w:r w:rsidRPr="00914D99">
        <w:rPr>
          <w:rFonts w:ascii="Arial" w:hAnsi="Arial" w:cs="Arial"/>
        </w:rPr>
        <w:t xml:space="preserve"> </w:t>
      </w:r>
    </w:p>
    <w:p w14:paraId="78167197" w14:textId="1AFC1894" w:rsidR="00914D99" w:rsidRPr="00914D99" w:rsidRDefault="00914D99" w:rsidP="000C1EA7">
      <w:pPr>
        <w:spacing w:line="340" w:lineRule="atLeast"/>
        <w:ind w:left="5" w:right="190"/>
        <w:rPr>
          <w:rFonts w:ascii="Arial" w:hAnsi="Arial" w:cs="Arial"/>
        </w:rPr>
      </w:pPr>
      <w:r w:rsidRPr="00914D99">
        <w:rPr>
          <w:rFonts w:ascii="Arial" w:hAnsi="Arial" w:cs="Arial"/>
        </w:rPr>
        <w:t>Scenariusz zakłada, że pomimo spowolnienia koniunktury utrzyma się dobra sytuacja na rynku pracy w horyzoncie bieżącego roku. W bieżącym roku przeciętne zatrudnienie w gospodarce narodowej wzrośnie o 0,6% (po wzroście o 2,1% w 2022 r.), a stopa bezrobocia rejestrowanego na koniec roku wyniesie 5,5%. W</w:t>
      </w:r>
      <w:r w:rsidRPr="00914D99">
        <w:rPr>
          <w:rFonts w:ascii="Arial" w:hAnsi="Arial" w:cs="Arial"/>
          <w:i/>
        </w:rPr>
        <w:t xml:space="preserve"> Uzasadnieniu</w:t>
      </w:r>
      <w:r w:rsidR="00E01EE9">
        <w:rPr>
          <w:rFonts w:ascii="Arial" w:hAnsi="Arial" w:cs="Arial"/>
        </w:rPr>
        <w:t xml:space="preserve"> zakładano, ż</w:t>
      </w:r>
      <w:r w:rsidRPr="00914D99">
        <w:rPr>
          <w:rFonts w:ascii="Arial" w:hAnsi="Arial" w:cs="Arial"/>
        </w:rPr>
        <w:t xml:space="preserve">e stopa bezrobocia rejestrowanego na koniec 2023 r. wyniesie 5,4%. Względna odporność rynku pracy na pogorszenie sytuacji gospodarczej przekłada się jednak na wyższą dynamikę wynagrodzeń w gospodarce narodowej w br. Obecnie zakłada się, że przeciętna </w:t>
      </w:r>
      <w:r w:rsidRPr="00914D99">
        <w:rPr>
          <w:rFonts w:ascii="Arial" w:hAnsi="Arial" w:cs="Arial"/>
        </w:rPr>
        <w:lastRenderedPageBreak/>
        <w:t>płaca w całej gospodarce zwiększy się w br. o 11,9%, wobec 10,1</w:t>
      </w:r>
      <w:r>
        <w:rPr>
          <w:rFonts w:ascii="Arial" w:hAnsi="Arial" w:cs="Arial"/>
        </w:rPr>
        <w:t>% zakładanych w </w:t>
      </w:r>
      <w:r w:rsidRPr="00914D99">
        <w:rPr>
          <w:rFonts w:ascii="Arial" w:hAnsi="Arial" w:cs="Arial"/>
          <w:i/>
        </w:rPr>
        <w:t>Uzasadnieniu</w:t>
      </w:r>
      <w:r w:rsidR="002B75AF">
        <w:rPr>
          <w:rFonts w:ascii="Arial" w:hAnsi="Arial" w:cs="Arial"/>
        </w:rPr>
        <w:t xml:space="preserve">. </w:t>
      </w:r>
    </w:p>
    <w:p w14:paraId="1010A0E0" w14:textId="77777777" w:rsidR="00914D99" w:rsidRPr="00914D99" w:rsidRDefault="00914D99" w:rsidP="000C1EA7">
      <w:pPr>
        <w:spacing w:line="340" w:lineRule="atLeast"/>
        <w:ind w:left="5" w:right="308"/>
        <w:rPr>
          <w:rFonts w:ascii="Arial" w:hAnsi="Arial" w:cs="Arial"/>
        </w:rPr>
      </w:pPr>
      <w:r w:rsidRPr="00914D99">
        <w:rPr>
          <w:rFonts w:ascii="Arial" w:hAnsi="Arial" w:cs="Arial"/>
        </w:rPr>
        <w:t xml:space="preserve">Silniejsza dynamika eksportu niż importu oraz poprawa </w:t>
      </w:r>
      <w:r w:rsidRPr="00914D99">
        <w:rPr>
          <w:rFonts w:ascii="Arial" w:hAnsi="Arial" w:cs="Arial"/>
          <w:i/>
        </w:rPr>
        <w:t>terms of trade</w:t>
      </w:r>
      <w:r w:rsidRPr="00914D99">
        <w:rPr>
          <w:rFonts w:ascii="Arial" w:hAnsi="Arial" w:cs="Arial"/>
        </w:rPr>
        <w:t xml:space="preserve"> (m.in. w efekcie spadku cen ropy naftowej i surowców energetycznych), przełoży się na zmniejszenie deficytu salda obrotów towarowych w 2023 r. co przyczyni się do zmniejszenia deficytu na rachunku bieżącym z -3,0% PKB w 2022 r. do -1,0% PKB w 2023 r. (wobec odpowiednio</w:t>
      </w:r>
      <w:r w:rsidR="007A3F8C">
        <w:rPr>
          <w:rFonts w:ascii="Arial" w:hAnsi="Arial" w:cs="Arial"/>
        </w:rPr>
        <w:t xml:space="preserve"> </w:t>
      </w:r>
      <w:r w:rsidRPr="00914D99">
        <w:rPr>
          <w:rFonts w:ascii="Arial" w:hAnsi="Arial" w:cs="Arial"/>
        </w:rPr>
        <w:t xml:space="preserve">-4,3% oraz -2,9% szacowanych </w:t>
      </w:r>
      <w:r w:rsidRPr="00914D99">
        <w:rPr>
          <w:rFonts w:ascii="Arial" w:hAnsi="Arial" w:cs="Arial"/>
          <w:i/>
        </w:rPr>
        <w:t>Uzasadnieniu</w:t>
      </w:r>
      <w:r w:rsidRPr="00914D99">
        <w:rPr>
          <w:rFonts w:ascii="Arial" w:hAnsi="Arial" w:cs="Arial"/>
        </w:rPr>
        <w:t xml:space="preserve">). </w:t>
      </w:r>
    </w:p>
    <w:p w14:paraId="68F85DF5" w14:textId="00E6B65B" w:rsidR="009D4976" w:rsidRPr="00712D37" w:rsidRDefault="00914D99" w:rsidP="000C1EA7">
      <w:pPr>
        <w:spacing w:line="340" w:lineRule="atLeast"/>
        <w:ind w:left="5" w:right="124"/>
        <w:rPr>
          <w:rFonts w:ascii="Arial" w:hAnsi="Arial" w:cs="Arial"/>
        </w:rPr>
      </w:pPr>
      <w:r w:rsidRPr="00914D99">
        <w:rPr>
          <w:rFonts w:ascii="Arial" w:hAnsi="Arial" w:cs="Arial"/>
        </w:rPr>
        <w:t>Obecny scenariusz w zakresie stóp procentowych NBP przyjmuje oczekiwania rynkowe (mediana, Refinitiv, II ‘23), według których Rada Polityki Pieniężnej rozpocznie cykl obniżek stóp procentowych w 2024 r. Prognoza kursu walutowego na br. ma charakter techniczny</w:t>
      </w:r>
      <w:r w:rsidRPr="00914D99">
        <w:rPr>
          <w:rFonts w:ascii="Arial" w:hAnsi="Arial" w:cs="Arial"/>
          <w:vertAlign w:val="superscript"/>
        </w:rPr>
        <w:footnoteReference w:id="3"/>
      </w:r>
      <w:r w:rsidR="002B75AF">
        <w:rPr>
          <w:rFonts w:ascii="Arial" w:hAnsi="Arial" w:cs="Arial"/>
        </w:rPr>
        <w:t>. Średni w roku kurs euro</w:t>
      </w:r>
      <w:r w:rsidRPr="00914D99">
        <w:rPr>
          <w:rFonts w:ascii="Arial" w:hAnsi="Arial" w:cs="Arial"/>
        </w:rPr>
        <w:t xml:space="preserve"> w złotych (EUR/PLN) przyjęto w wysokości 4,70, a kurs dolara amerykańskiego w złot</w:t>
      </w:r>
      <w:r w:rsidR="00712D37">
        <w:rPr>
          <w:rFonts w:ascii="Arial" w:hAnsi="Arial" w:cs="Arial"/>
        </w:rPr>
        <w:t>ych (USD/PLN) na poziomie 4,43.</w:t>
      </w:r>
    </w:p>
    <w:p w14:paraId="1B395CC5" w14:textId="77777777" w:rsidR="00182E70" w:rsidRDefault="00182E70" w:rsidP="005E2968">
      <w:pPr>
        <w:pStyle w:val="Akapitzlist"/>
        <w:numPr>
          <w:ilvl w:val="0"/>
          <w:numId w:val="5"/>
        </w:numPr>
        <w:spacing w:before="360"/>
        <w:ind w:left="425" w:hanging="425"/>
        <w:rPr>
          <w:rFonts w:cs="Arial"/>
          <w:b/>
          <w:sz w:val="24"/>
          <w:szCs w:val="24"/>
        </w:rPr>
      </w:pPr>
      <w:r w:rsidRPr="001053DD">
        <w:rPr>
          <w:rFonts w:cs="Arial"/>
          <w:b/>
          <w:sz w:val="24"/>
          <w:szCs w:val="24"/>
        </w:rPr>
        <w:t>Stabilizująca reguła wydatkowa</w:t>
      </w:r>
    </w:p>
    <w:p w14:paraId="02A8A01A" w14:textId="05DFB2F5" w:rsidR="00C05D23" w:rsidRPr="00C05D23" w:rsidRDefault="00C05D23" w:rsidP="000C1EA7">
      <w:pPr>
        <w:autoSpaceDE w:val="0"/>
        <w:autoSpaceDN w:val="0"/>
        <w:adjustRightInd w:val="0"/>
        <w:spacing w:before="360" w:after="120" w:line="340" w:lineRule="atLeast"/>
        <w:rPr>
          <w:rFonts w:ascii="Arial" w:hAnsi="Arial" w:cs="Arial"/>
        </w:rPr>
      </w:pPr>
      <w:r w:rsidRPr="00C05D23">
        <w:rPr>
          <w:rFonts w:ascii="Arial" w:hAnsi="Arial" w:cs="Arial"/>
        </w:rPr>
        <w:t>Projekt ustawy zmieniającej ustawę budżetową na</w:t>
      </w:r>
      <w:r>
        <w:rPr>
          <w:rFonts w:ascii="Arial" w:hAnsi="Arial" w:cs="Arial"/>
        </w:rPr>
        <w:t xml:space="preserve"> rok 2023 został przygotowany z </w:t>
      </w:r>
      <w:r w:rsidRPr="00C05D23">
        <w:rPr>
          <w:rFonts w:ascii="Arial" w:hAnsi="Arial" w:cs="Arial"/>
        </w:rPr>
        <w:t xml:space="preserve">zastosowaniem stabilizującej reguły wydatkowej wprowadzonej do polskiego porządku prawnego ustawą z dnia 8 listopada 2013 r. o zmianie ustawy o finansach publicznych oraz niektórych innych ustaw (Dz. U. poz. 1646, z późn. zm.). </w:t>
      </w:r>
    </w:p>
    <w:p w14:paraId="1A12B135" w14:textId="77777777" w:rsidR="00C05D23" w:rsidRPr="00C05D23" w:rsidRDefault="00C05D23" w:rsidP="000C1EA7">
      <w:pPr>
        <w:autoSpaceDE w:val="0"/>
        <w:autoSpaceDN w:val="0"/>
        <w:adjustRightInd w:val="0"/>
        <w:spacing w:before="120" w:after="120" w:line="340" w:lineRule="atLeast"/>
        <w:rPr>
          <w:rFonts w:ascii="Arial" w:hAnsi="Arial" w:cs="Arial"/>
        </w:rPr>
      </w:pPr>
      <w:r w:rsidRPr="00C05D23">
        <w:rPr>
          <w:rFonts w:ascii="Arial" w:hAnsi="Arial" w:cs="Arial"/>
        </w:rPr>
        <w:t xml:space="preserve">Zakresem stabilizującej reguły wydatkowej objęte są wydatki: </w:t>
      </w:r>
    </w:p>
    <w:p w14:paraId="5A24F4BA"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organów władzy publicznej, w tym organów administracji rządowej, organów kontroli państwowej i ochrony prawa oraz sądów i trybunałów, </w:t>
      </w:r>
    </w:p>
    <w:p w14:paraId="56CD766F"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jednostek samorządu terytorialnego i ich związków, </w:t>
      </w:r>
    </w:p>
    <w:p w14:paraId="23456BA0"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związków metropolitalnych, </w:t>
      </w:r>
    </w:p>
    <w:p w14:paraId="393E90CC"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jednostek budżetowych, </w:t>
      </w:r>
    </w:p>
    <w:p w14:paraId="3045BA60"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państwowych funduszy celowych, </w:t>
      </w:r>
    </w:p>
    <w:p w14:paraId="7E0BCDA9"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funduszy zarządzanych przez Zakład Ubezpieczeń Społecznych oraz Kasy Rolniczego Ubezpieczenia Społecznego i funduszy zarządzanych przez Prezesa Kasy Rolniczego Ubezpieczenia Społecznego, </w:t>
      </w:r>
    </w:p>
    <w:p w14:paraId="25DDD5F7"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Narodowego Funduszu Ochrony Środowiska i Gospodarki Wodnej,</w:t>
      </w:r>
    </w:p>
    <w:p w14:paraId="4A662B16"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Narodowego Funduszu Zdrowia, </w:t>
      </w:r>
    </w:p>
    <w:p w14:paraId="4C8FDA56"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Bankowego Funduszu Gwarancyjnego, </w:t>
      </w:r>
    </w:p>
    <w:p w14:paraId="45B7EBEF" w14:textId="77777777" w:rsidR="00C05D23" w:rsidRPr="00C05D23" w:rsidRDefault="00C05D23" w:rsidP="000C1EA7">
      <w:pPr>
        <w:numPr>
          <w:ilvl w:val="0"/>
          <w:numId w:val="6"/>
        </w:numPr>
        <w:autoSpaceDE w:val="0"/>
        <w:autoSpaceDN w:val="0"/>
        <w:adjustRightInd w:val="0"/>
        <w:spacing w:before="120" w:after="120" w:line="340" w:lineRule="atLeast"/>
        <w:ind w:left="426" w:hanging="426"/>
        <w:contextualSpacing/>
        <w:rPr>
          <w:rFonts w:ascii="Arial" w:hAnsi="Arial" w:cs="Arial"/>
        </w:rPr>
      </w:pPr>
      <w:r w:rsidRPr="00C05D23">
        <w:rPr>
          <w:rFonts w:ascii="Arial" w:hAnsi="Arial" w:cs="Arial"/>
        </w:rPr>
        <w:t xml:space="preserve">funduszy utworzonych, powierzonych lub przekazanych Bankowi Gospodarstwa Krajowego, </w:t>
      </w:r>
    </w:p>
    <w:p w14:paraId="3BE30FBC" w14:textId="77777777" w:rsidR="00C05D23" w:rsidRPr="00C05D23" w:rsidRDefault="00C05D23" w:rsidP="000C1EA7">
      <w:pPr>
        <w:autoSpaceDE w:val="0"/>
        <w:autoSpaceDN w:val="0"/>
        <w:adjustRightInd w:val="0"/>
        <w:spacing w:before="120" w:after="120" w:line="340" w:lineRule="atLeast"/>
        <w:rPr>
          <w:rFonts w:ascii="Arial" w:hAnsi="Arial" w:cs="Arial"/>
        </w:rPr>
      </w:pPr>
      <w:r w:rsidRPr="00C05D23">
        <w:rPr>
          <w:rFonts w:ascii="Arial" w:hAnsi="Arial" w:cs="Arial"/>
        </w:rPr>
        <w:t xml:space="preserve">z wyłączeniem: </w:t>
      </w:r>
    </w:p>
    <w:p w14:paraId="10DF65F5" w14:textId="77777777" w:rsidR="00C05D23" w:rsidRPr="00C05D23" w:rsidRDefault="00C05D23" w:rsidP="000C1EA7">
      <w:pPr>
        <w:autoSpaceDE w:val="0"/>
        <w:autoSpaceDN w:val="0"/>
        <w:adjustRightInd w:val="0"/>
        <w:spacing w:before="120" w:after="120" w:line="340" w:lineRule="atLeast"/>
        <w:rPr>
          <w:rFonts w:ascii="Arial" w:hAnsi="Arial" w:cs="Arial"/>
        </w:rPr>
      </w:pPr>
      <w:r w:rsidRPr="00C05D23">
        <w:rPr>
          <w:rFonts w:ascii="Arial" w:hAnsi="Arial" w:cs="Arial"/>
        </w:rPr>
        <w:lastRenderedPageBreak/>
        <w:t xml:space="preserve">wydatków finansowanych z budżetu środków europejskich i środków, o których mowa </w:t>
      </w:r>
      <w:r w:rsidRPr="00C05D23">
        <w:rPr>
          <w:rFonts w:ascii="Arial" w:hAnsi="Arial" w:cs="Arial"/>
        </w:rPr>
        <w:br/>
        <w:t xml:space="preserve">w art. 5 ust. 1 pkt 2 ustawy o finansach publicznych. </w:t>
      </w:r>
    </w:p>
    <w:p w14:paraId="6557267E" w14:textId="77777777" w:rsidR="00C05D23" w:rsidRPr="00C05D23" w:rsidRDefault="00C05D23" w:rsidP="000C1EA7">
      <w:pPr>
        <w:autoSpaceDE w:val="0"/>
        <w:autoSpaceDN w:val="0"/>
        <w:adjustRightInd w:val="0"/>
        <w:spacing w:before="120" w:after="120" w:line="340" w:lineRule="atLeast"/>
        <w:rPr>
          <w:rFonts w:ascii="Arial" w:hAnsi="Arial" w:cs="Arial"/>
        </w:rPr>
      </w:pPr>
      <w:r w:rsidRPr="00C05D23">
        <w:rPr>
          <w:rFonts w:ascii="Arial" w:hAnsi="Arial" w:cs="Arial"/>
        </w:rPr>
        <w:t>W związku ze spełnieniem kryteriów zawartych w art. 112d ustawy o finansach publicznych, na rok 2020 czasowo zawieszono stabilizującą regułę wydatkową, zaś w 2021 roku zastosowano po raz pierwszy klauzulę powrotu do reguły określoną w art. 112d ust. 3 ustawy o finansach publicznych, która obowiązywała również w 2022 r. Prognozowane w uzasadnieniu do projektu ustawy zmieniającej ustawę budżetową na 2023 r. wskaźniki makroekonomiczne implikują stosowanie w 2023 roku reg</w:t>
      </w:r>
      <w:r>
        <w:rPr>
          <w:rFonts w:ascii="Arial" w:hAnsi="Arial" w:cs="Arial"/>
        </w:rPr>
        <w:t>uły zgodnie z formułą zawartą w </w:t>
      </w:r>
      <w:r w:rsidRPr="00C05D23">
        <w:rPr>
          <w:rFonts w:ascii="Arial" w:hAnsi="Arial" w:cs="Arial"/>
        </w:rPr>
        <w:t xml:space="preserve">art. 112aa ustawy o finansach publicznych. </w:t>
      </w:r>
    </w:p>
    <w:p w14:paraId="5B6C9C58" w14:textId="77777777" w:rsidR="00C05D23" w:rsidRPr="00C05D23" w:rsidRDefault="00C05D23" w:rsidP="000C1EA7">
      <w:pPr>
        <w:autoSpaceDE w:val="0"/>
        <w:autoSpaceDN w:val="0"/>
        <w:adjustRightInd w:val="0"/>
        <w:spacing w:before="120" w:after="120" w:line="340" w:lineRule="atLeast"/>
        <w:rPr>
          <w:rFonts w:ascii="Arial" w:hAnsi="Arial" w:cs="Arial"/>
          <w:color w:val="000000" w:themeColor="text1"/>
        </w:rPr>
      </w:pPr>
      <w:r w:rsidRPr="00C05D23">
        <w:rPr>
          <w:rFonts w:ascii="Arial" w:hAnsi="Arial" w:cs="Arial"/>
        </w:rPr>
        <w:t xml:space="preserve">Uaktualniona kwota planowanych wydatków SRW na rok 2023, obliczona zgodnie z art. 112aa ust. 1 ustawy </w:t>
      </w:r>
      <w:r w:rsidRPr="00C05D23">
        <w:rPr>
          <w:rFonts w:ascii="Arial" w:hAnsi="Arial" w:cs="Arial"/>
          <w:color w:val="000000" w:themeColor="text1"/>
        </w:rPr>
        <w:t xml:space="preserve">o finansach publicznych z uwzględnieniem art. 3 ustawy z dnia 23 czerwca 2022 r. o zmianie ustawy o finansach publicznych oraz ustawy - Prawo ochrony środowiska, </w:t>
      </w:r>
      <w:r w:rsidRPr="00B3771C">
        <w:rPr>
          <w:rFonts w:ascii="Arial" w:hAnsi="Arial" w:cs="Arial"/>
          <w:color w:val="000000" w:themeColor="text1"/>
        </w:rPr>
        <w:t xml:space="preserve">wynosi </w:t>
      </w:r>
      <w:r w:rsidR="009E36E4" w:rsidRPr="00B3771C">
        <w:rPr>
          <w:rFonts w:ascii="Arial" w:hAnsi="Arial" w:cs="Arial"/>
          <w:color w:val="000000" w:themeColor="text1"/>
        </w:rPr>
        <w:t>1.373.371.055</w:t>
      </w:r>
      <w:r w:rsidRPr="00B3771C">
        <w:rPr>
          <w:rFonts w:ascii="Arial" w:hAnsi="Arial" w:cs="Arial"/>
          <w:color w:val="000000" w:themeColor="text1"/>
        </w:rPr>
        <w:t xml:space="preserve"> tys. zł.</w:t>
      </w:r>
      <w:r w:rsidRPr="00C05D23">
        <w:rPr>
          <w:rFonts w:ascii="Arial" w:hAnsi="Arial" w:cs="Arial"/>
          <w:color w:val="000000" w:themeColor="text1"/>
        </w:rPr>
        <w:t xml:space="preserve"> Kwota ta została ustalona w oparciu o: </w:t>
      </w:r>
    </w:p>
    <w:p w14:paraId="70B6BD5F" w14:textId="77777777" w:rsidR="00C05D23" w:rsidRPr="00B21F50" w:rsidRDefault="00C05D23" w:rsidP="000C1EA7">
      <w:pPr>
        <w:numPr>
          <w:ilvl w:val="0"/>
          <w:numId w:val="7"/>
        </w:numPr>
        <w:autoSpaceDE w:val="0"/>
        <w:autoSpaceDN w:val="0"/>
        <w:adjustRightInd w:val="0"/>
        <w:spacing w:before="120" w:after="120" w:line="340" w:lineRule="atLeast"/>
        <w:ind w:left="426" w:hanging="426"/>
        <w:rPr>
          <w:rFonts w:ascii="Arial" w:hAnsi="Arial" w:cs="Arial"/>
          <w:color w:val="000000" w:themeColor="text1"/>
        </w:rPr>
      </w:pPr>
      <w:r w:rsidRPr="00C05D23">
        <w:rPr>
          <w:rFonts w:ascii="Arial" w:hAnsi="Arial" w:cs="Arial"/>
          <w:color w:val="000000" w:themeColor="text1"/>
        </w:rPr>
        <w:t xml:space="preserve">kwotę startową za rok 2022 określoną w art. 3 ust. 1 ustawy z dnia 23 czerwca 2022 r. </w:t>
      </w:r>
      <w:r w:rsidRPr="00C05D23">
        <w:rPr>
          <w:rFonts w:ascii="Arial" w:hAnsi="Arial" w:cs="Arial"/>
          <w:color w:val="000000" w:themeColor="text1"/>
        </w:rPr>
        <w:br/>
        <w:t xml:space="preserve">o </w:t>
      </w:r>
      <w:r w:rsidRPr="00B21F50">
        <w:rPr>
          <w:rFonts w:ascii="Arial" w:hAnsi="Arial" w:cs="Arial"/>
          <w:color w:val="000000" w:themeColor="text1"/>
        </w:rPr>
        <w:t xml:space="preserve">zmianie ustawy o finansach publicznych oraz ustawy - Prawo ochrony środowiska, uaktualnioną zgodnie z mechanizmem korekty opisanym w art. 3 ust. 2 tej ustawy, która wynosi 1.157.166.145 tys. zł, </w:t>
      </w:r>
    </w:p>
    <w:p w14:paraId="2D8BEAD0" w14:textId="77777777" w:rsidR="00C05D23" w:rsidRPr="00C05D23" w:rsidRDefault="00C05D23" w:rsidP="000C1EA7">
      <w:pPr>
        <w:numPr>
          <w:ilvl w:val="0"/>
          <w:numId w:val="7"/>
        </w:numPr>
        <w:autoSpaceDE w:val="0"/>
        <w:autoSpaceDN w:val="0"/>
        <w:adjustRightInd w:val="0"/>
        <w:spacing w:before="120" w:after="120" w:line="340" w:lineRule="atLeast"/>
        <w:ind w:left="426" w:hanging="426"/>
        <w:rPr>
          <w:rFonts w:ascii="Arial" w:hAnsi="Arial" w:cs="Arial"/>
          <w:color w:val="000000" w:themeColor="text1"/>
        </w:rPr>
      </w:pPr>
      <w:r w:rsidRPr="00B21F50">
        <w:rPr>
          <w:rFonts w:ascii="Arial" w:hAnsi="Arial" w:cs="Arial"/>
          <w:color w:val="000000" w:themeColor="text1"/>
        </w:rPr>
        <w:t>ogłoszone przez Prezesa Głównego Urzędu Statystycznego roczne dynamiki wartości produktu krajowego brutto</w:t>
      </w:r>
      <w:r w:rsidRPr="00C05D23">
        <w:rPr>
          <w:rFonts w:ascii="Arial" w:hAnsi="Arial" w:cs="Arial"/>
          <w:color w:val="000000" w:themeColor="text1"/>
        </w:rPr>
        <w:t xml:space="preserve"> w cenach stałych za lata 2016–2021, skorygowane w sposób określony w art. 112d ust. 6 ustawy o finansach publicznych,</w:t>
      </w:r>
    </w:p>
    <w:p w14:paraId="6BBBE66E" w14:textId="77777777" w:rsidR="00C05D23" w:rsidRPr="00C05D23" w:rsidRDefault="00C05D23" w:rsidP="000C1EA7">
      <w:pPr>
        <w:numPr>
          <w:ilvl w:val="0"/>
          <w:numId w:val="7"/>
        </w:numPr>
        <w:autoSpaceDE w:val="0"/>
        <w:autoSpaceDN w:val="0"/>
        <w:adjustRightInd w:val="0"/>
        <w:spacing w:before="120" w:after="120" w:line="340" w:lineRule="atLeast"/>
        <w:ind w:left="426" w:hanging="426"/>
        <w:rPr>
          <w:rFonts w:ascii="Arial" w:hAnsi="Arial" w:cs="Arial"/>
          <w:color w:val="000000" w:themeColor="text1"/>
        </w:rPr>
      </w:pPr>
      <w:r w:rsidRPr="00C05D23">
        <w:rPr>
          <w:rFonts w:ascii="Arial" w:hAnsi="Arial" w:cs="Arial"/>
          <w:color w:val="000000" w:themeColor="text1"/>
        </w:rPr>
        <w:t xml:space="preserve">roczną dynamikę wartości produktu krajowego brutto w cenach stałych na lata 2022-2023, o której mowa w art. 112aa ust. 1, prognozowaną w uzasadnieniu do projektu ustawy zmieniającej ustawę budżetową na rok 2023, </w:t>
      </w:r>
    </w:p>
    <w:p w14:paraId="228404FF" w14:textId="77777777" w:rsidR="00C05D23" w:rsidRPr="00C05D23" w:rsidRDefault="00C05D23" w:rsidP="000C1EA7">
      <w:pPr>
        <w:numPr>
          <w:ilvl w:val="0"/>
          <w:numId w:val="7"/>
        </w:numPr>
        <w:autoSpaceDE w:val="0"/>
        <w:autoSpaceDN w:val="0"/>
        <w:adjustRightInd w:val="0"/>
        <w:spacing w:before="120" w:after="120" w:line="340" w:lineRule="atLeast"/>
        <w:ind w:left="426" w:hanging="426"/>
        <w:rPr>
          <w:rFonts w:ascii="Arial" w:hAnsi="Arial" w:cs="Arial"/>
          <w:color w:val="000000" w:themeColor="text1"/>
        </w:rPr>
      </w:pPr>
      <w:r w:rsidRPr="00C05D23">
        <w:rPr>
          <w:rFonts w:ascii="Arial" w:hAnsi="Arial" w:cs="Arial"/>
          <w:color w:val="000000" w:themeColor="text1"/>
        </w:rPr>
        <w:t>średnioroczny wskaźnik cen towarów i usług, o którym mowa w art. 112aa ust. 1 na lata 2022-2023, prognozowany w uzasadnieniu do projektu ustawy zmieniającej ustawę budżetową na rok 2023,</w:t>
      </w:r>
    </w:p>
    <w:p w14:paraId="3DC06801" w14:textId="77777777" w:rsidR="00C05D23" w:rsidRPr="00C05D23" w:rsidRDefault="00C05D23" w:rsidP="000C1EA7">
      <w:pPr>
        <w:numPr>
          <w:ilvl w:val="0"/>
          <w:numId w:val="7"/>
        </w:numPr>
        <w:autoSpaceDE w:val="0"/>
        <w:autoSpaceDN w:val="0"/>
        <w:adjustRightInd w:val="0"/>
        <w:spacing w:before="120" w:after="120" w:line="340" w:lineRule="atLeast"/>
        <w:ind w:left="426" w:hanging="426"/>
        <w:rPr>
          <w:rFonts w:ascii="Arial" w:hAnsi="Arial" w:cs="Arial"/>
          <w:color w:val="000000" w:themeColor="text1"/>
        </w:rPr>
      </w:pPr>
      <w:r w:rsidRPr="00C05D23">
        <w:rPr>
          <w:rFonts w:ascii="Arial" w:hAnsi="Arial" w:cs="Arial"/>
          <w:color w:val="000000" w:themeColor="text1"/>
        </w:rPr>
        <w:t xml:space="preserve">wskaźnik średniookresowej dynamiki wartości produktu krajowego brutto w cenach stałych WPKB2023 wynoszący 1,0376, </w:t>
      </w:r>
    </w:p>
    <w:p w14:paraId="1962BF23" w14:textId="77777777" w:rsidR="00C05D23" w:rsidRPr="00C05D23" w:rsidRDefault="00C05D23" w:rsidP="000C1EA7">
      <w:pPr>
        <w:numPr>
          <w:ilvl w:val="0"/>
          <w:numId w:val="7"/>
        </w:numPr>
        <w:autoSpaceDE w:val="0"/>
        <w:autoSpaceDN w:val="0"/>
        <w:adjustRightInd w:val="0"/>
        <w:spacing w:before="120" w:after="120" w:line="340" w:lineRule="atLeast"/>
        <w:ind w:left="426" w:hanging="426"/>
        <w:rPr>
          <w:rFonts w:ascii="Arial" w:hAnsi="Arial" w:cs="Arial"/>
          <w:color w:val="000000" w:themeColor="text1"/>
        </w:rPr>
      </w:pPr>
      <w:r w:rsidRPr="00C05D23">
        <w:rPr>
          <w:rFonts w:ascii="Arial" w:hAnsi="Arial" w:cs="Arial"/>
          <w:color w:val="000000" w:themeColor="text1"/>
        </w:rPr>
        <w:t>wielkość korekty K</w:t>
      </w:r>
      <w:r w:rsidRPr="00C05D23">
        <w:rPr>
          <w:rFonts w:ascii="Arial" w:hAnsi="Arial" w:cs="Arial"/>
          <w:color w:val="000000" w:themeColor="text1"/>
          <w:vertAlign w:val="subscript"/>
        </w:rPr>
        <w:t>2023</w:t>
      </w:r>
      <w:r w:rsidRPr="00C05D23">
        <w:rPr>
          <w:rFonts w:ascii="Arial" w:hAnsi="Arial" w:cs="Arial"/>
          <w:color w:val="000000" w:themeColor="text1"/>
        </w:rPr>
        <w:t>, o której mowa w art. 112aa ust. 4 ustawy o finansach publicznych, wynoszącą w 2023 r. 0 pkt. proc., ponieważ relacja państwowego długu publicznego obliczonego zgodnie z art. 38a pkt. 4 ustawy o finansach publicznych do PKB w 2021 r. kształtuje się poniżej wartości referencyjnej wynoszącej 43% PKB oraz deficyt sektora instytucji rządowych i samorządowych,,</w:t>
      </w:r>
      <w:r>
        <w:rPr>
          <w:rFonts w:ascii="Arial" w:hAnsi="Arial" w:cs="Arial"/>
          <w:color w:val="000000" w:themeColor="text1"/>
        </w:rPr>
        <w:t xml:space="preserve"> i suma różnic, o której mowa w </w:t>
      </w:r>
      <w:r w:rsidRPr="00C05D23">
        <w:rPr>
          <w:rFonts w:ascii="Arial" w:hAnsi="Arial" w:cs="Arial"/>
          <w:color w:val="000000" w:themeColor="text1"/>
        </w:rPr>
        <w:t>art. 112aa ust. 5 ustawy o finansach publicznych, kształtują się w zakresie wartości referencyjnych określonych w art. 112aa ust. 4 ustawy o finansach publicznych,</w:t>
      </w:r>
    </w:p>
    <w:p w14:paraId="7C4B7435" w14:textId="77777777" w:rsidR="00C05D23" w:rsidRPr="00C05D23" w:rsidRDefault="00C05D23" w:rsidP="000C1EA7">
      <w:pPr>
        <w:numPr>
          <w:ilvl w:val="0"/>
          <w:numId w:val="7"/>
        </w:numPr>
        <w:autoSpaceDE w:val="0"/>
        <w:autoSpaceDN w:val="0"/>
        <w:adjustRightInd w:val="0"/>
        <w:spacing w:before="120" w:after="120" w:line="340" w:lineRule="atLeast"/>
        <w:ind w:left="426" w:hanging="426"/>
        <w:rPr>
          <w:rFonts w:ascii="Arial" w:hAnsi="Arial" w:cs="Arial"/>
          <w:color w:val="000000" w:themeColor="text1"/>
          <w:spacing w:val="-2"/>
        </w:rPr>
      </w:pPr>
      <w:r w:rsidRPr="00C05D23">
        <w:rPr>
          <w:rFonts w:ascii="Arial" w:hAnsi="Arial" w:cs="Arial"/>
          <w:color w:val="000000" w:themeColor="text1"/>
          <w:spacing w:val="-2"/>
        </w:rPr>
        <w:t xml:space="preserve">prognozowaną wartość ogółem działań dyskrecjonalnych, która </w:t>
      </w:r>
      <w:r w:rsidRPr="009E36E4">
        <w:rPr>
          <w:rFonts w:ascii="Arial" w:hAnsi="Arial" w:cs="Arial"/>
          <w:color w:val="000000" w:themeColor="text1"/>
          <w:spacing w:val="-2"/>
        </w:rPr>
        <w:t xml:space="preserve">wynosi </w:t>
      </w:r>
      <w:r w:rsidR="009E36E4" w:rsidRPr="009E36E4">
        <w:rPr>
          <w:rFonts w:ascii="Arial" w:hAnsi="Arial" w:cs="Arial"/>
          <w:color w:val="000000" w:themeColor="text1"/>
          <w:spacing w:val="-2"/>
        </w:rPr>
        <w:t>28.614.392</w:t>
      </w:r>
      <w:r w:rsidRPr="009E36E4">
        <w:rPr>
          <w:rFonts w:ascii="Arial" w:hAnsi="Arial" w:cs="Arial"/>
          <w:color w:val="000000" w:themeColor="text1"/>
          <w:spacing w:val="-2"/>
        </w:rPr>
        <w:t xml:space="preserve"> tys</w:t>
      </w:r>
      <w:r w:rsidRPr="00C05D23">
        <w:rPr>
          <w:rFonts w:ascii="Arial" w:hAnsi="Arial" w:cs="Arial"/>
          <w:color w:val="000000" w:themeColor="text1"/>
          <w:spacing w:val="-2"/>
        </w:rPr>
        <w:t>. zł.</w:t>
      </w:r>
    </w:p>
    <w:p w14:paraId="75B614EE" w14:textId="77777777" w:rsidR="00C05D23" w:rsidRPr="00C05D23" w:rsidRDefault="00C05D23" w:rsidP="000C1EA7">
      <w:pPr>
        <w:autoSpaceDE w:val="0"/>
        <w:autoSpaceDN w:val="0"/>
        <w:adjustRightInd w:val="0"/>
        <w:spacing w:before="120" w:after="120" w:line="340" w:lineRule="atLeast"/>
        <w:rPr>
          <w:rFonts w:ascii="Arial" w:hAnsi="Arial" w:cs="Arial"/>
        </w:rPr>
      </w:pPr>
      <w:r w:rsidRPr="00C05D23">
        <w:rPr>
          <w:rFonts w:ascii="Arial" w:hAnsi="Arial" w:cs="Arial"/>
        </w:rPr>
        <w:lastRenderedPageBreak/>
        <w:t>Zgodnie z art. 112aa ust. 1 ustawy o finansach publicznych działania dyskrecjonalne w zakresie podatków i składek na ubezpieczenia społeczne są uwzględniane w formule stabilizującej reguły wydatkowej, o ile wartość każdego z nich w okresie 12 kolejnych miesięcy począwszy od miesiąca wejścia w życie działania dyskrecjonalnego przekracza 0,03% wartości produktu krajowego brutto, prognozowanej w uzasadnieniu projektu ustawy zmieniającej ustawę budżetową na dany rok przedłożonego Sejmowi. Ponadto w wartości ogółem działań dyskrecjonalnych uwzględnia się wpływ na kwotę</w:t>
      </w:r>
      <m:oMath>
        <m:r>
          <w:rPr>
            <w:rFonts w:ascii="Cambria Math" w:hAnsi="Cambria Math" w:cs="Arial"/>
          </w:rPr>
          <m:t xml:space="preserve"> </m:t>
        </m:r>
        <m:sSub>
          <m:sSubPr>
            <m:ctrlPr>
              <w:rPr>
                <w:rFonts w:ascii="Cambria Math" w:hAnsi="Cambria Math" w:cs="Arial"/>
                <w:i/>
              </w:rPr>
            </m:ctrlPr>
          </m:sSubPr>
          <m:e>
            <m:r>
              <w:rPr>
                <w:rFonts w:ascii="Cambria Math" w:hAnsi="Cambria Math" w:cs="Arial"/>
              </w:rPr>
              <m:t>WYD</m:t>
            </m:r>
          </m:e>
          <m:sub>
            <m:r>
              <w:rPr>
                <w:rFonts w:ascii="Cambria Math" w:hAnsi="Cambria Math" w:cs="Arial"/>
              </w:rPr>
              <m:t>n</m:t>
            </m:r>
          </m:sub>
        </m:sSub>
      </m:oMath>
      <w:r w:rsidRPr="00C05D23">
        <w:rPr>
          <w:rFonts w:ascii="Arial" w:hAnsi="Arial" w:cs="Arial"/>
        </w:rPr>
        <w:t xml:space="preserve"> rezygnacji z działań dyskrecjonalnych dokonanych w latach poprzednich oraz aktualizacje wartości działań dyskrecjonalnych uwzględnionych w latach poprzednich. W przypadku aktualizacji skutków działań dyskrecjonalnych nie ma zastosowania warunek przekroczenia przez każde z nich 0,03% wartości produktu krajowego brutto. W związku z tym, w kwocie wydatków na rok 2023 uwzględniono następujące aktualizacje dotychczas wprowadzonych i skutki nowych działań dyskrecjonalnych w zakresie podatków i składek na ubezpieczenia społeczne: </w:t>
      </w:r>
    </w:p>
    <w:p w14:paraId="654DDC14" w14:textId="0E7B1EB9"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 xml:space="preserve">skutek </w:t>
      </w:r>
      <w:r w:rsidR="009E36E4">
        <w:rPr>
          <w:rFonts w:ascii="Arial" w:hAnsi="Arial" w:cs="Arial"/>
        </w:rPr>
        <w:t>w łącznej wysokości 31.438.54</w:t>
      </w:r>
      <w:r w:rsidRPr="00C05D23">
        <w:rPr>
          <w:rFonts w:ascii="Arial" w:hAnsi="Arial" w:cs="Arial"/>
        </w:rPr>
        <w:t>0 tys. zł z tytułu:</w:t>
      </w:r>
    </w:p>
    <w:p w14:paraId="7700E193" w14:textId="6FB45E82" w:rsidR="00C05D23" w:rsidRPr="00C05D23" w:rsidRDefault="00C05D23" w:rsidP="000C1EA7">
      <w:pPr>
        <w:numPr>
          <w:ilvl w:val="1"/>
          <w:numId w:val="8"/>
        </w:numPr>
        <w:spacing w:before="120" w:after="120" w:line="340" w:lineRule="atLeast"/>
        <w:ind w:left="709" w:hanging="283"/>
        <w:rPr>
          <w:rFonts w:ascii="Arial" w:hAnsi="Arial" w:cs="Arial"/>
        </w:rPr>
      </w:pPr>
      <w:r w:rsidRPr="00C05D23">
        <w:rPr>
          <w:rFonts w:ascii="Arial" w:hAnsi="Arial" w:cs="Arial"/>
        </w:rPr>
        <w:t>odpisu gazowego wprowadzonych ustawą z dnia 15 grudnia 2022 r. o szczególnej ochronie niektórych odbiorców paliw gazowych w 2023 r. w związku z sytuacją na rynku gazu</w:t>
      </w:r>
      <w:r w:rsidR="00335E58">
        <w:rPr>
          <w:rFonts w:ascii="Arial" w:hAnsi="Arial" w:cs="Arial"/>
        </w:rPr>
        <w:t xml:space="preserve"> (Dz. U. poz. 2687, z późn. zm.)</w:t>
      </w:r>
      <w:r w:rsidRPr="00C05D23">
        <w:rPr>
          <w:rFonts w:ascii="Arial" w:hAnsi="Arial" w:cs="Arial"/>
        </w:rPr>
        <w:t>,</w:t>
      </w:r>
    </w:p>
    <w:p w14:paraId="77DABD55" w14:textId="17DD7320" w:rsidR="00C05D23" w:rsidRPr="00C05D23" w:rsidRDefault="00C05D23" w:rsidP="000C1EA7">
      <w:pPr>
        <w:numPr>
          <w:ilvl w:val="1"/>
          <w:numId w:val="8"/>
        </w:numPr>
        <w:spacing w:before="120" w:after="120" w:line="340" w:lineRule="atLeast"/>
        <w:ind w:left="709" w:hanging="283"/>
        <w:rPr>
          <w:rFonts w:ascii="Arial" w:hAnsi="Arial" w:cs="Arial"/>
        </w:rPr>
      </w:pPr>
      <w:r w:rsidRPr="00C05D23">
        <w:rPr>
          <w:rFonts w:ascii="Arial" w:hAnsi="Arial" w:cs="Arial"/>
        </w:rPr>
        <w:t>odpisu energetycznego wprowadzonego ustawą z</w:t>
      </w:r>
      <w:r>
        <w:rPr>
          <w:rFonts w:ascii="Arial" w:hAnsi="Arial" w:cs="Arial"/>
        </w:rPr>
        <w:t xml:space="preserve"> dnia 27 października 2022 r. o </w:t>
      </w:r>
      <w:r w:rsidRPr="00C05D23">
        <w:rPr>
          <w:rFonts w:ascii="Arial" w:hAnsi="Arial" w:cs="Arial"/>
        </w:rPr>
        <w:t>środkach nadzwyczajnych mających na celu ograniczenie wysokości cen energii elektrycznej oraz wsparciu niektórych odbiorców w 2023 roku</w:t>
      </w:r>
      <w:r w:rsidR="00335E58">
        <w:rPr>
          <w:rFonts w:ascii="Arial" w:hAnsi="Arial" w:cs="Arial"/>
        </w:rPr>
        <w:t xml:space="preserve"> (Dz. U. poz. 2243, z późn. zm.)</w:t>
      </w:r>
      <w:r w:rsidRPr="00C05D23">
        <w:rPr>
          <w:rFonts w:ascii="Arial" w:hAnsi="Arial" w:cs="Arial"/>
        </w:rPr>
        <w:t>.</w:t>
      </w:r>
    </w:p>
    <w:p w14:paraId="1D9E6CAD" w14:textId="77777777"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 xml:space="preserve">skutki wprowadzenia działań w zakresie reformy systemu podatkowego, w wysokości </w:t>
      </w:r>
      <w:r w:rsidRPr="00C05D23">
        <w:rPr>
          <w:rFonts w:ascii="Arial" w:hAnsi="Arial" w:cs="Arial"/>
          <w:color w:val="000000" w:themeColor="text1"/>
        </w:rPr>
        <w:t xml:space="preserve">łącznie -26.812.089 tys. zł, </w:t>
      </w:r>
      <w:r w:rsidRPr="00C05D23">
        <w:rPr>
          <w:rFonts w:ascii="Arial" w:hAnsi="Arial" w:cs="Arial"/>
        </w:rPr>
        <w:t>na które składają się następujące czynności:</w:t>
      </w:r>
    </w:p>
    <w:p w14:paraId="61BBF9FE" w14:textId="1CA44BB3" w:rsidR="00C05D23" w:rsidRPr="00C05D23" w:rsidRDefault="00C05D23" w:rsidP="000C1EA7">
      <w:pPr>
        <w:numPr>
          <w:ilvl w:val="0"/>
          <w:numId w:val="9"/>
        </w:numPr>
        <w:spacing w:before="120" w:after="120" w:line="340" w:lineRule="atLeast"/>
        <w:ind w:left="709" w:hanging="283"/>
        <w:rPr>
          <w:rFonts w:ascii="Arial" w:hAnsi="Arial" w:cs="Arial"/>
        </w:rPr>
      </w:pPr>
      <w:r w:rsidRPr="00C05D23">
        <w:rPr>
          <w:rFonts w:ascii="Arial" w:hAnsi="Arial" w:cs="Arial"/>
        </w:rPr>
        <w:t xml:space="preserve">skutki działań wprowadzonych ustawą z dnia 29 października 2021 r. o zmianie ustawy o podatku dochodowym od osób fizycznych, ustawy o podatku dochodowym </w:t>
      </w:r>
      <w:r w:rsidRPr="00C05D23">
        <w:rPr>
          <w:rFonts w:ascii="Arial" w:hAnsi="Arial" w:cs="Arial"/>
          <w:spacing w:val="-1"/>
        </w:rPr>
        <w:t>od osób prawnych oraz niektórych innych ustaw (Dz.</w:t>
      </w:r>
      <w:r w:rsidR="007F32E1">
        <w:rPr>
          <w:rFonts w:ascii="Arial" w:hAnsi="Arial" w:cs="Arial"/>
          <w:spacing w:val="-1"/>
        </w:rPr>
        <w:t xml:space="preserve"> </w:t>
      </w:r>
      <w:r w:rsidRPr="00C05D23">
        <w:rPr>
          <w:rFonts w:ascii="Arial" w:hAnsi="Arial" w:cs="Arial"/>
          <w:spacing w:val="-1"/>
        </w:rPr>
        <w:t>U. poz. 2105</w:t>
      </w:r>
      <w:r w:rsidR="000C1EA7">
        <w:rPr>
          <w:rFonts w:ascii="Arial" w:hAnsi="Arial" w:cs="Arial"/>
          <w:spacing w:val="-1"/>
        </w:rPr>
        <w:t>,</w:t>
      </w:r>
      <w:r w:rsidRPr="00C05D23">
        <w:rPr>
          <w:rFonts w:ascii="Arial" w:hAnsi="Arial" w:cs="Arial"/>
          <w:spacing w:val="-1"/>
        </w:rPr>
        <w:t xml:space="preserve"> z późn. zm.),</w:t>
      </w:r>
    </w:p>
    <w:p w14:paraId="03727A9D" w14:textId="434BBBA0" w:rsidR="00C05D23" w:rsidRPr="00C05D23" w:rsidRDefault="00C05D23" w:rsidP="000C1EA7">
      <w:pPr>
        <w:numPr>
          <w:ilvl w:val="0"/>
          <w:numId w:val="9"/>
        </w:numPr>
        <w:spacing w:before="120" w:after="120" w:line="340" w:lineRule="atLeast"/>
        <w:ind w:left="709" w:hanging="283"/>
        <w:rPr>
          <w:rFonts w:ascii="Arial" w:hAnsi="Arial" w:cs="Arial"/>
        </w:rPr>
      </w:pPr>
      <w:r w:rsidRPr="00C05D23">
        <w:rPr>
          <w:rFonts w:ascii="Arial" w:hAnsi="Arial" w:cs="Arial"/>
        </w:rPr>
        <w:t xml:space="preserve">skutki wprowadzenia działań związanych z programem Niskie Podatki, wprowadzonym ustawą z dnia 9 czerwca 2022 r. o zmianie ustawy o podatku dochodowym od osób fizycznych oraz niektórych innych ustaw (Dz. U. </w:t>
      </w:r>
      <w:r w:rsidR="007F32E1">
        <w:rPr>
          <w:rFonts w:ascii="Arial" w:hAnsi="Arial" w:cs="Arial"/>
        </w:rPr>
        <w:t xml:space="preserve">z </w:t>
      </w:r>
      <w:r w:rsidRPr="00C05D23">
        <w:rPr>
          <w:rFonts w:ascii="Arial" w:hAnsi="Arial" w:cs="Arial"/>
        </w:rPr>
        <w:t xml:space="preserve">2022 </w:t>
      </w:r>
      <w:r w:rsidR="000C1EA7">
        <w:rPr>
          <w:rFonts w:ascii="Arial" w:hAnsi="Arial" w:cs="Arial"/>
        </w:rPr>
        <w:t xml:space="preserve">r. </w:t>
      </w:r>
      <w:r w:rsidRPr="00C05D23">
        <w:rPr>
          <w:rFonts w:ascii="Arial" w:hAnsi="Arial" w:cs="Arial"/>
        </w:rPr>
        <w:t>poz. 1265</w:t>
      </w:r>
      <w:r w:rsidR="00A45A50">
        <w:rPr>
          <w:rFonts w:ascii="Arial" w:hAnsi="Arial" w:cs="Arial"/>
        </w:rPr>
        <w:t>, z późn. zm.</w:t>
      </w:r>
      <w:r w:rsidRPr="00C05D23">
        <w:rPr>
          <w:rFonts w:ascii="Arial" w:hAnsi="Arial" w:cs="Arial"/>
        </w:rPr>
        <w:t>),</w:t>
      </w:r>
    </w:p>
    <w:p w14:paraId="59D69DBE" w14:textId="77777777"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 xml:space="preserve">aktualizację skutków działań dotyczących uszczelniania luki podatkowej w związku </w:t>
      </w:r>
      <w:r w:rsidRPr="00C05D23">
        <w:rPr>
          <w:rFonts w:ascii="Arial" w:hAnsi="Arial" w:cs="Arial"/>
        </w:rPr>
        <w:br/>
        <w:t>z wyłudzeniami VAT i zapobieganiem unikania płacenia tego podatku na podstawie szacunku zmian luki VAT, w wysokości 18.376.131 tys. zł, na które składają się następujące czynności:</w:t>
      </w:r>
    </w:p>
    <w:p w14:paraId="196E7185" w14:textId="4F7253F5" w:rsidR="00C05D23" w:rsidRPr="00C05D23" w:rsidRDefault="00C05D23" w:rsidP="000C1EA7">
      <w:pPr>
        <w:numPr>
          <w:ilvl w:val="0"/>
          <w:numId w:val="9"/>
        </w:numPr>
        <w:spacing w:before="120" w:after="120" w:line="340" w:lineRule="atLeast"/>
        <w:ind w:left="709" w:hanging="283"/>
        <w:rPr>
          <w:rFonts w:ascii="Arial" w:hAnsi="Arial" w:cs="Arial"/>
        </w:rPr>
      </w:pPr>
      <w:r w:rsidRPr="00C05D23">
        <w:rPr>
          <w:rFonts w:ascii="Arial" w:hAnsi="Arial" w:cs="Arial"/>
        </w:rPr>
        <w:t xml:space="preserve">wprowadzenie tzw. mechanizmu podzielonej płatności ustawą z dnia 15 grudnia </w:t>
      </w:r>
      <w:r w:rsidRPr="00C05D23">
        <w:rPr>
          <w:rFonts w:ascii="Arial" w:hAnsi="Arial" w:cs="Arial"/>
        </w:rPr>
        <w:br/>
        <w:t>2017 r. o zmianie ustawy o podatku od towarów i usług oraz niektórych innych ustaw (Dz. U.</w:t>
      </w:r>
      <w:r w:rsidR="007F32E1">
        <w:rPr>
          <w:rFonts w:ascii="Arial" w:hAnsi="Arial" w:cs="Arial"/>
        </w:rPr>
        <w:t xml:space="preserve"> z</w:t>
      </w:r>
      <w:r w:rsidRPr="00C05D23">
        <w:rPr>
          <w:rFonts w:ascii="Arial" w:hAnsi="Arial" w:cs="Arial"/>
        </w:rPr>
        <w:t xml:space="preserve"> 2018 </w:t>
      </w:r>
      <w:r w:rsidR="000C1EA7">
        <w:rPr>
          <w:rFonts w:ascii="Arial" w:hAnsi="Arial" w:cs="Arial"/>
        </w:rPr>
        <w:t xml:space="preserve">r. </w:t>
      </w:r>
      <w:r w:rsidRPr="00C05D23">
        <w:rPr>
          <w:rFonts w:ascii="Arial" w:hAnsi="Arial" w:cs="Arial"/>
        </w:rPr>
        <w:t>poz. 62</w:t>
      </w:r>
      <w:r w:rsidR="00A45A50">
        <w:rPr>
          <w:rFonts w:ascii="Arial" w:hAnsi="Arial" w:cs="Arial"/>
        </w:rPr>
        <w:t>, z późn. zm.</w:t>
      </w:r>
      <w:r w:rsidRPr="00C05D23">
        <w:rPr>
          <w:rFonts w:ascii="Arial" w:hAnsi="Arial" w:cs="Arial"/>
        </w:rPr>
        <w:t>),</w:t>
      </w:r>
    </w:p>
    <w:p w14:paraId="3D05B995" w14:textId="12CEB21D" w:rsidR="00C05D23" w:rsidRPr="00C05D23" w:rsidRDefault="00C05D23" w:rsidP="000C1EA7">
      <w:pPr>
        <w:numPr>
          <w:ilvl w:val="0"/>
          <w:numId w:val="9"/>
        </w:numPr>
        <w:spacing w:before="120" w:after="120" w:line="340" w:lineRule="atLeast"/>
        <w:ind w:left="709" w:hanging="283"/>
        <w:rPr>
          <w:rFonts w:ascii="Arial" w:hAnsi="Arial" w:cs="Arial"/>
        </w:rPr>
      </w:pPr>
      <w:r w:rsidRPr="00C05D23">
        <w:rPr>
          <w:rFonts w:ascii="Arial" w:hAnsi="Arial" w:cs="Arial"/>
        </w:rPr>
        <w:lastRenderedPageBreak/>
        <w:t xml:space="preserve">wprowadzenie obligatoryjnego mechanizmu podzielonej płatności ustawą z dnia </w:t>
      </w:r>
      <w:r w:rsidRPr="00C05D23">
        <w:rPr>
          <w:rFonts w:ascii="Arial" w:hAnsi="Arial" w:cs="Arial"/>
        </w:rPr>
        <w:br/>
        <w:t xml:space="preserve">9 sierpnia 2019 r. o zmianie ustawy o podatku od towarów i usług oraz niektórych innych ustaw (Dz. U. </w:t>
      </w:r>
      <w:r w:rsidR="000C1EA7">
        <w:rPr>
          <w:rFonts w:ascii="Arial" w:hAnsi="Arial" w:cs="Arial"/>
        </w:rPr>
        <w:t xml:space="preserve">z </w:t>
      </w:r>
      <w:r w:rsidRPr="00C05D23">
        <w:rPr>
          <w:rFonts w:ascii="Arial" w:hAnsi="Arial" w:cs="Arial"/>
        </w:rPr>
        <w:t xml:space="preserve">2019 </w:t>
      </w:r>
      <w:r w:rsidR="000C1EA7">
        <w:rPr>
          <w:rFonts w:ascii="Arial" w:hAnsi="Arial" w:cs="Arial"/>
        </w:rPr>
        <w:t xml:space="preserve">r. </w:t>
      </w:r>
      <w:r w:rsidRPr="00C05D23">
        <w:rPr>
          <w:rFonts w:ascii="Arial" w:hAnsi="Arial" w:cs="Arial"/>
        </w:rPr>
        <w:t>poz. 1751</w:t>
      </w:r>
      <w:r w:rsidR="00A45A50">
        <w:rPr>
          <w:rFonts w:ascii="Arial" w:hAnsi="Arial" w:cs="Arial"/>
        </w:rPr>
        <w:t>, z późn. zm.</w:t>
      </w:r>
      <w:r w:rsidRPr="00C05D23">
        <w:rPr>
          <w:rFonts w:ascii="Arial" w:hAnsi="Arial" w:cs="Arial"/>
        </w:rPr>
        <w:t>),</w:t>
      </w:r>
    </w:p>
    <w:p w14:paraId="1FAD60CC" w14:textId="79724FFB" w:rsidR="00C05D23" w:rsidRPr="00C05D23" w:rsidRDefault="00C05D23" w:rsidP="000C1EA7">
      <w:pPr>
        <w:numPr>
          <w:ilvl w:val="0"/>
          <w:numId w:val="9"/>
        </w:numPr>
        <w:spacing w:before="120" w:after="120" w:line="340" w:lineRule="atLeast"/>
        <w:ind w:left="709" w:hanging="283"/>
        <w:rPr>
          <w:rFonts w:ascii="Arial" w:hAnsi="Arial" w:cs="Arial"/>
        </w:rPr>
      </w:pPr>
      <w:r w:rsidRPr="00C05D23">
        <w:rPr>
          <w:rFonts w:ascii="Arial" w:hAnsi="Arial" w:cs="Arial"/>
        </w:rPr>
        <w:t xml:space="preserve">wprowadzenie kas on-line ustawą z dnia 15 marca 2019 r. o zmianie ustawy </w:t>
      </w:r>
      <w:r w:rsidRPr="00C05D23">
        <w:rPr>
          <w:rFonts w:ascii="Arial" w:hAnsi="Arial" w:cs="Arial"/>
          <w:spacing w:val="-2"/>
        </w:rPr>
        <w:t xml:space="preserve">o podatku od towarów i usług oraz ustawy - Prawo o miarach (Dz. U. </w:t>
      </w:r>
      <w:r w:rsidR="000C1EA7">
        <w:rPr>
          <w:rFonts w:ascii="Arial" w:hAnsi="Arial" w:cs="Arial"/>
          <w:spacing w:val="-2"/>
        </w:rPr>
        <w:t xml:space="preserve">z </w:t>
      </w:r>
      <w:r w:rsidRPr="00C05D23">
        <w:rPr>
          <w:rFonts w:ascii="Arial" w:hAnsi="Arial" w:cs="Arial"/>
          <w:spacing w:val="-2"/>
        </w:rPr>
        <w:t xml:space="preserve">2019 </w:t>
      </w:r>
      <w:r w:rsidR="000C1EA7">
        <w:rPr>
          <w:rFonts w:ascii="Arial" w:hAnsi="Arial" w:cs="Arial"/>
          <w:spacing w:val="-2"/>
        </w:rPr>
        <w:t xml:space="preserve">r. </w:t>
      </w:r>
      <w:r w:rsidRPr="00C05D23">
        <w:rPr>
          <w:rFonts w:ascii="Arial" w:hAnsi="Arial" w:cs="Arial"/>
          <w:spacing w:val="-2"/>
        </w:rPr>
        <w:t>poz. 675</w:t>
      </w:r>
      <w:r w:rsidR="00A45A50">
        <w:rPr>
          <w:rFonts w:ascii="Arial" w:hAnsi="Arial" w:cs="Arial"/>
          <w:spacing w:val="-2"/>
        </w:rPr>
        <w:t>, z późn. zm.</w:t>
      </w:r>
      <w:r w:rsidRPr="00C05D23">
        <w:rPr>
          <w:rFonts w:ascii="Arial" w:hAnsi="Arial" w:cs="Arial"/>
          <w:spacing w:val="-2"/>
        </w:rPr>
        <w:t>),</w:t>
      </w:r>
    </w:p>
    <w:p w14:paraId="59673984" w14:textId="3110B446" w:rsidR="00C05D23" w:rsidRPr="00C05D23" w:rsidRDefault="00C05D23" w:rsidP="000C1EA7">
      <w:pPr>
        <w:numPr>
          <w:ilvl w:val="0"/>
          <w:numId w:val="9"/>
        </w:numPr>
        <w:spacing w:before="120" w:after="120" w:line="340" w:lineRule="atLeast"/>
        <w:ind w:left="709" w:hanging="283"/>
        <w:rPr>
          <w:rFonts w:ascii="Arial" w:hAnsi="Arial" w:cs="Arial"/>
        </w:rPr>
      </w:pPr>
      <w:r w:rsidRPr="00C05D23">
        <w:rPr>
          <w:rFonts w:ascii="Arial" w:hAnsi="Arial" w:cs="Arial"/>
        </w:rPr>
        <w:t>wprowadzenie kas rejestrujących mających postać oprogramowania rozporządzeniem Ministra Finansów z dnia 26 maja 2020 r. w sprawie kas rejestrujących mających postać oprogramowania (Dz. U.</w:t>
      </w:r>
      <w:r w:rsidR="000C1EA7">
        <w:rPr>
          <w:rFonts w:ascii="Arial" w:hAnsi="Arial" w:cs="Arial"/>
        </w:rPr>
        <w:t xml:space="preserve"> </w:t>
      </w:r>
      <w:r w:rsidRPr="00C05D23">
        <w:rPr>
          <w:rFonts w:ascii="Arial" w:hAnsi="Arial" w:cs="Arial"/>
        </w:rPr>
        <w:t>poz. 957</w:t>
      </w:r>
      <w:r w:rsidR="00A45A50">
        <w:rPr>
          <w:rFonts w:ascii="Arial" w:hAnsi="Arial" w:cs="Arial"/>
        </w:rPr>
        <w:t>, z późn. zm.</w:t>
      </w:r>
      <w:r w:rsidRPr="00C05D23">
        <w:rPr>
          <w:rFonts w:ascii="Arial" w:hAnsi="Arial" w:cs="Arial"/>
        </w:rPr>
        <w:t>),</w:t>
      </w:r>
    </w:p>
    <w:p w14:paraId="68165AC3" w14:textId="7AB04E2E" w:rsidR="00C05D23" w:rsidRPr="00C05D23" w:rsidRDefault="00C05D23" w:rsidP="000C1EA7">
      <w:pPr>
        <w:numPr>
          <w:ilvl w:val="0"/>
          <w:numId w:val="9"/>
        </w:numPr>
        <w:spacing w:before="120" w:after="120" w:line="340" w:lineRule="atLeast"/>
        <w:ind w:left="709" w:hanging="283"/>
        <w:rPr>
          <w:rFonts w:ascii="Arial" w:hAnsi="Arial" w:cs="Arial"/>
        </w:rPr>
      </w:pPr>
      <w:r w:rsidRPr="00C05D23">
        <w:rPr>
          <w:rFonts w:ascii="Arial" w:hAnsi="Arial" w:cs="Arial"/>
        </w:rPr>
        <w:t xml:space="preserve">wprowadzenie dalszych zmian nakierowanych na uszczelnienie systemu VAT zgodnie z ustawą z dnia 4 lipca 2019 r. o zmianie ustawy o podatku od towarów </w:t>
      </w:r>
      <w:r w:rsidRPr="00C05D23">
        <w:rPr>
          <w:rFonts w:ascii="Arial" w:hAnsi="Arial" w:cs="Arial"/>
        </w:rPr>
        <w:br/>
        <w:t>i usług oraz niektórych innych ustaw (Dz. U.</w:t>
      </w:r>
      <w:r w:rsidR="000C1EA7">
        <w:rPr>
          <w:rFonts w:ascii="Arial" w:hAnsi="Arial" w:cs="Arial"/>
        </w:rPr>
        <w:t xml:space="preserve"> </w:t>
      </w:r>
      <w:r w:rsidRPr="00C05D23">
        <w:rPr>
          <w:rFonts w:ascii="Arial" w:hAnsi="Arial" w:cs="Arial"/>
        </w:rPr>
        <w:t>poz. 1520</w:t>
      </w:r>
      <w:r w:rsidR="00D811AC">
        <w:rPr>
          <w:rFonts w:ascii="Arial" w:hAnsi="Arial" w:cs="Arial"/>
        </w:rPr>
        <w:t>, z późn. zm.</w:t>
      </w:r>
      <w:r w:rsidRPr="00C05D23">
        <w:rPr>
          <w:rFonts w:ascii="Arial" w:hAnsi="Arial" w:cs="Arial"/>
        </w:rPr>
        <w:t>),</w:t>
      </w:r>
    </w:p>
    <w:p w14:paraId="3CA4D490" w14:textId="0AB20DED"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skutki tarcz antyinflacyjnych wprowadzonych ustawą z dnia 9 grudnia 2021 r. o zmianie ustawy o podatku akcyzowym oraz niektórych innych ustaw (Dz.</w:t>
      </w:r>
      <w:r w:rsidR="000C1EA7">
        <w:rPr>
          <w:rFonts w:ascii="Arial" w:hAnsi="Arial" w:cs="Arial"/>
        </w:rPr>
        <w:t xml:space="preserve"> </w:t>
      </w:r>
      <w:r w:rsidRPr="00C05D23">
        <w:rPr>
          <w:rFonts w:ascii="Arial" w:hAnsi="Arial" w:cs="Arial"/>
        </w:rPr>
        <w:t>U. poz. 2349</w:t>
      </w:r>
      <w:r w:rsidR="00D811AC">
        <w:rPr>
          <w:rFonts w:ascii="Arial" w:hAnsi="Arial" w:cs="Arial"/>
        </w:rPr>
        <w:t>, z późn. zm.</w:t>
      </w:r>
      <w:r w:rsidRPr="00C05D23">
        <w:rPr>
          <w:rFonts w:ascii="Arial" w:hAnsi="Arial" w:cs="Arial"/>
        </w:rPr>
        <w:t>) i przedłużonych ustawą z dnia 13 stycznia 2022 r. o zmianie ustawy o podatku od towarów i usług (Dz.</w:t>
      </w:r>
      <w:r w:rsidR="000C1EA7">
        <w:rPr>
          <w:rFonts w:ascii="Arial" w:hAnsi="Arial" w:cs="Arial"/>
        </w:rPr>
        <w:t xml:space="preserve"> </w:t>
      </w:r>
      <w:r w:rsidRPr="00C05D23">
        <w:rPr>
          <w:rFonts w:ascii="Arial" w:hAnsi="Arial" w:cs="Arial"/>
        </w:rPr>
        <w:t xml:space="preserve">U. poz. 196), ustawą z dnia 12 </w:t>
      </w:r>
      <w:r>
        <w:rPr>
          <w:rFonts w:ascii="Arial" w:hAnsi="Arial" w:cs="Arial"/>
        </w:rPr>
        <w:t>maja 2022 r. o zmianie ustawy o </w:t>
      </w:r>
      <w:r w:rsidRPr="00C05D23">
        <w:rPr>
          <w:rFonts w:ascii="Arial" w:hAnsi="Arial" w:cs="Arial"/>
        </w:rPr>
        <w:t>podatku od towarów i usług oraz niektórych innych ustaw (Dz.</w:t>
      </w:r>
      <w:r w:rsidR="000C1EA7">
        <w:rPr>
          <w:rFonts w:ascii="Arial" w:hAnsi="Arial" w:cs="Arial"/>
        </w:rPr>
        <w:t xml:space="preserve"> </w:t>
      </w:r>
      <w:r w:rsidRPr="00C05D23">
        <w:rPr>
          <w:rFonts w:ascii="Arial" w:hAnsi="Arial" w:cs="Arial"/>
        </w:rPr>
        <w:t xml:space="preserve">U. poz. 1137), ustawą z dnia 7 lipca 2022 r. o finansowaniu społecznościowym dla przedsięwzięć gospodarczych i pomocy kredytobiorcom (Dz. U. poz. 1488) oraz </w:t>
      </w:r>
      <w:r>
        <w:rPr>
          <w:rFonts w:ascii="Arial" w:hAnsi="Arial" w:cs="Arial"/>
        </w:rPr>
        <w:t xml:space="preserve">ustawą z dnia </w:t>
      </w:r>
      <w:r w:rsidR="004A22DD">
        <w:rPr>
          <w:rFonts w:ascii="Arial" w:hAnsi="Arial" w:cs="Arial"/>
        </w:rPr>
        <w:t>7 października</w:t>
      </w:r>
      <w:r w:rsidRPr="00C05D23">
        <w:rPr>
          <w:rFonts w:ascii="Arial" w:hAnsi="Arial" w:cs="Arial"/>
        </w:rPr>
        <w:t xml:space="preserve"> 2022 r. o zmianie ustawy o podatku dochodowym od osób </w:t>
      </w:r>
      <w:r w:rsidRPr="00C05D23">
        <w:rPr>
          <w:rFonts w:ascii="Arial" w:hAnsi="Arial" w:cs="Arial"/>
          <w:spacing w:val="-3"/>
        </w:rPr>
        <w:t>prawnych oraz niektórych innych ustaw (</w:t>
      </w:r>
      <w:r w:rsidR="004A22DD">
        <w:rPr>
          <w:rFonts w:ascii="Arial" w:hAnsi="Arial" w:cs="Arial"/>
          <w:spacing w:val="-3"/>
        </w:rPr>
        <w:t>Dz. U. poz. 2180</w:t>
      </w:r>
      <w:r w:rsidRPr="00C05D23">
        <w:rPr>
          <w:rFonts w:ascii="Arial" w:hAnsi="Arial" w:cs="Arial"/>
          <w:spacing w:val="-3"/>
        </w:rPr>
        <w:t>), w kwocie -13.437.041 tys. zł,</w:t>
      </w:r>
    </w:p>
    <w:p w14:paraId="1A7B7D78" w14:textId="132F64EA"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 xml:space="preserve">skutki wprowadzenia tzw. Pakietu Mobilności, wprowadzonego ustawą </w:t>
      </w:r>
      <w:r w:rsidR="000C1EA7">
        <w:rPr>
          <w:rFonts w:ascii="Arial" w:hAnsi="Arial" w:cs="Arial"/>
        </w:rPr>
        <w:t>z </w:t>
      </w:r>
      <w:r w:rsidR="000C1EA7" w:rsidRPr="00C05D23">
        <w:rPr>
          <w:rFonts w:ascii="Arial" w:hAnsi="Arial" w:cs="Arial"/>
        </w:rPr>
        <w:t>dnia 26 stycznia 2022 r</w:t>
      </w:r>
      <w:r w:rsidR="000C1EA7">
        <w:rPr>
          <w:rFonts w:ascii="Arial" w:hAnsi="Arial" w:cs="Arial"/>
        </w:rPr>
        <w:t>.</w:t>
      </w:r>
      <w:r w:rsidR="000C1EA7" w:rsidRPr="00C05D23">
        <w:rPr>
          <w:rFonts w:ascii="Arial" w:hAnsi="Arial" w:cs="Arial"/>
        </w:rPr>
        <w:t xml:space="preserve"> </w:t>
      </w:r>
      <w:r w:rsidRPr="00C05D23">
        <w:rPr>
          <w:rFonts w:ascii="Arial" w:hAnsi="Arial" w:cs="Arial"/>
        </w:rPr>
        <w:t>o zmianie ustawy o transporcie drogowym, ustawy o czasie pracy kierowców</w:t>
      </w:r>
      <w:r>
        <w:rPr>
          <w:rFonts w:ascii="Arial" w:hAnsi="Arial" w:cs="Arial"/>
        </w:rPr>
        <w:t xml:space="preserve"> oraz niektórych innych ustaw</w:t>
      </w:r>
      <w:r w:rsidRPr="00C05D23">
        <w:rPr>
          <w:rFonts w:ascii="Arial" w:hAnsi="Arial" w:cs="Arial"/>
        </w:rPr>
        <w:t xml:space="preserve">. (Dz. U. poz. 209) w wysokości 6.480.053 tys. zł </w:t>
      </w:r>
      <w:r>
        <w:rPr>
          <w:rFonts w:ascii="Arial" w:hAnsi="Arial" w:cs="Arial"/>
        </w:rPr>
        <w:t>w </w:t>
      </w:r>
      <w:r w:rsidRPr="00C05D23">
        <w:rPr>
          <w:rFonts w:ascii="Arial" w:hAnsi="Arial" w:cs="Arial"/>
        </w:rPr>
        <w:t>2023 r.,</w:t>
      </w:r>
    </w:p>
    <w:p w14:paraId="0E892051" w14:textId="3C3EF759"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 xml:space="preserve">skutki indeksacji stawki akcyzy na używki, wprowadzonej ustawą z dnia 29 października 2021 r. o zmianie ustawy o podatku akcyzowym oraz niektórych innych ustaw </w:t>
      </w:r>
      <w:r>
        <w:rPr>
          <w:rFonts w:ascii="Arial" w:hAnsi="Arial" w:cs="Arial"/>
        </w:rPr>
        <w:t>(Dz. U. </w:t>
      </w:r>
      <w:r w:rsidRPr="00C05D23">
        <w:rPr>
          <w:rFonts w:ascii="Arial" w:hAnsi="Arial" w:cs="Arial"/>
        </w:rPr>
        <w:t>poz. 2313) w wysokości 4.819.087 tys. zł,</w:t>
      </w:r>
    </w:p>
    <w:p w14:paraId="3DA96DFC" w14:textId="56A3E600"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aktualizację skutku wynikającego z wprowadzenia w przepisach o podatkach dochodowych rozwiązań, mających na celu wyeliminowanie przypadków stosowania tzw. agresywnej optymalizacji podatkowej w związku z ustawą z</w:t>
      </w:r>
      <w:r>
        <w:rPr>
          <w:rFonts w:ascii="Arial" w:hAnsi="Arial" w:cs="Arial"/>
        </w:rPr>
        <w:t xml:space="preserve"> dnia 27 października 2017 r. o </w:t>
      </w:r>
      <w:r w:rsidRPr="00C05D23">
        <w:rPr>
          <w:rFonts w:ascii="Arial" w:hAnsi="Arial" w:cs="Arial"/>
        </w:rPr>
        <w:t>zmianie ustawy o podatku dochodowym od osób fizycznych, ustawy o podatku dochodowym od osób prawnych oraz ustawy o zryczałtowanym podatku dochodowym od niektórych przychodów osiąganych przez osoby fizyczne (Dz.</w:t>
      </w:r>
      <w:r w:rsidR="000C1EA7">
        <w:rPr>
          <w:rFonts w:ascii="Arial" w:hAnsi="Arial" w:cs="Arial"/>
        </w:rPr>
        <w:t xml:space="preserve"> </w:t>
      </w:r>
      <w:r w:rsidRPr="00C05D23">
        <w:rPr>
          <w:rFonts w:ascii="Arial" w:hAnsi="Arial" w:cs="Arial"/>
        </w:rPr>
        <w:t xml:space="preserve">U. poz. 2175) </w:t>
      </w:r>
      <w:r>
        <w:rPr>
          <w:rFonts w:ascii="Arial" w:hAnsi="Arial" w:cs="Arial"/>
        </w:rPr>
        <w:t>w </w:t>
      </w:r>
      <w:r w:rsidRPr="00C05D23">
        <w:rPr>
          <w:rFonts w:ascii="Arial" w:hAnsi="Arial" w:cs="Arial"/>
        </w:rPr>
        <w:t>wysokości 2.878.472 tys. zł (z uwzględnieniem korekty, w stosunku do wcześniejszych prognoz, dokonywanych od 2020 r. zwrotów nadpłaconego podatku w związku z art. 15e ustawy o podatku dochodowym</w:t>
      </w:r>
      <w:r>
        <w:rPr>
          <w:rFonts w:ascii="Arial" w:hAnsi="Arial" w:cs="Arial"/>
        </w:rPr>
        <w:t xml:space="preserve"> od osób prawnych w ramach tzw. </w:t>
      </w:r>
      <w:r w:rsidRPr="00C05D23">
        <w:rPr>
          <w:rFonts w:ascii="Arial" w:hAnsi="Arial" w:cs="Arial"/>
        </w:rPr>
        <w:t>procedur APA),</w:t>
      </w:r>
    </w:p>
    <w:p w14:paraId="27ED3CFB" w14:textId="237E7C99"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lastRenderedPageBreak/>
        <w:t>aktualizację skutków wynikających z rozporządzenia Ministra Finansów, Funduszy i Polityki Regionalnej z dnia 16 lipca 2021 r. w sprawie zaniechania poboru podatku dochodowego od dochodów (przychodów) z tytułu umorzenia subwencji finansowej lub finansowania preferencyjnego udzielonych przez Polski Fundusz Rozwoju (Dz.</w:t>
      </w:r>
      <w:r w:rsidR="000C1EA7">
        <w:rPr>
          <w:rFonts w:ascii="Arial" w:hAnsi="Arial" w:cs="Arial"/>
        </w:rPr>
        <w:t xml:space="preserve"> U</w:t>
      </w:r>
      <w:r w:rsidRPr="00C05D23">
        <w:rPr>
          <w:rFonts w:ascii="Arial" w:hAnsi="Arial" w:cs="Arial"/>
        </w:rPr>
        <w:t>. 1316</w:t>
      </w:r>
      <w:r w:rsidR="00D811AC">
        <w:rPr>
          <w:rFonts w:ascii="Arial" w:hAnsi="Arial" w:cs="Arial"/>
        </w:rPr>
        <w:t>, z późn. zm.</w:t>
      </w:r>
      <w:r w:rsidRPr="00C05D23">
        <w:rPr>
          <w:rFonts w:ascii="Arial" w:hAnsi="Arial" w:cs="Arial"/>
        </w:rPr>
        <w:t>), w wysokości 2.754.757 tys. zł,</w:t>
      </w:r>
    </w:p>
    <w:p w14:paraId="53493A41" w14:textId="77777777"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aktualizację skutków uwzględnionych w zakresie rozwiązań wspierających małych i średnich przedsiębiorców w zakresie podatku dochodowego, w wysokości łącznie 2.619.400 tys. zł, na które składają się następujące czynności:</w:t>
      </w:r>
    </w:p>
    <w:p w14:paraId="3B4CBDFC" w14:textId="38340745" w:rsidR="00C05D23" w:rsidRPr="00C05D23" w:rsidRDefault="00C05D23" w:rsidP="000C1EA7">
      <w:pPr>
        <w:numPr>
          <w:ilvl w:val="0"/>
          <w:numId w:val="10"/>
        </w:numPr>
        <w:spacing w:before="120" w:after="120" w:line="340" w:lineRule="atLeast"/>
        <w:ind w:left="709" w:hanging="284"/>
        <w:rPr>
          <w:rFonts w:ascii="Arial" w:hAnsi="Arial" w:cs="Arial"/>
        </w:rPr>
      </w:pPr>
      <w:r w:rsidRPr="00C05D23">
        <w:rPr>
          <w:rFonts w:ascii="Arial" w:hAnsi="Arial" w:cs="Arial"/>
        </w:rPr>
        <w:t xml:space="preserve">pakietu uszczelniającego oraz zmiany w zakresie ryczałtu i 9% stawki CIT wprowadzane ustawą z dnia 28 listopada 2020 r. o zmianie ustawy o podatku dochodowym od osób fizycznych, ustawy o podatku dochodowym od osób prawnych, ustawy o zryczałtowanym podatku dochodowym od niektórych przychodów osiąganych przez osoby fizyczne oraz niektórych innych ustaw </w:t>
      </w:r>
      <w:r w:rsidRPr="00C05D23">
        <w:rPr>
          <w:rFonts w:ascii="Arial" w:hAnsi="Arial" w:cs="Arial"/>
        </w:rPr>
        <w:br/>
        <w:t>(Dz. U. poz. 2123),</w:t>
      </w:r>
    </w:p>
    <w:p w14:paraId="0A213561" w14:textId="48856898" w:rsidR="00C05D23" w:rsidRPr="00C05D23" w:rsidRDefault="00C05D23" w:rsidP="000C1EA7">
      <w:pPr>
        <w:numPr>
          <w:ilvl w:val="0"/>
          <w:numId w:val="10"/>
        </w:numPr>
        <w:spacing w:before="120" w:after="120" w:line="340" w:lineRule="atLeast"/>
        <w:ind w:left="709" w:hanging="284"/>
        <w:rPr>
          <w:rFonts w:ascii="Arial" w:hAnsi="Arial" w:cs="Arial"/>
        </w:rPr>
      </w:pPr>
      <w:r w:rsidRPr="00C05D23">
        <w:rPr>
          <w:rFonts w:ascii="Arial" w:hAnsi="Arial" w:cs="Arial"/>
        </w:rPr>
        <w:t xml:space="preserve">wprowadzenia tzw. „podatku estońskiego” wprowadzonego ustawą z dnia </w:t>
      </w:r>
      <w:r w:rsidRPr="00C05D23">
        <w:rPr>
          <w:rFonts w:ascii="Arial" w:hAnsi="Arial" w:cs="Arial"/>
        </w:rPr>
        <w:br/>
        <w:t>28 listopada 2020 r. o zmianie ustawy o podatku dochodowym od osób prawnych oraz niektórych innych ustaw (Dz. U. poz. 2122),</w:t>
      </w:r>
    </w:p>
    <w:p w14:paraId="370992FF" w14:textId="005C2C66"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skutki umożliwienia bankom komercyjnym działającym w formie spółek akcyjnych tworzenie instytucjonalnych systemów ochrony wprowadzony ustawą z dnia 7 kwietnia 2022 r. o zmianie ustawy o listach zastawnych i bankach hipotecznych oraz niektórych innych ustaw (Dz. U.</w:t>
      </w:r>
      <w:r w:rsidR="000C1EA7">
        <w:rPr>
          <w:rFonts w:ascii="Arial" w:hAnsi="Arial" w:cs="Arial"/>
        </w:rPr>
        <w:t xml:space="preserve"> </w:t>
      </w:r>
      <w:r w:rsidRPr="00C05D23">
        <w:rPr>
          <w:rFonts w:ascii="Arial" w:hAnsi="Arial" w:cs="Arial"/>
        </w:rPr>
        <w:t>poz. 872), obejmujące włączenie składek na system ochrony do kosztów uzyskania przychodów (ubytek we wpływach z CIT) wraz ze zwolnieniem ze składek na fundusz gwarancyjny banków w 2022 r., zindeksowany do warunków 2023 r., w kwocie -1</w:t>
      </w:r>
      <w:r w:rsidR="009E36E4">
        <w:rPr>
          <w:rFonts w:ascii="Arial" w:hAnsi="Arial" w:cs="Arial"/>
        </w:rPr>
        <w:t>.191</w:t>
      </w:r>
      <w:r w:rsidRPr="00C05D23">
        <w:rPr>
          <w:rFonts w:ascii="Arial" w:hAnsi="Arial" w:cs="Arial"/>
        </w:rPr>
        <w:t>.616 tys. zł,</w:t>
      </w:r>
    </w:p>
    <w:p w14:paraId="0559026D" w14:textId="4E2D94F5"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 xml:space="preserve">aktualizację skutków uwzględnionych w kwocie wydatków na rok 2022 wynikających z ustawy z dnia 11 września 2015 r. o zdrowiu publicznym w zakresie wprowadzenia opłaty od środków spożywczych (Dz. U. </w:t>
      </w:r>
      <w:r w:rsidR="000C1EA7">
        <w:rPr>
          <w:rFonts w:ascii="Arial" w:hAnsi="Arial" w:cs="Arial"/>
        </w:rPr>
        <w:t xml:space="preserve">z </w:t>
      </w:r>
      <w:r w:rsidR="00034596">
        <w:rPr>
          <w:rFonts w:ascii="Arial" w:hAnsi="Arial" w:cs="Arial"/>
        </w:rPr>
        <w:t>2022 r., poz. 1608</w:t>
      </w:r>
      <w:r w:rsidRPr="00C05D23">
        <w:rPr>
          <w:rFonts w:ascii="Arial" w:hAnsi="Arial" w:cs="Arial"/>
        </w:rPr>
        <w:t>) oraz ustawy z dnia 14 lutego 2020 r. o zmianie niektórych ustaw w związku z promocją prozdrowotnych wyborów konsumentów (Dz. U. poz. 1492</w:t>
      </w:r>
      <w:r w:rsidR="00034596">
        <w:rPr>
          <w:rFonts w:ascii="Arial" w:hAnsi="Arial" w:cs="Arial"/>
        </w:rPr>
        <w:t>, z późn. zm.</w:t>
      </w:r>
      <w:r w:rsidRPr="00C05D23">
        <w:rPr>
          <w:rFonts w:ascii="Arial" w:hAnsi="Arial" w:cs="Arial"/>
        </w:rPr>
        <w:t xml:space="preserve">) wraz z doliczonymi skutkami w podatku od towarów i usług, w łącznej wysokości 497.951 tys. zł, </w:t>
      </w:r>
    </w:p>
    <w:p w14:paraId="42BED582" w14:textId="7E66244D"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aktualizację skutków wprowadzenia podatku od sprzedaży detalicznej, wprowadzonych z ustawą z dnia 12 grudnia 2019 r. o zmianie ustawy o podatku od sprzedaży detalicznej (Dz. U. poz. 2497) w kwocie 200.355 tys. zł,</w:t>
      </w:r>
    </w:p>
    <w:p w14:paraId="2E11A1C3" w14:textId="59E11240"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 xml:space="preserve">aktualizację skutków opłaty mocowej, wprowadzonej ustawą z dnia 8 grudnia 2017 r. </w:t>
      </w:r>
      <w:r w:rsidRPr="00C05D23">
        <w:rPr>
          <w:rFonts w:ascii="Arial" w:hAnsi="Arial" w:cs="Arial"/>
        </w:rPr>
        <w:br/>
        <w:t xml:space="preserve">o rynku mocy (Dz. U. </w:t>
      </w:r>
      <w:r w:rsidR="000C1EA7">
        <w:rPr>
          <w:rFonts w:ascii="Arial" w:hAnsi="Arial" w:cs="Arial"/>
        </w:rPr>
        <w:t xml:space="preserve">z </w:t>
      </w:r>
      <w:r w:rsidR="00034596">
        <w:rPr>
          <w:rFonts w:ascii="Arial" w:hAnsi="Arial" w:cs="Arial"/>
        </w:rPr>
        <w:t>2021</w:t>
      </w:r>
      <w:r w:rsidR="00034596" w:rsidRPr="00C05D23">
        <w:rPr>
          <w:rFonts w:ascii="Arial" w:hAnsi="Arial" w:cs="Arial"/>
        </w:rPr>
        <w:t xml:space="preserve"> </w:t>
      </w:r>
      <w:r w:rsidR="004A22DD">
        <w:rPr>
          <w:rFonts w:ascii="Arial" w:hAnsi="Arial" w:cs="Arial"/>
        </w:rPr>
        <w:t xml:space="preserve">r. </w:t>
      </w:r>
      <w:r w:rsidRPr="00C05D23">
        <w:rPr>
          <w:rFonts w:ascii="Arial" w:hAnsi="Arial" w:cs="Arial"/>
        </w:rPr>
        <w:t xml:space="preserve">poz. </w:t>
      </w:r>
      <w:r w:rsidR="00034596">
        <w:rPr>
          <w:rFonts w:ascii="Arial" w:hAnsi="Arial" w:cs="Arial"/>
        </w:rPr>
        <w:t>1854, z późn. zm.</w:t>
      </w:r>
      <w:r w:rsidRPr="00C05D23">
        <w:rPr>
          <w:rFonts w:ascii="Arial" w:hAnsi="Arial" w:cs="Arial"/>
        </w:rPr>
        <w:t xml:space="preserve">), której termin wejścia w życie został przesunięty ustawą z dnia 14 sierpnia 2020 r. o zmianie ustawy o biokomponentach i biopaliwach ciekłych oraz niektórych innych ustaw (Dz. U. poz. </w:t>
      </w:r>
      <w:r w:rsidRPr="00C05D23">
        <w:rPr>
          <w:rFonts w:ascii="Arial" w:hAnsi="Arial" w:cs="Arial"/>
        </w:rPr>
        <w:lastRenderedPageBreak/>
        <w:t>1565), która weszła w życie od 1 stycznia 2021 r. ze skutkiem w 2023 r. w wysokości -9.609 tys. zł,</w:t>
      </w:r>
    </w:p>
    <w:p w14:paraId="75777EE4" w14:textId="3E3D7001"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skutek zaniechania w 2022 r. poboru podatku od 13-tej emerytury wprowadzonego rozporządzeniem Ministra Finansów z dnia 7 marca 2022 r. w sprawie zaniechania poboru podatku dochodowego od osób fizycznych od dodatkowego rocznego świadczenia pieniężnego (Dz.</w:t>
      </w:r>
      <w:r w:rsidR="000C1EA7">
        <w:rPr>
          <w:rFonts w:ascii="Arial" w:hAnsi="Arial" w:cs="Arial"/>
        </w:rPr>
        <w:t xml:space="preserve"> </w:t>
      </w:r>
      <w:r w:rsidRPr="00C05D23">
        <w:rPr>
          <w:rFonts w:ascii="Arial" w:hAnsi="Arial" w:cs="Arial"/>
        </w:rPr>
        <w:t xml:space="preserve">U. poz. 556), zaktualizowany do warunków 2023 r. </w:t>
      </w:r>
      <w:r w:rsidRPr="00C05D23">
        <w:rPr>
          <w:rFonts w:ascii="Arial" w:hAnsi="Arial" w:cs="Arial"/>
        </w:rPr>
        <w:br/>
        <w:t>i zneutralizowany brakiem tego działania w 2023 r.,</w:t>
      </w:r>
    </w:p>
    <w:p w14:paraId="044BF4DB" w14:textId="6447D754" w:rsidR="00C05D23" w:rsidRPr="00C05D23" w:rsidRDefault="00C05D23" w:rsidP="000C1EA7">
      <w:pPr>
        <w:numPr>
          <w:ilvl w:val="0"/>
          <w:numId w:val="8"/>
        </w:numPr>
        <w:spacing w:before="120" w:after="120" w:line="340" w:lineRule="atLeast"/>
        <w:ind w:left="426" w:hanging="426"/>
        <w:rPr>
          <w:rFonts w:ascii="Arial" w:hAnsi="Arial" w:cs="Arial"/>
        </w:rPr>
      </w:pPr>
      <w:r w:rsidRPr="00C05D23">
        <w:rPr>
          <w:rFonts w:ascii="Arial" w:hAnsi="Arial" w:cs="Arial"/>
        </w:rPr>
        <w:t xml:space="preserve">skutek wpłat w 2022 r. na Fundusz Wsparcia Kredytobiorców wprowadzonych ustawą </w:t>
      </w:r>
      <w:r w:rsidRPr="00C05D23">
        <w:rPr>
          <w:rFonts w:ascii="Arial" w:hAnsi="Arial" w:cs="Arial"/>
        </w:rPr>
        <w:br/>
        <w:t xml:space="preserve">z dnia 7 lipca 2022 r. o finansowaniu społecznościowym dla przedsięwzięć gospodarczych i pomocy kredytobiorcom (Dz. U. </w:t>
      </w:r>
      <w:r w:rsidR="0088796C">
        <w:rPr>
          <w:rFonts w:ascii="Arial" w:hAnsi="Arial" w:cs="Arial"/>
        </w:rPr>
        <w:t xml:space="preserve">z 2023 r. </w:t>
      </w:r>
      <w:r w:rsidRPr="00C05D23">
        <w:rPr>
          <w:rFonts w:ascii="Arial" w:hAnsi="Arial" w:cs="Arial"/>
        </w:rPr>
        <w:t xml:space="preserve">poz. </w:t>
      </w:r>
      <w:r w:rsidR="0088796C">
        <w:rPr>
          <w:rFonts w:ascii="Arial" w:hAnsi="Arial" w:cs="Arial"/>
        </w:rPr>
        <w:t>414</w:t>
      </w:r>
      <w:r w:rsidRPr="00C05D23">
        <w:rPr>
          <w:rFonts w:ascii="Arial" w:hAnsi="Arial" w:cs="Arial"/>
        </w:rPr>
        <w:t>), zaktualizowany do warunków 2023 r. i zneutralizowany brakiem tego działania w 2023 r.</w:t>
      </w:r>
    </w:p>
    <w:p w14:paraId="70FD2B21" w14:textId="77777777" w:rsidR="00420442" w:rsidRDefault="00C05D23" w:rsidP="000C1EA7">
      <w:pPr>
        <w:spacing w:before="120" w:after="120" w:line="340" w:lineRule="atLeast"/>
        <w:rPr>
          <w:rFonts w:ascii="Arial" w:hAnsi="Arial" w:cs="Arial"/>
          <w:color w:val="000000" w:themeColor="text1"/>
        </w:rPr>
      </w:pPr>
      <w:r w:rsidRPr="00C05D23">
        <w:rPr>
          <w:rFonts w:ascii="Arial" w:hAnsi="Arial" w:cs="Arial"/>
        </w:rPr>
        <w:t>Suma różnic, o której mowa w art. 112aa ust. 5 usta</w:t>
      </w:r>
      <w:r w:rsidR="00914D99">
        <w:rPr>
          <w:rFonts w:ascii="Arial" w:hAnsi="Arial" w:cs="Arial"/>
        </w:rPr>
        <w:t>wy o finansach publicznych, tj. </w:t>
      </w:r>
      <w:r w:rsidRPr="00C05D23">
        <w:rPr>
          <w:rFonts w:ascii="Arial" w:hAnsi="Arial" w:cs="Arial"/>
        </w:rPr>
        <w:t xml:space="preserve">skumulowanych różnic pomiędzy relacją wyniku nominalnego sektora instytucji rządowych i samorządowych do PKB oraz poziomem średniookresowego celu budżetowego wyniosła </w:t>
      </w:r>
      <w:r w:rsidRPr="00C05D23">
        <w:rPr>
          <w:rFonts w:ascii="Arial" w:hAnsi="Arial" w:cs="Arial"/>
        </w:rPr>
        <w:br/>
        <w:t xml:space="preserve">w 2021 </w:t>
      </w:r>
      <w:r w:rsidRPr="00C05D23">
        <w:rPr>
          <w:rFonts w:ascii="Arial" w:hAnsi="Arial" w:cs="Arial"/>
          <w:color w:val="000000" w:themeColor="text1"/>
        </w:rPr>
        <w:t>r. -3,34 proc.</w:t>
      </w:r>
    </w:p>
    <w:p w14:paraId="3B6C8C52" w14:textId="41FCFEA0" w:rsidR="00E4736E" w:rsidRDefault="00E4736E" w:rsidP="000C1EA7">
      <w:pPr>
        <w:spacing w:before="360" w:after="120" w:line="340" w:lineRule="atLeast"/>
        <w:rPr>
          <w:rFonts w:ascii="Arial" w:hAnsi="Arial" w:cs="Arial"/>
          <w:color w:val="000000" w:themeColor="text1"/>
        </w:rPr>
      </w:pPr>
      <w:r w:rsidRPr="00E4736E">
        <w:rPr>
          <w:rFonts w:ascii="Arial" w:hAnsi="Arial" w:cs="Arial"/>
          <w:color w:val="000000" w:themeColor="text1"/>
        </w:rPr>
        <w:t xml:space="preserve">Kwota planowanego limitu wydatków, o którym mowa w art. 112aa ust. 3 ustawy o finansach publicznych, w roku 2023 </w:t>
      </w:r>
      <w:r w:rsidR="006351C4">
        <w:rPr>
          <w:rFonts w:ascii="Arial" w:hAnsi="Arial" w:cs="Arial"/>
          <w:color w:val="000000" w:themeColor="text1"/>
        </w:rPr>
        <w:t>wynosi 1.060.556.221</w:t>
      </w:r>
      <w:r w:rsidRPr="00B3771C">
        <w:rPr>
          <w:rFonts w:ascii="Arial" w:hAnsi="Arial" w:cs="Arial"/>
          <w:color w:val="000000" w:themeColor="text1"/>
        </w:rPr>
        <w:t xml:space="preserve"> tys.</w:t>
      </w:r>
      <w:r w:rsidRPr="00E4736E">
        <w:rPr>
          <w:rFonts w:ascii="Arial" w:hAnsi="Arial" w:cs="Arial"/>
          <w:color w:val="000000" w:themeColor="text1"/>
        </w:rPr>
        <w:t xml:space="preserve"> zł. Kwota ta </w:t>
      </w:r>
      <w:r w:rsidR="00B3771C">
        <w:rPr>
          <w:rFonts w:ascii="Arial" w:hAnsi="Arial" w:cs="Arial"/>
          <w:color w:val="000000" w:themeColor="text1"/>
        </w:rPr>
        <w:t>została wyznaczona w </w:t>
      </w:r>
      <w:r>
        <w:rPr>
          <w:rFonts w:ascii="Arial" w:hAnsi="Arial" w:cs="Arial"/>
          <w:color w:val="000000" w:themeColor="text1"/>
        </w:rPr>
        <w:t>oparciu o:</w:t>
      </w:r>
    </w:p>
    <w:p w14:paraId="4E4FFF07" w14:textId="77777777" w:rsidR="00E4736E" w:rsidRPr="00E4736E" w:rsidRDefault="00E4736E" w:rsidP="000C1EA7">
      <w:pPr>
        <w:pStyle w:val="Akapitzlist"/>
        <w:numPr>
          <w:ilvl w:val="0"/>
          <w:numId w:val="32"/>
        </w:numPr>
        <w:spacing w:before="120" w:line="340" w:lineRule="atLeast"/>
        <w:ind w:left="425" w:hanging="425"/>
        <w:contextualSpacing w:val="0"/>
        <w:jc w:val="left"/>
        <w:rPr>
          <w:rFonts w:cs="Arial"/>
          <w:color w:val="000000" w:themeColor="text1"/>
        </w:rPr>
      </w:pPr>
      <w:r w:rsidRPr="00E4736E">
        <w:rPr>
          <w:rFonts w:cs="Arial"/>
          <w:color w:val="000000" w:themeColor="text1"/>
        </w:rPr>
        <w:t xml:space="preserve">planowaną kwotę wydatków, </w:t>
      </w:r>
    </w:p>
    <w:p w14:paraId="6DF79631" w14:textId="77777777" w:rsidR="00E4736E" w:rsidRPr="00E4736E" w:rsidRDefault="00E4736E" w:rsidP="000C1EA7">
      <w:pPr>
        <w:pStyle w:val="Akapitzlist"/>
        <w:numPr>
          <w:ilvl w:val="0"/>
          <w:numId w:val="32"/>
        </w:numPr>
        <w:spacing w:before="120" w:after="80" w:line="340" w:lineRule="atLeast"/>
        <w:ind w:left="425" w:hanging="425"/>
        <w:contextualSpacing w:val="0"/>
        <w:jc w:val="left"/>
        <w:rPr>
          <w:rFonts w:cs="Arial"/>
          <w:color w:val="000000" w:themeColor="text1"/>
        </w:rPr>
      </w:pPr>
      <w:r w:rsidRPr="00E4736E">
        <w:rPr>
          <w:rFonts w:cs="Arial"/>
          <w:color w:val="000000" w:themeColor="text1"/>
        </w:rPr>
        <w:t xml:space="preserve">prognozowany na 2023 rok poziom skonsolidowanych: </w:t>
      </w:r>
    </w:p>
    <w:p w14:paraId="4E49D028" w14:textId="53F18A95" w:rsidR="00E4736E" w:rsidRPr="000C1EA7" w:rsidRDefault="00E4736E" w:rsidP="000C1EA7">
      <w:pPr>
        <w:pStyle w:val="Akapitzlist"/>
        <w:numPr>
          <w:ilvl w:val="0"/>
          <w:numId w:val="35"/>
        </w:numPr>
        <w:spacing w:before="120" w:line="340" w:lineRule="atLeast"/>
        <w:ind w:left="709" w:hanging="283"/>
        <w:rPr>
          <w:color w:val="000000" w:themeColor="text1"/>
        </w:rPr>
      </w:pPr>
      <w:r w:rsidRPr="000C1EA7">
        <w:rPr>
          <w:color w:val="000000" w:themeColor="text1"/>
          <w:spacing w:val="4"/>
        </w:rPr>
        <w:t>wydatków jednostek samorządu terytorialnego i ich związków oraz związków</w:t>
      </w:r>
      <w:r w:rsidRPr="000C1EA7">
        <w:rPr>
          <w:color w:val="000000" w:themeColor="text1"/>
        </w:rPr>
        <w:t xml:space="preserve"> metropolitalnych i samorządowych jednostek budżetowych, </w:t>
      </w:r>
    </w:p>
    <w:p w14:paraId="00C38034" w14:textId="7C46F41F" w:rsidR="00E4736E" w:rsidRPr="000C1EA7" w:rsidRDefault="00E4736E" w:rsidP="000C1EA7">
      <w:pPr>
        <w:pStyle w:val="Akapitzlist"/>
        <w:numPr>
          <w:ilvl w:val="0"/>
          <w:numId w:val="35"/>
        </w:numPr>
        <w:spacing w:before="120" w:line="340" w:lineRule="atLeast"/>
        <w:ind w:left="709" w:hanging="283"/>
        <w:rPr>
          <w:color w:val="000000" w:themeColor="text1"/>
        </w:rPr>
      </w:pPr>
      <w:r w:rsidRPr="000C1EA7">
        <w:rPr>
          <w:color w:val="000000" w:themeColor="text1"/>
        </w:rPr>
        <w:t xml:space="preserve">planowanych wydatków organów i jednostek, o których mowa w art. 139 ust. 2 ustawy o finansach publicznych, </w:t>
      </w:r>
    </w:p>
    <w:p w14:paraId="6719ED0E" w14:textId="55806E35" w:rsidR="00E4736E" w:rsidRPr="000C1EA7" w:rsidRDefault="00E4736E" w:rsidP="000C1EA7">
      <w:pPr>
        <w:pStyle w:val="Akapitzlist"/>
        <w:numPr>
          <w:ilvl w:val="0"/>
          <w:numId w:val="35"/>
        </w:numPr>
        <w:spacing w:before="120" w:line="340" w:lineRule="atLeast"/>
        <w:ind w:left="709" w:hanging="283"/>
        <w:rPr>
          <w:color w:val="000000" w:themeColor="text1"/>
        </w:rPr>
      </w:pPr>
      <w:r w:rsidRPr="000C1EA7">
        <w:rPr>
          <w:color w:val="000000" w:themeColor="text1"/>
        </w:rPr>
        <w:t xml:space="preserve">planowanych kosztów Narodowego Funduszu Zdrowia wyliczonych na podstawie zatwierdzonego planu finansowego NFZ, </w:t>
      </w:r>
    </w:p>
    <w:p w14:paraId="68A82BB2" w14:textId="0FAF30CC" w:rsidR="00E4736E" w:rsidRPr="000C1EA7" w:rsidRDefault="00E4736E" w:rsidP="000C1EA7">
      <w:pPr>
        <w:pStyle w:val="Akapitzlist"/>
        <w:numPr>
          <w:ilvl w:val="0"/>
          <w:numId w:val="35"/>
        </w:numPr>
        <w:spacing w:before="120" w:line="340" w:lineRule="atLeast"/>
        <w:ind w:left="709" w:hanging="283"/>
        <w:rPr>
          <w:color w:val="000000" w:themeColor="text1"/>
        </w:rPr>
      </w:pPr>
      <w:r w:rsidRPr="000C1EA7">
        <w:rPr>
          <w:color w:val="000000" w:themeColor="text1"/>
        </w:rPr>
        <w:t xml:space="preserve">planowanych wydatków Bankowego Funduszu Gwarancyjnego określonych w planie finansowym Funduszu, </w:t>
      </w:r>
    </w:p>
    <w:p w14:paraId="16A12967" w14:textId="508A19A3" w:rsidR="00E4736E" w:rsidRPr="000C1EA7" w:rsidRDefault="00E4736E" w:rsidP="000C1EA7">
      <w:pPr>
        <w:pStyle w:val="Akapitzlist"/>
        <w:numPr>
          <w:ilvl w:val="0"/>
          <w:numId w:val="35"/>
        </w:numPr>
        <w:spacing w:before="120" w:line="340" w:lineRule="atLeast"/>
        <w:ind w:left="709" w:hanging="283"/>
        <w:rPr>
          <w:color w:val="000000" w:themeColor="text1"/>
        </w:rPr>
      </w:pPr>
      <w:r w:rsidRPr="000C1EA7">
        <w:rPr>
          <w:color w:val="000000" w:themeColor="text1"/>
          <w:spacing w:val="-4"/>
        </w:rPr>
        <w:t xml:space="preserve">planowanych wydatków Funduszu Przeciwdziałania COVID-19, określonych w projekcie </w:t>
      </w:r>
      <w:r w:rsidRPr="000C1EA7">
        <w:rPr>
          <w:color w:val="000000" w:themeColor="text1"/>
        </w:rPr>
        <w:t>planu finansowego Funduszu,</w:t>
      </w:r>
    </w:p>
    <w:p w14:paraId="3FBE10CF" w14:textId="3A028FEF" w:rsidR="00E4736E" w:rsidRPr="000C1EA7" w:rsidRDefault="00E4736E" w:rsidP="000C1EA7">
      <w:pPr>
        <w:pStyle w:val="Akapitzlist"/>
        <w:numPr>
          <w:ilvl w:val="0"/>
          <w:numId w:val="35"/>
        </w:numPr>
        <w:spacing w:before="120" w:after="0" w:line="340" w:lineRule="atLeast"/>
        <w:ind w:left="709" w:hanging="284"/>
        <w:contextualSpacing w:val="0"/>
        <w:rPr>
          <w:color w:val="000000" w:themeColor="text1"/>
        </w:rPr>
      </w:pPr>
      <w:r w:rsidRPr="000C1EA7">
        <w:rPr>
          <w:color w:val="000000" w:themeColor="text1"/>
          <w:spacing w:val="-4"/>
        </w:rPr>
        <w:t xml:space="preserve">planowanych wydatków Funduszu Pomocy określonych w projekcie planu finansowego </w:t>
      </w:r>
      <w:r w:rsidRPr="000C1EA7">
        <w:rPr>
          <w:color w:val="000000" w:themeColor="text1"/>
        </w:rPr>
        <w:t>Funduszu,</w:t>
      </w:r>
    </w:p>
    <w:p w14:paraId="7997BE78" w14:textId="77777777" w:rsidR="00E4736E" w:rsidRPr="00E4736E" w:rsidRDefault="00E4736E" w:rsidP="000C1EA7">
      <w:pPr>
        <w:spacing w:after="120" w:line="340" w:lineRule="atLeast"/>
        <w:ind w:left="425"/>
        <w:rPr>
          <w:rFonts w:ascii="Arial" w:hAnsi="Arial" w:cs="Arial"/>
          <w:color w:val="000000" w:themeColor="text1"/>
        </w:rPr>
      </w:pPr>
      <w:r w:rsidRPr="00E4736E">
        <w:rPr>
          <w:rFonts w:ascii="Arial" w:hAnsi="Arial" w:cs="Arial"/>
          <w:color w:val="000000" w:themeColor="text1"/>
        </w:rPr>
        <w:t>z uwzględnieniem przepisów art. 4 ust. 1 ustawy z dnia 23 czerwca 2022 r. o zmianie ustawy o finansach publicznych oraz ustawy – Prawo ochrony środowiska, wprowa</w:t>
      </w:r>
      <w:r w:rsidR="006351C4">
        <w:rPr>
          <w:rFonts w:ascii="Arial" w:hAnsi="Arial" w:cs="Arial"/>
          <w:color w:val="000000" w:themeColor="text1"/>
        </w:rPr>
        <w:t>dzających klauzulę inwestycyjną</w:t>
      </w:r>
      <w:r w:rsidR="000E0465">
        <w:rPr>
          <w:rFonts w:ascii="Arial" w:hAnsi="Arial" w:cs="Arial"/>
          <w:color w:val="000000" w:themeColor="text1"/>
        </w:rPr>
        <w:t>,</w:t>
      </w:r>
    </w:p>
    <w:p w14:paraId="4D7309AA" w14:textId="77777777" w:rsidR="005C7626" w:rsidRPr="00E4736E" w:rsidRDefault="00E4736E" w:rsidP="000C1EA7">
      <w:pPr>
        <w:pStyle w:val="Akapitzlist"/>
        <w:numPr>
          <w:ilvl w:val="0"/>
          <w:numId w:val="32"/>
        </w:numPr>
        <w:spacing w:before="120" w:line="340" w:lineRule="atLeast"/>
        <w:ind w:left="426" w:hanging="426"/>
        <w:jc w:val="left"/>
        <w:rPr>
          <w:rFonts w:cs="Arial"/>
          <w:color w:val="000000" w:themeColor="text1"/>
        </w:rPr>
      </w:pPr>
      <w:r w:rsidRPr="00E4736E">
        <w:rPr>
          <w:rFonts w:cs="Arial"/>
          <w:color w:val="000000" w:themeColor="text1"/>
        </w:rPr>
        <w:lastRenderedPageBreak/>
        <w:t>kwotę prognozowanych na 2023 rok działań jednorazowych i tymczasowych po stronie dochodów, uwzględniających dochody z rozdyspon</w:t>
      </w:r>
      <w:r>
        <w:rPr>
          <w:rFonts w:cs="Arial"/>
          <w:color w:val="000000" w:themeColor="text1"/>
        </w:rPr>
        <w:t>owania zasobów częstotliwości z </w:t>
      </w:r>
      <w:r w:rsidRPr="00E4736E">
        <w:rPr>
          <w:rFonts w:cs="Arial"/>
          <w:color w:val="000000" w:themeColor="text1"/>
        </w:rPr>
        <w:t>pasma 3480-3800 MHz (5G) oraz w paśmie 800 MHz.</w:t>
      </w:r>
    </w:p>
    <w:p w14:paraId="51469334" w14:textId="77777777" w:rsidR="005C7626" w:rsidRDefault="005C7626" w:rsidP="007A3F8C">
      <w:pPr>
        <w:spacing w:before="120" w:after="120" w:line="340" w:lineRule="atLeast"/>
        <w:contextualSpacing/>
        <w:rPr>
          <w:rFonts w:ascii="Arial" w:hAnsi="Arial" w:cs="Arial"/>
          <w:color w:val="000000" w:themeColor="text1"/>
        </w:rPr>
      </w:pPr>
    </w:p>
    <w:p w14:paraId="1B8A0091" w14:textId="77777777" w:rsidR="00584081" w:rsidRDefault="00584081" w:rsidP="00584081">
      <w:pPr>
        <w:spacing w:before="120" w:after="0" w:line="340" w:lineRule="atLeast"/>
        <w:rPr>
          <w:rFonts w:ascii="Arial" w:hAnsi="Arial" w:cs="Arial"/>
          <w:color w:val="000000"/>
        </w:rPr>
      </w:pPr>
      <w:r>
        <w:rPr>
          <w:rFonts w:ascii="Arial" w:hAnsi="Arial" w:cs="Arial"/>
          <w:color w:val="000000"/>
        </w:rPr>
        <w:t>Suma wysokości:</w:t>
      </w:r>
    </w:p>
    <w:p w14:paraId="184489E1" w14:textId="77777777" w:rsidR="00584081" w:rsidRPr="00584081" w:rsidRDefault="00584081" w:rsidP="00584081">
      <w:pPr>
        <w:pStyle w:val="Akapitzlist"/>
        <w:numPr>
          <w:ilvl w:val="0"/>
          <w:numId w:val="36"/>
        </w:numPr>
        <w:spacing w:before="80" w:after="0" w:line="340" w:lineRule="atLeast"/>
        <w:ind w:left="284" w:hanging="284"/>
        <w:contextualSpacing w:val="0"/>
        <w:rPr>
          <w:rFonts w:cs="Arial"/>
          <w:color w:val="000000" w:themeColor="text1"/>
          <w:spacing w:val="-4"/>
        </w:rPr>
      </w:pPr>
      <w:r w:rsidRPr="00584081">
        <w:rPr>
          <w:rFonts w:cs="Arial"/>
          <w:color w:val="000000" w:themeColor="text1"/>
          <w:spacing w:val="-4"/>
        </w:rPr>
        <w:t>prognozowanej kwoty wydatków jednostek samorządu terytorialnego oraz ich związków i</w:t>
      </w:r>
      <w:r>
        <w:rPr>
          <w:rFonts w:cs="Arial"/>
          <w:color w:val="000000" w:themeColor="text1"/>
          <w:spacing w:val="-4"/>
        </w:rPr>
        <w:t> </w:t>
      </w:r>
      <w:r w:rsidRPr="00584081">
        <w:rPr>
          <w:rFonts w:cs="Arial"/>
          <w:color w:val="000000" w:themeColor="text1"/>
          <w:spacing w:val="-4"/>
        </w:rPr>
        <w:t>związków metropolitalnych, o których mowa w art. 236 ust. 4 pkt 1 ustawy o finansach publicznych;</w:t>
      </w:r>
    </w:p>
    <w:p w14:paraId="186A2FFE" w14:textId="77777777" w:rsidR="00584081" w:rsidRPr="00584081" w:rsidRDefault="00584081" w:rsidP="00584081">
      <w:pPr>
        <w:pStyle w:val="Akapitzlist"/>
        <w:numPr>
          <w:ilvl w:val="0"/>
          <w:numId w:val="36"/>
        </w:numPr>
        <w:spacing w:before="120" w:after="0" w:line="340" w:lineRule="atLeast"/>
        <w:ind w:left="284" w:hanging="284"/>
        <w:contextualSpacing w:val="0"/>
        <w:rPr>
          <w:rFonts w:cs="Arial"/>
          <w:color w:val="000000" w:themeColor="text1"/>
          <w:spacing w:val="-4"/>
        </w:rPr>
      </w:pPr>
      <w:r w:rsidRPr="00584081">
        <w:rPr>
          <w:rFonts w:cs="Arial"/>
          <w:color w:val="000000" w:themeColor="text1"/>
          <w:spacing w:val="-4"/>
        </w:rPr>
        <w:t>planowanych wydatków budżetu państwa, o których mowa w art. 124 ust. 4 ustawy o finansach publicznych, oraz planowanych wydatków inwestycyjnych z przeznaczeniem na realizację programów finansowanych z udziałem środków, o których mowa w art. 5 ust.1 pkt 2 ustawy o</w:t>
      </w:r>
      <w:r>
        <w:rPr>
          <w:rFonts w:cs="Arial"/>
          <w:color w:val="000000" w:themeColor="text1"/>
          <w:spacing w:val="-4"/>
        </w:rPr>
        <w:t> </w:t>
      </w:r>
      <w:r w:rsidRPr="00584081">
        <w:rPr>
          <w:rFonts w:cs="Arial"/>
          <w:color w:val="000000" w:themeColor="text1"/>
          <w:spacing w:val="-4"/>
        </w:rPr>
        <w:t>finansach publicznych,</w:t>
      </w:r>
    </w:p>
    <w:p w14:paraId="3CBFE00A" w14:textId="77777777" w:rsidR="00584081" w:rsidRPr="00584081" w:rsidRDefault="00584081" w:rsidP="00584081">
      <w:pPr>
        <w:pStyle w:val="Akapitzlist"/>
        <w:numPr>
          <w:ilvl w:val="0"/>
          <w:numId w:val="36"/>
        </w:numPr>
        <w:spacing w:before="80" w:after="0" w:line="340" w:lineRule="atLeast"/>
        <w:ind w:left="284" w:hanging="284"/>
        <w:contextualSpacing w:val="0"/>
        <w:rPr>
          <w:rFonts w:cs="Arial"/>
          <w:color w:val="000000" w:themeColor="text1"/>
          <w:spacing w:val="-4"/>
        </w:rPr>
      </w:pPr>
      <w:r w:rsidRPr="00584081">
        <w:rPr>
          <w:rFonts w:cs="Arial"/>
          <w:color w:val="000000" w:themeColor="text1"/>
          <w:spacing w:val="2"/>
        </w:rPr>
        <w:t>planowanych wydatków inwestycyjnych państwowych funduszy celowych lub funduszy utworzonych, powierzonych lub przekazanych Bankowi Gospodarstwa Krajowego na podstawie</w:t>
      </w:r>
      <w:r w:rsidRPr="00584081">
        <w:rPr>
          <w:rFonts w:cs="Arial"/>
          <w:color w:val="000000" w:themeColor="text1"/>
          <w:spacing w:val="-4"/>
        </w:rPr>
        <w:t xml:space="preserve"> odrębnych ustaw </w:t>
      </w:r>
    </w:p>
    <w:p w14:paraId="2802C563" w14:textId="77777777" w:rsidR="00584081" w:rsidRDefault="00584081" w:rsidP="00584081">
      <w:pPr>
        <w:pStyle w:val="Akapitzlist"/>
        <w:spacing w:before="80" w:line="340" w:lineRule="atLeast"/>
        <w:ind w:left="0"/>
        <w:contextualSpacing w:val="0"/>
        <w:jc w:val="left"/>
        <w:rPr>
          <w:color w:val="000000"/>
        </w:rPr>
      </w:pPr>
      <w:r>
        <w:rPr>
          <w:color w:val="000000"/>
        </w:rPr>
        <w:t xml:space="preserve">– z wyłączeniem wydatków na zakup i objęcie akcji i udziałów oraz wpłat organów i jednostek na państwowy fundusz celowy na finansowanie lub dofinansowanie zadań inwestycyjnych </w:t>
      </w:r>
    </w:p>
    <w:p w14:paraId="0D5B3412" w14:textId="77777777" w:rsidR="00584081" w:rsidRDefault="00584081" w:rsidP="00584081">
      <w:pPr>
        <w:pStyle w:val="Akapitzlist"/>
        <w:spacing w:before="80" w:line="340" w:lineRule="atLeast"/>
        <w:ind w:left="0"/>
        <w:contextualSpacing w:val="0"/>
        <w:jc w:val="left"/>
        <w:rPr>
          <w:rFonts w:cs="Arial"/>
          <w:color w:val="000000"/>
        </w:rPr>
      </w:pPr>
      <w:r>
        <w:rPr>
          <w:rFonts w:cs="Arial"/>
          <w:color w:val="000000"/>
        </w:rPr>
        <w:t>wyniosła 19</w:t>
      </w:r>
      <w:r w:rsidR="00481697">
        <w:rPr>
          <w:rFonts w:cs="Arial"/>
          <w:color w:val="000000"/>
        </w:rPr>
        <w:t>4</w:t>
      </w:r>
      <w:r>
        <w:rPr>
          <w:rFonts w:cs="Arial"/>
          <w:color w:val="000000"/>
        </w:rPr>
        <w:t>.</w:t>
      </w:r>
      <w:r w:rsidR="00481697">
        <w:rPr>
          <w:rFonts w:cs="Arial"/>
          <w:color w:val="000000"/>
        </w:rPr>
        <w:t>878</w:t>
      </w:r>
      <w:r>
        <w:rPr>
          <w:rFonts w:cs="Arial"/>
          <w:color w:val="000000"/>
        </w:rPr>
        <w:t>.</w:t>
      </w:r>
      <w:r w:rsidR="00481697">
        <w:rPr>
          <w:rFonts w:cs="Arial"/>
          <w:color w:val="000000"/>
        </w:rPr>
        <w:t>305</w:t>
      </w:r>
      <w:r>
        <w:rPr>
          <w:rFonts w:cs="Arial"/>
          <w:color w:val="000000"/>
        </w:rPr>
        <w:t xml:space="preserve"> tys. zł.</w:t>
      </w:r>
    </w:p>
    <w:p w14:paraId="7EE9467D" w14:textId="77777777" w:rsidR="00584081" w:rsidRDefault="00584081" w:rsidP="007A3F8C">
      <w:pPr>
        <w:spacing w:before="120" w:after="120" w:line="340" w:lineRule="atLeast"/>
        <w:contextualSpacing/>
        <w:rPr>
          <w:rFonts w:ascii="Arial" w:hAnsi="Arial" w:cs="Arial"/>
          <w:color w:val="000000" w:themeColor="text1"/>
        </w:rPr>
      </w:pPr>
    </w:p>
    <w:p w14:paraId="56423334" w14:textId="77777777" w:rsidR="009D4976" w:rsidRPr="009D4976" w:rsidRDefault="00420442" w:rsidP="005E2968">
      <w:pPr>
        <w:pStyle w:val="Akapitzlist"/>
        <w:numPr>
          <w:ilvl w:val="0"/>
          <w:numId w:val="5"/>
        </w:numPr>
        <w:spacing w:before="360"/>
        <w:ind w:left="425" w:hanging="425"/>
        <w:contextualSpacing w:val="0"/>
        <w:rPr>
          <w:rFonts w:cs="Arial"/>
          <w:b/>
          <w:sz w:val="24"/>
          <w:szCs w:val="24"/>
        </w:rPr>
      </w:pPr>
      <w:r w:rsidRPr="0090317A">
        <w:rPr>
          <w:rFonts w:cs="Arial"/>
          <w:b/>
          <w:sz w:val="24"/>
          <w:szCs w:val="24"/>
        </w:rPr>
        <w:t xml:space="preserve">Zmiany podstawowych </w:t>
      </w:r>
      <w:r>
        <w:rPr>
          <w:rFonts w:cs="Arial"/>
          <w:b/>
          <w:sz w:val="24"/>
          <w:szCs w:val="24"/>
        </w:rPr>
        <w:t>wielkości budżetu państwa w 2023</w:t>
      </w:r>
      <w:r w:rsidRPr="0090317A">
        <w:rPr>
          <w:rFonts w:cs="Arial"/>
          <w:b/>
          <w:sz w:val="24"/>
          <w:szCs w:val="24"/>
        </w:rPr>
        <w:t xml:space="preserve"> r.</w:t>
      </w:r>
    </w:p>
    <w:p w14:paraId="44B32D3A" w14:textId="77777777" w:rsidR="00420442" w:rsidRPr="007D5180" w:rsidRDefault="00420442" w:rsidP="000C1EA7">
      <w:pPr>
        <w:spacing w:before="360" w:after="0"/>
        <w:rPr>
          <w:b/>
          <w:bCs/>
          <w:sz w:val="40"/>
          <w:szCs w:val="40"/>
        </w:rPr>
      </w:pPr>
      <w:r w:rsidRPr="007D5180">
        <w:rPr>
          <w:rFonts w:ascii="Arial" w:hAnsi="Arial" w:cs="Arial"/>
        </w:rPr>
        <w:t>W projekcie ustawy o zmianie ustawy budżetowej na rok 202</w:t>
      </w:r>
      <w:r w:rsidR="007D5180" w:rsidRPr="007D5180">
        <w:rPr>
          <w:rFonts w:ascii="Arial" w:hAnsi="Arial" w:cs="Arial"/>
        </w:rPr>
        <w:t>3</w:t>
      </w:r>
      <w:r w:rsidRPr="007D5180">
        <w:rPr>
          <w:rFonts w:ascii="Arial" w:hAnsi="Arial" w:cs="Arial"/>
        </w:rPr>
        <w:t xml:space="preserve"> w zakresie środków krajowych zaplanowano:</w:t>
      </w:r>
      <w:r w:rsidRPr="007D5180">
        <w:rPr>
          <w:b/>
          <w:bCs/>
          <w:sz w:val="40"/>
          <w:szCs w:val="40"/>
        </w:rPr>
        <w:t xml:space="preserve"> </w:t>
      </w:r>
    </w:p>
    <w:tbl>
      <w:tblPr>
        <w:tblW w:w="9256" w:type="dxa"/>
        <w:tblCellMar>
          <w:left w:w="70" w:type="dxa"/>
          <w:right w:w="70" w:type="dxa"/>
        </w:tblCellMar>
        <w:tblLook w:val="04A0" w:firstRow="1" w:lastRow="0" w:firstColumn="1" w:lastColumn="0" w:noHBand="0" w:noVBand="1"/>
      </w:tblPr>
      <w:tblGrid>
        <w:gridCol w:w="3539"/>
        <w:gridCol w:w="1985"/>
        <w:gridCol w:w="1984"/>
        <w:gridCol w:w="1748"/>
      </w:tblGrid>
      <w:tr w:rsidR="00343757" w:rsidRPr="00420442" w14:paraId="4EA04099" w14:textId="77777777" w:rsidTr="000C1EA7">
        <w:trPr>
          <w:trHeight w:val="853"/>
        </w:trPr>
        <w:tc>
          <w:tcPr>
            <w:tcW w:w="3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DAF405" w14:textId="77777777" w:rsidR="00343757" w:rsidRPr="007D5180" w:rsidRDefault="00343757" w:rsidP="003B6004">
            <w:pPr>
              <w:spacing w:after="0" w:line="240" w:lineRule="auto"/>
              <w:jc w:val="center"/>
              <w:rPr>
                <w:rFonts w:ascii="Arial" w:eastAsia="Times New Roman" w:hAnsi="Arial" w:cs="Arial"/>
                <w:sz w:val="20"/>
                <w:szCs w:val="20"/>
                <w:lang w:eastAsia="pl-PL"/>
              </w:rPr>
            </w:pPr>
            <w:r w:rsidRPr="007D5180">
              <w:rPr>
                <w:rFonts w:ascii="Arial" w:eastAsia="Times New Roman" w:hAnsi="Arial" w:cs="Arial"/>
                <w:sz w:val="20"/>
                <w:szCs w:val="20"/>
                <w:lang w:eastAsia="pl-PL"/>
              </w:rPr>
              <w:t>Wyszczególnienie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03782" w14:textId="77777777" w:rsidR="00343757" w:rsidRPr="007D5180" w:rsidRDefault="00343757" w:rsidP="003B6004">
            <w:pPr>
              <w:spacing w:after="0" w:line="240" w:lineRule="auto"/>
              <w:jc w:val="center"/>
              <w:rPr>
                <w:rFonts w:ascii="Arial" w:eastAsia="Times New Roman" w:hAnsi="Arial" w:cs="Arial"/>
                <w:sz w:val="20"/>
                <w:szCs w:val="20"/>
                <w:lang w:eastAsia="pl-PL"/>
              </w:rPr>
            </w:pPr>
            <w:r w:rsidRPr="007D5180">
              <w:rPr>
                <w:rFonts w:ascii="Arial" w:eastAsia="Times New Roman" w:hAnsi="Arial" w:cs="Arial"/>
                <w:sz w:val="20"/>
                <w:szCs w:val="20"/>
                <w:lang w:eastAsia="pl-PL"/>
              </w:rPr>
              <w:t>Ustawa budżetowa 2023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E724F" w14:textId="77777777" w:rsidR="00343757" w:rsidRPr="007D5180" w:rsidRDefault="00343757" w:rsidP="003B6004">
            <w:pPr>
              <w:spacing w:after="0" w:line="240" w:lineRule="auto"/>
              <w:jc w:val="center"/>
              <w:rPr>
                <w:rFonts w:ascii="Arial" w:eastAsia="Times New Roman" w:hAnsi="Arial" w:cs="Arial"/>
                <w:sz w:val="20"/>
                <w:szCs w:val="20"/>
                <w:lang w:eastAsia="pl-PL"/>
              </w:rPr>
            </w:pPr>
            <w:r w:rsidRPr="007D5180">
              <w:rPr>
                <w:rFonts w:ascii="Arial" w:eastAsia="Times New Roman" w:hAnsi="Arial" w:cs="Arial"/>
                <w:sz w:val="20"/>
                <w:szCs w:val="20"/>
                <w:lang w:eastAsia="pl-PL"/>
              </w:rPr>
              <w:t>Projekt nowelizacji 2023</w:t>
            </w:r>
          </w:p>
        </w:tc>
        <w:tc>
          <w:tcPr>
            <w:tcW w:w="1748" w:type="dxa"/>
            <w:tcBorders>
              <w:top w:val="single" w:sz="4" w:space="0" w:color="auto"/>
              <w:left w:val="single" w:sz="4" w:space="0" w:color="auto"/>
              <w:right w:val="single" w:sz="4" w:space="0" w:color="auto"/>
            </w:tcBorders>
            <w:vAlign w:val="center"/>
          </w:tcPr>
          <w:p w14:paraId="2EA412BF" w14:textId="77777777" w:rsidR="00343757" w:rsidRDefault="00343757" w:rsidP="00343757">
            <w:pPr>
              <w:spacing w:after="0" w:line="240" w:lineRule="auto"/>
              <w:jc w:val="center"/>
              <w:rPr>
                <w:rFonts w:ascii="Arial" w:eastAsia="Times New Roman" w:hAnsi="Arial" w:cs="Arial"/>
                <w:sz w:val="20"/>
                <w:szCs w:val="20"/>
                <w:lang w:eastAsia="pl-PL"/>
              </w:rPr>
            </w:pPr>
            <w:r w:rsidRPr="007D5180">
              <w:rPr>
                <w:rFonts w:ascii="Arial" w:eastAsia="Times New Roman" w:hAnsi="Arial" w:cs="Arial"/>
                <w:sz w:val="20"/>
                <w:szCs w:val="20"/>
                <w:lang w:eastAsia="pl-PL"/>
              </w:rPr>
              <w:t>Zmiana</w:t>
            </w:r>
          </w:p>
          <w:p w14:paraId="676FFF41" w14:textId="77777777" w:rsidR="00B21F50" w:rsidRPr="007D5180" w:rsidRDefault="00B21F50" w:rsidP="00343757">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(3-2)</w:t>
            </w:r>
          </w:p>
        </w:tc>
      </w:tr>
      <w:tr w:rsidR="00343757" w:rsidRPr="00420442" w14:paraId="3906B091" w14:textId="77777777" w:rsidTr="000C1EA7">
        <w:trPr>
          <w:trHeight w:val="239"/>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74DAFB34" w14:textId="77777777" w:rsidR="00343757" w:rsidRPr="007D5180" w:rsidRDefault="00343757" w:rsidP="003B6004">
            <w:pPr>
              <w:spacing w:after="0" w:line="240" w:lineRule="auto"/>
              <w:rPr>
                <w:rFonts w:ascii="Arial" w:eastAsia="Times New Roman" w:hAnsi="Arial" w:cs="Arial"/>
                <w:sz w:val="20"/>
                <w:szCs w:val="20"/>
                <w:lang w:eastAsia="pl-PL"/>
              </w:rPr>
            </w:pPr>
          </w:p>
        </w:tc>
        <w:tc>
          <w:tcPr>
            <w:tcW w:w="5717" w:type="dxa"/>
            <w:gridSpan w:val="3"/>
            <w:tcBorders>
              <w:top w:val="single" w:sz="4" w:space="0" w:color="auto"/>
              <w:left w:val="nil"/>
              <w:bottom w:val="single" w:sz="4" w:space="0" w:color="auto"/>
              <w:right w:val="single" w:sz="4" w:space="0" w:color="auto"/>
            </w:tcBorders>
            <w:shd w:val="clear" w:color="auto" w:fill="auto"/>
            <w:vAlign w:val="center"/>
            <w:hideMark/>
          </w:tcPr>
          <w:p w14:paraId="0FE400FD" w14:textId="77777777" w:rsidR="00343757" w:rsidRPr="007D5180" w:rsidRDefault="00343757" w:rsidP="003B6004">
            <w:pPr>
              <w:spacing w:after="0" w:line="240" w:lineRule="auto"/>
              <w:jc w:val="center"/>
              <w:rPr>
                <w:rFonts w:ascii="Arial" w:eastAsia="Times New Roman" w:hAnsi="Arial" w:cs="Arial"/>
                <w:i/>
                <w:iCs/>
                <w:sz w:val="18"/>
                <w:szCs w:val="18"/>
                <w:lang w:eastAsia="pl-PL"/>
              </w:rPr>
            </w:pPr>
            <w:r w:rsidRPr="007D5180">
              <w:rPr>
                <w:rFonts w:ascii="Arial" w:eastAsia="Times New Roman" w:hAnsi="Arial" w:cs="Arial"/>
                <w:i/>
                <w:iCs/>
                <w:sz w:val="18"/>
                <w:szCs w:val="18"/>
                <w:lang w:eastAsia="pl-PL"/>
              </w:rPr>
              <w:t>w tys. zł</w:t>
            </w:r>
          </w:p>
        </w:tc>
      </w:tr>
      <w:tr w:rsidR="00343757" w:rsidRPr="00420442" w14:paraId="069D45B6" w14:textId="77777777" w:rsidTr="000C1EA7">
        <w:trPr>
          <w:trHeight w:val="239"/>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50B08F87" w14:textId="77777777" w:rsidR="00343757" w:rsidRPr="007D5180" w:rsidRDefault="00343757" w:rsidP="003B6004">
            <w:pPr>
              <w:spacing w:after="0" w:line="240" w:lineRule="auto"/>
              <w:jc w:val="center"/>
              <w:rPr>
                <w:rFonts w:ascii="Arial" w:eastAsia="Times New Roman" w:hAnsi="Arial" w:cs="Arial"/>
                <w:i/>
                <w:iCs/>
                <w:sz w:val="16"/>
                <w:szCs w:val="16"/>
                <w:lang w:eastAsia="pl-PL"/>
              </w:rPr>
            </w:pPr>
            <w:r w:rsidRPr="007D5180">
              <w:rPr>
                <w:rFonts w:ascii="Arial" w:eastAsia="Times New Roman" w:hAnsi="Arial" w:cs="Arial"/>
                <w:i/>
                <w:iCs/>
                <w:sz w:val="16"/>
                <w:szCs w:val="16"/>
                <w:lang w:eastAsia="pl-PL"/>
              </w:rPr>
              <w:t>1</w:t>
            </w:r>
          </w:p>
        </w:tc>
        <w:tc>
          <w:tcPr>
            <w:tcW w:w="1985" w:type="dxa"/>
            <w:tcBorders>
              <w:top w:val="nil"/>
              <w:left w:val="nil"/>
              <w:bottom w:val="single" w:sz="4" w:space="0" w:color="auto"/>
              <w:right w:val="single" w:sz="4" w:space="0" w:color="auto"/>
            </w:tcBorders>
            <w:shd w:val="clear" w:color="auto" w:fill="auto"/>
            <w:vAlign w:val="center"/>
            <w:hideMark/>
          </w:tcPr>
          <w:p w14:paraId="207F1A9E" w14:textId="77777777" w:rsidR="00343757" w:rsidRPr="007D5180" w:rsidRDefault="00343757" w:rsidP="003B6004">
            <w:pPr>
              <w:spacing w:after="0" w:line="240" w:lineRule="auto"/>
              <w:jc w:val="center"/>
              <w:rPr>
                <w:rFonts w:ascii="Arial" w:eastAsia="Times New Roman" w:hAnsi="Arial" w:cs="Arial"/>
                <w:i/>
                <w:iCs/>
                <w:sz w:val="16"/>
                <w:szCs w:val="16"/>
                <w:lang w:eastAsia="pl-PL"/>
              </w:rPr>
            </w:pPr>
            <w:r w:rsidRPr="007D5180">
              <w:rPr>
                <w:rFonts w:ascii="Arial" w:eastAsia="Times New Roman" w:hAnsi="Arial" w:cs="Arial"/>
                <w:i/>
                <w:iCs/>
                <w:sz w:val="16"/>
                <w:szCs w:val="16"/>
                <w:lang w:eastAsia="pl-PL"/>
              </w:rPr>
              <w:t>2</w:t>
            </w:r>
          </w:p>
        </w:tc>
        <w:tc>
          <w:tcPr>
            <w:tcW w:w="1984" w:type="dxa"/>
            <w:tcBorders>
              <w:top w:val="nil"/>
              <w:left w:val="nil"/>
              <w:bottom w:val="single" w:sz="4" w:space="0" w:color="auto"/>
              <w:right w:val="single" w:sz="4" w:space="0" w:color="auto"/>
            </w:tcBorders>
            <w:shd w:val="clear" w:color="auto" w:fill="auto"/>
            <w:vAlign w:val="center"/>
            <w:hideMark/>
          </w:tcPr>
          <w:p w14:paraId="472CDA71" w14:textId="77777777" w:rsidR="00343757" w:rsidRPr="007D5180" w:rsidRDefault="00343757" w:rsidP="003B6004">
            <w:pPr>
              <w:spacing w:after="0" w:line="240" w:lineRule="auto"/>
              <w:jc w:val="center"/>
              <w:rPr>
                <w:rFonts w:ascii="Arial" w:eastAsia="Times New Roman" w:hAnsi="Arial" w:cs="Arial"/>
                <w:i/>
                <w:iCs/>
                <w:sz w:val="16"/>
                <w:szCs w:val="16"/>
                <w:lang w:eastAsia="pl-PL"/>
              </w:rPr>
            </w:pPr>
            <w:r>
              <w:rPr>
                <w:rFonts w:ascii="Arial" w:eastAsia="Times New Roman" w:hAnsi="Arial" w:cs="Arial"/>
                <w:i/>
                <w:iCs/>
                <w:sz w:val="16"/>
                <w:szCs w:val="16"/>
                <w:lang w:eastAsia="pl-PL"/>
              </w:rPr>
              <w:t>3</w:t>
            </w:r>
          </w:p>
        </w:tc>
        <w:tc>
          <w:tcPr>
            <w:tcW w:w="1748" w:type="dxa"/>
            <w:tcBorders>
              <w:top w:val="nil"/>
              <w:left w:val="nil"/>
              <w:bottom w:val="single" w:sz="4" w:space="0" w:color="auto"/>
              <w:right w:val="single" w:sz="4" w:space="0" w:color="auto"/>
            </w:tcBorders>
          </w:tcPr>
          <w:p w14:paraId="1EC4FFFD" w14:textId="77777777" w:rsidR="00343757" w:rsidRPr="007D5180" w:rsidRDefault="00343757" w:rsidP="003B6004">
            <w:pPr>
              <w:spacing w:after="0" w:line="240" w:lineRule="auto"/>
              <w:jc w:val="center"/>
              <w:rPr>
                <w:rFonts w:ascii="Arial" w:eastAsia="Times New Roman" w:hAnsi="Arial" w:cs="Arial"/>
                <w:i/>
                <w:iCs/>
                <w:sz w:val="16"/>
                <w:szCs w:val="16"/>
                <w:lang w:eastAsia="pl-PL"/>
              </w:rPr>
            </w:pPr>
            <w:r>
              <w:rPr>
                <w:rFonts w:ascii="Arial" w:eastAsia="Times New Roman" w:hAnsi="Arial" w:cs="Arial"/>
                <w:i/>
                <w:iCs/>
                <w:sz w:val="16"/>
                <w:szCs w:val="16"/>
                <w:lang w:eastAsia="pl-PL"/>
              </w:rPr>
              <w:t>4</w:t>
            </w:r>
          </w:p>
        </w:tc>
      </w:tr>
      <w:tr w:rsidR="00343757" w:rsidRPr="00420442" w14:paraId="72DFD329" w14:textId="77777777" w:rsidTr="000C1EA7">
        <w:trPr>
          <w:trHeight w:val="618"/>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5A87FE74" w14:textId="77777777" w:rsidR="00343757" w:rsidRPr="007D5180" w:rsidRDefault="00343757" w:rsidP="00343757">
            <w:pPr>
              <w:spacing w:after="0" w:line="240" w:lineRule="auto"/>
              <w:jc w:val="center"/>
              <w:rPr>
                <w:rFonts w:ascii="Arial" w:eastAsia="Times New Roman" w:hAnsi="Arial" w:cs="Arial"/>
                <w:sz w:val="20"/>
                <w:szCs w:val="20"/>
                <w:lang w:eastAsia="pl-PL"/>
              </w:rPr>
            </w:pPr>
            <w:r w:rsidRPr="007D5180">
              <w:rPr>
                <w:rFonts w:ascii="Arial" w:eastAsia="Times New Roman" w:hAnsi="Arial" w:cs="Arial"/>
                <w:sz w:val="20"/>
                <w:szCs w:val="20"/>
                <w:lang w:eastAsia="pl-PL"/>
              </w:rPr>
              <w:t>Dochody ogółem</w:t>
            </w:r>
          </w:p>
        </w:tc>
        <w:tc>
          <w:tcPr>
            <w:tcW w:w="1985" w:type="dxa"/>
            <w:tcBorders>
              <w:top w:val="nil"/>
              <w:left w:val="nil"/>
              <w:bottom w:val="single" w:sz="4" w:space="0" w:color="auto"/>
              <w:right w:val="single" w:sz="4" w:space="0" w:color="auto"/>
            </w:tcBorders>
            <w:shd w:val="clear" w:color="auto" w:fill="auto"/>
            <w:vAlign w:val="center"/>
            <w:hideMark/>
          </w:tcPr>
          <w:p w14:paraId="2E398FD8" w14:textId="77777777" w:rsidR="00343757" w:rsidRPr="001B79A1" w:rsidRDefault="009E36E4" w:rsidP="00343757">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604.543.808</w:t>
            </w:r>
          </w:p>
        </w:tc>
        <w:tc>
          <w:tcPr>
            <w:tcW w:w="1984" w:type="dxa"/>
            <w:tcBorders>
              <w:top w:val="nil"/>
              <w:left w:val="nil"/>
              <w:bottom w:val="single" w:sz="4" w:space="0" w:color="auto"/>
              <w:right w:val="single" w:sz="4" w:space="0" w:color="auto"/>
            </w:tcBorders>
            <w:shd w:val="clear" w:color="auto" w:fill="auto"/>
            <w:vAlign w:val="center"/>
            <w:hideMark/>
          </w:tcPr>
          <w:p w14:paraId="715013ED" w14:textId="77777777" w:rsidR="00343757" w:rsidRPr="007D5180" w:rsidRDefault="00343757" w:rsidP="00343757">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601.376.393</w:t>
            </w:r>
          </w:p>
        </w:tc>
        <w:tc>
          <w:tcPr>
            <w:tcW w:w="1748" w:type="dxa"/>
            <w:tcBorders>
              <w:top w:val="nil"/>
              <w:left w:val="nil"/>
              <w:bottom w:val="single" w:sz="4" w:space="0" w:color="auto"/>
              <w:right w:val="single" w:sz="4" w:space="0" w:color="auto"/>
            </w:tcBorders>
            <w:vAlign w:val="center"/>
          </w:tcPr>
          <w:p w14:paraId="28196FB9" w14:textId="77777777" w:rsidR="00343757" w:rsidRPr="007D5180" w:rsidRDefault="00343757" w:rsidP="00343757">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-3.167.415</w:t>
            </w:r>
          </w:p>
        </w:tc>
      </w:tr>
      <w:tr w:rsidR="00343757" w:rsidRPr="00420442" w14:paraId="4DAB822C" w14:textId="77777777" w:rsidTr="000C1EA7">
        <w:trPr>
          <w:trHeight w:val="661"/>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0FB4CCA0" w14:textId="77777777" w:rsidR="00343757" w:rsidRPr="001B79A1" w:rsidRDefault="00343757" w:rsidP="00343757">
            <w:pPr>
              <w:spacing w:after="0" w:line="240" w:lineRule="auto"/>
              <w:jc w:val="center"/>
              <w:rPr>
                <w:rFonts w:ascii="Arial" w:eastAsia="Times New Roman" w:hAnsi="Arial" w:cs="Arial"/>
                <w:sz w:val="20"/>
                <w:szCs w:val="20"/>
                <w:lang w:eastAsia="pl-PL"/>
              </w:rPr>
            </w:pPr>
            <w:r w:rsidRPr="001B79A1">
              <w:rPr>
                <w:rFonts w:ascii="Arial" w:eastAsia="Times New Roman" w:hAnsi="Arial" w:cs="Arial"/>
                <w:sz w:val="20"/>
                <w:szCs w:val="20"/>
                <w:lang w:eastAsia="pl-PL"/>
              </w:rPr>
              <w:t>Wydatki ogółem</w:t>
            </w:r>
          </w:p>
        </w:tc>
        <w:tc>
          <w:tcPr>
            <w:tcW w:w="1985" w:type="dxa"/>
            <w:tcBorders>
              <w:top w:val="nil"/>
              <w:left w:val="nil"/>
              <w:bottom w:val="single" w:sz="4" w:space="0" w:color="auto"/>
              <w:right w:val="single" w:sz="4" w:space="0" w:color="auto"/>
            </w:tcBorders>
            <w:shd w:val="clear" w:color="auto" w:fill="auto"/>
            <w:vAlign w:val="center"/>
            <w:hideMark/>
          </w:tcPr>
          <w:p w14:paraId="261ACC00" w14:textId="77777777" w:rsidR="00343757" w:rsidRPr="001B79A1" w:rsidRDefault="009E36E4" w:rsidP="00343757">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672.543.808</w:t>
            </w:r>
          </w:p>
        </w:tc>
        <w:tc>
          <w:tcPr>
            <w:tcW w:w="1984" w:type="dxa"/>
            <w:tcBorders>
              <w:top w:val="nil"/>
              <w:left w:val="nil"/>
              <w:bottom w:val="single" w:sz="4" w:space="0" w:color="auto"/>
              <w:right w:val="single" w:sz="4" w:space="0" w:color="auto"/>
            </w:tcBorders>
            <w:shd w:val="clear" w:color="auto" w:fill="auto"/>
            <w:vAlign w:val="center"/>
            <w:hideMark/>
          </w:tcPr>
          <w:p w14:paraId="6D10E67A" w14:textId="77777777" w:rsidR="00343757" w:rsidRPr="00B21F50" w:rsidRDefault="00B21F50" w:rsidP="00343757">
            <w:pPr>
              <w:spacing w:after="0" w:line="240" w:lineRule="auto"/>
              <w:jc w:val="right"/>
              <w:rPr>
                <w:rFonts w:ascii="Arial" w:eastAsia="Times New Roman" w:hAnsi="Arial" w:cs="Arial"/>
                <w:sz w:val="20"/>
                <w:szCs w:val="20"/>
                <w:lang w:eastAsia="pl-PL"/>
              </w:rPr>
            </w:pPr>
            <w:r w:rsidRPr="00B21F50">
              <w:rPr>
                <w:rFonts w:ascii="Arial" w:eastAsia="Times New Roman" w:hAnsi="Arial" w:cs="Arial"/>
                <w:sz w:val="20"/>
                <w:szCs w:val="20"/>
                <w:lang w:eastAsia="pl-PL"/>
              </w:rPr>
              <w:t>693.376.393</w:t>
            </w:r>
          </w:p>
        </w:tc>
        <w:tc>
          <w:tcPr>
            <w:tcW w:w="1748" w:type="dxa"/>
            <w:tcBorders>
              <w:top w:val="nil"/>
              <w:left w:val="nil"/>
              <w:bottom w:val="single" w:sz="4" w:space="0" w:color="auto"/>
              <w:right w:val="single" w:sz="4" w:space="0" w:color="auto"/>
            </w:tcBorders>
            <w:vAlign w:val="center"/>
          </w:tcPr>
          <w:p w14:paraId="3C66C54A" w14:textId="77777777" w:rsidR="00343757" w:rsidRPr="00D9607E" w:rsidRDefault="00D9607E" w:rsidP="00343757">
            <w:pPr>
              <w:spacing w:after="0" w:line="240" w:lineRule="auto"/>
              <w:jc w:val="right"/>
              <w:rPr>
                <w:rFonts w:ascii="Arial" w:eastAsia="Times New Roman" w:hAnsi="Arial" w:cs="Arial"/>
                <w:sz w:val="20"/>
                <w:szCs w:val="20"/>
                <w:lang w:eastAsia="pl-PL"/>
              </w:rPr>
            </w:pPr>
            <w:r w:rsidRPr="00D9607E">
              <w:rPr>
                <w:rFonts w:ascii="Arial" w:eastAsia="Times New Roman" w:hAnsi="Arial" w:cs="Arial"/>
                <w:sz w:val="20"/>
                <w:szCs w:val="20"/>
                <w:lang w:eastAsia="pl-PL"/>
              </w:rPr>
              <w:t>20.832.585</w:t>
            </w:r>
          </w:p>
        </w:tc>
      </w:tr>
      <w:tr w:rsidR="00343757" w:rsidRPr="00420442" w14:paraId="0F903A76" w14:textId="77777777" w:rsidTr="000C1EA7">
        <w:trPr>
          <w:trHeight w:val="618"/>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47ADA71A" w14:textId="77777777" w:rsidR="00343757" w:rsidRPr="001B79A1" w:rsidRDefault="00343757" w:rsidP="00343757">
            <w:pPr>
              <w:spacing w:after="0" w:line="240" w:lineRule="auto"/>
              <w:jc w:val="center"/>
              <w:rPr>
                <w:rFonts w:ascii="Arial" w:eastAsia="Times New Roman" w:hAnsi="Arial" w:cs="Arial"/>
                <w:sz w:val="20"/>
                <w:szCs w:val="20"/>
                <w:lang w:eastAsia="pl-PL"/>
              </w:rPr>
            </w:pPr>
            <w:r w:rsidRPr="001B79A1">
              <w:rPr>
                <w:rFonts w:ascii="Arial" w:eastAsia="Times New Roman" w:hAnsi="Arial" w:cs="Arial"/>
                <w:sz w:val="20"/>
                <w:szCs w:val="20"/>
                <w:lang w:eastAsia="pl-PL"/>
              </w:rPr>
              <w:t>Deficyt</w:t>
            </w:r>
          </w:p>
        </w:tc>
        <w:tc>
          <w:tcPr>
            <w:tcW w:w="1985" w:type="dxa"/>
            <w:tcBorders>
              <w:top w:val="nil"/>
              <w:left w:val="nil"/>
              <w:bottom w:val="single" w:sz="4" w:space="0" w:color="auto"/>
              <w:right w:val="single" w:sz="4" w:space="0" w:color="auto"/>
            </w:tcBorders>
            <w:shd w:val="clear" w:color="auto" w:fill="auto"/>
            <w:vAlign w:val="center"/>
            <w:hideMark/>
          </w:tcPr>
          <w:p w14:paraId="6BF07778" w14:textId="77777777" w:rsidR="00343757" w:rsidRPr="00CD35DD" w:rsidRDefault="00343757" w:rsidP="00343757">
            <w:pPr>
              <w:spacing w:after="0" w:line="240" w:lineRule="auto"/>
              <w:jc w:val="right"/>
              <w:rPr>
                <w:rFonts w:ascii="Arial" w:eastAsia="Times New Roman" w:hAnsi="Arial" w:cs="Arial"/>
                <w:sz w:val="20"/>
                <w:szCs w:val="20"/>
                <w:lang w:eastAsia="pl-PL"/>
              </w:rPr>
            </w:pPr>
            <w:r w:rsidRPr="00CD35DD">
              <w:rPr>
                <w:rFonts w:ascii="Arial" w:eastAsia="Times New Roman" w:hAnsi="Arial" w:cs="Arial"/>
                <w:sz w:val="20"/>
                <w:szCs w:val="20"/>
                <w:lang w:eastAsia="pl-PL"/>
              </w:rPr>
              <w:t>68.000.000</w:t>
            </w:r>
          </w:p>
        </w:tc>
        <w:tc>
          <w:tcPr>
            <w:tcW w:w="1984" w:type="dxa"/>
            <w:tcBorders>
              <w:top w:val="nil"/>
              <w:left w:val="nil"/>
              <w:bottom w:val="single" w:sz="4" w:space="0" w:color="auto"/>
              <w:right w:val="single" w:sz="4" w:space="0" w:color="auto"/>
            </w:tcBorders>
            <w:shd w:val="clear" w:color="auto" w:fill="auto"/>
            <w:vAlign w:val="center"/>
            <w:hideMark/>
          </w:tcPr>
          <w:p w14:paraId="03242D6F" w14:textId="77777777" w:rsidR="00343757" w:rsidRPr="00B21F50" w:rsidRDefault="00D9607E" w:rsidP="00343757">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92.000.000</w:t>
            </w:r>
          </w:p>
        </w:tc>
        <w:tc>
          <w:tcPr>
            <w:tcW w:w="1748" w:type="dxa"/>
            <w:tcBorders>
              <w:top w:val="nil"/>
              <w:left w:val="nil"/>
              <w:bottom w:val="single" w:sz="4" w:space="0" w:color="auto"/>
              <w:right w:val="single" w:sz="4" w:space="0" w:color="auto"/>
            </w:tcBorders>
            <w:vAlign w:val="center"/>
          </w:tcPr>
          <w:p w14:paraId="1DEFB219" w14:textId="4D05D299" w:rsidR="00343757" w:rsidRPr="00D9607E" w:rsidRDefault="00D9607E" w:rsidP="00343757">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24.000.000</w:t>
            </w:r>
          </w:p>
        </w:tc>
      </w:tr>
      <w:tr w:rsidR="00343757" w:rsidRPr="00420442" w14:paraId="1D3BB716" w14:textId="77777777" w:rsidTr="000C1EA7">
        <w:trPr>
          <w:trHeight w:val="590"/>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2B1F6F06" w14:textId="40F8A1ED" w:rsidR="00343757" w:rsidRPr="001B79A1" w:rsidRDefault="000E0465" w:rsidP="000E0465">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Kwota wydatków</w:t>
            </w:r>
            <w:r w:rsidR="00343757" w:rsidRPr="001B79A1">
              <w:rPr>
                <w:rFonts w:ascii="Arial" w:eastAsia="Times New Roman" w:hAnsi="Arial" w:cs="Arial"/>
                <w:sz w:val="20"/>
                <w:szCs w:val="20"/>
                <w:lang w:eastAsia="pl-PL"/>
              </w:rPr>
              <w:t xml:space="preserve"> </w:t>
            </w:r>
            <w:r>
              <w:rPr>
                <w:rFonts w:ascii="Arial" w:eastAsia="Times New Roman" w:hAnsi="Arial" w:cs="Arial"/>
                <w:sz w:val="20"/>
                <w:szCs w:val="20"/>
                <w:lang w:eastAsia="pl-PL"/>
              </w:rPr>
              <w:t>(</w:t>
            </w:r>
            <w:r w:rsidR="00343757" w:rsidRPr="001B79A1">
              <w:rPr>
                <w:rFonts w:ascii="Arial" w:eastAsia="Times New Roman" w:hAnsi="Arial" w:cs="Arial"/>
                <w:sz w:val="20"/>
                <w:szCs w:val="20"/>
                <w:lang w:eastAsia="pl-PL"/>
              </w:rPr>
              <w:t>art. 112aa ust.1 ufp</w:t>
            </w:r>
            <w:r w:rsidR="000C1EA7">
              <w:rPr>
                <w:rFonts w:ascii="Arial" w:eastAsia="Times New Roman" w:hAnsi="Arial" w:cs="Arial"/>
                <w:sz w:val="20"/>
                <w:szCs w:val="20"/>
                <w:lang w:eastAsia="pl-PL"/>
              </w:rPr>
              <w:t>)</w:t>
            </w:r>
          </w:p>
        </w:tc>
        <w:tc>
          <w:tcPr>
            <w:tcW w:w="1985" w:type="dxa"/>
            <w:tcBorders>
              <w:top w:val="nil"/>
              <w:left w:val="nil"/>
              <w:bottom w:val="single" w:sz="4" w:space="0" w:color="auto"/>
              <w:right w:val="single" w:sz="4" w:space="0" w:color="auto"/>
            </w:tcBorders>
            <w:shd w:val="clear" w:color="auto" w:fill="auto"/>
            <w:vAlign w:val="center"/>
            <w:hideMark/>
          </w:tcPr>
          <w:p w14:paraId="6FF30ED2" w14:textId="77777777" w:rsidR="00343757" w:rsidRPr="00CD35DD" w:rsidRDefault="00343757" w:rsidP="00343757">
            <w:pPr>
              <w:spacing w:after="0" w:line="240" w:lineRule="auto"/>
              <w:jc w:val="right"/>
              <w:rPr>
                <w:rFonts w:ascii="Arial" w:eastAsia="Times New Roman" w:hAnsi="Arial" w:cs="Arial"/>
                <w:sz w:val="20"/>
                <w:szCs w:val="20"/>
                <w:lang w:eastAsia="pl-PL"/>
              </w:rPr>
            </w:pPr>
            <w:r w:rsidRPr="00CD35DD">
              <w:rPr>
                <w:rFonts w:ascii="Arial" w:eastAsia="Times New Roman" w:hAnsi="Arial" w:cs="Arial"/>
                <w:sz w:val="20"/>
                <w:szCs w:val="20"/>
                <w:lang w:eastAsia="pl-PL"/>
              </w:rPr>
              <w:t>1.316.360.446</w:t>
            </w:r>
          </w:p>
        </w:tc>
        <w:tc>
          <w:tcPr>
            <w:tcW w:w="1984" w:type="dxa"/>
            <w:tcBorders>
              <w:top w:val="nil"/>
              <w:left w:val="nil"/>
              <w:bottom w:val="single" w:sz="4" w:space="0" w:color="auto"/>
              <w:right w:val="single" w:sz="4" w:space="0" w:color="auto"/>
            </w:tcBorders>
            <w:shd w:val="clear" w:color="auto" w:fill="auto"/>
            <w:vAlign w:val="center"/>
            <w:hideMark/>
          </w:tcPr>
          <w:p w14:paraId="5A8C7FBB" w14:textId="77777777" w:rsidR="00343757" w:rsidRPr="00B21F50" w:rsidRDefault="00B21F50" w:rsidP="00343757">
            <w:pPr>
              <w:spacing w:after="0" w:line="240" w:lineRule="auto"/>
              <w:jc w:val="right"/>
              <w:rPr>
                <w:rFonts w:ascii="Arial" w:eastAsia="Times New Roman" w:hAnsi="Arial" w:cs="Arial"/>
                <w:sz w:val="20"/>
                <w:szCs w:val="20"/>
                <w:lang w:eastAsia="pl-PL"/>
              </w:rPr>
            </w:pPr>
            <w:r w:rsidRPr="00B21F50">
              <w:rPr>
                <w:rFonts w:ascii="Arial" w:eastAsia="Times New Roman" w:hAnsi="Arial" w:cs="Arial"/>
                <w:sz w:val="20"/>
                <w:szCs w:val="20"/>
                <w:lang w:eastAsia="pl-PL"/>
              </w:rPr>
              <w:t>1.373.371.055</w:t>
            </w:r>
          </w:p>
        </w:tc>
        <w:tc>
          <w:tcPr>
            <w:tcW w:w="1748" w:type="dxa"/>
            <w:tcBorders>
              <w:top w:val="nil"/>
              <w:left w:val="nil"/>
              <w:bottom w:val="single" w:sz="4" w:space="0" w:color="auto"/>
              <w:right w:val="single" w:sz="4" w:space="0" w:color="auto"/>
            </w:tcBorders>
            <w:vAlign w:val="center"/>
          </w:tcPr>
          <w:p w14:paraId="5B0D0312" w14:textId="77777777" w:rsidR="00343757" w:rsidRPr="00D9607E" w:rsidRDefault="00D9607E" w:rsidP="00343757">
            <w:pPr>
              <w:spacing w:after="0" w:line="240" w:lineRule="auto"/>
              <w:jc w:val="right"/>
              <w:rPr>
                <w:rFonts w:ascii="Arial" w:eastAsia="Times New Roman" w:hAnsi="Arial" w:cs="Arial"/>
                <w:sz w:val="20"/>
                <w:szCs w:val="20"/>
                <w:lang w:eastAsia="pl-PL"/>
              </w:rPr>
            </w:pPr>
            <w:r w:rsidRPr="00D9607E">
              <w:rPr>
                <w:rFonts w:ascii="Arial" w:eastAsia="Times New Roman" w:hAnsi="Arial" w:cs="Arial"/>
                <w:sz w:val="20"/>
                <w:szCs w:val="20"/>
                <w:lang w:eastAsia="pl-PL"/>
              </w:rPr>
              <w:t>57.010.609</w:t>
            </w:r>
          </w:p>
        </w:tc>
      </w:tr>
      <w:tr w:rsidR="00343757" w:rsidRPr="00420442" w14:paraId="478A2E33" w14:textId="77777777" w:rsidTr="000C1EA7">
        <w:trPr>
          <w:trHeight w:val="618"/>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16EB8FE6" w14:textId="77777777" w:rsidR="00343757" w:rsidRPr="001B79A1" w:rsidRDefault="00343757" w:rsidP="00343757">
            <w:pPr>
              <w:spacing w:after="0" w:line="240" w:lineRule="auto"/>
              <w:jc w:val="center"/>
              <w:rPr>
                <w:rFonts w:ascii="Arial" w:eastAsia="Times New Roman" w:hAnsi="Arial" w:cs="Arial"/>
                <w:sz w:val="20"/>
                <w:szCs w:val="20"/>
                <w:lang w:eastAsia="pl-PL"/>
              </w:rPr>
            </w:pPr>
            <w:r w:rsidRPr="001B79A1">
              <w:rPr>
                <w:rFonts w:ascii="Arial" w:eastAsia="Times New Roman" w:hAnsi="Arial" w:cs="Arial"/>
                <w:sz w:val="20"/>
                <w:szCs w:val="20"/>
                <w:lang w:eastAsia="pl-PL"/>
              </w:rPr>
              <w:t>Limit wydatków (art. 112aa ust. 3 ufp)</w:t>
            </w:r>
          </w:p>
        </w:tc>
        <w:tc>
          <w:tcPr>
            <w:tcW w:w="1985" w:type="dxa"/>
            <w:tcBorders>
              <w:top w:val="nil"/>
              <w:left w:val="nil"/>
              <w:bottom w:val="single" w:sz="4" w:space="0" w:color="auto"/>
              <w:right w:val="single" w:sz="4" w:space="0" w:color="auto"/>
            </w:tcBorders>
            <w:shd w:val="clear" w:color="auto" w:fill="auto"/>
            <w:vAlign w:val="center"/>
            <w:hideMark/>
          </w:tcPr>
          <w:p w14:paraId="65FC3A47" w14:textId="77777777" w:rsidR="00343757" w:rsidRPr="00CD35DD" w:rsidRDefault="00343757" w:rsidP="00343757">
            <w:pPr>
              <w:spacing w:after="0" w:line="240" w:lineRule="auto"/>
              <w:jc w:val="right"/>
              <w:rPr>
                <w:rFonts w:ascii="Arial" w:eastAsia="Times New Roman" w:hAnsi="Arial" w:cs="Arial"/>
                <w:sz w:val="20"/>
                <w:szCs w:val="20"/>
                <w:lang w:eastAsia="pl-PL"/>
              </w:rPr>
            </w:pPr>
            <w:r w:rsidRPr="00CD35DD">
              <w:rPr>
                <w:rFonts w:ascii="Arial" w:eastAsia="Times New Roman" w:hAnsi="Arial" w:cs="Arial"/>
                <w:sz w:val="20"/>
                <w:szCs w:val="20"/>
                <w:lang w:eastAsia="pl-PL"/>
              </w:rPr>
              <w:t>1.004.425.693</w:t>
            </w:r>
          </w:p>
        </w:tc>
        <w:tc>
          <w:tcPr>
            <w:tcW w:w="1984" w:type="dxa"/>
            <w:tcBorders>
              <w:top w:val="nil"/>
              <w:left w:val="nil"/>
              <w:bottom w:val="single" w:sz="4" w:space="0" w:color="auto"/>
              <w:right w:val="single" w:sz="4" w:space="0" w:color="auto"/>
            </w:tcBorders>
            <w:shd w:val="clear" w:color="auto" w:fill="auto"/>
            <w:vAlign w:val="center"/>
            <w:hideMark/>
          </w:tcPr>
          <w:p w14:paraId="185499D3" w14:textId="692D38C7" w:rsidR="00343757" w:rsidRPr="00B21F50" w:rsidRDefault="006351C4" w:rsidP="00343757">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1.060.556.221</w:t>
            </w:r>
          </w:p>
        </w:tc>
        <w:tc>
          <w:tcPr>
            <w:tcW w:w="1748" w:type="dxa"/>
            <w:tcBorders>
              <w:top w:val="nil"/>
              <w:left w:val="nil"/>
              <w:bottom w:val="single" w:sz="4" w:space="0" w:color="auto"/>
              <w:right w:val="single" w:sz="4" w:space="0" w:color="auto"/>
            </w:tcBorders>
            <w:vAlign w:val="center"/>
          </w:tcPr>
          <w:p w14:paraId="009DF9F0" w14:textId="0CE221FA" w:rsidR="00343757" w:rsidRPr="00D9607E" w:rsidRDefault="006351C4" w:rsidP="00343757">
            <w:pPr>
              <w:spacing w:after="0" w:line="240" w:lineRule="auto"/>
              <w:jc w:val="right"/>
              <w:rPr>
                <w:rFonts w:ascii="Arial" w:eastAsia="Times New Roman" w:hAnsi="Arial" w:cs="Arial"/>
                <w:sz w:val="20"/>
                <w:szCs w:val="20"/>
                <w:lang w:eastAsia="pl-PL"/>
              </w:rPr>
            </w:pPr>
            <w:r w:rsidRPr="006351C4">
              <w:rPr>
                <w:rFonts w:ascii="Arial" w:eastAsia="Times New Roman" w:hAnsi="Arial" w:cs="Arial"/>
                <w:sz w:val="20"/>
                <w:szCs w:val="20"/>
                <w:lang w:eastAsia="pl-PL"/>
              </w:rPr>
              <w:t>56.130.528</w:t>
            </w:r>
          </w:p>
        </w:tc>
      </w:tr>
    </w:tbl>
    <w:p w14:paraId="1B1B3558" w14:textId="77777777" w:rsidR="00420442" w:rsidRPr="007D5180" w:rsidRDefault="00420442" w:rsidP="000C1EA7">
      <w:pPr>
        <w:spacing w:before="360" w:after="120" w:line="340" w:lineRule="atLeast"/>
        <w:rPr>
          <w:rFonts w:ascii="Arial" w:hAnsi="Arial" w:cs="Arial"/>
        </w:rPr>
      </w:pPr>
      <w:r w:rsidRPr="007D5180">
        <w:rPr>
          <w:rFonts w:ascii="Arial" w:hAnsi="Arial" w:cs="Arial"/>
        </w:rPr>
        <w:lastRenderedPageBreak/>
        <w:t xml:space="preserve">Zmiany w zakresie poszczególnych wielkości budżetu państwa zostały omówione w dalszej części uzasadnienia w rozdziale 5. </w:t>
      </w:r>
      <w:r w:rsidRPr="007D5180">
        <w:rPr>
          <w:rFonts w:ascii="Arial" w:hAnsi="Arial" w:cs="Arial"/>
          <w:i/>
        </w:rPr>
        <w:t>Wy</w:t>
      </w:r>
      <w:r w:rsidR="007D5180" w:rsidRPr="007D5180">
        <w:rPr>
          <w:rFonts w:ascii="Arial" w:hAnsi="Arial" w:cs="Arial"/>
          <w:i/>
        </w:rPr>
        <w:t>datki budżetu państwa w 2023</w:t>
      </w:r>
      <w:r w:rsidRPr="007D5180">
        <w:rPr>
          <w:rFonts w:ascii="Arial" w:hAnsi="Arial" w:cs="Arial"/>
          <w:i/>
        </w:rPr>
        <w:t xml:space="preserve"> r.</w:t>
      </w:r>
    </w:p>
    <w:p w14:paraId="7DDA359A" w14:textId="6C5962E1" w:rsidR="008D6607" w:rsidRDefault="00420442" w:rsidP="000C1EA7">
      <w:pPr>
        <w:spacing w:before="120" w:after="120" w:line="340" w:lineRule="atLeast"/>
        <w:rPr>
          <w:rFonts w:ascii="Arial" w:hAnsi="Arial" w:cs="Arial"/>
          <w:i/>
        </w:rPr>
      </w:pPr>
      <w:r w:rsidRPr="007D5180">
        <w:rPr>
          <w:rFonts w:ascii="Arial" w:hAnsi="Arial" w:cs="Arial"/>
        </w:rPr>
        <w:t>Ponadto w związku ze zmianami wydatków w poszczególnych częściach budżetu państwa dotyczącymi transferów do instytucji gospodarki budżetowej, państwowych funduszy celowych oraz państwowych osób prawnych zmianie uległy równ</w:t>
      </w:r>
      <w:r w:rsidR="00343757">
        <w:rPr>
          <w:rFonts w:ascii="Arial" w:hAnsi="Arial" w:cs="Arial"/>
        </w:rPr>
        <w:t>ież plany finansowe wybranych jednostek. O</w:t>
      </w:r>
      <w:r w:rsidRPr="007D5180">
        <w:rPr>
          <w:rFonts w:ascii="Arial" w:hAnsi="Arial" w:cs="Arial"/>
        </w:rPr>
        <w:t xml:space="preserve">pis </w:t>
      </w:r>
      <w:r w:rsidR="008D6607">
        <w:rPr>
          <w:rFonts w:ascii="Arial" w:hAnsi="Arial" w:cs="Arial"/>
        </w:rPr>
        <w:t>zmian przedstawiono w rozdziale</w:t>
      </w:r>
      <w:r w:rsidR="008D6607">
        <w:rPr>
          <w:rFonts w:ascii="Arial" w:hAnsi="Arial" w:cs="Arial"/>
          <w:i/>
        </w:rPr>
        <w:t xml:space="preserve"> 6. Zmiany w </w:t>
      </w:r>
      <w:r w:rsidR="008D6607" w:rsidRPr="008D6607">
        <w:rPr>
          <w:rFonts w:ascii="Arial" w:hAnsi="Arial" w:cs="Arial"/>
          <w:i/>
        </w:rPr>
        <w:t>planach finansowych funduszy celowych, instytucji gospodarki budżetowej i państwowych osób prawnych</w:t>
      </w:r>
      <w:r w:rsidR="008D6607">
        <w:rPr>
          <w:rFonts w:ascii="Arial" w:hAnsi="Arial" w:cs="Arial"/>
          <w:i/>
        </w:rPr>
        <w:t>.</w:t>
      </w:r>
    </w:p>
    <w:p w14:paraId="37473D79" w14:textId="77777777" w:rsidR="00712D37" w:rsidRPr="009D4976" w:rsidRDefault="00420442" w:rsidP="005E2968">
      <w:pPr>
        <w:pStyle w:val="Akapitzlist"/>
        <w:numPr>
          <w:ilvl w:val="0"/>
          <w:numId w:val="5"/>
        </w:numPr>
        <w:spacing w:before="360"/>
        <w:ind w:left="425" w:hanging="425"/>
        <w:contextualSpacing w:val="0"/>
        <w:rPr>
          <w:rFonts w:cs="Arial"/>
          <w:b/>
          <w:sz w:val="24"/>
          <w:szCs w:val="24"/>
        </w:rPr>
      </w:pPr>
      <w:r>
        <w:rPr>
          <w:rFonts w:cs="Arial"/>
          <w:b/>
          <w:sz w:val="24"/>
          <w:szCs w:val="24"/>
        </w:rPr>
        <w:t>Dochody budżetu państwa w 2023</w:t>
      </w:r>
      <w:r w:rsidRPr="001D23AD">
        <w:rPr>
          <w:rFonts w:cs="Arial"/>
          <w:b/>
          <w:sz w:val="24"/>
          <w:szCs w:val="24"/>
        </w:rPr>
        <w:t xml:space="preserve"> r.</w:t>
      </w:r>
    </w:p>
    <w:p w14:paraId="430E0D6B" w14:textId="77777777" w:rsidR="00593B67" w:rsidRPr="00593B67" w:rsidRDefault="00593B67" w:rsidP="000C1EA7">
      <w:pPr>
        <w:spacing w:before="360" w:after="0" w:line="340" w:lineRule="atLeast"/>
        <w:rPr>
          <w:rFonts w:ascii="Arial" w:hAnsi="Arial" w:cs="Arial"/>
        </w:rPr>
      </w:pPr>
      <w:r w:rsidRPr="00593B67">
        <w:rPr>
          <w:rFonts w:ascii="Arial" w:hAnsi="Arial" w:cs="Arial"/>
        </w:rPr>
        <w:t xml:space="preserve">Zmiana prognozy dochodów budżetu państwa na 2023 r. wynika z aktualizacji prognoz makroekonomicznych, założeń co do obowiązujących zmian systemowych, jak również uwzględnienia najnowszych informacji dotyczących bieżącego wykonania dochodów. </w:t>
      </w:r>
    </w:p>
    <w:p w14:paraId="0D25A022" w14:textId="77777777" w:rsidR="00593B67" w:rsidRPr="00593B67" w:rsidRDefault="00593B67" w:rsidP="000C1EA7">
      <w:pPr>
        <w:spacing w:before="120" w:after="120" w:line="340" w:lineRule="atLeast"/>
        <w:rPr>
          <w:rFonts w:ascii="Arial" w:hAnsi="Arial" w:cs="Arial"/>
        </w:rPr>
      </w:pPr>
      <w:r w:rsidRPr="00593B67">
        <w:rPr>
          <w:rFonts w:ascii="Arial" w:hAnsi="Arial" w:cs="Arial"/>
        </w:rPr>
        <w:t>W zakresie sytuacji makroekonomicznej w 2023 r. prognoz</w:t>
      </w:r>
      <w:r>
        <w:rPr>
          <w:rFonts w:ascii="Arial" w:hAnsi="Arial" w:cs="Arial"/>
        </w:rPr>
        <w:t>uje się niższe, niż zakładano w </w:t>
      </w:r>
      <w:r w:rsidRPr="00593B67">
        <w:rPr>
          <w:rFonts w:ascii="Arial" w:hAnsi="Arial" w:cs="Arial"/>
        </w:rPr>
        <w:t xml:space="preserve">ustawie budżetowej na br., realne tempo wzrostu PKB, jak również spodziewany jest niższy wzrost realny spożycia prywatnego. Nieco wyższa niż prognozowana w ustawie budżetowej będzie natomiast inflacja. </w:t>
      </w:r>
    </w:p>
    <w:p w14:paraId="777CFF28" w14:textId="77777777" w:rsidR="00593B67" w:rsidRPr="00593B67" w:rsidRDefault="00593B67" w:rsidP="000C1EA7">
      <w:pPr>
        <w:spacing w:before="120" w:after="120" w:line="340" w:lineRule="atLeast"/>
        <w:rPr>
          <w:rFonts w:ascii="Arial" w:hAnsi="Arial" w:cs="Arial"/>
        </w:rPr>
      </w:pPr>
      <w:r w:rsidRPr="00593B67">
        <w:rPr>
          <w:rFonts w:ascii="Arial" w:hAnsi="Arial" w:cs="Arial"/>
        </w:rPr>
        <w:t xml:space="preserve">Aktualizacja scenariusza makroekonomicznego nie wpływa jednoznacznie negatywnie na prognozę dochodów budżetowych. Niższy realny wzrost gospodarki z pewnością będzie wpływał negatywnie na dochody z podatku akcyzowego. W przypadku podatku VAT wyższe spożycie w ujęciu nominalnym powinno rekompensować spodziewane spowolnienie wzrostu spożycia prywatnego w ujęciu realnym. </w:t>
      </w:r>
    </w:p>
    <w:p w14:paraId="11559453" w14:textId="77777777" w:rsidR="00593B67" w:rsidRPr="00593B67" w:rsidRDefault="00593B67" w:rsidP="000C1EA7">
      <w:pPr>
        <w:spacing w:before="120" w:after="120" w:line="340" w:lineRule="atLeast"/>
        <w:rPr>
          <w:rFonts w:ascii="Arial" w:hAnsi="Arial" w:cs="Arial"/>
        </w:rPr>
      </w:pPr>
      <w:r w:rsidRPr="00593B67">
        <w:rPr>
          <w:rFonts w:ascii="Arial" w:hAnsi="Arial" w:cs="Arial"/>
        </w:rPr>
        <w:t>W zakresie podatku PIT na poziom dochodów wpłynie z pewnością wyższe, niż pierwotnie planowano tempo wzrostu funduszu wynagrodzeń oraz emerytur i rent.</w:t>
      </w:r>
    </w:p>
    <w:p w14:paraId="1B27F21F" w14:textId="77777777" w:rsidR="00593B67" w:rsidRPr="00593B67" w:rsidRDefault="00593B67" w:rsidP="000C1EA7">
      <w:pPr>
        <w:spacing w:before="120" w:after="120" w:line="340" w:lineRule="atLeast"/>
        <w:rPr>
          <w:rFonts w:ascii="Arial" w:hAnsi="Arial" w:cs="Arial"/>
        </w:rPr>
      </w:pPr>
      <w:r w:rsidRPr="00593B67">
        <w:rPr>
          <w:rFonts w:ascii="Arial" w:hAnsi="Arial" w:cs="Arial"/>
        </w:rPr>
        <w:t>W aktualnej prognozie uwzględniono, jako bazę do aktualizacji wykonanie poszczególnych tytułów dochodów w 2022 r.; na etapie opracowywania projektu ustawy budżetowej stosowana jest prognoza wykonania dochodów w roku poprzednim (2022 r.).</w:t>
      </w:r>
    </w:p>
    <w:p w14:paraId="66804B0D" w14:textId="77777777" w:rsidR="00593B67" w:rsidRPr="00593B67" w:rsidRDefault="00593B67" w:rsidP="000C1EA7">
      <w:pPr>
        <w:spacing w:before="120" w:after="120" w:line="340" w:lineRule="atLeast"/>
        <w:rPr>
          <w:rFonts w:ascii="Arial" w:hAnsi="Arial" w:cs="Arial"/>
        </w:rPr>
      </w:pPr>
      <w:r w:rsidRPr="00593B67">
        <w:rPr>
          <w:rFonts w:ascii="Arial" w:hAnsi="Arial" w:cs="Arial"/>
        </w:rPr>
        <w:t xml:space="preserve">Istotną zmianą systemową, która wpływa na zmianę prognozy dochodów w stosunku do przyjętej w ustawie budżetowej jest utrzymanie Tarczy antyinflacyjnej w zakresie obniżonych stawek VAT na żywność. Rozwiązanie to nie było pierwotnie uwzględniane w prognozie dochodów z VAT na 2023 r. </w:t>
      </w:r>
    </w:p>
    <w:p w14:paraId="62CC2FFA" w14:textId="77777777" w:rsidR="007D5180" w:rsidRDefault="00593B67" w:rsidP="000C1EA7">
      <w:pPr>
        <w:spacing w:before="120" w:after="120" w:line="340" w:lineRule="atLeast"/>
        <w:rPr>
          <w:rFonts w:ascii="Arial" w:hAnsi="Arial" w:cs="Arial"/>
        </w:rPr>
      </w:pPr>
      <w:r w:rsidRPr="00593B67">
        <w:rPr>
          <w:rFonts w:ascii="Arial" w:hAnsi="Arial" w:cs="Arial"/>
        </w:rPr>
        <w:t>Prognoza dochodów z PIT, oprócz aktualizacji założeń makroekonomicznych uwzględnia dostępne dane nt. rozliczenia rocznego PIT za 2022 r.</w:t>
      </w:r>
    </w:p>
    <w:p w14:paraId="4E596622" w14:textId="77777777" w:rsidR="00593B67" w:rsidRDefault="007D5180" w:rsidP="000C1EA7">
      <w:pPr>
        <w:spacing w:before="120" w:after="120" w:line="340" w:lineRule="atLeast"/>
        <w:rPr>
          <w:rFonts w:ascii="Arial" w:hAnsi="Arial" w:cs="Arial"/>
        </w:rPr>
      </w:pPr>
      <w:r w:rsidRPr="00BD3281">
        <w:rPr>
          <w:rFonts w:ascii="Arial" w:hAnsi="Arial" w:cs="Arial"/>
        </w:rPr>
        <w:t>Prognozowane kwoty</w:t>
      </w:r>
      <w:r>
        <w:rPr>
          <w:rFonts w:ascii="Arial" w:hAnsi="Arial" w:cs="Arial"/>
        </w:rPr>
        <w:t xml:space="preserve"> dochodów budżetu państwa w 2023</w:t>
      </w:r>
      <w:r w:rsidRPr="00BD3281">
        <w:rPr>
          <w:rFonts w:ascii="Arial" w:hAnsi="Arial" w:cs="Arial"/>
        </w:rPr>
        <w:t xml:space="preserve"> r. przedstawia pon</w:t>
      </w:r>
      <w:r w:rsidR="00593B67" w:rsidRPr="00BD3281">
        <w:rPr>
          <w:rFonts w:ascii="Arial" w:hAnsi="Arial" w:cs="Arial"/>
        </w:rPr>
        <w:t xml:space="preserve">iższa tablica. </w:t>
      </w:r>
    </w:p>
    <w:p w14:paraId="56AFF7CC" w14:textId="77777777" w:rsidR="008045F3" w:rsidRDefault="008045F3" w:rsidP="007A3F8C">
      <w:pPr>
        <w:spacing w:before="120" w:after="120" w:line="340" w:lineRule="atLeast"/>
        <w:rPr>
          <w:rFonts w:ascii="Arial" w:hAnsi="Arial" w:cs="Arial"/>
        </w:rPr>
      </w:pPr>
    </w:p>
    <w:p w14:paraId="37C237F5" w14:textId="77777777" w:rsidR="008045F3" w:rsidRDefault="008045F3" w:rsidP="007A3F8C">
      <w:pPr>
        <w:spacing w:before="120" w:after="120" w:line="340" w:lineRule="atLeast"/>
        <w:rPr>
          <w:rFonts w:ascii="Arial" w:hAnsi="Arial" w:cs="Arial"/>
        </w:rPr>
      </w:pPr>
    </w:p>
    <w:tbl>
      <w:tblPr>
        <w:tblW w:w="5000" w:type="pct"/>
        <w:tblLayout w:type="fixed"/>
        <w:tblCellMar>
          <w:left w:w="70" w:type="dxa"/>
          <w:right w:w="70" w:type="dxa"/>
        </w:tblCellMar>
        <w:tblLook w:val="04A0" w:firstRow="1" w:lastRow="0" w:firstColumn="1" w:lastColumn="0" w:noHBand="0" w:noVBand="1"/>
      </w:tblPr>
      <w:tblGrid>
        <w:gridCol w:w="166"/>
        <w:gridCol w:w="4283"/>
        <w:gridCol w:w="1153"/>
        <w:gridCol w:w="1153"/>
        <w:gridCol w:w="1154"/>
        <w:gridCol w:w="1153"/>
      </w:tblGrid>
      <w:tr w:rsidR="008045F3" w:rsidRPr="00D9697A" w14:paraId="4A48B1E2" w14:textId="77777777" w:rsidTr="000C1EA7">
        <w:trPr>
          <w:cantSplit/>
          <w:trHeight w:val="870"/>
        </w:trPr>
        <w:tc>
          <w:tcPr>
            <w:tcW w:w="2455"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0E98C98" w14:textId="77777777" w:rsidR="008045F3" w:rsidRPr="00D9697A" w:rsidRDefault="008045F3" w:rsidP="00593B67">
            <w:pPr>
              <w:spacing w:after="0" w:line="240" w:lineRule="auto"/>
              <w:contextualSpacing/>
              <w:jc w:val="center"/>
              <w:rPr>
                <w:rFonts w:ascii="Arial" w:hAnsi="Arial" w:cs="Arial"/>
                <w:sz w:val="18"/>
                <w:szCs w:val="18"/>
              </w:rPr>
            </w:pPr>
            <w:r w:rsidRPr="00D9697A">
              <w:rPr>
                <w:rFonts w:ascii="Arial" w:hAnsi="Arial" w:cs="Arial"/>
                <w:sz w:val="18"/>
                <w:szCs w:val="18"/>
              </w:rPr>
              <w:t>Wyszczególnienie</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0AC36DDA" w14:textId="77777777" w:rsidR="008045F3" w:rsidRPr="00D9697A" w:rsidRDefault="008045F3" w:rsidP="00593B67">
            <w:pPr>
              <w:spacing w:after="0" w:line="240" w:lineRule="auto"/>
              <w:contextualSpacing/>
              <w:jc w:val="center"/>
              <w:rPr>
                <w:rFonts w:ascii="Arial" w:hAnsi="Arial" w:cs="Arial"/>
                <w:sz w:val="18"/>
                <w:szCs w:val="18"/>
              </w:rPr>
            </w:pPr>
            <w:r w:rsidRPr="00D9697A">
              <w:rPr>
                <w:rFonts w:ascii="Arial" w:hAnsi="Arial" w:cs="Arial"/>
                <w:sz w:val="18"/>
                <w:szCs w:val="18"/>
              </w:rPr>
              <w:t>Ustawa budżetowa na 2023 r.</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0659F461" w14:textId="77777777" w:rsidR="008045F3" w:rsidRPr="00D9697A" w:rsidRDefault="008045F3" w:rsidP="00593B67">
            <w:pPr>
              <w:spacing w:after="0" w:line="240" w:lineRule="auto"/>
              <w:contextualSpacing/>
              <w:jc w:val="center"/>
              <w:rPr>
                <w:rFonts w:ascii="Arial" w:hAnsi="Arial" w:cs="Arial"/>
                <w:sz w:val="18"/>
                <w:szCs w:val="18"/>
              </w:rPr>
            </w:pPr>
            <w:r>
              <w:rPr>
                <w:rFonts w:ascii="Arial" w:hAnsi="Arial" w:cs="Arial"/>
                <w:sz w:val="18"/>
                <w:szCs w:val="18"/>
              </w:rPr>
              <w:t>Projekt n</w:t>
            </w:r>
            <w:r w:rsidRPr="00D9697A">
              <w:rPr>
                <w:rFonts w:ascii="Arial" w:hAnsi="Arial" w:cs="Arial"/>
                <w:sz w:val="18"/>
                <w:szCs w:val="18"/>
              </w:rPr>
              <w:t>oweliza</w:t>
            </w:r>
            <w:r>
              <w:rPr>
                <w:rFonts w:ascii="Arial" w:hAnsi="Arial" w:cs="Arial"/>
                <w:sz w:val="18"/>
                <w:szCs w:val="18"/>
              </w:rPr>
              <w:t>cji</w:t>
            </w:r>
            <w:r w:rsidRPr="00D9697A">
              <w:rPr>
                <w:rFonts w:ascii="Arial" w:hAnsi="Arial" w:cs="Arial"/>
                <w:sz w:val="18"/>
                <w:szCs w:val="18"/>
              </w:rPr>
              <w:t xml:space="preserve"> 2023 r.</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4400D8D9" w14:textId="77777777" w:rsidR="008045F3" w:rsidRDefault="008045F3" w:rsidP="00593B67">
            <w:pPr>
              <w:spacing w:after="0" w:line="240" w:lineRule="auto"/>
              <w:contextualSpacing/>
              <w:jc w:val="center"/>
              <w:rPr>
                <w:rFonts w:ascii="Arial" w:hAnsi="Arial" w:cs="Arial"/>
                <w:sz w:val="18"/>
                <w:szCs w:val="18"/>
              </w:rPr>
            </w:pPr>
            <w:r w:rsidRPr="00D9697A">
              <w:rPr>
                <w:rFonts w:ascii="Arial" w:hAnsi="Arial" w:cs="Arial"/>
                <w:sz w:val="18"/>
                <w:szCs w:val="18"/>
              </w:rPr>
              <w:t>Zmiana</w:t>
            </w:r>
          </w:p>
          <w:p w14:paraId="6F8BCBBB" w14:textId="77777777" w:rsidR="008045F3" w:rsidRPr="00D9697A" w:rsidRDefault="008045F3" w:rsidP="00593B67">
            <w:pPr>
              <w:spacing w:after="0" w:line="240" w:lineRule="auto"/>
              <w:contextualSpacing/>
              <w:jc w:val="center"/>
              <w:rPr>
                <w:rFonts w:ascii="Arial" w:hAnsi="Arial" w:cs="Arial"/>
                <w:sz w:val="18"/>
                <w:szCs w:val="18"/>
              </w:rPr>
            </w:pPr>
            <w:r>
              <w:rPr>
                <w:rFonts w:ascii="Arial" w:hAnsi="Arial" w:cs="Arial"/>
                <w:sz w:val="18"/>
                <w:szCs w:val="18"/>
              </w:rPr>
              <w:t>(3-2)</w:t>
            </w:r>
          </w:p>
        </w:tc>
        <w:tc>
          <w:tcPr>
            <w:tcW w:w="636" w:type="pct"/>
            <w:tcBorders>
              <w:top w:val="single" w:sz="4" w:space="0" w:color="auto"/>
              <w:left w:val="nil"/>
              <w:bottom w:val="single" w:sz="4" w:space="0" w:color="auto"/>
              <w:right w:val="single" w:sz="4" w:space="0" w:color="auto"/>
            </w:tcBorders>
          </w:tcPr>
          <w:p w14:paraId="6113A909" w14:textId="77777777" w:rsidR="008045F3" w:rsidRPr="00D9697A" w:rsidRDefault="008045F3" w:rsidP="00593B67">
            <w:pPr>
              <w:spacing w:after="0" w:line="240" w:lineRule="auto"/>
              <w:contextualSpacing/>
              <w:jc w:val="center"/>
              <w:rPr>
                <w:rFonts w:ascii="Arial" w:hAnsi="Arial" w:cs="Arial"/>
                <w:sz w:val="18"/>
                <w:szCs w:val="18"/>
              </w:rPr>
            </w:pPr>
          </w:p>
        </w:tc>
      </w:tr>
      <w:tr w:rsidR="008045F3" w:rsidRPr="00D9697A" w14:paraId="146D287F" w14:textId="77777777" w:rsidTr="000C1EA7">
        <w:trPr>
          <w:cantSplit/>
          <w:trHeight w:val="270"/>
        </w:trPr>
        <w:tc>
          <w:tcPr>
            <w:tcW w:w="2455" w:type="pct"/>
            <w:gridSpan w:val="2"/>
            <w:vMerge/>
            <w:tcBorders>
              <w:top w:val="single" w:sz="4" w:space="0" w:color="auto"/>
              <w:left w:val="single" w:sz="4" w:space="0" w:color="auto"/>
              <w:bottom w:val="single" w:sz="4" w:space="0" w:color="000000"/>
              <w:right w:val="single" w:sz="4" w:space="0" w:color="000000"/>
            </w:tcBorders>
            <w:vAlign w:val="center"/>
            <w:hideMark/>
          </w:tcPr>
          <w:p w14:paraId="61DD0F5B" w14:textId="77777777" w:rsidR="008045F3" w:rsidRPr="00D9697A" w:rsidRDefault="008045F3" w:rsidP="00593B67">
            <w:pPr>
              <w:spacing w:after="0" w:line="240" w:lineRule="auto"/>
              <w:contextualSpacing/>
              <w:rPr>
                <w:rFonts w:ascii="Arial" w:hAnsi="Arial" w:cs="Arial"/>
                <w:sz w:val="18"/>
                <w:szCs w:val="18"/>
              </w:rPr>
            </w:pPr>
          </w:p>
        </w:tc>
        <w:tc>
          <w:tcPr>
            <w:tcW w:w="1909" w:type="pct"/>
            <w:gridSpan w:val="3"/>
            <w:tcBorders>
              <w:top w:val="single" w:sz="4" w:space="0" w:color="auto"/>
              <w:left w:val="nil"/>
              <w:bottom w:val="single" w:sz="4" w:space="0" w:color="auto"/>
              <w:right w:val="single" w:sz="4" w:space="0" w:color="000000"/>
            </w:tcBorders>
            <w:shd w:val="clear" w:color="auto" w:fill="auto"/>
            <w:vAlign w:val="center"/>
            <w:hideMark/>
          </w:tcPr>
          <w:p w14:paraId="78A2F13E" w14:textId="77777777" w:rsidR="008045F3" w:rsidRPr="00E4736E" w:rsidRDefault="008045F3" w:rsidP="00593B67">
            <w:pPr>
              <w:spacing w:after="0" w:line="240" w:lineRule="auto"/>
              <w:contextualSpacing/>
              <w:jc w:val="center"/>
              <w:rPr>
                <w:rFonts w:ascii="Arial" w:hAnsi="Arial" w:cs="Arial"/>
                <w:i/>
                <w:sz w:val="18"/>
                <w:szCs w:val="18"/>
              </w:rPr>
            </w:pPr>
            <w:r w:rsidRPr="00E4736E">
              <w:rPr>
                <w:rFonts w:ascii="Arial" w:hAnsi="Arial" w:cs="Arial"/>
                <w:i/>
                <w:sz w:val="18"/>
                <w:szCs w:val="18"/>
              </w:rPr>
              <w:t xml:space="preserve"> w tys. zł</w:t>
            </w:r>
          </w:p>
        </w:tc>
        <w:tc>
          <w:tcPr>
            <w:tcW w:w="636" w:type="pct"/>
            <w:tcBorders>
              <w:top w:val="single" w:sz="4" w:space="0" w:color="auto"/>
              <w:left w:val="nil"/>
              <w:bottom w:val="single" w:sz="4" w:space="0" w:color="auto"/>
              <w:right w:val="single" w:sz="4" w:space="0" w:color="000000"/>
            </w:tcBorders>
          </w:tcPr>
          <w:p w14:paraId="1E0DD9E7" w14:textId="77777777" w:rsidR="008045F3" w:rsidRPr="00E4736E" w:rsidRDefault="008045F3" w:rsidP="00593B67">
            <w:pPr>
              <w:spacing w:after="0" w:line="240" w:lineRule="auto"/>
              <w:contextualSpacing/>
              <w:jc w:val="center"/>
              <w:rPr>
                <w:rFonts w:ascii="Arial" w:hAnsi="Arial" w:cs="Arial"/>
                <w:i/>
                <w:sz w:val="18"/>
                <w:szCs w:val="18"/>
              </w:rPr>
            </w:pPr>
          </w:p>
        </w:tc>
      </w:tr>
      <w:tr w:rsidR="008045F3" w:rsidRPr="00D9697A" w14:paraId="4AF4688A" w14:textId="77777777" w:rsidTr="000C1EA7">
        <w:trPr>
          <w:cantSplit/>
          <w:trHeight w:val="255"/>
        </w:trPr>
        <w:tc>
          <w:tcPr>
            <w:tcW w:w="92" w:type="pct"/>
            <w:tcBorders>
              <w:top w:val="nil"/>
              <w:left w:val="single" w:sz="4" w:space="0" w:color="auto"/>
              <w:bottom w:val="single" w:sz="4" w:space="0" w:color="auto"/>
              <w:right w:val="nil"/>
            </w:tcBorders>
            <w:shd w:val="clear" w:color="auto" w:fill="auto"/>
            <w:noWrap/>
            <w:vAlign w:val="bottom"/>
            <w:hideMark/>
          </w:tcPr>
          <w:p w14:paraId="3AB73EBE"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single" w:sz="4" w:space="0" w:color="auto"/>
              <w:right w:val="single" w:sz="4" w:space="0" w:color="auto"/>
            </w:tcBorders>
            <w:shd w:val="clear" w:color="auto" w:fill="auto"/>
            <w:vAlign w:val="center"/>
            <w:hideMark/>
          </w:tcPr>
          <w:p w14:paraId="22EED81E" w14:textId="77777777" w:rsidR="008045F3" w:rsidRPr="00E4736E" w:rsidRDefault="008045F3" w:rsidP="00593B67">
            <w:pPr>
              <w:spacing w:after="0" w:line="240" w:lineRule="auto"/>
              <w:contextualSpacing/>
              <w:jc w:val="center"/>
              <w:rPr>
                <w:rFonts w:ascii="Arial" w:hAnsi="Arial" w:cs="Arial"/>
                <w:i/>
                <w:sz w:val="18"/>
                <w:szCs w:val="18"/>
              </w:rPr>
            </w:pPr>
            <w:r w:rsidRPr="00E4736E">
              <w:rPr>
                <w:rFonts w:ascii="Arial" w:hAnsi="Arial" w:cs="Arial"/>
                <w:i/>
                <w:sz w:val="18"/>
                <w:szCs w:val="18"/>
              </w:rPr>
              <w:t>1</w:t>
            </w:r>
          </w:p>
        </w:tc>
        <w:tc>
          <w:tcPr>
            <w:tcW w:w="636" w:type="pct"/>
            <w:tcBorders>
              <w:top w:val="nil"/>
              <w:left w:val="nil"/>
              <w:bottom w:val="single" w:sz="4" w:space="0" w:color="auto"/>
              <w:right w:val="single" w:sz="4" w:space="0" w:color="auto"/>
            </w:tcBorders>
            <w:shd w:val="clear" w:color="auto" w:fill="auto"/>
            <w:vAlign w:val="center"/>
            <w:hideMark/>
          </w:tcPr>
          <w:p w14:paraId="3FE5A940" w14:textId="77777777" w:rsidR="008045F3" w:rsidRPr="00E4736E" w:rsidRDefault="008045F3" w:rsidP="00593B67">
            <w:pPr>
              <w:spacing w:after="0" w:line="240" w:lineRule="auto"/>
              <w:contextualSpacing/>
              <w:jc w:val="center"/>
              <w:rPr>
                <w:rFonts w:ascii="Arial" w:hAnsi="Arial" w:cs="Arial"/>
                <w:i/>
                <w:sz w:val="18"/>
                <w:szCs w:val="18"/>
              </w:rPr>
            </w:pPr>
            <w:r w:rsidRPr="00E4736E">
              <w:rPr>
                <w:rFonts w:ascii="Arial" w:hAnsi="Arial" w:cs="Arial"/>
                <w:i/>
                <w:sz w:val="18"/>
                <w:szCs w:val="18"/>
              </w:rPr>
              <w:t>2</w:t>
            </w:r>
          </w:p>
        </w:tc>
        <w:tc>
          <w:tcPr>
            <w:tcW w:w="636" w:type="pct"/>
            <w:tcBorders>
              <w:top w:val="nil"/>
              <w:left w:val="nil"/>
              <w:bottom w:val="single" w:sz="4" w:space="0" w:color="auto"/>
              <w:right w:val="single" w:sz="4" w:space="0" w:color="auto"/>
            </w:tcBorders>
            <w:shd w:val="clear" w:color="auto" w:fill="auto"/>
            <w:vAlign w:val="center"/>
            <w:hideMark/>
          </w:tcPr>
          <w:p w14:paraId="689AD87C" w14:textId="77777777" w:rsidR="008045F3" w:rsidRPr="00E4736E" w:rsidRDefault="008045F3" w:rsidP="00593B67">
            <w:pPr>
              <w:spacing w:after="0" w:line="240" w:lineRule="auto"/>
              <w:contextualSpacing/>
              <w:jc w:val="center"/>
              <w:rPr>
                <w:rFonts w:ascii="Arial" w:hAnsi="Arial" w:cs="Arial"/>
                <w:i/>
                <w:sz w:val="18"/>
                <w:szCs w:val="18"/>
              </w:rPr>
            </w:pPr>
            <w:r w:rsidRPr="00E4736E">
              <w:rPr>
                <w:rFonts w:ascii="Arial" w:hAnsi="Arial" w:cs="Arial"/>
                <w:i/>
                <w:sz w:val="18"/>
                <w:szCs w:val="18"/>
              </w:rPr>
              <w:t>3</w:t>
            </w:r>
          </w:p>
        </w:tc>
        <w:tc>
          <w:tcPr>
            <w:tcW w:w="636" w:type="pct"/>
            <w:tcBorders>
              <w:top w:val="nil"/>
              <w:left w:val="nil"/>
              <w:bottom w:val="single" w:sz="4" w:space="0" w:color="auto"/>
              <w:right w:val="single" w:sz="4" w:space="0" w:color="auto"/>
            </w:tcBorders>
            <w:shd w:val="clear" w:color="auto" w:fill="auto"/>
            <w:vAlign w:val="center"/>
            <w:hideMark/>
          </w:tcPr>
          <w:p w14:paraId="176FFDE4" w14:textId="77777777" w:rsidR="008045F3" w:rsidRPr="00E4736E" w:rsidRDefault="008045F3" w:rsidP="00593B67">
            <w:pPr>
              <w:spacing w:after="0" w:line="240" w:lineRule="auto"/>
              <w:contextualSpacing/>
              <w:jc w:val="center"/>
              <w:rPr>
                <w:rFonts w:ascii="Arial" w:hAnsi="Arial" w:cs="Arial"/>
                <w:i/>
                <w:sz w:val="18"/>
                <w:szCs w:val="18"/>
              </w:rPr>
            </w:pPr>
            <w:r w:rsidRPr="00E4736E">
              <w:rPr>
                <w:rFonts w:ascii="Arial" w:hAnsi="Arial" w:cs="Arial"/>
                <w:i/>
                <w:sz w:val="18"/>
                <w:szCs w:val="18"/>
              </w:rPr>
              <w:t>4</w:t>
            </w:r>
          </w:p>
        </w:tc>
        <w:tc>
          <w:tcPr>
            <w:tcW w:w="636" w:type="pct"/>
            <w:tcBorders>
              <w:top w:val="nil"/>
              <w:left w:val="nil"/>
              <w:bottom w:val="single" w:sz="4" w:space="0" w:color="auto"/>
              <w:right w:val="single" w:sz="4" w:space="0" w:color="auto"/>
            </w:tcBorders>
          </w:tcPr>
          <w:p w14:paraId="3E6BDC6F" w14:textId="77777777" w:rsidR="008045F3" w:rsidRPr="00E4736E" w:rsidRDefault="008045F3" w:rsidP="00593B67">
            <w:pPr>
              <w:spacing w:after="0" w:line="240" w:lineRule="auto"/>
              <w:contextualSpacing/>
              <w:jc w:val="center"/>
              <w:rPr>
                <w:rFonts w:ascii="Arial" w:hAnsi="Arial" w:cs="Arial"/>
                <w:i/>
                <w:sz w:val="18"/>
                <w:szCs w:val="18"/>
              </w:rPr>
            </w:pPr>
          </w:p>
        </w:tc>
      </w:tr>
      <w:tr w:rsidR="008045F3" w:rsidRPr="00D9697A" w14:paraId="32700F78"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1D5B4449"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5157694E"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216FA570"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532A73D5"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1EAA8A6C"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nil"/>
              <w:right w:val="single" w:sz="4" w:space="0" w:color="auto"/>
            </w:tcBorders>
          </w:tcPr>
          <w:p w14:paraId="0F8D151F" w14:textId="77777777" w:rsidR="008045F3" w:rsidRPr="00D9697A" w:rsidRDefault="008045F3" w:rsidP="00593B67">
            <w:pPr>
              <w:spacing w:after="0" w:line="240" w:lineRule="auto"/>
              <w:contextualSpacing/>
              <w:rPr>
                <w:rFonts w:ascii="Arial" w:hAnsi="Arial" w:cs="Arial"/>
                <w:sz w:val="18"/>
                <w:szCs w:val="18"/>
              </w:rPr>
            </w:pPr>
          </w:p>
        </w:tc>
      </w:tr>
      <w:tr w:rsidR="008045F3" w:rsidRPr="00D9697A" w14:paraId="3672E09C"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100E33D5"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0BE71F90"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DOCHODY OGÓŁEM</w:t>
            </w:r>
          </w:p>
        </w:tc>
        <w:tc>
          <w:tcPr>
            <w:tcW w:w="636" w:type="pct"/>
            <w:tcBorders>
              <w:top w:val="nil"/>
              <w:left w:val="nil"/>
              <w:bottom w:val="nil"/>
              <w:right w:val="single" w:sz="4" w:space="0" w:color="auto"/>
            </w:tcBorders>
            <w:shd w:val="clear" w:color="auto" w:fill="auto"/>
            <w:noWrap/>
            <w:vAlign w:val="bottom"/>
            <w:hideMark/>
          </w:tcPr>
          <w:p w14:paraId="3CB29F18"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604 543 808 </w:t>
            </w:r>
          </w:p>
        </w:tc>
        <w:tc>
          <w:tcPr>
            <w:tcW w:w="636" w:type="pct"/>
            <w:tcBorders>
              <w:top w:val="nil"/>
              <w:left w:val="nil"/>
              <w:bottom w:val="nil"/>
              <w:right w:val="single" w:sz="4" w:space="0" w:color="auto"/>
            </w:tcBorders>
            <w:shd w:val="clear" w:color="auto" w:fill="auto"/>
            <w:noWrap/>
            <w:vAlign w:val="bottom"/>
            <w:hideMark/>
          </w:tcPr>
          <w:p w14:paraId="2B8E3602" w14:textId="77777777" w:rsidR="008045F3" w:rsidRPr="00D95B04" w:rsidRDefault="008045F3" w:rsidP="00593B67">
            <w:pPr>
              <w:spacing w:after="0" w:line="240" w:lineRule="auto"/>
              <w:contextualSpacing/>
              <w:jc w:val="right"/>
              <w:rPr>
                <w:rFonts w:ascii="Arial" w:hAnsi="Arial" w:cs="Arial"/>
                <w:sz w:val="18"/>
                <w:szCs w:val="18"/>
              </w:rPr>
            </w:pPr>
            <w:r w:rsidRPr="00675ACE">
              <w:rPr>
                <w:rFonts w:ascii="Arial" w:hAnsi="Arial" w:cs="Arial"/>
                <w:sz w:val="18"/>
                <w:szCs w:val="18"/>
              </w:rPr>
              <w:t>601 376 393</w:t>
            </w:r>
          </w:p>
        </w:tc>
        <w:tc>
          <w:tcPr>
            <w:tcW w:w="636" w:type="pct"/>
            <w:tcBorders>
              <w:top w:val="nil"/>
              <w:left w:val="nil"/>
              <w:bottom w:val="nil"/>
              <w:right w:val="single" w:sz="4" w:space="0" w:color="auto"/>
            </w:tcBorders>
            <w:shd w:val="clear" w:color="auto" w:fill="auto"/>
            <w:noWrap/>
            <w:vAlign w:val="bottom"/>
            <w:hideMark/>
          </w:tcPr>
          <w:p w14:paraId="09BABFD9" w14:textId="77777777" w:rsidR="008045F3" w:rsidRPr="00D95B04" w:rsidRDefault="008045F3" w:rsidP="00593B67">
            <w:pPr>
              <w:spacing w:after="0" w:line="240" w:lineRule="auto"/>
              <w:contextualSpacing/>
              <w:jc w:val="right"/>
              <w:rPr>
                <w:rFonts w:ascii="Arial" w:hAnsi="Arial" w:cs="Arial"/>
                <w:sz w:val="18"/>
                <w:szCs w:val="18"/>
              </w:rPr>
            </w:pPr>
            <w:r w:rsidRPr="00675ACE">
              <w:rPr>
                <w:rFonts w:ascii="Arial" w:hAnsi="Arial" w:cs="Arial"/>
                <w:sz w:val="18"/>
                <w:szCs w:val="18"/>
              </w:rPr>
              <w:t>-3 167 415</w:t>
            </w:r>
          </w:p>
        </w:tc>
        <w:tc>
          <w:tcPr>
            <w:tcW w:w="636" w:type="pct"/>
            <w:tcBorders>
              <w:top w:val="nil"/>
              <w:left w:val="nil"/>
              <w:bottom w:val="nil"/>
              <w:right w:val="single" w:sz="4" w:space="0" w:color="auto"/>
            </w:tcBorders>
          </w:tcPr>
          <w:p w14:paraId="5C5EA87E" w14:textId="77777777" w:rsidR="008045F3" w:rsidRPr="00675ACE" w:rsidRDefault="008045F3" w:rsidP="00593B67">
            <w:pPr>
              <w:spacing w:after="0" w:line="240" w:lineRule="auto"/>
              <w:contextualSpacing/>
              <w:jc w:val="right"/>
              <w:rPr>
                <w:rFonts w:ascii="Arial" w:hAnsi="Arial" w:cs="Arial"/>
                <w:sz w:val="18"/>
                <w:szCs w:val="18"/>
              </w:rPr>
            </w:pPr>
          </w:p>
        </w:tc>
      </w:tr>
      <w:tr w:rsidR="008045F3" w:rsidRPr="00D9697A" w14:paraId="27EA1587" w14:textId="77777777" w:rsidTr="000C1EA7">
        <w:trPr>
          <w:cantSplit/>
          <w:trHeight w:val="255"/>
        </w:trPr>
        <w:tc>
          <w:tcPr>
            <w:tcW w:w="92" w:type="pct"/>
            <w:tcBorders>
              <w:top w:val="nil"/>
              <w:left w:val="single" w:sz="4" w:space="0" w:color="auto"/>
              <w:bottom w:val="single" w:sz="4" w:space="0" w:color="auto"/>
              <w:right w:val="nil"/>
            </w:tcBorders>
            <w:shd w:val="clear" w:color="auto" w:fill="auto"/>
            <w:noWrap/>
            <w:vAlign w:val="bottom"/>
            <w:hideMark/>
          </w:tcPr>
          <w:p w14:paraId="701F9DA8"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single" w:sz="4" w:space="0" w:color="auto"/>
              <w:right w:val="single" w:sz="4" w:space="0" w:color="auto"/>
            </w:tcBorders>
            <w:shd w:val="clear" w:color="auto" w:fill="auto"/>
            <w:noWrap/>
            <w:vAlign w:val="bottom"/>
            <w:hideMark/>
          </w:tcPr>
          <w:p w14:paraId="07F01FD5"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single" w:sz="4" w:space="0" w:color="auto"/>
              <w:right w:val="single" w:sz="4" w:space="0" w:color="auto"/>
            </w:tcBorders>
            <w:shd w:val="clear" w:color="auto" w:fill="auto"/>
            <w:noWrap/>
            <w:vAlign w:val="bottom"/>
            <w:hideMark/>
          </w:tcPr>
          <w:p w14:paraId="2201F424"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single" w:sz="4" w:space="0" w:color="auto"/>
              <w:right w:val="single" w:sz="4" w:space="0" w:color="auto"/>
            </w:tcBorders>
            <w:shd w:val="clear" w:color="auto" w:fill="auto"/>
            <w:noWrap/>
            <w:vAlign w:val="bottom"/>
            <w:hideMark/>
          </w:tcPr>
          <w:p w14:paraId="3FFFC0AD"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single" w:sz="4" w:space="0" w:color="auto"/>
              <w:right w:val="single" w:sz="4" w:space="0" w:color="auto"/>
            </w:tcBorders>
            <w:shd w:val="clear" w:color="auto" w:fill="auto"/>
            <w:noWrap/>
            <w:vAlign w:val="bottom"/>
            <w:hideMark/>
          </w:tcPr>
          <w:p w14:paraId="518F7E25"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single" w:sz="4" w:space="0" w:color="auto"/>
              <w:right w:val="single" w:sz="4" w:space="0" w:color="auto"/>
            </w:tcBorders>
          </w:tcPr>
          <w:p w14:paraId="08E72E5B" w14:textId="77777777" w:rsidR="008045F3" w:rsidRPr="00D95B04" w:rsidRDefault="008045F3" w:rsidP="00593B67">
            <w:pPr>
              <w:spacing w:after="0" w:line="240" w:lineRule="auto"/>
              <w:contextualSpacing/>
              <w:rPr>
                <w:rFonts w:ascii="Arial" w:hAnsi="Arial" w:cs="Arial"/>
                <w:sz w:val="18"/>
                <w:szCs w:val="18"/>
              </w:rPr>
            </w:pPr>
          </w:p>
        </w:tc>
      </w:tr>
      <w:tr w:rsidR="008045F3" w:rsidRPr="00D9697A" w14:paraId="3EDA8A7E"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5A48A5EC"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30122C52"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xml:space="preserve"> </w:t>
            </w:r>
          </w:p>
        </w:tc>
        <w:tc>
          <w:tcPr>
            <w:tcW w:w="636" w:type="pct"/>
            <w:tcBorders>
              <w:top w:val="nil"/>
              <w:left w:val="nil"/>
              <w:bottom w:val="nil"/>
              <w:right w:val="single" w:sz="4" w:space="0" w:color="auto"/>
            </w:tcBorders>
            <w:shd w:val="clear" w:color="auto" w:fill="auto"/>
            <w:noWrap/>
            <w:vAlign w:val="bottom"/>
            <w:hideMark/>
          </w:tcPr>
          <w:p w14:paraId="443B1A9C"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2A789DD4"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704B889B"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tcPr>
          <w:p w14:paraId="1CC4A429" w14:textId="77777777" w:rsidR="008045F3" w:rsidRPr="00D95B04" w:rsidRDefault="008045F3" w:rsidP="00593B67">
            <w:pPr>
              <w:spacing w:after="0" w:line="240" w:lineRule="auto"/>
              <w:contextualSpacing/>
              <w:rPr>
                <w:rFonts w:ascii="Arial" w:hAnsi="Arial" w:cs="Arial"/>
                <w:sz w:val="18"/>
                <w:szCs w:val="18"/>
              </w:rPr>
            </w:pPr>
          </w:p>
        </w:tc>
      </w:tr>
      <w:tr w:rsidR="008045F3" w:rsidRPr="00D9697A" w14:paraId="2E69ED5D"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60FFD631"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51C90E82"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1. Dochody podatkowe</w:t>
            </w:r>
          </w:p>
        </w:tc>
        <w:tc>
          <w:tcPr>
            <w:tcW w:w="636" w:type="pct"/>
            <w:tcBorders>
              <w:top w:val="nil"/>
              <w:left w:val="nil"/>
              <w:bottom w:val="nil"/>
              <w:right w:val="single" w:sz="4" w:space="0" w:color="auto"/>
            </w:tcBorders>
            <w:shd w:val="clear" w:color="auto" w:fill="auto"/>
            <w:noWrap/>
            <w:vAlign w:val="bottom"/>
            <w:hideMark/>
          </w:tcPr>
          <w:p w14:paraId="293E82F8"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545 328 088 </w:t>
            </w:r>
          </w:p>
        </w:tc>
        <w:tc>
          <w:tcPr>
            <w:tcW w:w="636" w:type="pct"/>
            <w:tcBorders>
              <w:top w:val="nil"/>
              <w:left w:val="nil"/>
              <w:bottom w:val="nil"/>
              <w:right w:val="single" w:sz="4" w:space="0" w:color="auto"/>
            </w:tcBorders>
            <w:shd w:val="clear" w:color="auto" w:fill="auto"/>
            <w:noWrap/>
            <w:vAlign w:val="bottom"/>
            <w:hideMark/>
          </w:tcPr>
          <w:p w14:paraId="5E333397" w14:textId="77777777" w:rsidR="008045F3" w:rsidRPr="00D95B04" w:rsidRDefault="008045F3" w:rsidP="00593B67">
            <w:pPr>
              <w:spacing w:after="0" w:line="240" w:lineRule="auto"/>
              <w:contextualSpacing/>
              <w:jc w:val="right"/>
              <w:rPr>
                <w:rFonts w:ascii="Arial" w:hAnsi="Arial" w:cs="Arial"/>
                <w:sz w:val="18"/>
                <w:szCs w:val="18"/>
              </w:rPr>
            </w:pPr>
            <w:r w:rsidRPr="00675ACE">
              <w:rPr>
                <w:rFonts w:ascii="Arial" w:hAnsi="Arial" w:cs="Arial"/>
                <w:sz w:val="18"/>
                <w:szCs w:val="18"/>
              </w:rPr>
              <w:t>536 833 242</w:t>
            </w:r>
          </w:p>
        </w:tc>
        <w:tc>
          <w:tcPr>
            <w:tcW w:w="636" w:type="pct"/>
            <w:tcBorders>
              <w:top w:val="nil"/>
              <w:left w:val="nil"/>
              <w:bottom w:val="nil"/>
              <w:right w:val="single" w:sz="4" w:space="0" w:color="auto"/>
            </w:tcBorders>
            <w:shd w:val="clear" w:color="auto" w:fill="auto"/>
            <w:noWrap/>
            <w:vAlign w:val="bottom"/>
            <w:hideMark/>
          </w:tcPr>
          <w:p w14:paraId="6D4F1D57" w14:textId="77777777" w:rsidR="008045F3" w:rsidRPr="00D95B04" w:rsidRDefault="008045F3" w:rsidP="00593B67">
            <w:pPr>
              <w:spacing w:after="0" w:line="240" w:lineRule="auto"/>
              <w:contextualSpacing/>
              <w:jc w:val="right"/>
              <w:rPr>
                <w:rFonts w:ascii="Arial" w:hAnsi="Arial" w:cs="Arial"/>
                <w:sz w:val="18"/>
                <w:szCs w:val="18"/>
              </w:rPr>
            </w:pPr>
            <w:r w:rsidRPr="00675ACE">
              <w:rPr>
                <w:rFonts w:ascii="Arial" w:hAnsi="Arial" w:cs="Arial"/>
                <w:sz w:val="18"/>
                <w:szCs w:val="18"/>
              </w:rPr>
              <w:t>-8 494 846</w:t>
            </w:r>
          </w:p>
        </w:tc>
        <w:tc>
          <w:tcPr>
            <w:tcW w:w="636" w:type="pct"/>
            <w:tcBorders>
              <w:top w:val="nil"/>
              <w:left w:val="nil"/>
              <w:bottom w:val="nil"/>
              <w:right w:val="single" w:sz="4" w:space="0" w:color="auto"/>
            </w:tcBorders>
          </w:tcPr>
          <w:p w14:paraId="0F258B9E" w14:textId="77777777" w:rsidR="008045F3" w:rsidRPr="00675ACE" w:rsidRDefault="008045F3" w:rsidP="00593B67">
            <w:pPr>
              <w:spacing w:after="0" w:line="240" w:lineRule="auto"/>
              <w:contextualSpacing/>
              <w:jc w:val="right"/>
              <w:rPr>
                <w:rFonts w:ascii="Arial" w:hAnsi="Arial" w:cs="Arial"/>
                <w:sz w:val="18"/>
                <w:szCs w:val="18"/>
              </w:rPr>
            </w:pPr>
          </w:p>
        </w:tc>
      </w:tr>
      <w:tr w:rsidR="008045F3" w:rsidRPr="00D9697A" w14:paraId="6BBB40F0"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30C3CEC5"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62E02811"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xml:space="preserve"> </w:t>
            </w:r>
          </w:p>
        </w:tc>
        <w:tc>
          <w:tcPr>
            <w:tcW w:w="636" w:type="pct"/>
            <w:tcBorders>
              <w:top w:val="nil"/>
              <w:left w:val="nil"/>
              <w:bottom w:val="nil"/>
              <w:right w:val="single" w:sz="4" w:space="0" w:color="auto"/>
            </w:tcBorders>
            <w:shd w:val="clear" w:color="auto" w:fill="auto"/>
            <w:noWrap/>
            <w:vAlign w:val="bottom"/>
            <w:hideMark/>
          </w:tcPr>
          <w:p w14:paraId="4C6DFF79"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32EEA2FE"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07EFC28B"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tcPr>
          <w:p w14:paraId="140700ED" w14:textId="77777777" w:rsidR="008045F3" w:rsidRPr="00D95B04" w:rsidRDefault="008045F3" w:rsidP="00593B67">
            <w:pPr>
              <w:spacing w:after="0" w:line="240" w:lineRule="auto"/>
              <w:contextualSpacing/>
              <w:rPr>
                <w:rFonts w:ascii="Arial" w:hAnsi="Arial" w:cs="Arial"/>
                <w:sz w:val="18"/>
                <w:szCs w:val="18"/>
              </w:rPr>
            </w:pPr>
          </w:p>
        </w:tc>
      </w:tr>
      <w:tr w:rsidR="008045F3" w:rsidRPr="00D9697A" w14:paraId="3D72440E"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09B723E9"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51E96AB3"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1.1. Podatek od towarów i usług</w:t>
            </w:r>
          </w:p>
        </w:tc>
        <w:tc>
          <w:tcPr>
            <w:tcW w:w="636" w:type="pct"/>
            <w:tcBorders>
              <w:top w:val="nil"/>
              <w:left w:val="nil"/>
              <w:bottom w:val="nil"/>
              <w:right w:val="single" w:sz="4" w:space="0" w:color="auto"/>
            </w:tcBorders>
            <w:shd w:val="clear" w:color="auto" w:fill="auto"/>
            <w:noWrap/>
            <w:vAlign w:val="bottom"/>
            <w:hideMark/>
          </w:tcPr>
          <w:p w14:paraId="02AF32B1"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286 300 000 </w:t>
            </w:r>
          </w:p>
        </w:tc>
        <w:tc>
          <w:tcPr>
            <w:tcW w:w="636" w:type="pct"/>
            <w:tcBorders>
              <w:top w:val="nil"/>
              <w:left w:val="nil"/>
              <w:bottom w:val="nil"/>
              <w:right w:val="single" w:sz="4" w:space="0" w:color="auto"/>
            </w:tcBorders>
            <w:shd w:val="clear" w:color="auto" w:fill="auto"/>
            <w:noWrap/>
            <w:vAlign w:val="bottom"/>
            <w:hideMark/>
          </w:tcPr>
          <w:p w14:paraId="163865BA"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272 900 000 </w:t>
            </w:r>
          </w:p>
        </w:tc>
        <w:tc>
          <w:tcPr>
            <w:tcW w:w="636" w:type="pct"/>
            <w:tcBorders>
              <w:top w:val="nil"/>
              <w:left w:val="nil"/>
              <w:bottom w:val="nil"/>
              <w:right w:val="single" w:sz="4" w:space="0" w:color="auto"/>
            </w:tcBorders>
            <w:shd w:val="clear" w:color="auto" w:fill="auto"/>
            <w:noWrap/>
            <w:vAlign w:val="bottom"/>
            <w:hideMark/>
          </w:tcPr>
          <w:p w14:paraId="0CA3579C"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-13 400 000 </w:t>
            </w:r>
          </w:p>
        </w:tc>
        <w:tc>
          <w:tcPr>
            <w:tcW w:w="636" w:type="pct"/>
            <w:tcBorders>
              <w:top w:val="nil"/>
              <w:left w:val="nil"/>
              <w:bottom w:val="nil"/>
              <w:right w:val="single" w:sz="4" w:space="0" w:color="auto"/>
            </w:tcBorders>
          </w:tcPr>
          <w:p w14:paraId="7164A747"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4C7E6A5E"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63A9B143"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000251ED"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1.2. Podatek akcyzowy</w:t>
            </w:r>
          </w:p>
        </w:tc>
        <w:tc>
          <w:tcPr>
            <w:tcW w:w="636" w:type="pct"/>
            <w:tcBorders>
              <w:top w:val="nil"/>
              <w:left w:val="nil"/>
              <w:bottom w:val="nil"/>
              <w:right w:val="single" w:sz="4" w:space="0" w:color="auto"/>
            </w:tcBorders>
            <w:shd w:val="clear" w:color="auto" w:fill="auto"/>
            <w:noWrap/>
            <w:vAlign w:val="bottom"/>
            <w:hideMark/>
          </w:tcPr>
          <w:p w14:paraId="740DAADD"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88 597 000 </w:t>
            </w:r>
          </w:p>
        </w:tc>
        <w:tc>
          <w:tcPr>
            <w:tcW w:w="636" w:type="pct"/>
            <w:tcBorders>
              <w:top w:val="nil"/>
              <w:left w:val="nil"/>
              <w:bottom w:val="nil"/>
              <w:right w:val="single" w:sz="4" w:space="0" w:color="auto"/>
            </w:tcBorders>
            <w:shd w:val="clear" w:color="auto" w:fill="auto"/>
            <w:noWrap/>
            <w:vAlign w:val="bottom"/>
            <w:hideMark/>
          </w:tcPr>
          <w:p w14:paraId="4B60E236"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83 800 000 </w:t>
            </w:r>
          </w:p>
        </w:tc>
        <w:tc>
          <w:tcPr>
            <w:tcW w:w="636" w:type="pct"/>
            <w:tcBorders>
              <w:top w:val="nil"/>
              <w:left w:val="nil"/>
              <w:bottom w:val="nil"/>
              <w:right w:val="single" w:sz="4" w:space="0" w:color="auto"/>
            </w:tcBorders>
            <w:shd w:val="clear" w:color="auto" w:fill="auto"/>
            <w:noWrap/>
            <w:vAlign w:val="bottom"/>
            <w:hideMark/>
          </w:tcPr>
          <w:p w14:paraId="5ED3180B"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-4 797 000 </w:t>
            </w:r>
          </w:p>
        </w:tc>
        <w:tc>
          <w:tcPr>
            <w:tcW w:w="636" w:type="pct"/>
            <w:tcBorders>
              <w:top w:val="nil"/>
              <w:left w:val="nil"/>
              <w:bottom w:val="nil"/>
              <w:right w:val="single" w:sz="4" w:space="0" w:color="auto"/>
            </w:tcBorders>
          </w:tcPr>
          <w:p w14:paraId="634E4372"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7B963527"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28C37EF4"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6EEA1235"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1.3. Podatek od gier</w:t>
            </w:r>
          </w:p>
        </w:tc>
        <w:tc>
          <w:tcPr>
            <w:tcW w:w="636" w:type="pct"/>
            <w:tcBorders>
              <w:top w:val="nil"/>
              <w:left w:val="nil"/>
              <w:bottom w:val="nil"/>
              <w:right w:val="single" w:sz="4" w:space="0" w:color="auto"/>
            </w:tcBorders>
            <w:shd w:val="clear" w:color="auto" w:fill="auto"/>
            <w:noWrap/>
            <w:vAlign w:val="bottom"/>
            <w:hideMark/>
          </w:tcPr>
          <w:p w14:paraId="24C9649B"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4 000 000 </w:t>
            </w:r>
          </w:p>
        </w:tc>
        <w:tc>
          <w:tcPr>
            <w:tcW w:w="636" w:type="pct"/>
            <w:tcBorders>
              <w:top w:val="nil"/>
              <w:left w:val="nil"/>
              <w:bottom w:val="nil"/>
              <w:right w:val="single" w:sz="4" w:space="0" w:color="auto"/>
            </w:tcBorders>
            <w:shd w:val="clear" w:color="auto" w:fill="auto"/>
            <w:noWrap/>
            <w:vAlign w:val="bottom"/>
            <w:hideMark/>
          </w:tcPr>
          <w:p w14:paraId="5D2550C5"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4 500 000 </w:t>
            </w:r>
          </w:p>
        </w:tc>
        <w:tc>
          <w:tcPr>
            <w:tcW w:w="636" w:type="pct"/>
            <w:tcBorders>
              <w:top w:val="nil"/>
              <w:left w:val="nil"/>
              <w:bottom w:val="nil"/>
              <w:right w:val="single" w:sz="4" w:space="0" w:color="auto"/>
            </w:tcBorders>
            <w:shd w:val="clear" w:color="auto" w:fill="auto"/>
            <w:noWrap/>
            <w:vAlign w:val="bottom"/>
            <w:hideMark/>
          </w:tcPr>
          <w:p w14:paraId="7B9873D3"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500 000 </w:t>
            </w:r>
          </w:p>
        </w:tc>
        <w:tc>
          <w:tcPr>
            <w:tcW w:w="636" w:type="pct"/>
            <w:tcBorders>
              <w:top w:val="nil"/>
              <w:left w:val="nil"/>
              <w:bottom w:val="nil"/>
              <w:right w:val="single" w:sz="4" w:space="0" w:color="auto"/>
            </w:tcBorders>
          </w:tcPr>
          <w:p w14:paraId="22A052D3"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17E24782"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4C820477"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32F22744"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1.4. Podatek dochodowy od osób prawnych</w:t>
            </w:r>
          </w:p>
        </w:tc>
        <w:tc>
          <w:tcPr>
            <w:tcW w:w="636" w:type="pct"/>
            <w:tcBorders>
              <w:top w:val="nil"/>
              <w:left w:val="nil"/>
              <w:bottom w:val="nil"/>
              <w:right w:val="single" w:sz="4" w:space="0" w:color="auto"/>
            </w:tcBorders>
            <w:shd w:val="clear" w:color="auto" w:fill="auto"/>
            <w:noWrap/>
            <w:vAlign w:val="bottom"/>
            <w:hideMark/>
          </w:tcPr>
          <w:p w14:paraId="0ED933F9"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73 606 988 </w:t>
            </w:r>
          </w:p>
        </w:tc>
        <w:tc>
          <w:tcPr>
            <w:tcW w:w="636" w:type="pct"/>
            <w:tcBorders>
              <w:top w:val="nil"/>
              <w:left w:val="nil"/>
              <w:bottom w:val="nil"/>
              <w:right w:val="single" w:sz="4" w:space="0" w:color="auto"/>
            </w:tcBorders>
            <w:shd w:val="clear" w:color="auto" w:fill="auto"/>
            <w:noWrap/>
            <w:vAlign w:val="bottom"/>
            <w:hideMark/>
          </w:tcPr>
          <w:p w14:paraId="3DAB89E2"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7</w:t>
            </w:r>
            <w:r>
              <w:rPr>
                <w:rFonts w:ascii="Arial" w:hAnsi="Arial" w:cs="Arial"/>
                <w:sz w:val="18"/>
                <w:szCs w:val="18"/>
              </w:rPr>
              <w:t>7</w:t>
            </w:r>
            <w:r w:rsidRPr="00D95B04">
              <w:rPr>
                <w:rFonts w:ascii="Arial" w:hAnsi="Arial" w:cs="Arial"/>
                <w:sz w:val="18"/>
                <w:szCs w:val="18"/>
              </w:rPr>
              <w:t xml:space="preserve"> 606 988 </w:t>
            </w:r>
          </w:p>
        </w:tc>
        <w:tc>
          <w:tcPr>
            <w:tcW w:w="636" w:type="pct"/>
            <w:tcBorders>
              <w:top w:val="nil"/>
              <w:left w:val="nil"/>
              <w:bottom w:val="nil"/>
              <w:right w:val="single" w:sz="4" w:space="0" w:color="auto"/>
            </w:tcBorders>
            <w:shd w:val="clear" w:color="auto" w:fill="auto"/>
            <w:noWrap/>
            <w:vAlign w:val="bottom"/>
            <w:hideMark/>
          </w:tcPr>
          <w:p w14:paraId="78D5864E" w14:textId="77777777" w:rsidR="008045F3" w:rsidRPr="00D95B04" w:rsidRDefault="008045F3" w:rsidP="00593B67">
            <w:pPr>
              <w:spacing w:after="0" w:line="240" w:lineRule="auto"/>
              <w:contextualSpacing/>
              <w:jc w:val="right"/>
              <w:rPr>
                <w:rFonts w:ascii="Arial" w:hAnsi="Arial" w:cs="Arial"/>
                <w:sz w:val="18"/>
                <w:szCs w:val="18"/>
              </w:rPr>
            </w:pPr>
            <w:r>
              <w:rPr>
                <w:rFonts w:ascii="Arial" w:hAnsi="Arial" w:cs="Arial"/>
                <w:sz w:val="18"/>
                <w:szCs w:val="18"/>
              </w:rPr>
              <w:t>4</w:t>
            </w:r>
            <w:r w:rsidRPr="00D95B04">
              <w:rPr>
                <w:rFonts w:ascii="Arial" w:hAnsi="Arial" w:cs="Arial"/>
                <w:sz w:val="18"/>
                <w:szCs w:val="18"/>
              </w:rPr>
              <w:t xml:space="preserve"> 000 000 </w:t>
            </w:r>
          </w:p>
        </w:tc>
        <w:tc>
          <w:tcPr>
            <w:tcW w:w="636" w:type="pct"/>
            <w:tcBorders>
              <w:top w:val="nil"/>
              <w:left w:val="nil"/>
              <w:bottom w:val="nil"/>
              <w:right w:val="single" w:sz="4" w:space="0" w:color="auto"/>
            </w:tcBorders>
          </w:tcPr>
          <w:p w14:paraId="328E4B0F" w14:textId="77777777" w:rsidR="008045F3" w:rsidRDefault="008045F3" w:rsidP="00593B67">
            <w:pPr>
              <w:spacing w:after="0" w:line="240" w:lineRule="auto"/>
              <w:contextualSpacing/>
              <w:jc w:val="right"/>
              <w:rPr>
                <w:rFonts w:ascii="Arial" w:hAnsi="Arial" w:cs="Arial"/>
                <w:sz w:val="18"/>
                <w:szCs w:val="18"/>
              </w:rPr>
            </w:pPr>
          </w:p>
        </w:tc>
      </w:tr>
      <w:tr w:rsidR="008045F3" w:rsidRPr="00D9697A" w14:paraId="684F7398"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5EDDFD86"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0553D979"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1.5. Podatek dochodowy od osób fizycznych</w:t>
            </w:r>
          </w:p>
        </w:tc>
        <w:tc>
          <w:tcPr>
            <w:tcW w:w="636" w:type="pct"/>
            <w:tcBorders>
              <w:top w:val="nil"/>
              <w:left w:val="nil"/>
              <w:bottom w:val="nil"/>
              <w:right w:val="single" w:sz="4" w:space="0" w:color="auto"/>
            </w:tcBorders>
            <w:shd w:val="clear" w:color="auto" w:fill="auto"/>
            <w:noWrap/>
            <w:vAlign w:val="bottom"/>
            <w:hideMark/>
          </w:tcPr>
          <w:p w14:paraId="7CCA979F"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78 368 100 </w:t>
            </w:r>
          </w:p>
        </w:tc>
        <w:tc>
          <w:tcPr>
            <w:tcW w:w="636" w:type="pct"/>
            <w:tcBorders>
              <w:top w:val="nil"/>
              <w:left w:val="nil"/>
              <w:bottom w:val="nil"/>
              <w:right w:val="single" w:sz="4" w:space="0" w:color="auto"/>
            </w:tcBorders>
            <w:shd w:val="clear" w:color="auto" w:fill="auto"/>
            <w:noWrap/>
            <w:vAlign w:val="bottom"/>
            <w:hideMark/>
          </w:tcPr>
          <w:p w14:paraId="0327B676"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83 570 254 </w:t>
            </w:r>
          </w:p>
        </w:tc>
        <w:tc>
          <w:tcPr>
            <w:tcW w:w="636" w:type="pct"/>
            <w:tcBorders>
              <w:top w:val="nil"/>
              <w:left w:val="nil"/>
              <w:bottom w:val="nil"/>
              <w:right w:val="single" w:sz="4" w:space="0" w:color="auto"/>
            </w:tcBorders>
            <w:shd w:val="clear" w:color="auto" w:fill="auto"/>
            <w:noWrap/>
            <w:vAlign w:val="bottom"/>
            <w:hideMark/>
          </w:tcPr>
          <w:p w14:paraId="258F7E8C"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5 202 154 </w:t>
            </w:r>
          </w:p>
        </w:tc>
        <w:tc>
          <w:tcPr>
            <w:tcW w:w="636" w:type="pct"/>
            <w:tcBorders>
              <w:top w:val="nil"/>
              <w:left w:val="nil"/>
              <w:bottom w:val="nil"/>
              <w:right w:val="single" w:sz="4" w:space="0" w:color="auto"/>
            </w:tcBorders>
          </w:tcPr>
          <w:p w14:paraId="0CF684C0" w14:textId="77777777" w:rsidR="008045F3" w:rsidRPr="00D95B04" w:rsidRDefault="008045F3" w:rsidP="00593B67">
            <w:pPr>
              <w:spacing w:after="0" w:line="240" w:lineRule="auto"/>
              <w:contextualSpacing/>
              <w:jc w:val="right"/>
              <w:rPr>
                <w:rFonts w:ascii="Arial" w:hAnsi="Arial" w:cs="Arial"/>
                <w:sz w:val="18"/>
                <w:szCs w:val="18"/>
              </w:rPr>
            </w:pPr>
          </w:p>
        </w:tc>
      </w:tr>
      <w:tr w:rsidR="000C1EA7" w:rsidRPr="00D9697A" w14:paraId="3E5D73A1" w14:textId="77777777" w:rsidTr="008045F3">
        <w:trPr>
          <w:cantSplit/>
          <w:trHeight w:val="255"/>
        </w:trPr>
        <w:tc>
          <w:tcPr>
            <w:tcW w:w="92" w:type="pct"/>
            <w:tcBorders>
              <w:top w:val="nil"/>
              <w:left w:val="single" w:sz="4" w:space="0" w:color="auto"/>
              <w:bottom w:val="nil"/>
              <w:right w:val="nil"/>
            </w:tcBorders>
            <w:shd w:val="clear" w:color="auto" w:fill="auto"/>
            <w:noWrap/>
            <w:vAlign w:val="bottom"/>
            <w:hideMark/>
          </w:tcPr>
          <w:p w14:paraId="4B1270C0"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1D7C4A1F"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1.6. Podatek od wydobycia niektórych kopalin</w:t>
            </w:r>
          </w:p>
        </w:tc>
        <w:tc>
          <w:tcPr>
            <w:tcW w:w="636" w:type="pct"/>
            <w:tcBorders>
              <w:top w:val="nil"/>
              <w:left w:val="nil"/>
              <w:bottom w:val="nil"/>
              <w:right w:val="nil"/>
            </w:tcBorders>
            <w:shd w:val="clear" w:color="auto" w:fill="auto"/>
            <w:noWrap/>
            <w:vAlign w:val="bottom"/>
            <w:hideMark/>
          </w:tcPr>
          <w:p w14:paraId="44344EF8"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4 600 000 </w:t>
            </w:r>
          </w:p>
        </w:tc>
        <w:tc>
          <w:tcPr>
            <w:tcW w:w="636" w:type="pct"/>
            <w:tcBorders>
              <w:top w:val="nil"/>
              <w:left w:val="single" w:sz="4" w:space="0" w:color="auto"/>
              <w:bottom w:val="nil"/>
              <w:right w:val="single" w:sz="4" w:space="0" w:color="auto"/>
            </w:tcBorders>
            <w:shd w:val="clear" w:color="auto" w:fill="auto"/>
            <w:noWrap/>
            <w:vAlign w:val="bottom"/>
            <w:hideMark/>
          </w:tcPr>
          <w:p w14:paraId="25C6536A"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4 600 000 </w:t>
            </w:r>
          </w:p>
        </w:tc>
        <w:tc>
          <w:tcPr>
            <w:tcW w:w="636" w:type="pct"/>
            <w:tcBorders>
              <w:top w:val="nil"/>
              <w:left w:val="nil"/>
              <w:bottom w:val="nil"/>
              <w:right w:val="single" w:sz="4" w:space="0" w:color="auto"/>
            </w:tcBorders>
            <w:shd w:val="clear" w:color="auto" w:fill="auto"/>
            <w:noWrap/>
            <w:vAlign w:val="bottom"/>
            <w:hideMark/>
          </w:tcPr>
          <w:p w14:paraId="447AE2BF"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0 </w:t>
            </w:r>
          </w:p>
        </w:tc>
        <w:tc>
          <w:tcPr>
            <w:tcW w:w="636" w:type="pct"/>
            <w:tcBorders>
              <w:top w:val="nil"/>
              <w:left w:val="nil"/>
              <w:bottom w:val="nil"/>
              <w:right w:val="single" w:sz="4" w:space="0" w:color="auto"/>
            </w:tcBorders>
          </w:tcPr>
          <w:p w14:paraId="3959A00A"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0ED0CB68"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2229B2B8"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34B9FE68"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1.7. Podatek od niektórych instytucji finansowych</w:t>
            </w:r>
          </w:p>
        </w:tc>
        <w:tc>
          <w:tcPr>
            <w:tcW w:w="636" w:type="pct"/>
            <w:tcBorders>
              <w:top w:val="nil"/>
              <w:left w:val="nil"/>
              <w:bottom w:val="nil"/>
              <w:right w:val="single" w:sz="4" w:space="0" w:color="auto"/>
            </w:tcBorders>
            <w:shd w:val="clear" w:color="auto" w:fill="auto"/>
            <w:noWrap/>
            <w:vAlign w:val="bottom"/>
            <w:hideMark/>
          </w:tcPr>
          <w:p w14:paraId="5E61B325"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5 980 000 </w:t>
            </w:r>
          </w:p>
        </w:tc>
        <w:tc>
          <w:tcPr>
            <w:tcW w:w="636" w:type="pct"/>
            <w:tcBorders>
              <w:top w:val="nil"/>
              <w:left w:val="nil"/>
              <w:bottom w:val="nil"/>
              <w:right w:val="single" w:sz="4" w:space="0" w:color="auto"/>
            </w:tcBorders>
            <w:shd w:val="clear" w:color="auto" w:fill="auto"/>
            <w:noWrap/>
            <w:vAlign w:val="bottom"/>
            <w:hideMark/>
          </w:tcPr>
          <w:p w14:paraId="65228AB3"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5 980 000 </w:t>
            </w:r>
          </w:p>
        </w:tc>
        <w:tc>
          <w:tcPr>
            <w:tcW w:w="636" w:type="pct"/>
            <w:tcBorders>
              <w:top w:val="nil"/>
              <w:left w:val="nil"/>
              <w:bottom w:val="nil"/>
              <w:right w:val="single" w:sz="4" w:space="0" w:color="auto"/>
            </w:tcBorders>
            <w:shd w:val="clear" w:color="auto" w:fill="auto"/>
            <w:noWrap/>
            <w:vAlign w:val="bottom"/>
            <w:hideMark/>
          </w:tcPr>
          <w:p w14:paraId="792FE352"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0 </w:t>
            </w:r>
          </w:p>
        </w:tc>
        <w:tc>
          <w:tcPr>
            <w:tcW w:w="636" w:type="pct"/>
            <w:tcBorders>
              <w:top w:val="nil"/>
              <w:left w:val="nil"/>
              <w:bottom w:val="nil"/>
              <w:right w:val="single" w:sz="4" w:space="0" w:color="auto"/>
            </w:tcBorders>
          </w:tcPr>
          <w:p w14:paraId="3D30A904"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4469D028"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7B181D29"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67239990"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1.8. Podatek od sprzedaży detalicznej</w:t>
            </w:r>
          </w:p>
        </w:tc>
        <w:tc>
          <w:tcPr>
            <w:tcW w:w="636" w:type="pct"/>
            <w:tcBorders>
              <w:top w:val="nil"/>
              <w:left w:val="nil"/>
              <w:bottom w:val="nil"/>
              <w:right w:val="single" w:sz="4" w:space="0" w:color="auto"/>
            </w:tcBorders>
            <w:shd w:val="clear" w:color="auto" w:fill="auto"/>
            <w:noWrap/>
            <w:vAlign w:val="bottom"/>
            <w:hideMark/>
          </w:tcPr>
          <w:p w14:paraId="5BC72A43"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3 876 000 </w:t>
            </w:r>
          </w:p>
        </w:tc>
        <w:tc>
          <w:tcPr>
            <w:tcW w:w="636" w:type="pct"/>
            <w:tcBorders>
              <w:top w:val="nil"/>
              <w:left w:val="nil"/>
              <w:bottom w:val="nil"/>
              <w:right w:val="single" w:sz="4" w:space="0" w:color="auto"/>
            </w:tcBorders>
            <w:shd w:val="clear" w:color="auto" w:fill="auto"/>
            <w:noWrap/>
            <w:vAlign w:val="bottom"/>
            <w:hideMark/>
          </w:tcPr>
          <w:p w14:paraId="02AD3D56"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3 876 000 </w:t>
            </w:r>
          </w:p>
        </w:tc>
        <w:tc>
          <w:tcPr>
            <w:tcW w:w="636" w:type="pct"/>
            <w:tcBorders>
              <w:top w:val="nil"/>
              <w:left w:val="nil"/>
              <w:bottom w:val="nil"/>
              <w:right w:val="single" w:sz="4" w:space="0" w:color="auto"/>
            </w:tcBorders>
            <w:shd w:val="clear" w:color="auto" w:fill="auto"/>
            <w:noWrap/>
            <w:vAlign w:val="bottom"/>
            <w:hideMark/>
          </w:tcPr>
          <w:p w14:paraId="4B16BC6C"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0 </w:t>
            </w:r>
          </w:p>
        </w:tc>
        <w:tc>
          <w:tcPr>
            <w:tcW w:w="636" w:type="pct"/>
            <w:tcBorders>
              <w:top w:val="nil"/>
              <w:left w:val="nil"/>
              <w:bottom w:val="nil"/>
              <w:right w:val="single" w:sz="4" w:space="0" w:color="auto"/>
            </w:tcBorders>
          </w:tcPr>
          <w:p w14:paraId="42474D35"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32FC8300"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2A636992"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42D5D41D"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xml:space="preserve"> </w:t>
            </w:r>
          </w:p>
        </w:tc>
        <w:tc>
          <w:tcPr>
            <w:tcW w:w="636" w:type="pct"/>
            <w:tcBorders>
              <w:top w:val="nil"/>
              <w:left w:val="nil"/>
              <w:bottom w:val="nil"/>
              <w:right w:val="single" w:sz="4" w:space="0" w:color="auto"/>
            </w:tcBorders>
            <w:shd w:val="clear" w:color="auto" w:fill="auto"/>
            <w:noWrap/>
            <w:vAlign w:val="bottom"/>
            <w:hideMark/>
          </w:tcPr>
          <w:p w14:paraId="203740B7"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02BA80B4"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47E83329"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tcPr>
          <w:p w14:paraId="31FF8776" w14:textId="77777777" w:rsidR="008045F3" w:rsidRPr="00D95B04" w:rsidRDefault="008045F3" w:rsidP="00593B67">
            <w:pPr>
              <w:spacing w:after="0" w:line="240" w:lineRule="auto"/>
              <w:contextualSpacing/>
              <w:rPr>
                <w:rFonts w:ascii="Arial" w:hAnsi="Arial" w:cs="Arial"/>
                <w:sz w:val="18"/>
                <w:szCs w:val="18"/>
              </w:rPr>
            </w:pPr>
          </w:p>
        </w:tc>
      </w:tr>
      <w:tr w:rsidR="008045F3" w:rsidRPr="00D9697A" w14:paraId="7287FCB2"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1C3A5545"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04E5E960"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2. Dochody niepodatkowe</w:t>
            </w:r>
          </w:p>
        </w:tc>
        <w:tc>
          <w:tcPr>
            <w:tcW w:w="636" w:type="pct"/>
            <w:tcBorders>
              <w:top w:val="nil"/>
              <w:left w:val="nil"/>
              <w:bottom w:val="nil"/>
              <w:right w:val="single" w:sz="4" w:space="0" w:color="auto"/>
            </w:tcBorders>
            <w:shd w:val="clear" w:color="auto" w:fill="auto"/>
            <w:noWrap/>
            <w:vAlign w:val="bottom"/>
            <w:hideMark/>
          </w:tcPr>
          <w:p w14:paraId="0336A8EC"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55 422 354 </w:t>
            </w:r>
          </w:p>
        </w:tc>
        <w:tc>
          <w:tcPr>
            <w:tcW w:w="636" w:type="pct"/>
            <w:tcBorders>
              <w:top w:val="nil"/>
              <w:left w:val="nil"/>
              <w:bottom w:val="nil"/>
              <w:right w:val="single" w:sz="4" w:space="0" w:color="auto"/>
            </w:tcBorders>
            <w:shd w:val="clear" w:color="auto" w:fill="auto"/>
            <w:noWrap/>
            <w:vAlign w:val="bottom"/>
            <w:hideMark/>
          </w:tcPr>
          <w:p w14:paraId="62FB1D2E"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60 749 785 </w:t>
            </w:r>
          </w:p>
        </w:tc>
        <w:tc>
          <w:tcPr>
            <w:tcW w:w="636" w:type="pct"/>
            <w:tcBorders>
              <w:top w:val="nil"/>
              <w:left w:val="nil"/>
              <w:bottom w:val="nil"/>
              <w:right w:val="single" w:sz="4" w:space="0" w:color="auto"/>
            </w:tcBorders>
            <w:shd w:val="clear" w:color="auto" w:fill="auto"/>
            <w:noWrap/>
            <w:vAlign w:val="bottom"/>
            <w:hideMark/>
          </w:tcPr>
          <w:p w14:paraId="569B5770"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5 327 431 </w:t>
            </w:r>
          </w:p>
        </w:tc>
        <w:tc>
          <w:tcPr>
            <w:tcW w:w="636" w:type="pct"/>
            <w:tcBorders>
              <w:top w:val="nil"/>
              <w:left w:val="nil"/>
              <w:bottom w:val="nil"/>
              <w:right w:val="single" w:sz="4" w:space="0" w:color="auto"/>
            </w:tcBorders>
          </w:tcPr>
          <w:p w14:paraId="2076397C"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7E0E33A5"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65F630C6"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30B9FC5D"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6A134CDB"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01785BEF"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016B824C"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tcPr>
          <w:p w14:paraId="14724001" w14:textId="77777777" w:rsidR="008045F3" w:rsidRPr="00D95B04" w:rsidRDefault="008045F3" w:rsidP="00593B67">
            <w:pPr>
              <w:spacing w:after="0" w:line="240" w:lineRule="auto"/>
              <w:contextualSpacing/>
              <w:rPr>
                <w:rFonts w:ascii="Arial" w:hAnsi="Arial" w:cs="Arial"/>
                <w:sz w:val="18"/>
                <w:szCs w:val="18"/>
              </w:rPr>
            </w:pPr>
          </w:p>
        </w:tc>
      </w:tr>
      <w:tr w:rsidR="008045F3" w:rsidRPr="00D9697A" w14:paraId="26FEB956"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01E04B3A"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14B298C2"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2.1. Dywidendy i wpłaty z zysku</w:t>
            </w:r>
          </w:p>
        </w:tc>
        <w:tc>
          <w:tcPr>
            <w:tcW w:w="636" w:type="pct"/>
            <w:tcBorders>
              <w:top w:val="nil"/>
              <w:left w:val="nil"/>
              <w:bottom w:val="nil"/>
              <w:right w:val="single" w:sz="4" w:space="0" w:color="auto"/>
            </w:tcBorders>
            <w:shd w:val="clear" w:color="auto" w:fill="auto"/>
            <w:noWrap/>
            <w:vAlign w:val="bottom"/>
            <w:hideMark/>
          </w:tcPr>
          <w:p w14:paraId="229B1629"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2 217 975 </w:t>
            </w:r>
          </w:p>
        </w:tc>
        <w:tc>
          <w:tcPr>
            <w:tcW w:w="636" w:type="pct"/>
            <w:tcBorders>
              <w:top w:val="nil"/>
              <w:left w:val="nil"/>
              <w:bottom w:val="nil"/>
              <w:right w:val="single" w:sz="4" w:space="0" w:color="auto"/>
            </w:tcBorders>
            <w:shd w:val="clear" w:color="auto" w:fill="auto"/>
            <w:noWrap/>
            <w:vAlign w:val="bottom"/>
            <w:hideMark/>
          </w:tcPr>
          <w:p w14:paraId="32ADD88B"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3 363 986 </w:t>
            </w:r>
          </w:p>
        </w:tc>
        <w:tc>
          <w:tcPr>
            <w:tcW w:w="636" w:type="pct"/>
            <w:tcBorders>
              <w:top w:val="nil"/>
              <w:left w:val="nil"/>
              <w:bottom w:val="nil"/>
              <w:right w:val="single" w:sz="4" w:space="0" w:color="auto"/>
            </w:tcBorders>
            <w:shd w:val="clear" w:color="auto" w:fill="auto"/>
            <w:noWrap/>
            <w:vAlign w:val="bottom"/>
            <w:hideMark/>
          </w:tcPr>
          <w:p w14:paraId="5259286F"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1 146 011 </w:t>
            </w:r>
          </w:p>
        </w:tc>
        <w:tc>
          <w:tcPr>
            <w:tcW w:w="636" w:type="pct"/>
            <w:tcBorders>
              <w:top w:val="nil"/>
              <w:left w:val="nil"/>
              <w:bottom w:val="nil"/>
              <w:right w:val="single" w:sz="4" w:space="0" w:color="auto"/>
            </w:tcBorders>
          </w:tcPr>
          <w:p w14:paraId="4170FF4B"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513E1A62"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1518F0F6"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78E0C33D"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2.2. Cło</w:t>
            </w:r>
          </w:p>
        </w:tc>
        <w:tc>
          <w:tcPr>
            <w:tcW w:w="636" w:type="pct"/>
            <w:tcBorders>
              <w:top w:val="nil"/>
              <w:left w:val="nil"/>
              <w:bottom w:val="nil"/>
              <w:right w:val="single" w:sz="4" w:space="0" w:color="auto"/>
            </w:tcBorders>
            <w:shd w:val="clear" w:color="auto" w:fill="auto"/>
            <w:noWrap/>
            <w:vAlign w:val="bottom"/>
            <w:hideMark/>
          </w:tcPr>
          <w:p w14:paraId="61AEEC00"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8 677 000 </w:t>
            </w:r>
          </w:p>
        </w:tc>
        <w:tc>
          <w:tcPr>
            <w:tcW w:w="636" w:type="pct"/>
            <w:tcBorders>
              <w:top w:val="nil"/>
              <w:left w:val="nil"/>
              <w:bottom w:val="nil"/>
              <w:right w:val="single" w:sz="4" w:space="0" w:color="auto"/>
            </w:tcBorders>
            <w:shd w:val="clear" w:color="auto" w:fill="auto"/>
            <w:noWrap/>
            <w:vAlign w:val="bottom"/>
            <w:hideMark/>
          </w:tcPr>
          <w:p w14:paraId="0EA0AB1F"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9 237 000 </w:t>
            </w:r>
          </w:p>
        </w:tc>
        <w:tc>
          <w:tcPr>
            <w:tcW w:w="636" w:type="pct"/>
            <w:tcBorders>
              <w:top w:val="nil"/>
              <w:left w:val="nil"/>
              <w:bottom w:val="nil"/>
              <w:right w:val="single" w:sz="4" w:space="0" w:color="auto"/>
            </w:tcBorders>
            <w:shd w:val="clear" w:color="auto" w:fill="auto"/>
            <w:noWrap/>
            <w:vAlign w:val="bottom"/>
            <w:hideMark/>
          </w:tcPr>
          <w:p w14:paraId="44D1860C"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560 000 </w:t>
            </w:r>
          </w:p>
        </w:tc>
        <w:tc>
          <w:tcPr>
            <w:tcW w:w="636" w:type="pct"/>
            <w:tcBorders>
              <w:top w:val="nil"/>
              <w:left w:val="nil"/>
              <w:bottom w:val="nil"/>
              <w:right w:val="single" w:sz="4" w:space="0" w:color="auto"/>
            </w:tcBorders>
          </w:tcPr>
          <w:p w14:paraId="351066A2"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705A92C3" w14:textId="77777777" w:rsidTr="000C1EA7">
        <w:trPr>
          <w:cantSplit/>
          <w:trHeight w:val="510"/>
        </w:trPr>
        <w:tc>
          <w:tcPr>
            <w:tcW w:w="92" w:type="pct"/>
            <w:tcBorders>
              <w:top w:val="nil"/>
              <w:left w:val="single" w:sz="4" w:space="0" w:color="auto"/>
              <w:bottom w:val="nil"/>
              <w:right w:val="nil"/>
            </w:tcBorders>
            <w:shd w:val="clear" w:color="auto" w:fill="auto"/>
            <w:noWrap/>
            <w:vAlign w:val="bottom"/>
            <w:hideMark/>
          </w:tcPr>
          <w:p w14:paraId="56871105"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vAlign w:val="bottom"/>
            <w:hideMark/>
          </w:tcPr>
          <w:p w14:paraId="16A4CA7B"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2.3. Dochody pańs</w:t>
            </w:r>
            <w:r>
              <w:rPr>
                <w:rFonts w:ascii="Arial" w:hAnsi="Arial" w:cs="Arial"/>
                <w:sz w:val="18"/>
                <w:szCs w:val="18"/>
              </w:rPr>
              <w:t xml:space="preserve">twowych jednostek budżetowych </w:t>
            </w:r>
            <w:r>
              <w:rPr>
                <w:rFonts w:ascii="Arial" w:hAnsi="Arial" w:cs="Arial"/>
                <w:sz w:val="18"/>
                <w:szCs w:val="18"/>
              </w:rPr>
              <w:br/>
              <w:t xml:space="preserve">           i </w:t>
            </w:r>
            <w:r w:rsidRPr="00D9697A">
              <w:rPr>
                <w:rFonts w:ascii="Arial" w:hAnsi="Arial" w:cs="Arial"/>
                <w:sz w:val="18"/>
                <w:szCs w:val="18"/>
              </w:rPr>
              <w:t>inne dochody niepodatkowe</w:t>
            </w:r>
          </w:p>
        </w:tc>
        <w:tc>
          <w:tcPr>
            <w:tcW w:w="636" w:type="pct"/>
            <w:tcBorders>
              <w:top w:val="nil"/>
              <w:left w:val="nil"/>
              <w:bottom w:val="nil"/>
              <w:right w:val="single" w:sz="4" w:space="0" w:color="auto"/>
            </w:tcBorders>
            <w:shd w:val="clear" w:color="auto" w:fill="auto"/>
            <w:noWrap/>
            <w:vAlign w:val="bottom"/>
            <w:hideMark/>
          </w:tcPr>
          <w:p w14:paraId="4AF8861B"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40 855 539 </w:t>
            </w:r>
          </w:p>
        </w:tc>
        <w:tc>
          <w:tcPr>
            <w:tcW w:w="636" w:type="pct"/>
            <w:tcBorders>
              <w:top w:val="nil"/>
              <w:left w:val="nil"/>
              <w:bottom w:val="nil"/>
              <w:right w:val="single" w:sz="4" w:space="0" w:color="auto"/>
            </w:tcBorders>
            <w:shd w:val="clear" w:color="auto" w:fill="auto"/>
            <w:noWrap/>
            <w:vAlign w:val="bottom"/>
            <w:hideMark/>
          </w:tcPr>
          <w:p w14:paraId="3B3DA734"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44 476 959 </w:t>
            </w:r>
          </w:p>
        </w:tc>
        <w:tc>
          <w:tcPr>
            <w:tcW w:w="636" w:type="pct"/>
            <w:tcBorders>
              <w:top w:val="nil"/>
              <w:left w:val="nil"/>
              <w:bottom w:val="nil"/>
              <w:right w:val="single" w:sz="4" w:space="0" w:color="auto"/>
            </w:tcBorders>
            <w:shd w:val="clear" w:color="auto" w:fill="auto"/>
            <w:noWrap/>
            <w:vAlign w:val="bottom"/>
            <w:hideMark/>
          </w:tcPr>
          <w:p w14:paraId="47445739"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3 621 420 </w:t>
            </w:r>
          </w:p>
        </w:tc>
        <w:tc>
          <w:tcPr>
            <w:tcW w:w="636" w:type="pct"/>
            <w:tcBorders>
              <w:top w:val="nil"/>
              <w:left w:val="nil"/>
              <w:bottom w:val="nil"/>
              <w:right w:val="single" w:sz="4" w:space="0" w:color="auto"/>
            </w:tcBorders>
          </w:tcPr>
          <w:p w14:paraId="23D2FDAD"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563B946A"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5DBD3687"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3EE1C444" w14:textId="77777777" w:rsidR="008045F3" w:rsidRPr="00D9697A" w:rsidRDefault="008045F3" w:rsidP="00593B67">
            <w:pPr>
              <w:spacing w:after="0" w:line="240" w:lineRule="auto"/>
              <w:ind w:firstLineChars="100" w:firstLine="180"/>
              <w:contextualSpacing/>
              <w:rPr>
                <w:rFonts w:ascii="Arial" w:hAnsi="Arial" w:cs="Arial"/>
                <w:sz w:val="18"/>
                <w:szCs w:val="18"/>
              </w:rPr>
            </w:pPr>
            <w:r w:rsidRPr="00D9697A">
              <w:rPr>
                <w:rFonts w:ascii="Arial" w:hAnsi="Arial" w:cs="Arial"/>
                <w:sz w:val="18"/>
                <w:szCs w:val="18"/>
              </w:rPr>
              <w:t>2.4. Wpłaty jednostek samorządu terytorialnego</w:t>
            </w:r>
          </w:p>
        </w:tc>
        <w:tc>
          <w:tcPr>
            <w:tcW w:w="636" w:type="pct"/>
            <w:tcBorders>
              <w:top w:val="nil"/>
              <w:left w:val="nil"/>
              <w:bottom w:val="nil"/>
              <w:right w:val="single" w:sz="4" w:space="0" w:color="auto"/>
            </w:tcBorders>
            <w:shd w:val="clear" w:color="auto" w:fill="auto"/>
            <w:noWrap/>
            <w:vAlign w:val="bottom"/>
            <w:hideMark/>
          </w:tcPr>
          <w:p w14:paraId="76333BC4"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3 671 840 </w:t>
            </w:r>
          </w:p>
        </w:tc>
        <w:tc>
          <w:tcPr>
            <w:tcW w:w="636" w:type="pct"/>
            <w:tcBorders>
              <w:top w:val="nil"/>
              <w:left w:val="nil"/>
              <w:bottom w:val="nil"/>
              <w:right w:val="single" w:sz="4" w:space="0" w:color="auto"/>
            </w:tcBorders>
            <w:shd w:val="clear" w:color="auto" w:fill="auto"/>
            <w:noWrap/>
            <w:vAlign w:val="bottom"/>
            <w:hideMark/>
          </w:tcPr>
          <w:p w14:paraId="2688D0F4"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3 671 840 </w:t>
            </w:r>
          </w:p>
        </w:tc>
        <w:tc>
          <w:tcPr>
            <w:tcW w:w="636" w:type="pct"/>
            <w:tcBorders>
              <w:top w:val="nil"/>
              <w:left w:val="nil"/>
              <w:bottom w:val="nil"/>
              <w:right w:val="single" w:sz="4" w:space="0" w:color="auto"/>
            </w:tcBorders>
            <w:shd w:val="clear" w:color="auto" w:fill="auto"/>
            <w:noWrap/>
            <w:vAlign w:val="bottom"/>
            <w:hideMark/>
          </w:tcPr>
          <w:p w14:paraId="69C4F921"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0 </w:t>
            </w:r>
          </w:p>
        </w:tc>
        <w:tc>
          <w:tcPr>
            <w:tcW w:w="636" w:type="pct"/>
            <w:tcBorders>
              <w:top w:val="nil"/>
              <w:left w:val="nil"/>
              <w:bottom w:val="nil"/>
              <w:right w:val="single" w:sz="4" w:space="0" w:color="auto"/>
            </w:tcBorders>
          </w:tcPr>
          <w:p w14:paraId="449654AF"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451A4A41"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46B9945A"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587D2579"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hideMark/>
          </w:tcPr>
          <w:p w14:paraId="5413788F" w14:textId="77777777" w:rsidR="008045F3" w:rsidRPr="00D95B04" w:rsidRDefault="008045F3" w:rsidP="00593B67">
            <w:pPr>
              <w:spacing w:after="0" w:line="240" w:lineRule="auto"/>
              <w:contextualSpacing/>
              <w:rPr>
                <w:rFonts w:ascii="Arial" w:hAnsi="Arial" w:cs="Arial"/>
                <w:sz w:val="18"/>
                <w:szCs w:val="18"/>
              </w:rPr>
            </w:pPr>
            <w:r w:rsidRPr="00D95B04">
              <w:rPr>
                <w:rFonts w:ascii="Arial" w:hAnsi="Arial" w:cs="Arial"/>
                <w:sz w:val="18"/>
                <w:szCs w:val="18"/>
              </w:rPr>
              <w:t> </w:t>
            </w:r>
          </w:p>
        </w:tc>
        <w:tc>
          <w:tcPr>
            <w:tcW w:w="636" w:type="pct"/>
            <w:tcBorders>
              <w:top w:val="nil"/>
              <w:left w:val="nil"/>
              <w:bottom w:val="nil"/>
              <w:right w:val="single" w:sz="4" w:space="0" w:color="auto"/>
            </w:tcBorders>
            <w:shd w:val="clear" w:color="auto" w:fill="auto"/>
            <w:noWrap/>
            <w:vAlign w:val="bottom"/>
          </w:tcPr>
          <w:p w14:paraId="0A04EB7B" w14:textId="77777777" w:rsidR="008045F3" w:rsidRPr="00D95B04" w:rsidRDefault="008045F3" w:rsidP="00593B67">
            <w:pPr>
              <w:spacing w:after="0" w:line="240" w:lineRule="auto"/>
              <w:contextualSpacing/>
              <w:jc w:val="right"/>
              <w:rPr>
                <w:rFonts w:ascii="Arial" w:hAnsi="Arial" w:cs="Arial"/>
                <w:sz w:val="18"/>
                <w:szCs w:val="18"/>
              </w:rPr>
            </w:pPr>
          </w:p>
        </w:tc>
        <w:tc>
          <w:tcPr>
            <w:tcW w:w="636" w:type="pct"/>
            <w:tcBorders>
              <w:top w:val="nil"/>
              <w:left w:val="nil"/>
              <w:bottom w:val="nil"/>
              <w:right w:val="single" w:sz="4" w:space="0" w:color="auto"/>
            </w:tcBorders>
            <w:shd w:val="clear" w:color="auto" w:fill="auto"/>
            <w:noWrap/>
            <w:vAlign w:val="bottom"/>
          </w:tcPr>
          <w:p w14:paraId="79CA85E0" w14:textId="77777777" w:rsidR="008045F3" w:rsidRPr="00D95B04" w:rsidRDefault="008045F3" w:rsidP="00593B67">
            <w:pPr>
              <w:spacing w:after="0" w:line="240" w:lineRule="auto"/>
              <w:contextualSpacing/>
              <w:rPr>
                <w:rFonts w:ascii="Arial" w:hAnsi="Arial" w:cs="Arial"/>
                <w:sz w:val="18"/>
                <w:szCs w:val="18"/>
              </w:rPr>
            </w:pPr>
          </w:p>
        </w:tc>
        <w:tc>
          <w:tcPr>
            <w:tcW w:w="636" w:type="pct"/>
            <w:tcBorders>
              <w:top w:val="nil"/>
              <w:left w:val="nil"/>
              <w:bottom w:val="nil"/>
              <w:right w:val="single" w:sz="4" w:space="0" w:color="auto"/>
            </w:tcBorders>
          </w:tcPr>
          <w:p w14:paraId="697EEB6B" w14:textId="77777777" w:rsidR="008045F3" w:rsidRPr="00D95B04" w:rsidRDefault="008045F3" w:rsidP="00593B67">
            <w:pPr>
              <w:spacing w:after="0" w:line="240" w:lineRule="auto"/>
              <w:contextualSpacing/>
              <w:rPr>
                <w:rFonts w:ascii="Arial" w:hAnsi="Arial" w:cs="Arial"/>
                <w:sz w:val="18"/>
                <w:szCs w:val="18"/>
              </w:rPr>
            </w:pPr>
          </w:p>
        </w:tc>
      </w:tr>
      <w:tr w:rsidR="008045F3" w:rsidRPr="00D9697A" w14:paraId="0D59BC93" w14:textId="77777777" w:rsidTr="000C1EA7">
        <w:trPr>
          <w:cantSplit/>
          <w:trHeight w:val="255"/>
        </w:trPr>
        <w:tc>
          <w:tcPr>
            <w:tcW w:w="92" w:type="pct"/>
            <w:tcBorders>
              <w:top w:val="nil"/>
              <w:left w:val="single" w:sz="4" w:space="0" w:color="auto"/>
              <w:bottom w:val="nil"/>
              <w:right w:val="nil"/>
            </w:tcBorders>
            <w:shd w:val="clear" w:color="auto" w:fill="auto"/>
            <w:noWrap/>
            <w:vAlign w:val="bottom"/>
            <w:hideMark/>
          </w:tcPr>
          <w:p w14:paraId="1C9F660C"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nil"/>
              <w:right w:val="single" w:sz="4" w:space="0" w:color="auto"/>
            </w:tcBorders>
            <w:shd w:val="clear" w:color="auto" w:fill="auto"/>
            <w:noWrap/>
            <w:vAlign w:val="bottom"/>
            <w:hideMark/>
          </w:tcPr>
          <w:p w14:paraId="2A1AAA4F"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xml:space="preserve">3. Środki z Unii Europejskiej i innych źródeł niepodlegające </w:t>
            </w:r>
            <w:r>
              <w:rPr>
                <w:rFonts w:ascii="Arial" w:hAnsi="Arial" w:cs="Arial"/>
                <w:sz w:val="18"/>
                <w:szCs w:val="18"/>
              </w:rPr>
              <w:br/>
              <w:t xml:space="preserve">    </w:t>
            </w:r>
            <w:r w:rsidRPr="00D9697A">
              <w:rPr>
                <w:rFonts w:ascii="Arial" w:hAnsi="Arial" w:cs="Arial"/>
                <w:sz w:val="18"/>
                <w:szCs w:val="18"/>
              </w:rPr>
              <w:t>zwrotowi</w:t>
            </w:r>
          </w:p>
        </w:tc>
        <w:tc>
          <w:tcPr>
            <w:tcW w:w="636" w:type="pct"/>
            <w:tcBorders>
              <w:top w:val="nil"/>
              <w:left w:val="nil"/>
              <w:bottom w:val="nil"/>
              <w:right w:val="single" w:sz="4" w:space="0" w:color="auto"/>
            </w:tcBorders>
            <w:shd w:val="clear" w:color="auto" w:fill="auto"/>
            <w:noWrap/>
            <w:vAlign w:val="bottom"/>
            <w:hideMark/>
          </w:tcPr>
          <w:p w14:paraId="5C046B45"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3 793 366 </w:t>
            </w:r>
          </w:p>
        </w:tc>
        <w:tc>
          <w:tcPr>
            <w:tcW w:w="636" w:type="pct"/>
            <w:tcBorders>
              <w:top w:val="nil"/>
              <w:left w:val="nil"/>
              <w:bottom w:val="nil"/>
              <w:right w:val="single" w:sz="4" w:space="0" w:color="auto"/>
            </w:tcBorders>
            <w:shd w:val="clear" w:color="auto" w:fill="auto"/>
            <w:noWrap/>
            <w:vAlign w:val="bottom"/>
            <w:hideMark/>
          </w:tcPr>
          <w:p w14:paraId="3094165A"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3 793 366 </w:t>
            </w:r>
          </w:p>
        </w:tc>
        <w:tc>
          <w:tcPr>
            <w:tcW w:w="636" w:type="pct"/>
            <w:tcBorders>
              <w:top w:val="nil"/>
              <w:left w:val="nil"/>
              <w:bottom w:val="nil"/>
              <w:right w:val="single" w:sz="4" w:space="0" w:color="auto"/>
            </w:tcBorders>
            <w:shd w:val="clear" w:color="auto" w:fill="auto"/>
            <w:noWrap/>
            <w:vAlign w:val="bottom"/>
            <w:hideMark/>
          </w:tcPr>
          <w:p w14:paraId="3C2A3DD5" w14:textId="77777777" w:rsidR="008045F3" w:rsidRPr="00D95B04" w:rsidRDefault="008045F3" w:rsidP="00593B67">
            <w:pPr>
              <w:spacing w:after="0" w:line="240" w:lineRule="auto"/>
              <w:contextualSpacing/>
              <w:jc w:val="right"/>
              <w:rPr>
                <w:rFonts w:ascii="Arial" w:hAnsi="Arial" w:cs="Arial"/>
                <w:sz w:val="18"/>
                <w:szCs w:val="18"/>
              </w:rPr>
            </w:pPr>
            <w:r w:rsidRPr="00D95B04">
              <w:rPr>
                <w:rFonts w:ascii="Arial" w:hAnsi="Arial" w:cs="Arial"/>
                <w:sz w:val="18"/>
                <w:szCs w:val="18"/>
              </w:rPr>
              <w:t xml:space="preserve">0 </w:t>
            </w:r>
          </w:p>
        </w:tc>
        <w:tc>
          <w:tcPr>
            <w:tcW w:w="636" w:type="pct"/>
            <w:tcBorders>
              <w:top w:val="nil"/>
              <w:left w:val="nil"/>
              <w:bottom w:val="nil"/>
              <w:right w:val="single" w:sz="4" w:space="0" w:color="auto"/>
            </w:tcBorders>
          </w:tcPr>
          <w:p w14:paraId="3B92E4A1" w14:textId="77777777" w:rsidR="008045F3" w:rsidRPr="00D95B04" w:rsidRDefault="008045F3" w:rsidP="00593B67">
            <w:pPr>
              <w:spacing w:after="0" w:line="240" w:lineRule="auto"/>
              <w:contextualSpacing/>
              <w:jc w:val="right"/>
              <w:rPr>
                <w:rFonts w:ascii="Arial" w:hAnsi="Arial" w:cs="Arial"/>
                <w:sz w:val="18"/>
                <w:szCs w:val="18"/>
              </w:rPr>
            </w:pPr>
          </w:p>
        </w:tc>
      </w:tr>
      <w:tr w:rsidR="008045F3" w:rsidRPr="00D9697A" w14:paraId="4976EF85" w14:textId="77777777" w:rsidTr="000C1EA7">
        <w:trPr>
          <w:cantSplit/>
          <w:trHeight w:val="255"/>
        </w:trPr>
        <w:tc>
          <w:tcPr>
            <w:tcW w:w="92" w:type="pct"/>
            <w:tcBorders>
              <w:top w:val="nil"/>
              <w:left w:val="single" w:sz="4" w:space="0" w:color="auto"/>
              <w:bottom w:val="single" w:sz="4" w:space="0" w:color="auto"/>
              <w:right w:val="nil"/>
            </w:tcBorders>
            <w:shd w:val="clear" w:color="auto" w:fill="auto"/>
            <w:noWrap/>
            <w:vAlign w:val="bottom"/>
            <w:hideMark/>
          </w:tcPr>
          <w:p w14:paraId="46A3FCD6"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2363" w:type="pct"/>
            <w:tcBorders>
              <w:top w:val="nil"/>
              <w:left w:val="nil"/>
              <w:bottom w:val="single" w:sz="4" w:space="0" w:color="auto"/>
              <w:right w:val="single" w:sz="4" w:space="0" w:color="auto"/>
            </w:tcBorders>
            <w:shd w:val="clear" w:color="auto" w:fill="auto"/>
            <w:noWrap/>
            <w:vAlign w:val="bottom"/>
            <w:hideMark/>
          </w:tcPr>
          <w:p w14:paraId="1C2788BE"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single" w:sz="4" w:space="0" w:color="auto"/>
              <w:right w:val="single" w:sz="4" w:space="0" w:color="auto"/>
            </w:tcBorders>
            <w:shd w:val="clear" w:color="auto" w:fill="auto"/>
            <w:noWrap/>
            <w:vAlign w:val="bottom"/>
            <w:hideMark/>
          </w:tcPr>
          <w:p w14:paraId="33B5A330"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single" w:sz="4" w:space="0" w:color="auto"/>
              <w:right w:val="single" w:sz="4" w:space="0" w:color="auto"/>
            </w:tcBorders>
            <w:shd w:val="clear" w:color="auto" w:fill="auto"/>
            <w:noWrap/>
            <w:vAlign w:val="bottom"/>
            <w:hideMark/>
          </w:tcPr>
          <w:p w14:paraId="5A422AD3"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single" w:sz="4" w:space="0" w:color="auto"/>
              <w:right w:val="single" w:sz="4" w:space="0" w:color="auto"/>
            </w:tcBorders>
            <w:shd w:val="clear" w:color="auto" w:fill="auto"/>
            <w:noWrap/>
            <w:vAlign w:val="bottom"/>
            <w:hideMark/>
          </w:tcPr>
          <w:p w14:paraId="3771B7F2" w14:textId="77777777" w:rsidR="008045F3" w:rsidRPr="00D9697A" w:rsidRDefault="008045F3" w:rsidP="00593B67">
            <w:pPr>
              <w:spacing w:after="0" w:line="240" w:lineRule="auto"/>
              <w:contextualSpacing/>
              <w:rPr>
                <w:rFonts w:ascii="Arial" w:hAnsi="Arial" w:cs="Arial"/>
                <w:sz w:val="18"/>
                <w:szCs w:val="18"/>
              </w:rPr>
            </w:pPr>
            <w:r w:rsidRPr="00D9697A">
              <w:rPr>
                <w:rFonts w:ascii="Arial" w:hAnsi="Arial" w:cs="Arial"/>
                <w:sz w:val="18"/>
                <w:szCs w:val="18"/>
              </w:rPr>
              <w:t> </w:t>
            </w:r>
          </w:p>
        </w:tc>
        <w:tc>
          <w:tcPr>
            <w:tcW w:w="636" w:type="pct"/>
            <w:tcBorders>
              <w:top w:val="nil"/>
              <w:left w:val="nil"/>
              <w:bottom w:val="single" w:sz="4" w:space="0" w:color="auto"/>
              <w:right w:val="single" w:sz="4" w:space="0" w:color="auto"/>
            </w:tcBorders>
          </w:tcPr>
          <w:p w14:paraId="20AA89D8" w14:textId="77777777" w:rsidR="008045F3" w:rsidRPr="00D9697A" w:rsidRDefault="008045F3" w:rsidP="00593B67">
            <w:pPr>
              <w:spacing w:after="0" w:line="240" w:lineRule="auto"/>
              <w:contextualSpacing/>
              <w:rPr>
                <w:rFonts w:ascii="Arial" w:hAnsi="Arial" w:cs="Arial"/>
                <w:sz w:val="18"/>
                <w:szCs w:val="18"/>
              </w:rPr>
            </w:pPr>
          </w:p>
        </w:tc>
      </w:tr>
    </w:tbl>
    <w:p w14:paraId="72CFA92A" w14:textId="77777777" w:rsidR="00593B67" w:rsidRPr="00C73DE8" w:rsidRDefault="00593B67" w:rsidP="00593B67">
      <w:pPr>
        <w:spacing w:before="120" w:after="120" w:line="360" w:lineRule="atLeast"/>
        <w:rPr>
          <w:rFonts w:ascii="Arial" w:hAnsi="Arial" w:cs="Arial"/>
          <w:b/>
          <w:u w:val="single"/>
        </w:rPr>
      </w:pPr>
      <w:r w:rsidRPr="00C73DE8">
        <w:rPr>
          <w:rFonts w:ascii="Arial" w:hAnsi="Arial" w:cs="Arial"/>
          <w:b/>
          <w:u w:val="single"/>
        </w:rPr>
        <w:t>Podatek od towarów i usług (VAT)</w:t>
      </w:r>
    </w:p>
    <w:p w14:paraId="2399A705" w14:textId="77777777" w:rsidR="00593B67" w:rsidRPr="000948C3" w:rsidRDefault="00593B67" w:rsidP="000C1EA7">
      <w:pPr>
        <w:spacing w:after="120" w:line="340" w:lineRule="atLeast"/>
        <w:rPr>
          <w:rFonts w:ascii="Arial" w:hAnsi="Arial" w:cs="Arial"/>
        </w:rPr>
      </w:pPr>
      <w:r w:rsidRPr="00C73DE8">
        <w:rPr>
          <w:rFonts w:ascii="Arial" w:hAnsi="Arial" w:cs="Arial"/>
        </w:rPr>
        <w:t>Dochody budżetu państwa z podatku VAT w okresie I-III 2023 r. wyniosły 59.209.315 tys. zł</w:t>
      </w:r>
      <w:r>
        <w:rPr>
          <w:rFonts w:ascii="Arial" w:hAnsi="Arial" w:cs="Arial"/>
        </w:rPr>
        <w:t xml:space="preserve">, </w:t>
      </w:r>
      <w:r w:rsidRPr="000948C3">
        <w:rPr>
          <w:rFonts w:ascii="Arial" w:hAnsi="Arial" w:cs="Arial"/>
        </w:rPr>
        <w:t xml:space="preserve">tj. więcej o 497.311 tys. zł (0,8%) w porównaniu z analogicznym okresem 2022 r. Wykonanie w tym okresie stanowi 20,7% kwoty prognozowanej w ustawie budżetowej na 2023 r. (286.300.000 tys. zł). </w:t>
      </w:r>
    </w:p>
    <w:p w14:paraId="58A940E8" w14:textId="77777777" w:rsidR="00593B67" w:rsidRDefault="00593B67" w:rsidP="000C1EA7">
      <w:pPr>
        <w:spacing w:after="120" w:line="340" w:lineRule="atLeast"/>
        <w:rPr>
          <w:rFonts w:ascii="Arial" w:hAnsi="Arial" w:cs="Arial"/>
        </w:rPr>
      </w:pPr>
      <w:r>
        <w:rPr>
          <w:rFonts w:ascii="Arial" w:hAnsi="Arial" w:cs="Arial"/>
        </w:rPr>
        <w:t xml:space="preserve">Analiza bieżącego wykonania dochodów, nowe uwarunkowania makroekonomiczne oraz wprowadzenie w 2023 r. Tarczy antyinflacyjnej na żywność spowodowały konieczność aktualizacji prognozy dochodów z VAT. </w:t>
      </w:r>
    </w:p>
    <w:p w14:paraId="702BF92B" w14:textId="3988B99F" w:rsidR="00593B67" w:rsidRPr="00C87590" w:rsidRDefault="00593B67" w:rsidP="000C1EA7">
      <w:pPr>
        <w:spacing w:after="120" w:line="340" w:lineRule="atLeast"/>
        <w:rPr>
          <w:rFonts w:ascii="Arial" w:hAnsi="Arial" w:cs="Arial"/>
        </w:rPr>
      </w:pPr>
      <w:r>
        <w:rPr>
          <w:rFonts w:ascii="Arial" w:hAnsi="Arial" w:cs="Arial"/>
        </w:rPr>
        <w:t>W porównaniu z prognozą przedstawioną w ustawie budżetowej na 2023 r. u</w:t>
      </w:r>
      <w:r w:rsidRPr="00C87590">
        <w:rPr>
          <w:rFonts w:ascii="Arial" w:hAnsi="Arial" w:cs="Arial"/>
        </w:rPr>
        <w:t>jemny wpływ na dochody z VAT będzie mieć rozporządzenie Ministra Finansów z dnia 2 grudnia 2022 r. w</w:t>
      </w:r>
      <w:r>
        <w:rPr>
          <w:rFonts w:ascii="Arial" w:hAnsi="Arial" w:cs="Arial"/>
        </w:rPr>
        <w:t> </w:t>
      </w:r>
      <w:r w:rsidRPr="00C87590">
        <w:rPr>
          <w:rFonts w:ascii="Arial" w:hAnsi="Arial" w:cs="Arial"/>
        </w:rPr>
        <w:t>sprawie obniżonych stawek podatku od towarów i usług w roku 2023 (Dz. U. poz. 2495, z</w:t>
      </w:r>
      <w:r>
        <w:rPr>
          <w:rFonts w:ascii="Arial" w:hAnsi="Arial" w:cs="Arial"/>
        </w:rPr>
        <w:t> </w:t>
      </w:r>
      <w:r w:rsidR="00A04C97">
        <w:rPr>
          <w:rFonts w:ascii="Arial" w:hAnsi="Arial" w:cs="Arial"/>
        </w:rPr>
        <w:t xml:space="preserve">późn. zm.). </w:t>
      </w:r>
      <w:r w:rsidRPr="00C87590">
        <w:rPr>
          <w:rFonts w:ascii="Arial" w:hAnsi="Arial" w:cs="Arial"/>
        </w:rPr>
        <w:t xml:space="preserve">Od 1 stycznia 2023 r. stosowana jest preferencyjna stawka VAT w wysokości 0% na podstawową żywność, objętą </w:t>
      </w:r>
      <w:r>
        <w:rPr>
          <w:rFonts w:ascii="Arial" w:hAnsi="Arial" w:cs="Arial"/>
        </w:rPr>
        <w:t>wcześniej, przed wprowadzeniem t</w:t>
      </w:r>
      <w:r w:rsidRPr="00C87590">
        <w:rPr>
          <w:rFonts w:ascii="Arial" w:hAnsi="Arial" w:cs="Arial"/>
        </w:rPr>
        <w:t xml:space="preserve">arczy antyinflacyjnej </w:t>
      </w:r>
      <w:r w:rsidRPr="00C87590">
        <w:rPr>
          <w:rFonts w:ascii="Arial" w:hAnsi="Arial" w:cs="Arial"/>
        </w:rPr>
        <w:lastRenderedPageBreak/>
        <w:t>(tj. przed 1 lut</w:t>
      </w:r>
      <w:r>
        <w:rPr>
          <w:rFonts w:ascii="Arial" w:hAnsi="Arial" w:cs="Arial"/>
        </w:rPr>
        <w:t>ym</w:t>
      </w:r>
      <w:r w:rsidRPr="00C87590">
        <w:rPr>
          <w:rFonts w:ascii="Arial" w:hAnsi="Arial" w:cs="Arial"/>
        </w:rPr>
        <w:t xml:space="preserve"> 2022 r.) stawką 5%. Katalog produktów objętych ww. preferencją obejmuje m.in. mięso, ryby, produkt</w:t>
      </w:r>
      <w:r w:rsidR="002B75AF">
        <w:rPr>
          <w:rFonts w:ascii="Arial" w:hAnsi="Arial" w:cs="Arial"/>
        </w:rPr>
        <w:t>y mleczarskie, warzywa i owoce,</w:t>
      </w:r>
      <w:r w:rsidRPr="00C87590">
        <w:rPr>
          <w:rFonts w:ascii="Arial" w:hAnsi="Arial" w:cs="Arial"/>
        </w:rPr>
        <w:t> wyroby piekarnicze (chleb, bułki), pieczywa cukiernicze, niektóre napoje owocowe i warzywne.</w:t>
      </w:r>
      <w:r>
        <w:rPr>
          <w:rFonts w:ascii="Arial" w:hAnsi="Arial" w:cs="Arial"/>
        </w:rPr>
        <w:t xml:space="preserve"> Rozwiązania te nie były planowane w ustawie budżetowej na 2023 r. </w:t>
      </w:r>
    </w:p>
    <w:p w14:paraId="6202CE3F" w14:textId="77777777" w:rsidR="00593B67" w:rsidRDefault="00593B67" w:rsidP="000C1EA7">
      <w:pPr>
        <w:spacing w:after="120" w:line="340" w:lineRule="atLeast"/>
        <w:rPr>
          <w:rFonts w:ascii="Arial" w:hAnsi="Arial" w:cs="Arial"/>
        </w:rPr>
      </w:pPr>
      <w:r>
        <w:rPr>
          <w:rFonts w:ascii="Arial" w:hAnsi="Arial" w:cs="Arial"/>
        </w:rPr>
        <w:t xml:space="preserve">Dodatkowo w aktualizacji prognozy uwzględniono nieco niższe, niż pierwotnie planowano w projekcie budżetu na 2023 r. wykonanie dochodów z VAT w 2022 r., co stanowiło podstawę do prognozy na 2023 r. </w:t>
      </w:r>
    </w:p>
    <w:p w14:paraId="20AF28D2" w14:textId="77777777" w:rsidR="00593B67" w:rsidRDefault="00593B67" w:rsidP="000C1EA7">
      <w:pPr>
        <w:spacing w:after="120" w:line="340" w:lineRule="atLeast"/>
        <w:rPr>
          <w:rFonts w:ascii="Arial" w:hAnsi="Arial" w:cs="Arial"/>
        </w:rPr>
      </w:pPr>
      <w:r w:rsidRPr="00737675">
        <w:rPr>
          <w:rFonts w:ascii="Arial" w:hAnsi="Arial" w:cs="Arial"/>
        </w:rPr>
        <w:t>W całym 2023 r. prognozuje się dochody z VAT na poziomie 27</w:t>
      </w:r>
      <w:r>
        <w:rPr>
          <w:rFonts w:ascii="Arial" w:hAnsi="Arial" w:cs="Arial"/>
        </w:rPr>
        <w:t>2</w:t>
      </w:r>
      <w:r w:rsidRPr="00737675">
        <w:rPr>
          <w:rFonts w:ascii="Arial" w:hAnsi="Arial" w:cs="Arial"/>
        </w:rPr>
        <w:t>.</w:t>
      </w:r>
      <w:r>
        <w:rPr>
          <w:rFonts w:ascii="Arial" w:hAnsi="Arial" w:cs="Arial"/>
        </w:rPr>
        <w:t>9</w:t>
      </w:r>
      <w:r w:rsidRPr="00737675">
        <w:rPr>
          <w:rFonts w:ascii="Arial" w:hAnsi="Arial" w:cs="Arial"/>
        </w:rPr>
        <w:t>00.000 tys. zł, tj. mniej o </w:t>
      </w:r>
      <w:r>
        <w:rPr>
          <w:rFonts w:ascii="Arial" w:hAnsi="Arial" w:cs="Arial"/>
        </w:rPr>
        <w:t>13</w:t>
      </w:r>
      <w:r w:rsidRPr="00737675">
        <w:rPr>
          <w:rFonts w:ascii="Arial" w:hAnsi="Arial" w:cs="Arial"/>
        </w:rPr>
        <w:t>.</w:t>
      </w:r>
      <w:r>
        <w:rPr>
          <w:rFonts w:ascii="Arial" w:hAnsi="Arial" w:cs="Arial"/>
        </w:rPr>
        <w:t>4</w:t>
      </w:r>
      <w:r w:rsidRPr="00737675">
        <w:rPr>
          <w:rFonts w:ascii="Arial" w:hAnsi="Arial" w:cs="Arial"/>
        </w:rPr>
        <w:t>00.000 tys. zł (</w:t>
      </w:r>
      <w:r>
        <w:rPr>
          <w:rFonts w:ascii="Arial" w:hAnsi="Arial" w:cs="Arial"/>
        </w:rPr>
        <w:t>4,7</w:t>
      </w:r>
      <w:r w:rsidRPr="00737675">
        <w:rPr>
          <w:rFonts w:ascii="Arial" w:hAnsi="Arial" w:cs="Arial"/>
        </w:rPr>
        <w:t>%) niż prz</w:t>
      </w:r>
      <w:r>
        <w:rPr>
          <w:rFonts w:ascii="Arial" w:hAnsi="Arial" w:cs="Arial"/>
        </w:rPr>
        <w:t xml:space="preserve">ejęto </w:t>
      </w:r>
      <w:r w:rsidRPr="00737675">
        <w:rPr>
          <w:rFonts w:ascii="Arial" w:hAnsi="Arial" w:cs="Arial"/>
        </w:rPr>
        <w:t xml:space="preserve">w ustawie budżetowej na 2023 r. </w:t>
      </w:r>
    </w:p>
    <w:p w14:paraId="7ABDC346" w14:textId="77777777" w:rsidR="00593B67" w:rsidRPr="00FA06D1" w:rsidRDefault="00593B67" w:rsidP="007A3F8C">
      <w:pPr>
        <w:spacing w:before="360" w:after="120" w:line="340" w:lineRule="atLeast"/>
        <w:rPr>
          <w:rFonts w:ascii="Arial" w:hAnsi="Arial" w:cs="Arial"/>
          <w:b/>
          <w:u w:val="single"/>
        </w:rPr>
      </w:pPr>
      <w:r w:rsidRPr="00FA06D1">
        <w:rPr>
          <w:rFonts w:ascii="Arial" w:hAnsi="Arial" w:cs="Arial"/>
          <w:b/>
          <w:u w:val="single"/>
        </w:rPr>
        <w:t>Podatek akcyzowy</w:t>
      </w:r>
    </w:p>
    <w:p w14:paraId="5CF93D1A" w14:textId="77777777" w:rsidR="00593B67" w:rsidRDefault="00593B67" w:rsidP="000C1EA7">
      <w:pPr>
        <w:spacing w:before="120" w:after="120" w:line="340" w:lineRule="atLeast"/>
        <w:rPr>
          <w:rFonts w:ascii="Arial" w:hAnsi="Arial" w:cs="Arial"/>
        </w:rPr>
      </w:pPr>
      <w:r w:rsidRPr="0099570A">
        <w:rPr>
          <w:rFonts w:ascii="Arial" w:hAnsi="Arial" w:cs="Arial"/>
        </w:rPr>
        <w:t xml:space="preserve">Dochody budżetu państwa z podatku </w:t>
      </w:r>
      <w:r>
        <w:rPr>
          <w:rFonts w:ascii="Arial" w:hAnsi="Arial" w:cs="Arial"/>
        </w:rPr>
        <w:t>akcyzowego</w:t>
      </w:r>
      <w:r w:rsidRPr="0099570A">
        <w:rPr>
          <w:rFonts w:ascii="Arial" w:hAnsi="Arial" w:cs="Arial"/>
        </w:rPr>
        <w:t xml:space="preserve"> w okresie I-III 2023 r. wyniosły </w:t>
      </w:r>
      <w:r>
        <w:rPr>
          <w:rFonts w:ascii="Arial" w:hAnsi="Arial" w:cs="Arial"/>
        </w:rPr>
        <w:t>18</w:t>
      </w:r>
      <w:r w:rsidRPr="0099570A">
        <w:rPr>
          <w:rFonts w:ascii="Arial" w:hAnsi="Arial" w:cs="Arial"/>
        </w:rPr>
        <w:t>.</w:t>
      </w:r>
      <w:r>
        <w:rPr>
          <w:rFonts w:ascii="Arial" w:hAnsi="Arial" w:cs="Arial"/>
        </w:rPr>
        <w:t>892</w:t>
      </w:r>
      <w:r w:rsidRPr="0099570A">
        <w:rPr>
          <w:rFonts w:ascii="Arial" w:hAnsi="Arial" w:cs="Arial"/>
        </w:rPr>
        <w:t>.</w:t>
      </w:r>
      <w:r>
        <w:rPr>
          <w:rFonts w:ascii="Arial" w:hAnsi="Arial" w:cs="Arial"/>
        </w:rPr>
        <w:t>233 </w:t>
      </w:r>
      <w:r w:rsidRPr="0099570A">
        <w:rPr>
          <w:rFonts w:ascii="Arial" w:hAnsi="Arial" w:cs="Arial"/>
        </w:rPr>
        <w:t>tys. zł</w:t>
      </w:r>
      <w:r>
        <w:rPr>
          <w:rFonts w:ascii="Arial" w:hAnsi="Arial" w:cs="Arial"/>
        </w:rPr>
        <w:t xml:space="preserve">, </w:t>
      </w:r>
      <w:r w:rsidRPr="00B01D33">
        <w:rPr>
          <w:rFonts w:ascii="Arial" w:hAnsi="Arial" w:cs="Arial"/>
        </w:rPr>
        <w:t>tj. więcej o 675.134 tys. zł (3,7%) w porównaniu z analogicznym okresem 2022 r.</w:t>
      </w:r>
      <w:r w:rsidRPr="0099570A">
        <w:rPr>
          <w:rFonts w:ascii="Arial" w:hAnsi="Arial" w:cs="Arial"/>
        </w:rPr>
        <w:t xml:space="preserve"> Wykonanie w tym okresie stanowi 2</w:t>
      </w:r>
      <w:r>
        <w:rPr>
          <w:rFonts w:ascii="Arial" w:hAnsi="Arial" w:cs="Arial"/>
        </w:rPr>
        <w:t>1</w:t>
      </w:r>
      <w:r w:rsidRPr="0099570A">
        <w:rPr>
          <w:rFonts w:ascii="Arial" w:hAnsi="Arial" w:cs="Arial"/>
        </w:rPr>
        <w:t>,</w:t>
      </w:r>
      <w:r>
        <w:rPr>
          <w:rFonts w:ascii="Arial" w:hAnsi="Arial" w:cs="Arial"/>
        </w:rPr>
        <w:t>3</w:t>
      </w:r>
      <w:r w:rsidRPr="0099570A">
        <w:rPr>
          <w:rFonts w:ascii="Arial" w:hAnsi="Arial" w:cs="Arial"/>
        </w:rPr>
        <w:t>% kwoty prognozowanej w ustawie budżetowej na 2023 r. (</w:t>
      </w:r>
      <w:r>
        <w:rPr>
          <w:rFonts w:ascii="Arial" w:hAnsi="Arial" w:cs="Arial"/>
        </w:rPr>
        <w:t>88</w:t>
      </w:r>
      <w:r w:rsidRPr="0099570A">
        <w:rPr>
          <w:rFonts w:ascii="Arial" w:hAnsi="Arial" w:cs="Arial"/>
        </w:rPr>
        <w:t>.</w:t>
      </w:r>
      <w:r>
        <w:rPr>
          <w:rFonts w:ascii="Arial" w:hAnsi="Arial" w:cs="Arial"/>
        </w:rPr>
        <w:t>597</w:t>
      </w:r>
      <w:r w:rsidRPr="0099570A">
        <w:rPr>
          <w:rFonts w:ascii="Arial" w:hAnsi="Arial" w:cs="Arial"/>
        </w:rPr>
        <w:t>.</w:t>
      </w:r>
      <w:r>
        <w:rPr>
          <w:rFonts w:ascii="Arial" w:hAnsi="Arial" w:cs="Arial"/>
        </w:rPr>
        <w:t>000</w:t>
      </w:r>
      <w:r w:rsidRPr="0099570A">
        <w:rPr>
          <w:rFonts w:ascii="Arial" w:hAnsi="Arial" w:cs="Arial"/>
        </w:rPr>
        <w:t> tys. zł).</w:t>
      </w:r>
    </w:p>
    <w:p w14:paraId="60AA0534" w14:textId="77777777" w:rsidR="00593B67" w:rsidRDefault="00593B67" w:rsidP="000C1EA7">
      <w:pPr>
        <w:spacing w:before="120" w:after="120" w:line="340" w:lineRule="atLeast"/>
        <w:rPr>
          <w:rFonts w:ascii="Arial" w:hAnsi="Arial" w:cs="Arial"/>
        </w:rPr>
      </w:pPr>
      <w:r w:rsidRPr="00393B5D">
        <w:rPr>
          <w:rFonts w:ascii="Arial" w:hAnsi="Arial" w:cs="Arial"/>
        </w:rPr>
        <w:t>Wykonanie dochodów w</w:t>
      </w:r>
      <w:r>
        <w:rPr>
          <w:rFonts w:ascii="Arial" w:hAnsi="Arial" w:cs="Arial"/>
        </w:rPr>
        <w:t xml:space="preserve"> 2022 r. wyniosło ok. 79.773 mln zł i było niższe o ok. 2.8 mld zł w porównaniu do planowanego wykonania dochodów w 2022 r. </w:t>
      </w:r>
      <w:r w:rsidRPr="0099570A">
        <w:rPr>
          <w:rFonts w:ascii="Arial" w:hAnsi="Arial" w:cs="Arial"/>
        </w:rPr>
        <w:t>na etapie ustawy budżetowej na 2023 r.</w:t>
      </w:r>
      <w:r>
        <w:rPr>
          <w:rFonts w:ascii="Arial" w:hAnsi="Arial" w:cs="Arial"/>
        </w:rPr>
        <w:t xml:space="preserve">, stanowiącego </w:t>
      </w:r>
      <w:r w:rsidRPr="0099570A">
        <w:rPr>
          <w:rFonts w:ascii="Arial" w:hAnsi="Arial" w:cs="Arial"/>
        </w:rPr>
        <w:t>podstawę do prognozy dochodów na 2023 r.</w:t>
      </w:r>
    </w:p>
    <w:p w14:paraId="75969845" w14:textId="77777777" w:rsidR="00593B67" w:rsidRDefault="00593B67" w:rsidP="000C1EA7">
      <w:pPr>
        <w:spacing w:before="120" w:after="120" w:line="340" w:lineRule="atLeast"/>
        <w:rPr>
          <w:rFonts w:ascii="Arial" w:hAnsi="Arial" w:cs="Arial"/>
        </w:rPr>
      </w:pPr>
      <w:r>
        <w:rPr>
          <w:rFonts w:ascii="Arial" w:hAnsi="Arial" w:cs="Arial"/>
        </w:rPr>
        <w:t xml:space="preserve">Aktualne prognozy wskaźników makroekonomicznych są niższe w porównaniu z prognozami z ustawy budżetowej na 2023 r. </w:t>
      </w:r>
      <w:r w:rsidRPr="00384B8C">
        <w:rPr>
          <w:rFonts w:ascii="Arial" w:hAnsi="Arial" w:cs="Arial"/>
        </w:rPr>
        <w:t xml:space="preserve">Prognoza PKB realnego na 2023 r. wynosi 0,9% w </w:t>
      </w:r>
      <w:r>
        <w:rPr>
          <w:rFonts w:ascii="Arial" w:hAnsi="Arial" w:cs="Arial"/>
        </w:rPr>
        <w:t>stosunku</w:t>
      </w:r>
      <w:r w:rsidRPr="00384B8C">
        <w:rPr>
          <w:rFonts w:ascii="Arial" w:hAnsi="Arial" w:cs="Arial"/>
        </w:rPr>
        <w:t xml:space="preserve"> do 1,7% </w:t>
      </w:r>
      <w:r>
        <w:rPr>
          <w:rFonts w:ascii="Arial" w:hAnsi="Arial" w:cs="Arial"/>
        </w:rPr>
        <w:t>w ustawie budżetowej na 2023 r. Natomiast p</w:t>
      </w:r>
      <w:r w:rsidRPr="00384B8C">
        <w:rPr>
          <w:rFonts w:ascii="Arial" w:hAnsi="Arial" w:cs="Arial"/>
        </w:rPr>
        <w:t>rognoza spożycia prywatnego realnego na 2023 r. wynosi 0,7% w porównaniu do 2,2% w ustawie budżetowej na 2023 r.</w:t>
      </w:r>
    </w:p>
    <w:p w14:paraId="2D5C7CFD" w14:textId="77777777" w:rsidR="00593B67" w:rsidRDefault="00593B67" w:rsidP="000C1EA7">
      <w:pPr>
        <w:spacing w:before="120" w:after="120" w:line="340" w:lineRule="atLeast"/>
        <w:rPr>
          <w:rFonts w:ascii="Arial" w:hAnsi="Arial" w:cs="Arial"/>
        </w:rPr>
      </w:pPr>
      <w:r>
        <w:rPr>
          <w:rFonts w:ascii="Arial" w:hAnsi="Arial" w:cs="Arial"/>
        </w:rPr>
        <w:t>Obserwacja bieżącej sytuacji w I kwartale 2023 r. wskazuje na niższe wykonanie dochodów z podatku akcyzowego w porównaniu do oczekiwań. Wycofanie tarczy antyinflacyjnej w obszarze paliw silnikowych i energii wiąże się z dodatnim skutkiem dla dochodów z tego tytułu, jednak wyhamowanie gospodarki i niepewność otoczenia geopolitycznego może negatywnie wpływać na popyt na paliwa. Ponadto dodatni wpływ na dochody w 2023 r. ma rozwiązanie</w:t>
      </w:r>
      <w:r>
        <w:rPr>
          <w:rStyle w:val="Odwoanieprzypisudolnego"/>
          <w:rFonts w:ascii="Arial" w:hAnsi="Arial" w:cs="Arial"/>
        </w:rPr>
        <w:footnoteReference w:id="4"/>
      </w:r>
      <w:r w:rsidRPr="004D0A00">
        <w:rPr>
          <w:rFonts w:ascii="Arial" w:hAnsi="Arial" w:cs="Arial"/>
        </w:rPr>
        <w:t xml:space="preserve"> podwyższając</w:t>
      </w:r>
      <w:r>
        <w:rPr>
          <w:rFonts w:ascii="Arial" w:hAnsi="Arial" w:cs="Arial"/>
        </w:rPr>
        <w:t>e</w:t>
      </w:r>
      <w:r w:rsidRPr="004D0A00">
        <w:rPr>
          <w:rFonts w:ascii="Arial" w:hAnsi="Arial" w:cs="Arial"/>
        </w:rPr>
        <w:t xml:space="preserve"> stawki akcyzy na wyroby alkoholowe o 5% i stawkę kwotową w</w:t>
      </w:r>
      <w:r>
        <w:rPr>
          <w:rFonts w:ascii="Arial" w:hAnsi="Arial" w:cs="Arial"/>
        </w:rPr>
        <w:t> </w:t>
      </w:r>
      <w:r w:rsidRPr="004D0A00">
        <w:rPr>
          <w:rFonts w:ascii="Arial" w:hAnsi="Arial" w:cs="Arial"/>
        </w:rPr>
        <w:t>wyrobach tytoniowych o 10%</w:t>
      </w:r>
      <w:r>
        <w:rPr>
          <w:rFonts w:ascii="Arial" w:hAnsi="Arial" w:cs="Arial"/>
        </w:rPr>
        <w:t>. Jednak również w tym przypadku spowolnienie gospodarcze i wysoka inflacja mogą negatywnie wpłynąć na popyt na te wyroby.</w:t>
      </w:r>
    </w:p>
    <w:p w14:paraId="5033BB5E" w14:textId="77777777" w:rsidR="00593B67" w:rsidRPr="00FE2CA0" w:rsidRDefault="00593B67" w:rsidP="000C1EA7">
      <w:pPr>
        <w:spacing w:before="120" w:after="120" w:line="340" w:lineRule="atLeast"/>
        <w:rPr>
          <w:rFonts w:ascii="Arial" w:hAnsi="Arial" w:cs="Arial"/>
        </w:rPr>
      </w:pPr>
      <w:r w:rsidRPr="00FE2CA0">
        <w:rPr>
          <w:rFonts w:ascii="Arial" w:hAnsi="Arial" w:cs="Arial"/>
        </w:rPr>
        <w:t>Przewiduje się, że dochody z podatku akcyzowego w 2023 r. wyniosą 8</w:t>
      </w:r>
      <w:r>
        <w:rPr>
          <w:rFonts w:ascii="Arial" w:hAnsi="Arial" w:cs="Arial"/>
        </w:rPr>
        <w:t>3</w:t>
      </w:r>
      <w:r w:rsidRPr="00FE2CA0">
        <w:rPr>
          <w:rFonts w:ascii="Arial" w:hAnsi="Arial" w:cs="Arial"/>
        </w:rPr>
        <w:t>.</w:t>
      </w:r>
      <w:r>
        <w:rPr>
          <w:rFonts w:ascii="Arial" w:hAnsi="Arial" w:cs="Arial"/>
        </w:rPr>
        <w:t>8</w:t>
      </w:r>
      <w:r w:rsidRPr="00FE2CA0">
        <w:rPr>
          <w:rFonts w:ascii="Arial" w:hAnsi="Arial" w:cs="Arial"/>
        </w:rPr>
        <w:t>0</w:t>
      </w:r>
      <w:r>
        <w:rPr>
          <w:rFonts w:ascii="Arial" w:hAnsi="Arial" w:cs="Arial"/>
        </w:rPr>
        <w:t>0.000 tys. zł, tj. </w:t>
      </w:r>
      <w:r w:rsidRPr="00FE2CA0">
        <w:rPr>
          <w:rFonts w:ascii="Arial" w:hAnsi="Arial" w:cs="Arial"/>
        </w:rPr>
        <w:t>mniej o 4.</w:t>
      </w:r>
      <w:r>
        <w:rPr>
          <w:rFonts w:ascii="Arial" w:hAnsi="Arial" w:cs="Arial"/>
        </w:rPr>
        <w:t>7</w:t>
      </w:r>
      <w:r w:rsidRPr="00FE2CA0">
        <w:rPr>
          <w:rFonts w:ascii="Arial" w:hAnsi="Arial" w:cs="Arial"/>
        </w:rPr>
        <w:t>97.000 tys. zł (</w:t>
      </w:r>
      <w:r>
        <w:rPr>
          <w:rFonts w:ascii="Arial" w:hAnsi="Arial" w:cs="Arial"/>
        </w:rPr>
        <w:t>5,4</w:t>
      </w:r>
      <w:r w:rsidRPr="00FE2CA0">
        <w:rPr>
          <w:rFonts w:ascii="Arial" w:hAnsi="Arial" w:cs="Arial"/>
        </w:rPr>
        <w:t xml:space="preserve">%) w porównaniu do ustawy budżetowej na 2023 r. </w:t>
      </w:r>
    </w:p>
    <w:p w14:paraId="6BA7ED99" w14:textId="77777777" w:rsidR="00593B67" w:rsidRPr="00FE2CA0" w:rsidRDefault="00593B67" w:rsidP="000C1EA7">
      <w:pPr>
        <w:spacing w:before="120" w:after="120" w:line="340" w:lineRule="atLeast"/>
        <w:rPr>
          <w:rFonts w:ascii="Arial" w:hAnsi="Arial" w:cs="Arial"/>
        </w:rPr>
      </w:pPr>
      <w:r w:rsidRPr="00FE2CA0">
        <w:rPr>
          <w:rFonts w:ascii="Arial" w:hAnsi="Arial" w:cs="Arial"/>
        </w:rPr>
        <w:t>Prognozuje się, że niższe w porównaniu z ustawą budżetową na 2023 r. będą głównie dochody z akcyzy od paliw silnikowych, wyrobów tytoniowych i alkoholu etylowego.</w:t>
      </w:r>
    </w:p>
    <w:p w14:paraId="2452E85E" w14:textId="77777777" w:rsidR="00593B67" w:rsidRPr="00C72F85" w:rsidRDefault="00593B67" w:rsidP="007A3F8C">
      <w:pPr>
        <w:spacing w:before="360" w:after="120" w:line="340" w:lineRule="atLeast"/>
        <w:rPr>
          <w:rFonts w:ascii="Arial" w:hAnsi="Arial" w:cs="Arial"/>
          <w:b/>
          <w:u w:val="single"/>
        </w:rPr>
      </w:pPr>
      <w:r w:rsidRPr="00C72F85">
        <w:rPr>
          <w:rFonts w:ascii="Arial" w:hAnsi="Arial" w:cs="Arial"/>
          <w:b/>
          <w:u w:val="single"/>
        </w:rPr>
        <w:lastRenderedPageBreak/>
        <w:t>Podatek od osób prawnych (CIT)</w:t>
      </w:r>
    </w:p>
    <w:p w14:paraId="1BA91346" w14:textId="77777777" w:rsidR="00593B67" w:rsidRPr="00C82A21" w:rsidRDefault="00593B67" w:rsidP="000C1EA7">
      <w:pPr>
        <w:spacing w:before="120" w:after="120" w:line="340" w:lineRule="atLeast"/>
        <w:rPr>
          <w:rFonts w:ascii="Arial" w:hAnsi="Arial" w:cs="Arial"/>
        </w:rPr>
      </w:pPr>
      <w:r w:rsidRPr="0099570A">
        <w:rPr>
          <w:rFonts w:ascii="Arial" w:hAnsi="Arial" w:cs="Arial"/>
        </w:rPr>
        <w:t>Dochody budżetu państwa z podatku dochodowego od osób prawnych w okresie I-III 2023 r. wyniosły 15.151.982 tys. zł, tj. więcej o 1.194.354 tys. zł (</w:t>
      </w:r>
      <w:r>
        <w:rPr>
          <w:rFonts w:ascii="Arial" w:hAnsi="Arial" w:cs="Arial"/>
        </w:rPr>
        <w:t>8,6</w:t>
      </w:r>
      <w:r w:rsidRPr="0099570A">
        <w:rPr>
          <w:rFonts w:ascii="Arial" w:hAnsi="Arial" w:cs="Arial"/>
        </w:rPr>
        <w:t xml:space="preserve">%) w porównaniu </w:t>
      </w:r>
      <w:r w:rsidRPr="0099570A">
        <w:rPr>
          <w:rFonts w:ascii="Arial" w:hAnsi="Arial" w:cs="Arial"/>
        </w:rPr>
        <w:br/>
        <w:t xml:space="preserve">z analogicznym okresem 2022 r. Wykonanie w tym okresie stanowi 20,6% kwoty </w:t>
      </w:r>
      <w:r w:rsidRPr="00C82A21">
        <w:rPr>
          <w:rFonts w:ascii="Arial" w:hAnsi="Arial" w:cs="Arial"/>
        </w:rPr>
        <w:t>prognozowanej w ustawie budżetowej na 2023 r. (73.606.988 tys. zł).</w:t>
      </w:r>
    </w:p>
    <w:p w14:paraId="405535F4" w14:textId="77777777" w:rsidR="00593B67" w:rsidRPr="00C82A21" w:rsidRDefault="00593B67" w:rsidP="000C1EA7">
      <w:pPr>
        <w:spacing w:before="120" w:after="120" w:line="340" w:lineRule="atLeast"/>
        <w:rPr>
          <w:rFonts w:ascii="Arial" w:hAnsi="Arial" w:cs="Arial"/>
        </w:rPr>
      </w:pPr>
      <w:r w:rsidRPr="00C82A21">
        <w:rPr>
          <w:rFonts w:ascii="Arial" w:hAnsi="Arial" w:cs="Arial"/>
        </w:rPr>
        <w:t>Na dochody z podatku od osób prawnych, obok bieżących zaliczek wpływa rozliczenie roczne podatku za rok poprzedni. Termin rozliczenia za 2022 r. został, podobnie jak w roku ubiegłym, przesunięty na koniec czerwca 2023 r. Z opublikowanych przez niektóre duże przedsiębiorstwa sprawozdań finansowych za 2022 r. wynika, że w 2023 r. można spodziewać się wyższych wpłat z tytułu rozliczenia rocznego za 2022 r.</w:t>
      </w:r>
    </w:p>
    <w:p w14:paraId="20039D18" w14:textId="77777777" w:rsidR="00593B67" w:rsidRPr="0099570A" w:rsidRDefault="00593B67" w:rsidP="000C1EA7">
      <w:pPr>
        <w:spacing w:before="120" w:after="120" w:line="340" w:lineRule="atLeast"/>
        <w:rPr>
          <w:rFonts w:ascii="Arial" w:hAnsi="Arial" w:cs="Arial"/>
        </w:rPr>
      </w:pPr>
      <w:r w:rsidRPr="00C82A21">
        <w:rPr>
          <w:rFonts w:ascii="Arial" w:hAnsi="Arial" w:cs="Arial"/>
        </w:rPr>
        <w:t>Należy również zauważyć, że prognozowane na etapie ustawy budżetowej na 2023 r. wpływy podatku CIT w 2022 r., które stanowiły podstawę do prognozy dochodów na 2023 r.</w:t>
      </w:r>
      <w:r w:rsidRPr="0099570A">
        <w:rPr>
          <w:rFonts w:ascii="Arial" w:hAnsi="Arial" w:cs="Arial"/>
        </w:rPr>
        <w:t xml:space="preserve"> były nieco wyższe niż pierwotnie zakładano. </w:t>
      </w:r>
    </w:p>
    <w:p w14:paraId="45AE7830" w14:textId="77777777" w:rsidR="00593B67" w:rsidRDefault="00593B67" w:rsidP="000C1EA7">
      <w:pPr>
        <w:spacing w:before="120" w:after="120" w:line="340" w:lineRule="atLeast"/>
        <w:rPr>
          <w:rFonts w:ascii="Arial" w:hAnsi="Arial" w:cs="Arial"/>
        </w:rPr>
      </w:pPr>
      <w:r w:rsidRPr="00805365">
        <w:rPr>
          <w:rFonts w:ascii="Arial" w:hAnsi="Arial" w:cs="Arial"/>
        </w:rPr>
        <w:t>Prognozuje się, że w 2023 r. dochody z CIT zostaną wykonane w kwocie 7</w:t>
      </w:r>
      <w:r>
        <w:rPr>
          <w:rFonts w:ascii="Arial" w:hAnsi="Arial" w:cs="Arial"/>
        </w:rPr>
        <w:t>7</w:t>
      </w:r>
      <w:r w:rsidRPr="00805365">
        <w:rPr>
          <w:rFonts w:ascii="Arial" w:hAnsi="Arial" w:cs="Arial"/>
        </w:rPr>
        <w:t>.606.988</w:t>
      </w:r>
      <w:r>
        <w:rPr>
          <w:rFonts w:ascii="Arial" w:hAnsi="Arial" w:cs="Arial"/>
        </w:rPr>
        <w:t xml:space="preserve"> </w:t>
      </w:r>
      <w:r w:rsidRPr="00805365">
        <w:rPr>
          <w:rFonts w:ascii="Arial" w:hAnsi="Arial" w:cs="Arial"/>
        </w:rPr>
        <w:t>tys. zł, tj. w porównaniu z ustawą budżetową na 2023 r. będą wyższe o </w:t>
      </w:r>
      <w:r>
        <w:rPr>
          <w:rFonts w:ascii="Arial" w:hAnsi="Arial" w:cs="Arial"/>
        </w:rPr>
        <w:t>4</w:t>
      </w:r>
      <w:r w:rsidRPr="00805365">
        <w:rPr>
          <w:rFonts w:ascii="Arial" w:hAnsi="Arial" w:cs="Arial"/>
        </w:rPr>
        <w:t xml:space="preserve">.000.000 tys. zł </w:t>
      </w:r>
      <w:r w:rsidRPr="0043189F">
        <w:rPr>
          <w:rFonts w:ascii="Arial" w:hAnsi="Arial" w:cs="Arial"/>
        </w:rPr>
        <w:t>(</w:t>
      </w:r>
      <w:r>
        <w:rPr>
          <w:rFonts w:ascii="Arial" w:hAnsi="Arial" w:cs="Arial"/>
        </w:rPr>
        <w:t>5</w:t>
      </w:r>
      <w:r w:rsidRPr="0043189F">
        <w:rPr>
          <w:rFonts w:ascii="Arial" w:hAnsi="Arial" w:cs="Arial"/>
        </w:rPr>
        <w:t>,</w:t>
      </w:r>
      <w:r>
        <w:rPr>
          <w:rFonts w:ascii="Arial" w:hAnsi="Arial" w:cs="Arial"/>
        </w:rPr>
        <w:t>4</w:t>
      </w:r>
      <w:r w:rsidRPr="00805365">
        <w:rPr>
          <w:rFonts w:ascii="Arial" w:hAnsi="Arial" w:cs="Arial"/>
        </w:rPr>
        <w:t xml:space="preserve">%). </w:t>
      </w:r>
    </w:p>
    <w:p w14:paraId="51459471" w14:textId="77777777" w:rsidR="00593B67" w:rsidRPr="00B01191" w:rsidRDefault="00593B67" w:rsidP="007A3F8C">
      <w:pPr>
        <w:spacing w:before="360" w:after="120" w:line="340" w:lineRule="atLeast"/>
        <w:rPr>
          <w:rFonts w:ascii="Arial" w:hAnsi="Arial" w:cs="Arial"/>
          <w:b/>
          <w:u w:val="single"/>
        </w:rPr>
      </w:pPr>
      <w:r w:rsidRPr="00B01191">
        <w:rPr>
          <w:rFonts w:ascii="Arial" w:hAnsi="Arial" w:cs="Arial"/>
          <w:b/>
          <w:u w:val="single"/>
        </w:rPr>
        <w:t>Podatek od osób fizycznych (PIT)</w:t>
      </w:r>
    </w:p>
    <w:p w14:paraId="755C8612" w14:textId="77777777" w:rsidR="00593B67" w:rsidRDefault="00593B67" w:rsidP="000C1EA7">
      <w:pPr>
        <w:spacing w:before="120" w:after="120" w:line="340" w:lineRule="atLeast"/>
        <w:rPr>
          <w:rFonts w:ascii="Arial" w:hAnsi="Arial" w:cs="Arial"/>
        </w:rPr>
      </w:pPr>
      <w:r w:rsidRPr="00D95B04">
        <w:rPr>
          <w:rFonts w:ascii="Arial" w:hAnsi="Arial" w:cs="Arial"/>
        </w:rPr>
        <w:t>Dochody budżetu państwa z podatku PIT w okresie I-III 2023 r. wyniosły 11.373.</w:t>
      </w:r>
      <w:r>
        <w:rPr>
          <w:rFonts w:ascii="Arial" w:hAnsi="Arial" w:cs="Arial"/>
        </w:rPr>
        <w:t>492</w:t>
      </w:r>
      <w:r w:rsidRPr="00D95B04">
        <w:rPr>
          <w:rFonts w:ascii="Arial" w:hAnsi="Arial" w:cs="Arial"/>
        </w:rPr>
        <w:t> tys. zł, tj. mniej o 4.71</w:t>
      </w:r>
      <w:r>
        <w:rPr>
          <w:rFonts w:ascii="Arial" w:hAnsi="Arial" w:cs="Arial"/>
        </w:rPr>
        <w:t>2</w:t>
      </w:r>
      <w:r w:rsidRPr="00D95B04">
        <w:rPr>
          <w:rFonts w:ascii="Arial" w:hAnsi="Arial" w:cs="Arial"/>
        </w:rPr>
        <w:t>.</w:t>
      </w:r>
      <w:r>
        <w:rPr>
          <w:rFonts w:ascii="Arial" w:hAnsi="Arial" w:cs="Arial"/>
        </w:rPr>
        <w:t>792</w:t>
      </w:r>
      <w:r w:rsidRPr="00D95B04">
        <w:rPr>
          <w:rFonts w:ascii="Arial" w:hAnsi="Arial" w:cs="Arial"/>
        </w:rPr>
        <w:t xml:space="preserve"> tys. zł (29,3%) w porównaniu z analogicznym okresem 2022 r. Wykonanie w tym okresie </w:t>
      </w:r>
      <w:r w:rsidRPr="008F65E8">
        <w:rPr>
          <w:rFonts w:ascii="Arial" w:hAnsi="Arial" w:cs="Arial"/>
        </w:rPr>
        <w:t>stanowi 14,5%</w:t>
      </w:r>
      <w:r w:rsidRPr="00D95B04">
        <w:rPr>
          <w:rFonts w:ascii="Arial" w:hAnsi="Arial" w:cs="Arial"/>
        </w:rPr>
        <w:t xml:space="preserve"> kwoty prognozowanej w ustawie budżetowej na 2023 r. (78.368.</w:t>
      </w:r>
      <w:r>
        <w:rPr>
          <w:rFonts w:ascii="Arial" w:hAnsi="Arial" w:cs="Arial"/>
        </w:rPr>
        <w:t>1</w:t>
      </w:r>
      <w:r w:rsidRPr="00D95B04">
        <w:rPr>
          <w:rFonts w:ascii="Arial" w:hAnsi="Arial" w:cs="Arial"/>
        </w:rPr>
        <w:t>00 tys. zł). Niższe wykonanie w stosunku do analogicznego okresu poprzedniego roku wynika przede wszystkim ze zmian wprowadzonych 1 lipca 2022</w:t>
      </w:r>
      <w:r>
        <w:rPr>
          <w:rFonts w:ascii="Arial" w:hAnsi="Arial" w:cs="Arial"/>
        </w:rPr>
        <w:t xml:space="preserve"> r.</w:t>
      </w:r>
      <w:r w:rsidRPr="00D95B04">
        <w:rPr>
          <w:rFonts w:ascii="Arial" w:hAnsi="Arial" w:cs="Arial"/>
        </w:rPr>
        <w:t>, które m.in. obniżyły podstawową stawkę na skali podatkowej z 17% na 12% dla całego 2022 r., co jednocześnie skutkuje wyższymi niż zazwyczaj zwrotami podatku w rozliczeniu rocznym.</w:t>
      </w:r>
    </w:p>
    <w:p w14:paraId="79904444" w14:textId="77777777" w:rsidR="00593B67" w:rsidRPr="00C82A21" w:rsidRDefault="00593B67" w:rsidP="000C1EA7">
      <w:pPr>
        <w:spacing w:before="120" w:after="120" w:line="340" w:lineRule="atLeast"/>
        <w:rPr>
          <w:rFonts w:ascii="Arial" w:hAnsi="Arial" w:cs="Arial"/>
        </w:rPr>
      </w:pPr>
      <w:r w:rsidRPr="00B01191">
        <w:rPr>
          <w:rFonts w:ascii="Arial" w:hAnsi="Arial" w:cs="Arial"/>
        </w:rPr>
        <w:t xml:space="preserve">Konieczność aktualizacji prognozy dochodów budżetu państwa w zakresie podatku dochodowego od osób fizycznych wynika przede wszystkim ze zmiany prognozowanej dynamiki funduszu </w:t>
      </w:r>
      <w:r w:rsidRPr="00C82A21">
        <w:rPr>
          <w:rFonts w:ascii="Arial" w:hAnsi="Arial" w:cs="Arial"/>
        </w:rPr>
        <w:t>wynagrodzeń (z 9,6% na 12,6% w 2023 r.) oraz funduszu rent i emerytu</w:t>
      </w:r>
      <w:r w:rsidR="007A3F8C">
        <w:rPr>
          <w:rFonts w:ascii="Arial" w:hAnsi="Arial" w:cs="Arial"/>
        </w:rPr>
        <w:t xml:space="preserve">r (z 16,3% na 16,8% w 2023 r.). </w:t>
      </w:r>
      <w:r w:rsidRPr="00C82A21">
        <w:rPr>
          <w:rFonts w:ascii="Arial" w:hAnsi="Arial" w:cs="Arial"/>
        </w:rPr>
        <w:t xml:space="preserve">Ponadto uwzględniono w obliczeniach dodatkowe dochody z PIT z tytułu wprowadzenia na stałe kolejnego dodatkowego rocznego świadczenia dla emerytów i rencistów, tzw. 14 emerytury (zwiększenia bazy podatkowej). </w:t>
      </w:r>
    </w:p>
    <w:p w14:paraId="2E97DBEA" w14:textId="77777777" w:rsidR="00593B67" w:rsidRPr="00B01191" w:rsidRDefault="00593B67" w:rsidP="000C1EA7">
      <w:pPr>
        <w:spacing w:before="120" w:after="120" w:line="340" w:lineRule="atLeast"/>
        <w:rPr>
          <w:rFonts w:ascii="Arial" w:hAnsi="Arial" w:cs="Arial"/>
        </w:rPr>
      </w:pPr>
      <w:r w:rsidRPr="00C82A21">
        <w:rPr>
          <w:rFonts w:ascii="Arial" w:hAnsi="Arial" w:cs="Arial"/>
        </w:rPr>
        <w:t>W bieżącej prognozie uwzględniono dane pochodzące z pełnego wykonania roku 2022 oraz</w:t>
      </w:r>
      <w:r w:rsidRPr="00B01191">
        <w:rPr>
          <w:rFonts w:ascii="Arial" w:hAnsi="Arial" w:cs="Arial"/>
        </w:rPr>
        <w:t xml:space="preserve"> wstępnego wykonania dochodów </w:t>
      </w:r>
      <w:r>
        <w:rPr>
          <w:rFonts w:ascii="Arial" w:hAnsi="Arial" w:cs="Arial"/>
        </w:rPr>
        <w:t xml:space="preserve">budżetu </w:t>
      </w:r>
      <w:r w:rsidRPr="00B01191">
        <w:rPr>
          <w:rFonts w:ascii="Arial" w:hAnsi="Arial" w:cs="Arial"/>
        </w:rPr>
        <w:t>z PIT za miesiące styczeń-kwiecień 2023 r., w tym aktualizację salda rozliczenia rocznego PIT za 2022 r.</w:t>
      </w:r>
    </w:p>
    <w:p w14:paraId="12DC798D" w14:textId="77777777" w:rsidR="00593B67" w:rsidRDefault="00593B67" w:rsidP="000C1EA7">
      <w:pPr>
        <w:spacing w:before="120" w:after="120" w:line="340" w:lineRule="atLeast"/>
        <w:rPr>
          <w:rFonts w:ascii="Arial" w:hAnsi="Arial" w:cs="Arial"/>
        </w:rPr>
      </w:pPr>
      <w:r w:rsidRPr="00805365">
        <w:rPr>
          <w:rFonts w:ascii="Arial" w:hAnsi="Arial" w:cs="Arial"/>
        </w:rPr>
        <w:t xml:space="preserve">Prognozuje się, że w 2023 r. dochody z </w:t>
      </w:r>
      <w:r>
        <w:rPr>
          <w:rFonts w:ascii="Arial" w:hAnsi="Arial" w:cs="Arial"/>
        </w:rPr>
        <w:t>PIT</w:t>
      </w:r>
      <w:r w:rsidRPr="00805365">
        <w:rPr>
          <w:rFonts w:ascii="Arial" w:hAnsi="Arial" w:cs="Arial"/>
        </w:rPr>
        <w:t xml:space="preserve"> zostaną wykonane w kwocie </w:t>
      </w:r>
      <w:r>
        <w:rPr>
          <w:rFonts w:ascii="Arial" w:hAnsi="Arial" w:cs="Arial"/>
        </w:rPr>
        <w:t xml:space="preserve">83.570.254 </w:t>
      </w:r>
      <w:r w:rsidRPr="00805365">
        <w:rPr>
          <w:rFonts w:ascii="Arial" w:hAnsi="Arial" w:cs="Arial"/>
        </w:rPr>
        <w:t>tys. zł, tj. w porównaniu z ustawą budżetową na 2023 r. będą wyższe o </w:t>
      </w:r>
      <w:r>
        <w:rPr>
          <w:rFonts w:ascii="Arial" w:hAnsi="Arial" w:cs="Arial"/>
        </w:rPr>
        <w:t xml:space="preserve">5.202.154 </w:t>
      </w:r>
      <w:r w:rsidRPr="00805365">
        <w:rPr>
          <w:rFonts w:ascii="Arial" w:hAnsi="Arial" w:cs="Arial"/>
        </w:rPr>
        <w:t xml:space="preserve">tys. zł </w:t>
      </w:r>
      <w:r w:rsidRPr="0043189F">
        <w:rPr>
          <w:rFonts w:ascii="Arial" w:hAnsi="Arial" w:cs="Arial"/>
        </w:rPr>
        <w:t>(6,6%).</w:t>
      </w:r>
      <w:r w:rsidRPr="00805365">
        <w:rPr>
          <w:rFonts w:ascii="Arial" w:hAnsi="Arial" w:cs="Arial"/>
        </w:rPr>
        <w:t xml:space="preserve"> </w:t>
      </w:r>
    </w:p>
    <w:p w14:paraId="2F2FCC06" w14:textId="77777777" w:rsidR="008045F3" w:rsidRDefault="008045F3" w:rsidP="007A3F8C">
      <w:pPr>
        <w:spacing w:before="360" w:after="120" w:line="340" w:lineRule="atLeast"/>
        <w:rPr>
          <w:rFonts w:ascii="Arial" w:hAnsi="Arial" w:cs="Arial"/>
          <w:b/>
          <w:u w:val="single"/>
        </w:rPr>
      </w:pPr>
    </w:p>
    <w:p w14:paraId="57B2C5B0" w14:textId="77777777" w:rsidR="00593B67" w:rsidRPr="00172BF2" w:rsidRDefault="00593B67" w:rsidP="007A3F8C">
      <w:pPr>
        <w:spacing w:before="360" w:after="120" w:line="340" w:lineRule="atLeast"/>
        <w:rPr>
          <w:rFonts w:ascii="Arial" w:hAnsi="Arial" w:cs="Arial"/>
          <w:b/>
          <w:u w:val="single"/>
        </w:rPr>
      </w:pPr>
      <w:r w:rsidRPr="00172BF2">
        <w:rPr>
          <w:rFonts w:ascii="Arial" w:hAnsi="Arial" w:cs="Arial"/>
          <w:b/>
          <w:u w:val="single"/>
        </w:rPr>
        <w:lastRenderedPageBreak/>
        <w:t>Podatek od gier</w:t>
      </w:r>
    </w:p>
    <w:p w14:paraId="0056E408" w14:textId="77777777" w:rsidR="00593B67" w:rsidRDefault="00593B67" w:rsidP="000C1EA7">
      <w:pPr>
        <w:spacing w:before="120" w:after="120" w:line="340" w:lineRule="atLeast"/>
        <w:rPr>
          <w:rFonts w:ascii="Arial" w:hAnsi="Arial" w:cs="Arial"/>
        </w:rPr>
      </w:pPr>
      <w:r>
        <w:rPr>
          <w:rFonts w:ascii="Arial" w:hAnsi="Arial" w:cs="Arial"/>
        </w:rPr>
        <w:t xml:space="preserve">Aktualizacja prognozy dotyczyła również podatku od gier. Prognozuje się, że dochody te będą wyższe niż pierwotnie planowano o 500.000 tys. zł. </w:t>
      </w:r>
      <w:r w:rsidRPr="002B07B5">
        <w:rPr>
          <w:rFonts w:ascii="Arial" w:hAnsi="Arial" w:cs="Arial"/>
        </w:rPr>
        <w:t>Przyczyną większej niż pierwotnie zakładano prognozy podatku jest m.in. zaobserwowana wyższa dynamika wzrostu r/r deklarowanych wpływów podatkowych</w:t>
      </w:r>
      <w:r>
        <w:rPr>
          <w:rFonts w:ascii="Arial" w:hAnsi="Arial" w:cs="Arial"/>
        </w:rPr>
        <w:t xml:space="preserve"> w pierwszych miesiącach 2023 r</w:t>
      </w:r>
      <w:r w:rsidRPr="002B07B5">
        <w:rPr>
          <w:rFonts w:ascii="Arial" w:hAnsi="Arial" w:cs="Arial"/>
        </w:rPr>
        <w:t>.</w:t>
      </w:r>
    </w:p>
    <w:p w14:paraId="2076BA62" w14:textId="77777777" w:rsidR="00593B67" w:rsidRDefault="00593B67" w:rsidP="007A3F8C">
      <w:pPr>
        <w:spacing w:before="360" w:after="120" w:line="340" w:lineRule="atLeast"/>
        <w:rPr>
          <w:rFonts w:ascii="Arial" w:hAnsi="Arial" w:cs="Arial"/>
          <w:b/>
          <w:u w:val="single"/>
        </w:rPr>
      </w:pPr>
      <w:r w:rsidRPr="00B01191">
        <w:rPr>
          <w:rFonts w:ascii="Arial" w:hAnsi="Arial" w:cs="Arial"/>
          <w:b/>
          <w:u w:val="single"/>
        </w:rPr>
        <w:t xml:space="preserve">Dochody </w:t>
      </w:r>
      <w:r>
        <w:rPr>
          <w:rFonts w:ascii="Arial" w:hAnsi="Arial" w:cs="Arial"/>
          <w:b/>
          <w:u w:val="single"/>
        </w:rPr>
        <w:t>n</w:t>
      </w:r>
      <w:r w:rsidRPr="00B01191">
        <w:rPr>
          <w:rFonts w:ascii="Arial" w:hAnsi="Arial" w:cs="Arial"/>
          <w:b/>
          <w:u w:val="single"/>
        </w:rPr>
        <w:t xml:space="preserve">iepodatkowe </w:t>
      </w:r>
    </w:p>
    <w:p w14:paraId="05D91347" w14:textId="77777777" w:rsidR="00593B67" w:rsidRDefault="00593B67" w:rsidP="000C1EA7">
      <w:pPr>
        <w:spacing w:before="120" w:after="120" w:line="340" w:lineRule="atLeast"/>
        <w:rPr>
          <w:rFonts w:ascii="Arial" w:hAnsi="Arial" w:cs="Arial"/>
        </w:rPr>
      </w:pPr>
      <w:r>
        <w:rPr>
          <w:rFonts w:ascii="Arial" w:hAnsi="Arial" w:cs="Arial"/>
        </w:rPr>
        <w:t xml:space="preserve">W zakresie dochodów niepodatkowych dokonano aktualizacji dochodów z tytułu dywidend, cła oraz dochodów z tytułu obsługi długu. </w:t>
      </w:r>
    </w:p>
    <w:p w14:paraId="73C54C34" w14:textId="77777777" w:rsidR="00593B67" w:rsidRPr="00596B03" w:rsidRDefault="00593B67" w:rsidP="000C1EA7">
      <w:pPr>
        <w:spacing w:before="120" w:after="120" w:line="340" w:lineRule="atLeast"/>
        <w:rPr>
          <w:rFonts w:ascii="Arial" w:hAnsi="Arial" w:cs="Arial"/>
        </w:rPr>
      </w:pPr>
      <w:r>
        <w:rPr>
          <w:rFonts w:ascii="Arial" w:hAnsi="Arial" w:cs="Arial"/>
        </w:rPr>
        <w:t xml:space="preserve">Przewiduje się, że dochody z tytułu dywidend wyniosą 3.363.986 tys. zł i będą wyższe o 1.146.011 tys. zł, tj. o 51,7% w stosunku do prognozowanych w ustawie budżetowej na 2023 r. </w:t>
      </w:r>
      <w:r w:rsidRPr="00596B03">
        <w:rPr>
          <w:rFonts w:ascii="Arial" w:hAnsi="Arial" w:cs="Arial"/>
        </w:rPr>
        <w:t>W zakresie dochodów budżetu państwa z dywidend dokonano aktualizacji przewidywanych kwot wpłat od spółek z</w:t>
      </w:r>
      <w:r>
        <w:rPr>
          <w:rFonts w:ascii="Arial" w:hAnsi="Arial" w:cs="Arial"/>
        </w:rPr>
        <w:t xml:space="preserve"> </w:t>
      </w:r>
      <w:r w:rsidRPr="00596B03">
        <w:rPr>
          <w:rFonts w:ascii="Arial" w:hAnsi="Arial" w:cs="Arial"/>
        </w:rPr>
        <w:t>udziałem skarbu państwa. Analiza otrzymanych od spółek danych w zakresie</w:t>
      </w:r>
      <w:r>
        <w:rPr>
          <w:rFonts w:ascii="Arial" w:hAnsi="Arial" w:cs="Arial"/>
        </w:rPr>
        <w:t xml:space="preserve"> wyników finansowych za 2022 r.</w:t>
      </w:r>
      <w:r w:rsidRPr="00596B03">
        <w:rPr>
          <w:rFonts w:ascii="Arial" w:hAnsi="Arial" w:cs="Arial"/>
        </w:rPr>
        <w:t xml:space="preserve"> w kontekście założeń polityk dywidendowych spółek oraz przy uwzględnieniu planowanych przez spółki inwestycji wykazała wyższe spodziewane wpływy</w:t>
      </w:r>
      <w:r>
        <w:rPr>
          <w:rFonts w:ascii="Arial" w:hAnsi="Arial" w:cs="Arial"/>
        </w:rPr>
        <w:t>,</w:t>
      </w:r>
      <w:r w:rsidRPr="00596B03">
        <w:rPr>
          <w:rFonts w:ascii="Arial" w:hAnsi="Arial" w:cs="Arial"/>
        </w:rPr>
        <w:t xml:space="preserve"> niż określono na etapie ustawy budżetowej na </w:t>
      </w:r>
      <w:r>
        <w:rPr>
          <w:rFonts w:ascii="Arial" w:hAnsi="Arial" w:cs="Arial"/>
        </w:rPr>
        <w:t>2023 </w:t>
      </w:r>
      <w:r w:rsidRPr="00596B03">
        <w:rPr>
          <w:rFonts w:ascii="Arial" w:hAnsi="Arial" w:cs="Arial"/>
        </w:rPr>
        <w:t xml:space="preserve">r. </w:t>
      </w:r>
    </w:p>
    <w:p w14:paraId="730956AE" w14:textId="77777777" w:rsidR="00593B67" w:rsidRDefault="00593B67" w:rsidP="000C1EA7">
      <w:pPr>
        <w:spacing w:before="120" w:after="120" w:line="340" w:lineRule="atLeast"/>
        <w:rPr>
          <w:rFonts w:ascii="Arial" w:hAnsi="Arial" w:cs="Arial"/>
        </w:rPr>
      </w:pPr>
      <w:r>
        <w:rPr>
          <w:rFonts w:ascii="Arial" w:hAnsi="Arial" w:cs="Arial"/>
        </w:rPr>
        <w:t xml:space="preserve">Przewiduje się, że dochody z cła wyniosą 9.237.000 tys. zł i będą wyższe o 560.000 tys. zł tj. o 6,5% w stosunku do prognozowanych w ustawie budżetowej na 2023 r. Podwyższenie prognozy jest spowodowane analizą bieżącego wykonania dochodów w pierwszym kwartale oraz aktualizacją założeń makroekonomicznych. </w:t>
      </w:r>
    </w:p>
    <w:p w14:paraId="484F51B6" w14:textId="77777777" w:rsidR="00593B67" w:rsidRDefault="00593B67" w:rsidP="000C1EA7">
      <w:pPr>
        <w:spacing w:before="120" w:after="120" w:line="340" w:lineRule="atLeast"/>
        <w:rPr>
          <w:rFonts w:ascii="Arial" w:hAnsi="Arial" w:cs="Arial"/>
        </w:rPr>
      </w:pPr>
      <w:r>
        <w:rPr>
          <w:rFonts w:ascii="Arial" w:hAnsi="Arial" w:cs="Arial"/>
        </w:rPr>
        <w:t xml:space="preserve">Dokonano aktualizacji prognozy dochodów z tytułu zarządzania długiem. Przewiduje się, że dochody z tego tytułu będą wyższe niż pierwotnie planowano o 3.621.420 tys. zł. </w:t>
      </w:r>
      <w:r w:rsidRPr="00C07788">
        <w:rPr>
          <w:rFonts w:ascii="Arial" w:hAnsi="Arial" w:cs="Arial"/>
        </w:rPr>
        <w:t xml:space="preserve">Zwiększenie </w:t>
      </w:r>
      <w:r>
        <w:rPr>
          <w:rFonts w:ascii="Arial" w:hAnsi="Arial" w:cs="Arial"/>
        </w:rPr>
        <w:t xml:space="preserve">prognozy </w:t>
      </w:r>
      <w:r w:rsidRPr="00C07788">
        <w:rPr>
          <w:rFonts w:ascii="Arial" w:hAnsi="Arial" w:cs="Arial"/>
        </w:rPr>
        <w:t>wynika głównie z niższych niż planowano stóp na rynku krajowym i</w:t>
      </w:r>
      <w:r>
        <w:rPr>
          <w:rFonts w:ascii="Arial" w:hAnsi="Arial" w:cs="Arial"/>
        </w:rPr>
        <w:t> </w:t>
      </w:r>
      <w:r w:rsidRPr="00C07788">
        <w:rPr>
          <w:rFonts w:ascii="Arial" w:hAnsi="Arial" w:cs="Arial"/>
        </w:rPr>
        <w:t>pojawienia się nieplanowanych dochodów z premii, jak również z wyższych stóp na rynkach zagranicznych i dochodów z tytułu oprocentowania środków na rachunkach.</w:t>
      </w:r>
    </w:p>
    <w:p w14:paraId="25FEA0BD" w14:textId="77777777" w:rsidR="00420442" w:rsidRPr="0061582F" w:rsidRDefault="00ED4B3F" w:rsidP="005E2968">
      <w:pPr>
        <w:pStyle w:val="Akapitzlist"/>
        <w:numPr>
          <w:ilvl w:val="0"/>
          <w:numId w:val="5"/>
        </w:numPr>
        <w:spacing w:before="360"/>
        <w:ind w:left="425" w:hanging="425"/>
        <w:contextualSpacing w:val="0"/>
        <w:rPr>
          <w:rFonts w:cs="Arial"/>
          <w:b/>
          <w:sz w:val="24"/>
          <w:szCs w:val="24"/>
        </w:rPr>
      </w:pPr>
      <w:r>
        <w:rPr>
          <w:rFonts w:cs="Arial"/>
          <w:b/>
          <w:sz w:val="24"/>
          <w:szCs w:val="24"/>
        </w:rPr>
        <w:t>Wydatki budżetu państwa w 2023</w:t>
      </w:r>
      <w:r w:rsidR="003B6004" w:rsidRPr="00330B18">
        <w:rPr>
          <w:rFonts w:cs="Arial"/>
          <w:b/>
          <w:sz w:val="24"/>
          <w:szCs w:val="24"/>
        </w:rPr>
        <w:t xml:space="preserve"> r.</w:t>
      </w:r>
    </w:p>
    <w:p w14:paraId="34694289" w14:textId="77777777" w:rsidR="00AC2AB1" w:rsidRDefault="00941165" w:rsidP="007A3F8C">
      <w:pPr>
        <w:spacing w:before="360" w:after="120" w:line="340" w:lineRule="atLeast"/>
        <w:rPr>
          <w:rFonts w:ascii="Arial" w:hAnsi="Arial" w:cs="Arial"/>
          <w:b/>
          <w:u w:val="single"/>
        </w:rPr>
      </w:pPr>
      <w:r w:rsidRPr="00CD35DD">
        <w:rPr>
          <w:rFonts w:ascii="Arial" w:hAnsi="Arial" w:cs="Arial"/>
          <w:b/>
          <w:u w:val="single"/>
        </w:rPr>
        <w:t xml:space="preserve">Zmniejszenia wydatków budżetowych </w:t>
      </w:r>
    </w:p>
    <w:p w14:paraId="452A4D5F" w14:textId="77777777" w:rsidR="00E01EE9" w:rsidRPr="009C5C2E" w:rsidRDefault="00E01EE9" w:rsidP="00D67E91">
      <w:pPr>
        <w:spacing w:before="240" w:after="120" w:line="340" w:lineRule="atLeast"/>
        <w:rPr>
          <w:rFonts w:ascii="Arial" w:hAnsi="Arial" w:cs="Arial"/>
          <w:b/>
        </w:rPr>
      </w:pPr>
      <w:r w:rsidRPr="009C5C2E">
        <w:rPr>
          <w:rFonts w:ascii="Arial" w:hAnsi="Arial" w:cs="Arial"/>
          <w:b/>
        </w:rPr>
        <w:t>Część 73 – Zakład Ubezpieczeń Społecznych</w:t>
      </w:r>
    </w:p>
    <w:p w14:paraId="02E719EB" w14:textId="77777777" w:rsidR="00E01EE9" w:rsidRPr="007B2D50" w:rsidRDefault="00E01EE9" w:rsidP="000C1EA7">
      <w:pPr>
        <w:spacing w:before="120" w:after="120" w:line="340" w:lineRule="atLeast"/>
        <w:rPr>
          <w:rFonts w:ascii="Arial" w:hAnsi="Arial" w:cs="Arial"/>
        </w:rPr>
      </w:pPr>
      <w:r w:rsidRPr="007B2D50">
        <w:rPr>
          <w:rFonts w:ascii="Arial" w:hAnsi="Arial" w:cs="Arial"/>
        </w:rPr>
        <w:t>W ustawie budżetowej na rok 202</w:t>
      </w:r>
      <w:r>
        <w:rPr>
          <w:rFonts w:ascii="Arial" w:hAnsi="Arial" w:cs="Arial"/>
        </w:rPr>
        <w:t>3</w:t>
      </w:r>
      <w:r w:rsidRPr="007B2D50">
        <w:rPr>
          <w:rFonts w:ascii="Arial" w:hAnsi="Arial" w:cs="Arial"/>
        </w:rPr>
        <w:t xml:space="preserve"> </w:t>
      </w:r>
      <w:r w:rsidRPr="00E01EE9">
        <w:rPr>
          <w:rFonts w:ascii="Arial" w:hAnsi="Arial" w:cs="Arial"/>
        </w:rPr>
        <w:t>w części 73 – Zakład Ubezpieczeń Społecznych</w:t>
      </w:r>
      <w:r w:rsidRPr="007B2D50">
        <w:rPr>
          <w:rFonts w:ascii="Arial" w:hAnsi="Arial" w:cs="Arial"/>
        </w:rPr>
        <w:t xml:space="preserve"> zaplanowano wydatki w kwocie 119.358.488 tys. zł, z tego dotacje i subwencje </w:t>
      </w:r>
      <w:r w:rsidRPr="007B2D50">
        <w:rPr>
          <w:rFonts w:ascii="Arial" w:hAnsi="Arial" w:cs="Arial"/>
        </w:rPr>
        <w:br/>
      </w:r>
      <w:r>
        <w:rPr>
          <w:rFonts w:ascii="Arial" w:hAnsi="Arial" w:cs="Arial"/>
        </w:rPr>
        <w:t>66.703.</w:t>
      </w:r>
      <w:r w:rsidRPr="007B2D50">
        <w:rPr>
          <w:rFonts w:ascii="Arial" w:hAnsi="Arial" w:cs="Arial"/>
        </w:rPr>
        <w:t xml:space="preserve">362 tys. zł, świadczenia na rzecz osób fizycznych </w:t>
      </w:r>
      <w:r>
        <w:rPr>
          <w:rFonts w:ascii="Arial" w:hAnsi="Arial" w:cs="Arial"/>
        </w:rPr>
        <w:t>47.932.</w:t>
      </w:r>
      <w:r w:rsidRPr="007B2D50">
        <w:rPr>
          <w:rFonts w:ascii="Arial" w:hAnsi="Arial" w:cs="Arial"/>
        </w:rPr>
        <w:t xml:space="preserve">897 tys. zł oraz wydatki bieżące jednostek budżetowych </w:t>
      </w:r>
      <w:r>
        <w:rPr>
          <w:rFonts w:ascii="Arial" w:hAnsi="Arial" w:cs="Arial"/>
        </w:rPr>
        <w:t>4.722.</w:t>
      </w:r>
      <w:r w:rsidRPr="007B2D50">
        <w:rPr>
          <w:rFonts w:ascii="Arial" w:hAnsi="Arial" w:cs="Arial"/>
        </w:rPr>
        <w:t>229 tys. zł.</w:t>
      </w:r>
    </w:p>
    <w:p w14:paraId="76DA0F21" w14:textId="77777777" w:rsidR="00E01EE9" w:rsidRPr="007B2D50" w:rsidRDefault="00E01EE9" w:rsidP="000C1EA7">
      <w:pPr>
        <w:spacing w:before="120" w:after="120" w:line="340" w:lineRule="atLeast"/>
        <w:rPr>
          <w:rFonts w:ascii="Arial" w:hAnsi="Arial" w:cs="Arial"/>
        </w:rPr>
      </w:pPr>
      <w:r w:rsidRPr="007B2D50">
        <w:rPr>
          <w:rFonts w:ascii="Arial" w:hAnsi="Arial" w:cs="Arial"/>
        </w:rPr>
        <w:t>W projekcie nowelizacji ustawy budżetowej przewidziano zmniejszenie wydatków w tej części o kwotę 5.000.000 tys. zł w całości w ramach dotacji i subwencji.</w:t>
      </w:r>
    </w:p>
    <w:p w14:paraId="26835F20" w14:textId="77777777" w:rsidR="00E01EE9" w:rsidRPr="007B2D50" w:rsidRDefault="00E01EE9" w:rsidP="000C1EA7">
      <w:pPr>
        <w:spacing w:before="120" w:after="120" w:line="340" w:lineRule="atLeast"/>
        <w:rPr>
          <w:rFonts w:ascii="Arial" w:hAnsi="Arial" w:cs="Arial"/>
        </w:rPr>
      </w:pPr>
      <w:r w:rsidRPr="007B2D50">
        <w:rPr>
          <w:rFonts w:ascii="Arial" w:hAnsi="Arial" w:cs="Arial"/>
        </w:rPr>
        <w:lastRenderedPageBreak/>
        <w:t xml:space="preserve">Zmiana poziomu wydatków wystąpiła w zakresie zmniejszenia dotacji z budżetu państwa dla Funduszu Ubezpieczeń Społecznych (FUS) w związku z niższym zapotrzebowaniem na uzupełniające środki dotacyjne dla FUS z budżetu państwa w wyniku lepszej od zakładanej sytuacji </w:t>
      </w:r>
      <w:r>
        <w:rPr>
          <w:rFonts w:ascii="Arial" w:hAnsi="Arial" w:cs="Arial"/>
        </w:rPr>
        <w:t>na rynku pracy</w:t>
      </w:r>
      <w:r w:rsidRPr="007B2D50">
        <w:rPr>
          <w:rFonts w:ascii="Arial" w:hAnsi="Arial" w:cs="Arial"/>
        </w:rPr>
        <w:t>.</w:t>
      </w:r>
    </w:p>
    <w:p w14:paraId="18E51C07" w14:textId="77777777" w:rsidR="00E01EE9" w:rsidRPr="005C7626" w:rsidRDefault="00E01EE9" w:rsidP="000C1EA7">
      <w:pPr>
        <w:spacing w:before="120" w:after="120" w:line="340" w:lineRule="atLeast"/>
        <w:rPr>
          <w:rFonts w:ascii="Arial" w:hAnsi="Arial" w:cs="Arial"/>
        </w:rPr>
      </w:pPr>
      <w:r w:rsidRPr="007B2D50">
        <w:rPr>
          <w:rFonts w:ascii="Arial" w:hAnsi="Arial" w:cs="Arial"/>
        </w:rPr>
        <w:t>Po dokonaniu powyższej zmiany wydatki w części 73 – Zakład Ubezpieczeń Społec</w:t>
      </w:r>
      <w:r w:rsidR="00744B5B">
        <w:rPr>
          <w:rFonts w:ascii="Arial" w:hAnsi="Arial" w:cs="Arial"/>
        </w:rPr>
        <w:t>znych zmniejszą się do kwoty 114</w:t>
      </w:r>
      <w:r w:rsidRPr="007B2D50">
        <w:rPr>
          <w:rFonts w:ascii="Arial" w:hAnsi="Arial" w:cs="Arial"/>
        </w:rPr>
        <w:t xml:space="preserve">.358.488 tys. zł, w tym dotacje i subwencje do wysokości </w:t>
      </w:r>
      <w:r>
        <w:rPr>
          <w:rFonts w:ascii="Arial" w:hAnsi="Arial" w:cs="Arial"/>
        </w:rPr>
        <w:t>61</w:t>
      </w:r>
      <w:r w:rsidRPr="007B2D50">
        <w:rPr>
          <w:rFonts w:ascii="Arial" w:hAnsi="Arial" w:cs="Arial"/>
        </w:rPr>
        <w:t>.703.362 tys. zł.</w:t>
      </w:r>
    </w:p>
    <w:p w14:paraId="2871045F" w14:textId="77777777" w:rsidR="00FC2CD6" w:rsidRPr="009C5C2E" w:rsidRDefault="00FC2CD6" w:rsidP="007A3F8C">
      <w:pPr>
        <w:spacing w:before="360" w:after="120" w:line="340" w:lineRule="atLeast"/>
        <w:rPr>
          <w:rFonts w:ascii="Arial" w:hAnsi="Arial" w:cs="Arial"/>
          <w:b/>
        </w:rPr>
      </w:pPr>
      <w:r w:rsidRPr="009C5C2E">
        <w:rPr>
          <w:rFonts w:ascii="Arial" w:hAnsi="Arial" w:cs="Arial"/>
          <w:b/>
        </w:rPr>
        <w:t>Część 79 – Obsługa długu Skarbu Państwa</w:t>
      </w:r>
    </w:p>
    <w:p w14:paraId="12C18376" w14:textId="77777777" w:rsidR="00FC2CD6" w:rsidRPr="00CD35DD" w:rsidRDefault="00FC2CD6" w:rsidP="000C1EA7">
      <w:pPr>
        <w:spacing w:before="120" w:after="120" w:line="340" w:lineRule="atLeast"/>
        <w:rPr>
          <w:rFonts w:ascii="Arial" w:hAnsi="Arial" w:cs="Arial"/>
        </w:rPr>
      </w:pPr>
      <w:r w:rsidRPr="00CD35DD">
        <w:rPr>
          <w:rFonts w:ascii="Arial" w:hAnsi="Arial" w:cs="Arial"/>
        </w:rPr>
        <w:t>W ustawie budżetowej na rok 2023 w części 79 – Obsługa długu Skarbu Państwa zaplanowano wydatki w kwocie 66.000.000 tys. zł, z tego na:</w:t>
      </w:r>
    </w:p>
    <w:p w14:paraId="24DCFC44" w14:textId="77777777" w:rsidR="00FC2CD6" w:rsidRPr="00CD35DD" w:rsidRDefault="00FC2CD6" w:rsidP="005C7626">
      <w:pPr>
        <w:pStyle w:val="Akapitzlist"/>
        <w:numPr>
          <w:ilvl w:val="0"/>
          <w:numId w:val="19"/>
        </w:numPr>
        <w:spacing w:beforeLines="50" w:before="120" w:line="340" w:lineRule="atLeast"/>
        <w:ind w:left="425" w:hanging="425"/>
        <w:rPr>
          <w:rFonts w:cs="Arial"/>
        </w:rPr>
      </w:pPr>
      <w:r w:rsidRPr="00CD35DD">
        <w:rPr>
          <w:rFonts w:cs="Arial"/>
        </w:rPr>
        <w:t>obsługę zadłużenia, należności i innych operacji finansowych Skarbu Państwa na rynku krajowym w wysokości 60.186.816 tys. zł,</w:t>
      </w:r>
    </w:p>
    <w:p w14:paraId="4CC69199" w14:textId="77777777" w:rsidR="00FC2CD6" w:rsidRPr="00CD35DD" w:rsidRDefault="00FC2CD6" w:rsidP="000C1EA7">
      <w:pPr>
        <w:pStyle w:val="Akapitzlist"/>
        <w:numPr>
          <w:ilvl w:val="0"/>
          <w:numId w:val="19"/>
        </w:numPr>
        <w:spacing w:beforeLines="120" w:before="288" w:line="340" w:lineRule="atLeast"/>
        <w:ind w:left="426" w:hanging="426"/>
        <w:jc w:val="left"/>
        <w:rPr>
          <w:rFonts w:cs="Arial"/>
        </w:rPr>
      </w:pPr>
      <w:r w:rsidRPr="00CD35DD">
        <w:rPr>
          <w:rFonts w:cs="Arial"/>
        </w:rPr>
        <w:t>obsługę zadłużenia, należności i innych operacji finansowych Skarbu Państwa na rynkach zagranicznych</w:t>
      </w:r>
      <w:r w:rsidR="00444CD6">
        <w:rPr>
          <w:rFonts w:cs="Arial"/>
        </w:rPr>
        <w:t xml:space="preserve"> w</w:t>
      </w:r>
      <w:r w:rsidRPr="00CD35DD">
        <w:rPr>
          <w:rFonts w:cs="Arial"/>
        </w:rPr>
        <w:t xml:space="preserve"> wysokości 5.813.184 tys. zł,</w:t>
      </w:r>
    </w:p>
    <w:p w14:paraId="78CC6CB3" w14:textId="77777777" w:rsidR="00FC2CD6" w:rsidRPr="00CD35DD" w:rsidRDefault="00FC2CD6" w:rsidP="000C1EA7">
      <w:pPr>
        <w:spacing w:beforeLines="120" w:before="288" w:after="120" w:line="340" w:lineRule="atLeast"/>
        <w:contextualSpacing/>
        <w:rPr>
          <w:rFonts w:ascii="Arial" w:hAnsi="Arial" w:cs="Arial"/>
        </w:rPr>
      </w:pPr>
      <w:r w:rsidRPr="00CD35DD">
        <w:rPr>
          <w:rFonts w:ascii="Arial" w:hAnsi="Arial" w:cs="Arial"/>
        </w:rPr>
        <w:t>W projekcie nowelizacji ustawy budżetowej przewidziano zmniejszenie limitu wydatków tej cz</w:t>
      </w:r>
      <w:r w:rsidR="00676967" w:rsidRPr="00CD35DD">
        <w:rPr>
          <w:rFonts w:ascii="Arial" w:hAnsi="Arial" w:cs="Arial"/>
        </w:rPr>
        <w:t>ęści o kwotę 4</w:t>
      </w:r>
      <w:r w:rsidRPr="00CD35DD">
        <w:rPr>
          <w:rFonts w:ascii="Arial" w:hAnsi="Arial" w:cs="Arial"/>
        </w:rPr>
        <w:t>.000.000 tys. zł. Zmiana poziomu wydatków wystąpiła w zakresie:</w:t>
      </w:r>
    </w:p>
    <w:p w14:paraId="5573123A" w14:textId="77777777" w:rsidR="00FC2CD6" w:rsidRPr="00CD35DD" w:rsidRDefault="00FC2CD6" w:rsidP="000C1EA7">
      <w:pPr>
        <w:pStyle w:val="Akapitzlist"/>
        <w:numPr>
          <w:ilvl w:val="0"/>
          <w:numId w:val="20"/>
        </w:numPr>
        <w:spacing w:beforeLines="50" w:before="120" w:line="340" w:lineRule="atLeast"/>
        <w:ind w:left="425" w:hanging="425"/>
        <w:jc w:val="left"/>
        <w:rPr>
          <w:rFonts w:cs="Arial"/>
        </w:rPr>
      </w:pPr>
      <w:r w:rsidRPr="00CD35DD">
        <w:rPr>
          <w:rFonts w:cs="Arial"/>
        </w:rPr>
        <w:t>zmniejszenia wydatków przewidzianych na obsługę zadłużenia, należności i innych operacji finansowych Skarbu Pań</w:t>
      </w:r>
      <w:r w:rsidR="00676967" w:rsidRPr="00CD35DD">
        <w:rPr>
          <w:rFonts w:cs="Arial"/>
        </w:rPr>
        <w:t>stwa na rynku krajowym o kwotę 5</w:t>
      </w:r>
      <w:r w:rsidRPr="00CD35DD">
        <w:rPr>
          <w:rFonts w:cs="Arial"/>
        </w:rPr>
        <w:t>.456.777 tys. zł,</w:t>
      </w:r>
    </w:p>
    <w:p w14:paraId="3A8F1702" w14:textId="77777777" w:rsidR="00FC2CD6" w:rsidRPr="00CD35DD" w:rsidRDefault="00FC2CD6" w:rsidP="000C1EA7">
      <w:pPr>
        <w:pStyle w:val="Akapitzlist"/>
        <w:numPr>
          <w:ilvl w:val="0"/>
          <w:numId w:val="20"/>
        </w:numPr>
        <w:spacing w:beforeLines="120" w:before="288" w:line="340" w:lineRule="atLeast"/>
        <w:ind w:left="426" w:hanging="426"/>
        <w:jc w:val="left"/>
        <w:rPr>
          <w:rFonts w:cs="Arial"/>
        </w:rPr>
      </w:pPr>
      <w:r w:rsidRPr="00CD35DD">
        <w:rPr>
          <w:rFonts w:cs="Arial"/>
        </w:rPr>
        <w:t xml:space="preserve">zwiększenia wydatków przewidzianych na obsługę zadłużenia, należności i innych </w:t>
      </w:r>
      <w:r w:rsidRPr="00CD35DD">
        <w:rPr>
          <w:rFonts w:cs="Arial"/>
          <w:spacing w:val="-4"/>
        </w:rPr>
        <w:t>operacji finansowych Skarbu Państwa na rynkach zagranicznych o kwotę 1.456.777 tys. zł,</w:t>
      </w:r>
    </w:p>
    <w:p w14:paraId="1E727CB3" w14:textId="77777777" w:rsidR="00FC2CD6" w:rsidRPr="00CD35DD" w:rsidRDefault="00FC2CD6" w:rsidP="000C1EA7">
      <w:pPr>
        <w:spacing w:beforeLines="120" w:before="288" w:after="120" w:line="340" w:lineRule="atLeast"/>
        <w:contextualSpacing/>
        <w:rPr>
          <w:rFonts w:ascii="Arial" w:hAnsi="Arial" w:cs="Arial"/>
        </w:rPr>
      </w:pPr>
      <w:r w:rsidRPr="00CD35DD">
        <w:rPr>
          <w:rFonts w:ascii="Arial" w:hAnsi="Arial" w:cs="Arial"/>
        </w:rPr>
        <w:t>Przewidywany spadek wydatków z tytułu obsługi długu Skarbu Państwa wynika głównie z niższego niż zakładano poziomu stóp procentowych oraz niższego poziomu obsługiwanego zadłużenia.</w:t>
      </w:r>
    </w:p>
    <w:p w14:paraId="292691C1" w14:textId="77777777" w:rsidR="00FC2CD6" w:rsidRPr="00CD35DD" w:rsidRDefault="00FC2CD6" w:rsidP="000C1EA7">
      <w:pPr>
        <w:spacing w:beforeLines="120" w:before="288" w:after="120" w:line="340" w:lineRule="atLeast"/>
        <w:contextualSpacing/>
        <w:rPr>
          <w:rFonts w:ascii="Arial" w:hAnsi="Arial" w:cs="Arial"/>
        </w:rPr>
      </w:pPr>
      <w:r w:rsidRPr="00CD35DD">
        <w:rPr>
          <w:rFonts w:ascii="Arial" w:hAnsi="Arial" w:cs="Arial"/>
        </w:rPr>
        <w:t>Po dokonaniu powyższych zmian wydatki w części 79 – Obsługa długu Skarbu P</w:t>
      </w:r>
      <w:r w:rsidR="00676967" w:rsidRPr="00CD35DD">
        <w:rPr>
          <w:rFonts w:ascii="Arial" w:hAnsi="Arial" w:cs="Arial"/>
        </w:rPr>
        <w:t>aństwa zmniejszą się do kwoty 62</w:t>
      </w:r>
      <w:r w:rsidRPr="00CD35DD">
        <w:rPr>
          <w:rFonts w:ascii="Arial" w:hAnsi="Arial" w:cs="Arial"/>
        </w:rPr>
        <w:t>.000.000 tys. zł. Złożą się na nie wydatki na:</w:t>
      </w:r>
    </w:p>
    <w:p w14:paraId="47B271D4" w14:textId="77777777" w:rsidR="00FC2CD6" w:rsidRPr="00CD35DD" w:rsidRDefault="00FC2CD6" w:rsidP="005C7626">
      <w:pPr>
        <w:pStyle w:val="Akapitzlist"/>
        <w:numPr>
          <w:ilvl w:val="0"/>
          <w:numId w:val="21"/>
        </w:numPr>
        <w:spacing w:beforeLines="50" w:before="120" w:line="340" w:lineRule="atLeast"/>
        <w:ind w:left="425" w:hanging="425"/>
        <w:rPr>
          <w:rFonts w:cs="Arial"/>
        </w:rPr>
      </w:pPr>
      <w:r w:rsidRPr="00CD35DD">
        <w:rPr>
          <w:rFonts w:cs="Arial"/>
        </w:rPr>
        <w:t>obsługę zadłużenia, należności i innych operacji finansowych Skarbu Państwa na rynku krajowym w wysokości 53.730.039 tys. zł,</w:t>
      </w:r>
    </w:p>
    <w:p w14:paraId="23C5AE41" w14:textId="77777777" w:rsidR="00FC2CD6" w:rsidRDefault="00FC2CD6" w:rsidP="005C7626">
      <w:pPr>
        <w:pStyle w:val="Akapitzlist"/>
        <w:numPr>
          <w:ilvl w:val="0"/>
          <w:numId w:val="21"/>
        </w:numPr>
        <w:spacing w:beforeLines="120" w:before="288" w:line="340" w:lineRule="atLeast"/>
        <w:ind w:left="426" w:hanging="426"/>
        <w:rPr>
          <w:rFonts w:cs="Arial"/>
        </w:rPr>
      </w:pPr>
      <w:r w:rsidRPr="00CD35DD">
        <w:rPr>
          <w:rFonts w:cs="Arial"/>
        </w:rPr>
        <w:t>obsługę zadłużenia, należności i innych operacji finansowych Skarbu Państwa na rynkach zagranicznych w wysokości 7.269.961 tys. zł.</w:t>
      </w:r>
    </w:p>
    <w:p w14:paraId="71BABE17" w14:textId="77777777" w:rsidR="009C5C2E" w:rsidRPr="009C5C2E" w:rsidRDefault="009C5C2E" w:rsidP="009C5C2E">
      <w:pPr>
        <w:spacing w:before="360" w:after="120" w:line="340" w:lineRule="atLeast"/>
        <w:rPr>
          <w:rFonts w:ascii="Arial" w:hAnsi="Arial" w:cs="Arial"/>
          <w:b/>
        </w:rPr>
      </w:pPr>
      <w:r w:rsidRPr="00744B5B">
        <w:rPr>
          <w:rFonts w:ascii="Arial" w:hAnsi="Arial" w:cs="Arial"/>
          <w:b/>
        </w:rPr>
        <w:t xml:space="preserve">Część 83 </w:t>
      </w:r>
      <w:r w:rsidRPr="009C5C2E">
        <w:rPr>
          <w:rFonts w:ascii="Arial" w:hAnsi="Arial" w:cs="Arial"/>
          <w:b/>
        </w:rPr>
        <w:t>–</w:t>
      </w:r>
      <w:r w:rsidRPr="00744B5B">
        <w:rPr>
          <w:rFonts w:ascii="Arial" w:hAnsi="Arial" w:cs="Arial"/>
          <w:b/>
        </w:rPr>
        <w:t xml:space="preserve"> Rezerwy celowe</w:t>
      </w:r>
      <w:r w:rsidRPr="00744B5B">
        <w:rPr>
          <w:rFonts w:ascii="Arial" w:hAnsi="Arial" w:cs="Arial"/>
          <w:b/>
        </w:rPr>
        <w:tab/>
      </w:r>
    </w:p>
    <w:p w14:paraId="241B6754" w14:textId="77777777" w:rsidR="009C5C2E" w:rsidRPr="003F7336" w:rsidRDefault="009C5C2E" w:rsidP="000C1EA7">
      <w:pPr>
        <w:spacing w:before="240" w:after="120" w:line="340" w:lineRule="atLeast"/>
        <w:rPr>
          <w:rFonts w:ascii="Arial" w:hAnsi="Arial" w:cs="Arial"/>
          <w:i/>
        </w:rPr>
      </w:pPr>
      <w:r w:rsidRPr="002431A4">
        <w:rPr>
          <w:rFonts w:ascii="Arial" w:hAnsi="Arial" w:cs="Arial"/>
          <w:i/>
        </w:rPr>
        <w:t xml:space="preserve">Poz. 40 – </w:t>
      </w:r>
      <w:r w:rsidRPr="0042386B">
        <w:rPr>
          <w:rFonts w:ascii="Arial" w:hAnsi="Arial" w:cs="Arial"/>
          <w:i/>
        </w:rPr>
        <w:t xml:space="preserve">Środki na odbudowę </w:t>
      </w:r>
      <w:r w:rsidRPr="003F7336">
        <w:rPr>
          <w:rFonts w:ascii="Arial" w:hAnsi="Arial" w:cs="Arial"/>
          <w:i/>
        </w:rPr>
        <w:t>dochodów budżetu państwa oraz na zadania związane z funkcjonowaniem systemu finansów publicznych</w:t>
      </w:r>
      <w:r w:rsidR="001E0BCB" w:rsidRPr="003F7336">
        <w:rPr>
          <w:rFonts w:ascii="Arial" w:hAnsi="Arial" w:cs="Arial"/>
          <w:i/>
        </w:rPr>
        <w:t xml:space="preserve">, </w:t>
      </w:r>
      <w:r w:rsidR="003F7336" w:rsidRPr="003F7336">
        <w:rPr>
          <w:rFonts w:ascii="Arial" w:hAnsi="Arial" w:cs="Arial"/>
        </w:rPr>
        <w:t xml:space="preserve">zmniejszono o 125.152 tys. zł tj. </w:t>
      </w:r>
      <w:r w:rsidR="001E0BCB" w:rsidRPr="003F7336">
        <w:rPr>
          <w:rFonts w:ascii="Arial" w:hAnsi="Arial" w:cs="Arial"/>
        </w:rPr>
        <w:t>do kwoty 1.616.586 tys. zł</w:t>
      </w:r>
      <w:r w:rsidR="003F7336">
        <w:rPr>
          <w:rFonts w:ascii="Arial" w:hAnsi="Arial" w:cs="Arial"/>
        </w:rPr>
        <w:t xml:space="preserve"> – przeniesienie</w:t>
      </w:r>
      <w:r w:rsidRPr="004A2B40">
        <w:rPr>
          <w:rFonts w:ascii="Arial" w:hAnsi="Arial" w:cs="Arial"/>
        </w:rPr>
        <w:t xml:space="preserve"> do części </w:t>
      </w:r>
      <w:r>
        <w:rPr>
          <w:rFonts w:ascii="Arial" w:hAnsi="Arial" w:cs="Arial"/>
        </w:rPr>
        <w:t>19</w:t>
      </w:r>
      <w:r w:rsidRPr="004A2B40">
        <w:rPr>
          <w:rFonts w:ascii="Arial" w:hAnsi="Arial" w:cs="Arial"/>
        </w:rPr>
        <w:t xml:space="preserve"> – </w:t>
      </w:r>
      <w:r w:rsidRPr="00CD35DD">
        <w:rPr>
          <w:rFonts w:ascii="Arial" w:hAnsi="Arial" w:cs="Arial"/>
        </w:rPr>
        <w:t>Budżet, finanse p</w:t>
      </w:r>
      <w:r>
        <w:rPr>
          <w:rFonts w:ascii="Arial" w:hAnsi="Arial" w:cs="Arial"/>
        </w:rPr>
        <w:t>ubliczne i instytucje finansowe.</w:t>
      </w:r>
    </w:p>
    <w:p w14:paraId="4A57B571" w14:textId="77777777" w:rsidR="009C5C2E" w:rsidRPr="003F7336" w:rsidRDefault="009C5C2E" w:rsidP="000C1EA7">
      <w:pPr>
        <w:spacing w:before="360" w:after="120" w:line="340" w:lineRule="atLeast"/>
        <w:rPr>
          <w:rFonts w:ascii="Arial" w:hAnsi="Arial" w:cs="Arial"/>
          <w:i/>
        </w:rPr>
      </w:pPr>
      <w:r w:rsidRPr="002431A4">
        <w:rPr>
          <w:rFonts w:ascii="Arial" w:hAnsi="Arial" w:cs="Arial"/>
          <w:i/>
        </w:rPr>
        <w:lastRenderedPageBreak/>
        <w:t xml:space="preserve">Poz. 49 – </w:t>
      </w:r>
      <w:r w:rsidRPr="0042386B">
        <w:rPr>
          <w:rFonts w:ascii="Arial" w:hAnsi="Arial" w:cs="Arial"/>
          <w:i/>
        </w:rPr>
        <w:t>Utrzymanie rezultatów niektórych projektów zrealizowanych przy udziale środków z UE, w tym systemy informatyczne, a także środki na wsparcie potencjału realizacji zadań publicznych oraz na uzupełnienie dochodów jednostek samorządu terytorialnego</w:t>
      </w:r>
      <w:r w:rsidR="001E0BCB">
        <w:rPr>
          <w:rFonts w:ascii="Arial" w:hAnsi="Arial" w:cs="Arial"/>
          <w:i/>
        </w:rPr>
        <w:t xml:space="preserve">, </w:t>
      </w:r>
      <w:r w:rsidR="003F7336">
        <w:rPr>
          <w:rFonts w:ascii="Arial" w:hAnsi="Arial" w:cs="Arial"/>
        </w:rPr>
        <w:t>zmniejszono o 1.395.142 tys</w:t>
      </w:r>
      <w:r w:rsidR="002A64F8">
        <w:rPr>
          <w:rFonts w:ascii="Arial" w:hAnsi="Arial" w:cs="Arial"/>
        </w:rPr>
        <w:t>.</w:t>
      </w:r>
      <w:r w:rsidR="003F7336">
        <w:rPr>
          <w:rFonts w:ascii="Arial" w:hAnsi="Arial" w:cs="Arial"/>
        </w:rPr>
        <w:t xml:space="preserve"> zł, tj. </w:t>
      </w:r>
      <w:r w:rsidR="001E0BCB" w:rsidRPr="001E0BCB">
        <w:rPr>
          <w:rFonts w:ascii="Arial" w:hAnsi="Arial" w:cs="Arial"/>
        </w:rPr>
        <w:t>do kwoty</w:t>
      </w:r>
      <w:r w:rsidR="001E0BCB">
        <w:rPr>
          <w:rFonts w:ascii="Arial" w:hAnsi="Arial" w:cs="Arial"/>
        </w:rPr>
        <w:t xml:space="preserve"> 2.652.826 tys. zł.</w:t>
      </w:r>
      <w:r w:rsidR="003F7336">
        <w:rPr>
          <w:rFonts w:ascii="Arial" w:hAnsi="Arial" w:cs="Arial"/>
          <w:i/>
        </w:rPr>
        <w:t xml:space="preserve"> – </w:t>
      </w:r>
      <w:r w:rsidR="00C008AA">
        <w:rPr>
          <w:rFonts w:ascii="Arial" w:hAnsi="Arial" w:cs="Arial"/>
        </w:rPr>
        <w:t>głównie na</w:t>
      </w:r>
      <w:r w:rsidR="00C008AA" w:rsidRPr="000C1EA7">
        <w:rPr>
          <w:rFonts w:ascii="Arial" w:hAnsi="Arial"/>
        </w:rPr>
        <w:t xml:space="preserve"> </w:t>
      </w:r>
      <w:r w:rsidR="003F7336">
        <w:rPr>
          <w:rFonts w:ascii="Arial" w:hAnsi="Arial" w:cs="Arial"/>
        </w:rPr>
        <w:t>przeniesienie</w:t>
      </w:r>
      <w:r w:rsidRPr="004A2B40">
        <w:rPr>
          <w:rFonts w:ascii="Arial" w:hAnsi="Arial" w:cs="Arial"/>
        </w:rPr>
        <w:t xml:space="preserve"> do części 82 – Subwencje ogólne dla jednostek samorządu terytorialnego.</w:t>
      </w:r>
    </w:p>
    <w:p w14:paraId="21D8852C" w14:textId="77777777" w:rsidR="001E0BCB" w:rsidRPr="001E0BCB" w:rsidRDefault="001E0BCB" w:rsidP="000C1EA7">
      <w:pPr>
        <w:spacing w:before="360" w:after="0" w:line="340" w:lineRule="atLeast"/>
        <w:rPr>
          <w:rFonts w:ascii="Arial" w:hAnsi="Arial" w:cs="Arial"/>
        </w:rPr>
      </w:pPr>
      <w:r w:rsidRPr="001E0BCB">
        <w:rPr>
          <w:rFonts w:ascii="Arial" w:hAnsi="Arial" w:cs="Arial"/>
          <w:i/>
        </w:rPr>
        <w:t xml:space="preserve">Poz. 68 </w:t>
      </w:r>
      <w:r w:rsidRPr="002431A4">
        <w:rPr>
          <w:rFonts w:ascii="Arial" w:hAnsi="Arial" w:cs="Arial"/>
          <w:i/>
        </w:rPr>
        <w:t>–</w:t>
      </w:r>
      <w:r w:rsidRPr="001E0BCB">
        <w:rPr>
          <w:rFonts w:ascii="Arial" w:hAnsi="Arial" w:cs="Arial"/>
          <w:i/>
        </w:rPr>
        <w:t xml:space="preserve"> Środki na zadania w obszarze zdrowia</w:t>
      </w:r>
      <w:r>
        <w:rPr>
          <w:rFonts w:ascii="Arial" w:hAnsi="Arial" w:cs="Arial"/>
          <w:i/>
        </w:rPr>
        <w:t xml:space="preserve">, </w:t>
      </w:r>
      <w:r w:rsidR="003F7336">
        <w:rPr>
          <w:rFonts w:ascii="Arial" w:hAnsi="Arial" w:cs="Arial"/>
        </w:rPr>
        <w:t>zmniejszono o 39.706 tys. zł, tj.</w:t>
      </w:r>
      <w:r w:rsidRPr="001E0BCB">
        <w:rPr>
          <w:rFonts w:ascii="Arial" w:hAnsi="Arial" w:cs="Arial"/>
        </w:rPr>
        <w:t xml:space="preserve"> do kwoty</w:t>
      </w:r>
      <w:r>
        <w:rPr>
          <w:rFonts w:ascii="Arial" w:hAnsi="Arial" w:cs="Arial"/>
        </w:rPr>
        <w:t xml:space="preserve"> 1.638.338 tys. zł</w:t>
      </w:r>
      <w:r w:rsidR="00EF0F2B">
        <w:rPr>
          <w:rFonts w:ascii="Arial" w:hAnsi="Arial" w:cs="Arial"/>
        </w:rPr>
        <w:t>, z przeznaczeniem na wzrost wynagrodzeń w</w:t>
      </w:r>
      <w:r w:rsidRPr="001E0BCB">
        <w:rPr>
          <w:rFonts w:ascii="Arial" w:hAnsi="Arial" w:cs="Arial"/>
        </w:rPr>
        <w:t xml:space="preserve"> części 85 – Województwa dział 851 – Ochrona zdrowia oraz w części 46 – Zdrowie </w:t>
      </w:r>
      <w:r w:rsidR="00EF0F2B">
        <w:rPr>
          <w:rFonts w:ascii="Arial" w:hAnsi="Arial" w:cs="Arial"/>
        </w:rPr>
        <w:t>(finansowanie</w:t>
      </w:r>
      <w:r w:rsidRPr="001E0BCB">
        <w:rPr>
          <w:rFonts w:ascii="Arial" w:hAnsi="Arial" w:cs="Arial"/>
        </w:rPr>
        <w:t xml:space="preserve"> w ramach zaplanowanych w ustawie budżetowej na rok 2023 nakładów na ochronę zdrowia</w:t>
      </w:r>
      <w:r w:rsidR="00EF0F2B">
        <w:rPr>
          <w:rFonts w:ascii="Arial" w:hAnsi="Arial" w:cs="Arial"/>
        </w:rPr>
        <w:t>).</w:t>
      </w:r>
    </w:p>
    <w:p w14:paraId="0A79A9A7" w14:textId="77777777" w:rsidR="00941165" w:rsidRDefault="00941165" w:rsidP="007A3F8C">
      <w:pPr>
        <w:spacing w:before="360" w:after="120" w:line="340" w:lineRule="atLeast"/>
        <w:rPr>
          <w:rFonts w:ascii="Arial" w:hAnsi="Arial" w:cs="Arial"/>
          <w:b/>
          <w:u w:val="single"/>
        </w:rPr>
      </w:pPr>
      <w:r w:rsidRPr="00CD35DD">
        <w:rPr>
          <w:rFonts w:ascii="Arial" w:hAnsi="Arial" w:cs="Arial"/>
          <w:b/>
          <w:u w:val="single"/>
        </w:rPr>
        <w:t>Zwiększenia wydatków budżetowych</w:t>
      </w:r>
    </w:p>
    <w:p w14:paraId="786E15C6" w14:textId="77777777" w:rsidR="00A95C85" w:rsidRDefault="00A95C85" w:rsidP="00AB7601">
      <w:pPr>
        <w:tabs>
          <w:tab w:val="left" w:pos="708"/>
          <w:tab w:val="left" w:pos="1416"/>
          <w:tab w:val="left" w:pos="2124"/>
          <w:tab w:val="left" w:pos="2832"/>
          <w:tab w:val="left" w:pos="3540"/>
          <w:tab w:val="left" w:pos="5349"/>
        </w:tabs>
        <w:spacing w:before="360" w:after="120" w:line="340" w:lineRule="atLeast"/>
        <w:rPr>
          <w:rFonts w:ascii="Arial" w:hAnsi="Arial" w:cs="Arial"/>
          <w:b/>
        </w:rPr>
      </w:pPr>
      <w:r>
        <w:rPr>
          <w:rFonts w:ascii="Arial" w:hAnsi="Arial" w:cs="Arial"/>
          <w:b/>
        </w:rPr>
        <w:t xml:space="preserve">Dodatkowe środki na wynagrodzenia i zmiany podstawy naliczania </w:t>
      </w:r>
      <w:r w:rsidRPr="00A95C85">
        <w:rPr>
          <w:rFonts w:ascii="Arial" w:hAnsi="Arial" w:cs="Arial"/>
          <w:b/>
        </w:rPr>
        <w:t>zakładowego funduszu świadczeń socjalnych</w:t>
      </w:r>
      <w:r w:rsidR="00444CD6">
        <w:rPr>
          <w:rFonts w:ascii="Arial" w:hAnsi="Arial" w:cs="Arial"/>
          <w:b/>
        </w:rPr>
        <w:t xml:space="preserve"> oraz funduszy socjalnych</w:t>
      </w:r>
    </w:p>
    <w:p w14:paraId="32465048" w14:textId="22B66FD8" w:rsidR="00A04C97" w:rsidRDefault="00A04C97" w:rsidP="000C1EA7">
      <w:pPr>
        <w:spacing w:before="360" w:after="120" w:line="340" w:lineRule="atLeast"/>
        <w:rPr>
          <w:rFonts w:ascii="Arial" w:hAnsi="Arial" w:cs="Arial"/>
        </w:rPr>
      </w:pPr>
      <w:r w:rsidRPr="00A95C85">
        <w:rPr>
          <w:rFonts w:ascii="Arial" w:hAnsi="Arial" w:cs="Arial"/>
        </w:rPr>
        <w:t>Projekt ustawy</w:t>
      </w:r>
      <w:r>
        <w:rPr>
          <w:rFonts w:ascii="Arial" w:hAnsi="Arial" w:cs="Arial"/>
        </w:rPr>
        <w:t xml:space="preserve"> o zmianie ustawy</w:t>
      </w:r>
      <w:r w:rsidRPr="00A95C85">
        <w:rPr>
          <w:rFonts w:ascii="Arial" w:hAnsi="Arial" w:cs="Arial"/>
        </w:rPr>
        <w:t xml:space="preserve"> budżetowej na rok 2023 uwzględnia</w:t>
      </w:r>
      <w:r>
        <w:rPr>
          <w:rFonts w:ascii="Arial" w:hAnsi="Arial" w:cs="Arial"/>
        </w:rPr>
        <w:t xml:space="preserve"> </w:t>
      </w:r>
      <w:r w:rsidRPr="00A95C85">
        <w:rPr>
          <w:rFonts w:ascii="Arial" w:hAnsi="Arial" w:cs="Arial"/>
        </w:rPr>
        <w:t xml:space="preserve">przekazanie dodatkowych środków na wynagrodzenia z możliwością ich przeznaczenia dla pracowników państwowej sfery budżetowej na jednorazowe wypłaty wynagrodzeń w 2023 r. Dodatkowe środki będą również skierowane dla nauczycieli. Rozwiązanie to ma na celu zmniejszenie negatywnego trendu związanego z poziomem inflacji i poprawę sytuacji pracowników państwowej sfery budżetowej oraz nauczycieli. </w:t>
      </w:r>
      <w:r w:rsidRPr="00DC2983">
        <w:rPr>
          <w:rFonts w:ascii="Arial" w:hAnsi="Arial" w:cs="Arial"/>
        </w:rPr>
        <w:t xml:space="preserve">Przyznanie </w:t>
      </w:r>
      <w:r>
        <w:rPr>
          <w:rFonts w:ascii="Arial" w:hAnsi="Arial" w:cs="Arial"/>
        </w:rPr>
        <w:t>jednorazowych świadczeń</w:t>
      </w:r>
      <w:r w:rsidRPr="00DC2983">
        <w:rPr>
          <w:rFonts w:ascii="Arial" w:hAnsi="Arial" w:cs="Arial"/>
        </w:rPr>
        <w:t xml:space="preserve"> będzie możliw</w:t>
      </w:r>
      <w:r>
        <w:rPr>
          <w:rFonts w:ascii="Arial" w:hAnsi="Arial" w:cs="Arial"/>
        </w:rPr>
        <w:t>e</w:t>
      </w:r>
      <w:r w:rsidRPr="00DC2983">
        <w:rPr>
          <w:rFonts w:ascii="Arial" w:hAnsi="Arial" w:cs="Arial"/>
        </w:rPr>
        <w:t xml:space="preserve"> również z tytułu realizacji projektów finansowanych w ramach programów unijnych, tj.</w:t>
      </w:r>
      <w:r>
        <w:rPr>
          <w:rFonts w:ascii="Arial" w:hAnsi="Arial" w:cs="Arial"/>
        </w:rPr>
        <w:t> </w:t>
      </w:r>
      <w:r w:rsidRPr="00DC2983">
        <w:rPr>
          <w:rFonts w:ascii="Arial" w:hAnsi="Arial" w:cs="Arial"/>
        </w:rPr>
        <w:t xml:space="preserve">programów realizowanych z udziałem środków, o których mowa w art. 5 ust. 1 pkt 2 lub 3 </w:t>
      </w:r>
      <w:r>
        <w:rPr>
          <w:rFonts w:ascii="Arial" w:hAnsi="Arial" w:cs="Arial"/>
        </w:rPr>
        <w:t xml:space="preserve">ustawy o finansach publicznych. </w:t>
      </w:r>
      <w:r w:rsidRPr="00DC2983">
        <w:rPr>
          <w:rFonts w:ascii="Arial" w:hAnsi="Arial" w:cs="Arial"/>
        </w:rPr>
        <w:t xml:space="preserve">Źródłem </w:t>
      </w:r>
      <w:r>
        <w:rPr>
          <w:rFonts w:ascii="Arial" w:hAnsi="Arial" w:cs="Arial"/>
        </w:rPr>
        <w:t xml:space="preserve">ich </w:t>
      </w:r>
      <w:r w:rsidRPr="00DC2983">
        <w:rPr>
          <w:rFonts w:ascii="Arial" w:hAnsi="Arial" w:cs="Arial"/>
        </w:rPr>
        <w:t>sfinansowania będą mogły być środki uruchomione z rezerw celowych, tj. budżetu państwa poz. 8 i budżetu środków europejskich poz. 99.</w:t>
      </w:r>
    </w:p>
    <w:p w14:paraId="4E829DAB" w14:textId="77777777" w:rsidR="006147E2" w:rsidRDefault="00A95C85" w:rsidP="000C1EA7">
      <w:pPr>
        <w:spacing w:before="360" w:after="360" w:line="340" w:lineRule="atLeast"/>
        <w:rPr>
          <w:rFonts w:ascii="Arial" w:hAnsi="Arial" w:cs="Arial"/>
        </w:rPr>
      </w:pPr>
      <w:r w:rsidRPr="00A95C85">
        <w:rPr>
          <w:rFonts w:ascii="Arial" w:hAnsi="Arial" w:cs="Arial"/>
        </w:rPr>
        <w:t xml:space="preserve">Jednocześnie planuje się </w:t>
      </w:r>
      <w:r w:rsidR="005C7626">
        <w:rPr>
          <w:rFonts w:ascii="Arial" w:hAnsi="Arial" w:cs="Arial"/>
        </w:rPr>
        <w:t>odmrożenie od 1 </w:t>
      </w:r>
      <w:r w:rsidRPr="00A95C85">
        <w:rPr>
          <w:rFonts w:ascii="Arial" w:hAnsi="Arial" w:cs="Arial"/>
        </w:rPr>
        <w:t>lipca 2023 r. podstaw naliczania zakładowego funduszu świadczeń socjalnych oraz funduszy socjalnych (o kolejne 2 lata) w stosunku do wielkości zaplanowanej na rok 2023. Proponowane rozwiązanie umożliwi przeznaczenie przez pracodawców wyższych środków na działalność socjalną organizowaną na rzecz pracowników (w tym: m.in.: pracowników państwowej sfery budżetowej i nauczycieli) oraz emerytów i rencistów otrzymujących świadczenia z zaopatrzenia emerytalnego służb mundurowych. Przyczyni się zatem do wsparcia i de facto do poprawy warunków życiowych pracown</w:t>
      </w:r>
      <w:r>
        <w:rPr>
          <w:rFonts w:ascii="Arial" w:hAnsi="Arial" w:cs="Arial"/>
        </w:rPr>
        <w:t>ików i inny</w:t>
      </w:r>
      <w:r w:rsidR="009C3F4E">
        <w:rPr>
          <w:rFonts w:ascii="Arial" w:hAnsi="Arial" w:cs="Arial"/>
        </w:rPr>
        <w:t>ch uprawnionych osób.</w:t>
      </w:r>
    </w:p>
    <w:tbl>
      <w:tblPr>
        <w:tblW w:w="9202" w:type="dxa"/>
        <w:tblCellMar>
          <w:left w:w="70" w:type="dxa"/>
          <w:right w:w="70" w:type="dxa"/>
        </w:tblCellMar>
        <w:tblLook w:val="04A0" w:firstRow="1" w:lastRow="0" w:firstColumn="1" w:lastColumn="0" w:noHBand="0" w:noVBand="1"/>
      </w:tblPr>
      <w:tblGrid>
        <w:gridCol w:w="688"/>
        <w:gridCol w:w="3957"/>
        <w:gridCol w:w="2520"/>
        <w:gridCol w:w="2037"/>
      </w:tblGrid>
      <w:tr w:rsidR="009C3F4E" w:rsidRPr="009C3F4E" w14:paraId="7F9A26EB" w14:textId="77777777" w:rsidTr="006147E2">
        <w:trPr>
          <w:trHeight w:val="649"/>
          <w:tblHeader/>
        </w:trPr>
        <w:tc>
          <w:tcPr>
            <w:tcW w:w="464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3E775DA"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lastRenderedPageBreak/>
              <w:t>Wyszczególnienie</w:t>
            </w:r>
          </w:p>
        </w:tc>
        <w:tc>
          <w:tcPr>
            <w:tcW w:w="2520" w:type="dxa"/>
            <w:tcBorders>
              <w:top w:val="single" w:sz="4" w:space="0" w:color="auto"/>
              <w:left w:val="nil"/>
              <w:bottom w:val="single" w:sz="4" w:space="0" w:color="auto"/>
              <w:right w:val="single" w:sz="4" w:space="0" w:color="auto"/>
            </w:tcBorders>
            <w:shd w:val="clear" w:color="auto" w:fill="auto"/>
            <w:vAlign w:val="center"/>
            <w:hideMark/>
          </w:tcPr>
          <w:p w14:paraId="61A0DFAB"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Jednorazowe w</w:t>
            </w:r>
            <w:r w:rsidR="002A64F8">
              <w:rPr>
                <w:rFonts w:ascii="Arial" w:eastAsia="Times New Roman" w:hAnsi="Arial" w:cs="Arial"/>
                <w:sz w:val="20"/>
                <w:szCs w:val="20"/>
                <w:lang w:eastAsia="pl-PL"/>
              </w:rPr>
              <w:t>y</w:t>
            </w:r>
            <w:r w:rsidRPr="009C3F4E">
              <w:rPr>
                <w:rFonts w:ascii="Arial" w:eastAsia="Times New Roman" w:hAnsi="Arial" w:cs="Arial"/>
                <w:sz w:val="20"/>
                <w:szCs w:val="20"/>
                <w:lang w:eastAsia="pl-PL"/>
              </w:rPr>
              <w:t>płaty wynagrodzeń oraz nagrody specjalne dla nauczycieli</w:t>
            </w:r>
          </w:p>
        </w:tc>
        <w:tc>
          <w:tcPr>
            <w:tcW w:w="2037" w:type="dxa"/>
            <w:tcBorders>
              <w:top w:val="single" w:sz="4" w:space="0" w:color="auto"/>
              <w:left w:val="nil"/>
              <w:bottom w:val="single" w:sz="4" w:space="0" w:color="auto"/>
              <w:right w:val="single" w:sz="4" w:space="0" w:color="auto"/>
            </w:tcBorders>
            <w:shd w:val="clear" w:color="auto" w:fill="auto"/>
            <w:vAlign w:val="center"/>
            <w:hideMark/>
          </w:tcPr>
          <w:p w14:paraId="73B19B27"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Skutki zmiany podstawy naliczania funduszy socjalnych</w:t>
            </w:r>
          </w:p>
        </w:tc>
      </w:tr>
      <w:tr w:rsidR="009C3F4E" w:rsidRPr="009C3F4E" w14:paraId="04BEA101" w14:textId="77777777" w:rsidTr="006147E2">
        <w:trPr>
          <w:trHeight w:val="141"/>
          <w:tblHeader/>
        </w:trPr>
        <w:tc>
          <w:tcPr>
            <w:tcW w:w="4645" w:type="dxa"/>
            <w:gridSpan w:val="2"/>
            <w:vMerge/>
            <w:tcBorders>
              <w:top w:val="single" w:sz="4" w:space="0" w:color="auto"/>
              <w:left w:val="single" w:sz="4" w:space="0" w:color="auto"/>
              <w:bottom w:val="single" w:sz="4" w:space="0" w:color="000000"/>
              <w:right w:val="single" w:sz="4" w:space="0" w:color="000000"/>
            </w:tcBorders>
            <w:vAlign w:val="center"/>
            <w:hideMark/>
          </w:tcPr>
          <w:p w14:paraId="57D3FA09" w14:textId="77777777" w:rsidR="009C3F4E" w:rsidRPr="009C3F4E" w:rsidRDefault="009C3F4E" w:rsidP="00F02EA3">
            <w:pPr>
              <w:spacing w:after="0" w:line="240" w:lineRule="auto"/>
              <w:rPr>
                <w:rFonts w:ascii="Arial" w:eastAsia="Times New Roman" w:hAnsi="Arial" w:cs="Arial"/>
                <w:sz w:val="20"/>
                <w:szCs w:val="20"/>
                <w:lang w:eastAsia="pl-PL"/>
              </w:rPr>
            </w:pPr>
          </w:p>
        </w:tc>
        <w:tc>
          <w:tcPr>
            <w:tcW w:w="4557" w:type="dxa"/>
            <w:gridSpan w:val="2"/>
            <w:tcBorders>
              <w:top w:val="single" w:sz="4" w:space="0" w:color="auto"/>
              <w:left w:val="nil"/>
              <w:bottom w:val="single" w:sz="4" w:space="0" w:color="auto"/>
              <w:right w:val="single" w:sz="4" w:space="0" w:color="auto"/>
            </w:tcBorders>
            <w:shd w:val="clear" w:color="auto" w:fill="auto"/>
            <w:vAlign w:val="bottom"/>
            <w:hideMark/>
          </w:tcPr>
          <w:p w14:paraId="7A2BFE10" w14:textId="77777777" w:rsidR="009C3F4E" w:rsidRPr="009C3F4E" w:rsidRDefault="009C3F4E" w:rsidP="00F02EA3">
            <w:pPr>
              <w:spacing w:after="0" w:line="240" w:lineRule="auto"/>
              <w:jc w:val="center"/>
              <w:rPr>
                <w:rFonts w:ascii="Arial" w:eastAsia="Times New Roman" w:hAnsi="Arial" w:cs="Arial"/>
                <w:i/>
                <w:iCs/>
                <w:sz w:val="18"/>
                <w:szCs w:val="18"/>
                <w:lang w:eastAsia="pl-PL"/>
              </w:rPr>
            </w:pPr>
            <w:r w:rsidRPr="009C3F4E">
              <w:rPr>
                <w:rFonts w:ascii="Arial" w:eastAsia="Times New Roman" w:hAnsi="Arial" w:cs="Arial"/>
                <w:i/>
                <w:iCs/>
                <w:sz w:val="18"/>
                <w:szCs w:val="18"/>
                <w:lang w:eastAsia="pl-PL"/>
              </w:rPr>
              <w:t>w tys. zł</w:t>
            </w:r>
          </w:p>
        </w:tc>
      </w:tr>
      <w:tr w:rsidR="009C3F4E" w:rsidRPr="009C3F4E" w14:paraId="4B58AECC" w14:textId="77777777" w:rsidTr="006147E2">
        <w:trPr>
          <w:trHeight w:val="141"/>
          <w:tblHeader/>
        </w:trPr>
        <w:tc>
          <w:tcPr>
            <w:tcW w:w="46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335A23" w14:textId="77777777" w:rsidR="009C3F4E" w:rsidRPr="009C3F4E" w:rsidRDefault="009C3F4E" w:rsidP="00F02EA3">
            <w:pPr>
              <w:spacing w:after="0" w:line="240" w:lineRule="auto"/>
              <w:jc w:val="center"/>
              <w:rPr>
                <w:rFonts w:ascii="Arial" w:eastAsia="Times New Roman" w:hAnsi="Arial" w:cs="Arial"/>
                <w:i/>
                <w:iCs/>
                <w:sz w:val="16"/>
                <w:szCs w:val="16"/>
                <w:lang w:eastAsia="pl-PL"/>
              </w:rPr>
            </w:pPr>
            <w:r w:rsidRPr="009C3F4E">
              <w:rPr>
                <w:rFonts w:ascii="Arial" w:eastAsia="Times New Roman" w:hAnsi="Arial" w:cs="Arial"/>
                <w:i/>
                <w:iCs/>
                <w:sz w:val="16"/>
                <w:szCs w:val="16"/>
                <w:lang w:eastAsia="pl-PL"/>
              </w:rPr>
              <w:t>1</w:t>
            </w:r>
          </w:p>
        </w:tc>
        <w:tc>
          <w:tcPr>
            <w:tcW w:w="2520" w:type="dxa"/>
            <w:tcBorders>
              <w:top w:val="nil"/>
              <w:left w:val="nil"/>
              <w:bottom w:val="single" w:sz="4" w:space="0" w:color="auto"/>
              <w:right w:val="single" w:sz="4" w:space="0" w:color="auto"/>
            </w:tcBorders>
            <w:shd w:val="clear" w:color="auto" w:fill="auto"/>
            <w:noWrap/>
            <w:vAlign w:val="bottom"/>
            <w:hideMark/>
          </w:tcPr>
          <w:p w14:paraId="6D15C216" w14:textId="77777777" w:rsidR="009C3F4E" w:rsidRPr="009C3F4E" w:rsidRDefault="009C3F4E" w:rsidP="00F02EA3">
            <w:pPr>
              <w:spacing w:after="0" w:line="240" w:lineRule="auto"/>
              <w:jc w:val="center"/>
              <w:rPr>
                <w:rFonts w:ascii="Arial" w:eastAsia="Times New Roman" w:hAnsi="Arial" w:cs="Arial"/>
                <w:i/>
                <w:iCs/>
                <w:sz w:val="16"/>
                <w:szCs w:val="16"/>
                <w:lang w:eastAsia="pl-PL"/>
              </w:rPr>
            </w:pPr>
            <w:r w:rsidRPr="009C3F4E">
              <w:rPr>
                <w:rFonts w:ascii="Arial" w:eastAsia="Times New Roman" w:hAnsi="Arial" w:cs="Arial"/>
                <w:i/>
                <w:iCs/>
                <w:sz w:val="16"/>
                <w:szCs w:val="16"/>
                <w:lang w:eastAsia="pl-PL"/>
              </w:rPr>
              <w:t>2</w:t>
            </w:r>
          </w:p>
        </w:tc>
        <w:tc>
          <w:tcPr>
            <w:tcW w:w="2037" w:type="dxa"/>
            <w:tcBorders>
              <w:top w:val="nil"/>
              <w:left w:val="nil"/>
              <w:bottom w:val="single" w:sz="4" w:space="0" w:color="auto"/>
              <w:right w:val="single" w:sz="4" w:space="0" w:color="auto"/>
            </w:tcBorders>
            <w:shd w:val="clear" w:color="auto" w:fill="auto"/>
            <w:noWrap/>
            <w:vAlign w:val="bottom"/>
            <w:hideMark/>
          </w:tcPr>
          <w:p w14:paraId="76C3A9DE" w14:textId="77777777" w:rsidR="009C3F4E" w:rsidRPr="009C3F4E" w:rsidRDefault="009C3F4E" w:rsidP="00F02EA3">
            <w:pPr>
              <w:spacing w:after="0" w:line="240" w:lineRule="auto"/>
              <w:jc w:val="center"/>
              <w:rPr>
                <w:rFonts w:ascii="Arial" w:eastAsia="Times New Roman" w:hAnsi="Arial" w:cs="Arial"/>
                <w:i/>
                <w:iCs/>
                <w:sz w:val="16"/>
                <w:szCs w:val="16"/>
                <w:lang w:eastAsia="pl-PL"/>
              </w:rPr>
            </w:pPr>
            <w:r w:rsidRPr="009C3F4E">
              <w:rPr>
                <w:rFonts w:ascii="Arial" w:eastAsia="Times New Roman" w:hAnsi="Arial" w:cs="Arial"/>
                <w:i/>
                <w:iCs/>
                <w:sz w:val="16"/>
                <w:szCs w:val="16"/>
                <w:lang w:eastAsia="pl-PL"/>
              </w:rPr>
              <w:t>3</w:t>
            </w:r>
          </w:p>
        </w:tc>
      </w:tr>
      <w:tr w:rsidR="009C3F4E" w:rsidRPr="009C3F4E" w14:paraId="2111863C" w14:textId="77777777" w:rsidTr="006147E2">
        <w:trPr>
          <w:trHeight w:val="168"/>
        </w:trPr>
        <w:tc>
          <w:tcPr>
            <w:tcW w:w="46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69969" w14:textId="77777777" w:rsidR="009C3F4E" w:rsidRPr="009C3F4E" w:rsidRDefault="009C3F4E" w:rsidP="00F02EA3">
            <w:pPr>
              <w:spacing w:after="0" w:line="240" w:lineRule="auto"/>
              <w:jc w:val="center"/>
              <w:rPr>
                <w:rFonts w:ascii="Arial" w:eastAsia="Times New Roman" w:hAnsi="Arial" w:cs="Arial"/>
                <w:b/>
                <w:bCs/>
                <w:lang w:eastAsia="pl-PL"/>
              </w:rPr>
            </w:pPr>
            <w:r w:rsidRPr="009C3F4E">
              <w:rPr>
                <w:rFonts w:ascii="Arial" w:eastAsia="Times New Roman" w:hAnsi="Arial" w:cs="Arial"/>
                <w:b/>
                <w:bCs/>
                <w:lang w:eastAsia="pl-PL"/>
              </w:rPr>
              <w:t>Razem</w:t>
            </w:r>
          </w:p>
        </w:tc>
        <w:tc>
          <w:tcPr>
            <w:tcW w:w="2520" w:type="dxa"/>
            <w:tcBorders>
              <w:top w:val="nil"/>
              <w:left w:val="nil"/>
              <w:bottom w:val="single" w:sz="4" w:space="0" w:color="auto"/>
              <w:right w:val="single" w:sz="4" w:space="0" w:color="auto"/>
            </w:tcBorders>
            <w:shd w:val="clear" w:color="auto" w:fill="auto"/>
            <w:noWrap/>
            <w:vAlign w:val="bottom"/>
            <w:hideMark/>
          </w:tcPr>
          <w:p w14:paraId="5DA807B1" w14:textId="77777777" w:rsidR="009C3F4E" w:rsidRPr="009C3F4E" w:rsidRDefault="009C3F4E" w:rsidP="00F02EA3">
            <w:pPr>
              <w:spacing w:after="0" w:line="240" w:lineRule="auto"/>
              <w:jc w:val="right"/>
              <w:rPr>
                <w:rFonts w:ascii="Arial" w:eastAsia="Times New Roman" w:hAnsi="Arial" w:cs="Arial"/>
                <w:b/>
                <w:bCs/>
                <w:lang w:eastAsia="pl-PL"/>
              </w:rPr>
            </w:pPr>
            <w:r w:rsidRPr="009C3F4E">
              <w:rPr>
                <w:rFonts w:ascii="Arial" w:eastAsia="Times New Roman" w:hAnsi="Arial" w:cs="Arial"/>
                <w:b/>
                <w:bCs/>
                <w:lang w:eastAsia="pl-PL"/>
              </w:rPr>
              <w:t xml:space="preserve">2.054.823 </w:t>
            </w:r>
          </w:p>
        </w:tc>
        <w:tc>
          <w:tcPr>
            <w:tcW w:w="2037" w:type="dxa"/>
            <w:tcBorders>
              <w:top w:val="nil"/>
              <w:left w:val="nil"/>
              <w:bottom w:val="single" w:sz="4" w:space="0" w:color="auto"/>
              <w:right w:val="single" w:sz="4" w:space="0" w:color="auto"/>
            </w:tcBorders>
            <w:shd w:val="clear" w:color="auto" w:fill="auto"/>
            <w:noWrap/>
            <w:vAlign w:val="bottom"/>
            <w:hideMark/>
          </w:tcPr>
          <w:p w14:paraId="123BF422" w14:textId="77777777" w:rsidR="009C3F4E" w:rsidRPr="009C3F4E" w:rsidRDefault="009C3F4E" w:rsidP="00F02EA3">
            <w:pPr>
              <w:spacing w:after="0" w:line="240" w:lineRule="auto"/>
              <w:jc w:val="right"/>
              <w:rPr>
                <w:rFonts w:ascii="Arial" w:eastAsia="Times New Roman" w:hAnsi="Arial" w:cs="Arial"/>
                <w:b/>
                <w:bCs/>
                <w:lang w:eastAsia="pl-PL"/>
              </w:rPr>
            </w:pPr>
            <w:r w:rsidRPr="009C3F4E">
              <w:rPr>
                <w:rFonts w:ascii="Arial" w:eastAsia="Times New Roman" w:hAnsi="Arial" w:cs="Arial"/>
                <w:b/>
                <w:bCs/>
                <w:lang w:eastAsia="pl-PL"/>
              </w:rPr>
              <w:t xml:space="preserve">207.866 </w:t>
            </w:r>
          </w:p>
        </w:tc>
      </w:tr>
      <w:tr w:rsidR="009C3F4E" w:rsidRPr="009C3F4E" w14:paraId="2E28514C"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38576305"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16</w:t>
            </w:r>
          </w:p>
        </w:tc>
        <w:tc>
          <w:tcPr>
            <w:tcW w:w="3957" w:type="dxa"/>
            <w:tcBorders>
              <w:top w:val="nil"/>
              <w:left w:val="nil"/>
              <w:bottom w:val="single" w:sz="4" w:space="0" w:color="auto"/>
              <w:right w:val="single" w:sz="4" w:space="0" w:color="auto"/>
            </w:tcBorders>
            <w:shd w:val="clear" w:color="auto" w:fill="auto"/>
            <w:vAlign w:val="bottom"/>
            <w:hideMark/>
          </w:tcPr>
          <w:p w14:paraId="0B7E8BA4"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Kancelaria Prezesa Rady Ministrów</w:t>
            </w:r>
          </w:p>
        </w:tc>
        <w:tc>
          <w:tcPr>
            <w:tcW w:w="2520" w:type="dxa"/>
            <w:tcBorders>
              <w:top w:val="nil"/>
              <w:left w:val="nil"/>
              <w:bottom w:val="single" w:sz="4" w:space="0" w:color="auto"/>
              <w:right w:val="single" w:sz="4" w:space="0" w:color="auto"/>
            </w:tcBorders>
            <w:shd w:val="clear" w:color="auto" w:fill="auto"/>
            <w:noWrap/>
            <w:vAlign w:val="bottom"/>
            <w:hideMark/>
          </w:tcPr>
          <w:p w14:paraId="10BFB75F"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1.798 </w:t>
            </w:r>
          </w:p>
        </w:tc>
        <w:tc>
          <w:tcPr>
            <w:tcW w:w="2037" w:type="dxa"/>
            <w:tcBorders>
              <w:top w:val="nil"/>
              <w:left w:val="nil"/>
              <w:bottom w:val="single" w:sz="4" w:space="0" w:color="auto"/>
              <w:right w:val="single" w:sz="4" w:space="0" w:color="auto"/>
            </w:tcBorders>
            <w:shd w:val="clear" w:color="auto" w:fill="auto"/>
            <w:noWrap/>
            <w:vAlign w:val="bottom"/>
            <w:hideMark/>
          </w:tcPr>
          <w:p w14:paraId="25EA721C"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34CF1971"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5BC3A221"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17</w:t>
            </w:r>
          </w:p>
        </w:tc>
        <w:tc>
          <w:tcPr>
            <w:tcW w:w="3957" w:type="dxa"/>
            <w:tcBorders>
              <w:top w:val="nil"/>
              <w:left w:val="nil"/>
              <w:bottom w:val="single" w:sz="4" w:space="0" w:color="auto"/>
              <w:right w:val="single" w:sz="4" w:space="0" w:color="auto"/>
            </w:tcBorders>
            <w:shd w:val="clear" w:color="auto" w:fill="auto"/>
            <w:vAlign w:val="bottom"/>
            <w:hideMark/>
          </w:tcPr>
          <w:p w14:paraId="7B2FBDC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Administracja publiczna</w:t>
            </w:r>
          </w:p>
        </w:tc>
        <w:tc>
          <w:tcPr>
            <w:tcW w:w="2520" w:type="dxa"/>
            <w:tcBorders>
              <w:top w:val="nil"/>
              <w:left w:val="nil"/>
              <w:bottom w:val="single" w:sz="4" w:space="0" w:color="auto"/>
              <w:right w:val="single" w:sz="4" w:space="0" w:color="auto"/>
            </w:tcBorders>
            <w:shd w:val="clear" w:color="auto" w:fill="auto"/>
            <w:noWrap/>
            <w:vAlign w:val="bottom"/>
            <w:hideMark/>
          </w:tcPr>
          <w:p w14:paraId="71915E4D"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307 </w:t>
            </w:r>
          </w:p>
        </w:tc>
        <w:tc>
          <w:tcPr>
            <w:tcW w:w="2037" w:type="dxa"/>
            <w:tcBorders>
              <w:top w:val="nil"/>
              <w:left w:val="nil"/>
              <w:bottom w:val="single" w:sz="4" w:space="0" w:color="auto"/>
              <w:right w:val="single" w:sz="4" w:space="0" w:color="auto"/>
            </w:tcBorders>
            <w:shd w:val="clear" w:color="auto" w:fill="auto"/>
            <w:noWrap/>
            <w:vAlign w:val="bottom"/>
            <w:hideMark/>
          </w:tcPr>
          <w:p w14:paraId="70DBA17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6F0C8A5" w14:textId="77777777" w:rsidTr="006147E2">
        <w:trPr>
          <w:trHeight w:val="285"/>
        </w:trPr>
        <w:tc>
          <w:tcPr>
            <w:tcW w:w="688" w:type="dxa"/>
            <w:tcBorders>
              <w:top w:val="nil"/>
              <w:left w:val="single" w:sz="4" w:space="0" w:color="auto"/>
              <w:bottom w:val="single" w:sz="4" w:space="0" w:color="auto"/>
              <w:right w:val="nil"/>
            </w:tcBorders>
            <w:shd w:val="clear" w:color="auto" w:fill="auto"/>
            <w:noWrap/>
            <w:hideMark/>
          </w:tcPr>
          <w:p w14:paraId="080FE696"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18</w:t>
            </w:r>
          </w:p>
        </w:tc>
        <w:tc>
          <w:tcPr>
            <w:tcW w:w="3957" w:type="dxa"/>
            <w:tcBorders>
              <w:top w:val="nil"/>
              <w:left w:val="nil"/>
              <w:bottom w:val="single" w:sz="4" w:space="0" w:color="auto"/>
              <w:right w:val="single" w:sz="4" w:space="0" w:color="auto"/>
            </w:tcBorders>
            <w:shd w:val="clear" w:color="auto" w:fill="auto"/>
            <w:vAlign w:val="bottom"/>
            <w:hideMark/>
          </w:tcPr>
          <w:p w14:paraId="650DB67F" w14:textId="77777777" w:rsidR="009C3F4E" w:rsidRPr="009C3F4E" w:rsidRDefault="006147E2" w:rsidP="00F02EA3">
            <w:pPr>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Budownictwo, planowanie i </w:t>
            </w:r>
            <w:r w:rsidR="009C3F4E" w:rsidRPr="009C3F4E">
              <w:rPr>
                <w:rFonts w:ascii="Arial" w:eastAsia="Times New Roman" w:hAnsi="Arial" w:cs="Arial"/>
                <w:sz w:val="20"/>
                <w:szCs w:val="20"/>
                <w:lang w:eastAsia="pl-PL"/>
              </w:rPr>
              <w:t>zagospodarowanie przestrzenne oraz mieszkalnictwo</w:t>
            </w:r>
          </w:p>
        </w:tc>
        <w:tc>
          <w:tcPr>
            <w:tcW w:w="2520" w:type="dxa"/>
            <w:tcBorders>
              <w:top w:val="nil"/>
              <w:left w:val="nil"/>
              <w:bottom w:val="single" w:sz="4" w:space="0" w:color="auto"/>
              <w:right w:val="single" w:sz="4" w:space="0" w:color="auto"/>
            </w:tcBorders>
            <w:shd w:val="clear" w:color="auto" w:fill="auto"/>
            <w:noWrap/>
            <w:vAlign w:val="bottom"/>
            <w:hideMark/>
          </w:tcPr>
          <w:p w14:paraId="5A1F1435"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1.033 </w:t>
            </w:r>
          </w:p>
        </w:tc>
        <w:tc>
          <w:tcPr>
            <w:tcW w:w="2037" w:type="dxa"/>
            <w:tcBorders>
              <w:top w:val="nil"/>
              <w:left w:val="nil"/>
              <w:bottom w:val="single" w:sz="4" w:space="0" w:color="auto"/>
              <w:right w:val="single" w:sz="4" w:space="0" w:color="auto"/>
            </w:tcBorders>
            <w:shd w:val="clear" w:color="auto" w:fill="auto"/>
            <w:noWrap/>
            <w:vAlign w:val="bottom"/>
            <w:hideMark/>
          </w:tcPr>
          <w:p w14:paraId="7557089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642F5F4D"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E4E224D"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19</w:t>
            </w:r>
          </w:p>
        </w:tc>
        <w:tc>
          <w:tcPr>
            <w:tcW w:w="3957" w:type="dxa"/>
            <w:tcBorders>
              <w:top w:val="nil"/>
              <w:left w:val="nil"/>
              <w:bottom w:val="single" w:sz="4" w:space="0" w:color="auto"/>
              <w:right w:val="single" w:sz="4" w:space="0" w:color="auto"/>
            </w:tcBorders>
            <w:shd w:val="clear" w:color="auto" w:fill="auto"/>
            <w:vAlign w:val="bottom"/>
            <w:hideMark/>
          </w:tcPr>
          <w:p w14:paraId="1686E54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Budżet, finanse publiczne i instytucje finansowe</w:t>
            </w:r>
          </w:p>
        </w:tc>
        <w:tc>
          <w:tcPr>
            <w:tcW w:w="2520" w:type="dxa"/>
            <w:tcBorders>
              <w:top w:val="nil"/>
              <w:left w:val="nil"/>
              <w:bottom w:val="single" w:sz="4" w:space="0" w:color="auto"/>
              <w:right w:val="single" w:sz="4" w:space="0" w:color="auto"/>
            </w:tcBorders>
            <w:shd w:val="clear" w:color="auto" w:fill="auto"/>
            <w:noWrap/>
            <w:vAlign w:val="bottom"/>
            <w:hideMark/>
          </w:tcPr>
          <w:p w14:paraId="5017823B"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104.606 </w:t>
            </w:r>
          </w:p>
        </w:tc>
        <w:tc>
          <w:tcPr>
            <w:tcW w:w="2037" w:type="dxa"/>
            <w:tcBorders>
              <w:top w:val="nil"/>
              <w:left w:val="nil"/>
              <w:bottom w:val="single" w:sz="4" w:space="0" w:color="auto"/>
              <w:right w:val="single" w:sz="4" w:space="0" w:color="auto"/>
            </w:tcBorders>
            <w:shd w:val="clear" w:color="auto" w:fill="auto"/>
            <w:noWrap/>
            <w:vAlign w:val="bottom"/>
            <w:hideMark/>
          </w:tcPr>
          <w:p w14:paraId="30EBE14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339C0D8A"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867F161"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20</w:t>
            </w:r>
          </w:p>
        </w:tc>
        <w:tc>
          <w:tcPr>
            <w:tcW w:w="3957" w:type="dxa"/>
            <w:tcBorders>
              <w:top w:val="nil"/>
              <w:left w:val="nil"/>
              <w:bottom w:val="single" w:sz="4" w:space="0" w:color="auto"/>
              <w:right w:val="single" w:sz="4" w:space="0" w:color="auto"/>
            </w:tcBorders>
            <w:shd w:val="clear" w:color="auto" w:fill="auto"/>
            <w:vAlign w:val="bottom"/>
            <w:hideMark/>
          </w:tcPr>
          <w:p w14:paraId="16A3D90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Gospodarka</w:t>
            </w:r>
          </w:p>
        </w:tc>
        <w:tc>
          <w:tcPr>
            <w:tcW w:w="2520" w:type="dxa"/>
            <w:tcBorders>
              <w:top w:val="nil"/>
              <w:left w:val="nil"/>
              <w:bottom w:val="single" w:sz="4" w:space="0" w:color="auto"/>
              <w:right w:val="single" w:sz="4" w:space="0" w:color="auto"/>
            </w:tcBorders>
            <w:shd w:val="clear" w:color="auto" w:fill="auto"/>
            <w:noWrap/>
            <w:vAlign w:val="bottom"/>
            <w:hideMark/>
          </w:tcPr>
          <w:p w14:paraId="26C8A8C6"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1.445 </w:t>
            </w:r>
          </w:p>
        </w:tc>
        <w:tc>
          <w:tcPr>
            <w:tcW w:w="2037" w:type="dxa"/>
            <w:tcBorders>
              <w:top w:val="nil"/>
              <w:left w:val="nil"/>
              <w:bottom w:val="single" w:sz="4" w:space="0" w:color="auto"/>
              <w:right w:val="single" w:sz="4" w:space="0" w:color="auto"/>
            </w:tcBorders>
            <w:shd w:val="clear" w:color="auto" w:fill="auto"/>
            <w:noWrap/>
            <w:vAlign w:val="bottom"/>
            <w:hideMark/>
          </w:tcPr>
          <w:p w14:paraId="7AFF6A40"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10E52746"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4C03D61"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21</w:t>
            </w:r>
          </w:p>
        </w:tc>
        <w:tc>
          <w:tcPr>
            <w:tcW w:w="3957" w:type="dxa"/>
            <w:tcBorders>
              <w:top w:val="nil"/>
              <w:left w:val="nil"/>
              <w:bottom w:val="single" w:sz="4" w:space="0" w:color="auto"/>
              <w:right w:val="single" w:sz="4" w:space="0" w:color="auto"/>
            </w:tcBorders>
            <w:shd w:val="clear" w:color="auto" w:fill="auto"/>
            <w:vAlign w:val="bottom"/>
            <w:hideMark/>
          </w:tcPr>
          <w:p w14:paraId="5DFF6856"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Gospodarka morska</w:t>
            </w:r>
          </w:p>
        </w:tc>
        <w:tc>
          <w:tcPr>
            <w:tcW w:w="2520" w:type="dxa"/>
            <w:tcBorders>
              <w:top w:val="nil"/>
              <w:left w:val="nil"/>
              <w:bottom w:val="single" w:sz="4" w:space="0" w:color="auto"/>
              <w:right w:val="single" w:sz="4" w:space="0" w:color="auto"/>
            </w:tcBorders>
            <w:shd w:val="clear" w:color="auto" w:fill="auto"/>
            <w:noWrap/>
            <w:vAlign w:val="bottom"/>
            <w:hideMark/>
          </w:tcPr>
          <w:p w14:paraId="2A528AA1"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5.028 </w:t>
            </w:r>
          </w:p>
        </w:tc>
        <w:tc>
          <w:tcPr>
            <w:tcW w:w="2037" w:type="dxa"/>
            <w:tcBorders>
              <w:top w:val="nil"/>
              <w:left w:val="nil"/>
              <w:bottom w:val="single" w:sz="4" w:space="0" w:color="auto"/>
              <w:right w:val="single" w:sz="4" w:space="0" w:color="auto"/>
            </w:tcBorders>
            <w:shd w:val="clear" w:color="auto" w:fill="auto"/>
            <w:noWrap/>
            <w:vAlign w:val="bottom"/>
            <w:hideMark/>
          </w:tcPr>
          <w:p w14:paraId="3B9CFEBB"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63CE8F70"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42206C04"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22</w:t>
            </w:r>
          </w:p>
        </w:tc>
        <w:tc>
          <w:tcPr>
            <w:tcW w:w="3957" w:type="dxa"/>
            <w:tcBorders>
              <w:top w:val="nil"/>
              <w:left w:val="nil"/>
              <w:bottom w:val="single" w:sz="4" w:space="0" w:color="auto"/>
              <w:right w:val="single" w:sz="4" w:space="0" w:color="auto"/>
            </w:tcBorders>
            <w:shd w:val="clear" w:color="auto" w:fill="auto"/>
            <w:vAlign w:val="bottom"/>
            <w:hideMark/>
          </w:tcPr>
          <w:p w14:paraId="70DCA925"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Gospodarka wodna</w:t>
            </w:r>
          </w:p>
        </w:tc>
        <w:tc>
          <w:tcPr>
            <w:tcW w:w="2520" w:type="dxa"/>
            <w:tcBorders>
              <w:top w:val="nil"/>
              <w:left w:val="nil"/>
              <w:bottom w:val="single" w:sz="4" w:space="0" w:color="auto"/>
              <w:right w:val="single" w:sz="4" w:space="0" w:color="auto"/>
            </w:tcBorders>
            <w:shd w:val="clear" w:color="auto" w:fill="auto"/>
            <w:noWrap/>
            <w:vAlign w:val="bottom"/>
            <w:hideMark/>
          </w:tcPr>
          <w:p w14:paraId="5C51EC85"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180 </w:t>
            </w:r>
          </w:p>
        </w:tc>
        <w:tc>
          <w:tcPr>
            <w:tcW w:w="2037" w:type="dxa"/>
            <w:tcBorders>
              <w:top w:val="nil"/>
              <w:left w:val="nil"/>
              <w:bottom w:val="single" w:sz="4" w:space="0" w:color="auto"/>
              <w:right w:val="single" w:sz="4" w:space="0" w:color="auto"/>
            </w:tcBorders>
            <w:shd w:val="clear" w:color="auto" w:fill="auto"/>
            <w:noWrap/>
            <w:vAlign w:val="bottom"/>
            <w:hideMark/>
          </w:tcPr>
          <w:p w14:paraId="4DEBA2B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550DAF2B"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6619BAD"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23</w:t>
            </w:r>
          </w:p>
        </w:tc>
        <w:tc>
          <w:tcPr>
            <w:tcW w:w="3957" w:type="dxa"/>
            <w:tcBorders>
              <w:top w:val="nil"/>
              <w:left w:val="nil"/>
              <w:bottom w:val="single" w:sz="4" w:space="0" w:color="auto"/>
              <w:right w:val="single" w:sz="4" w:space="0" w:color="auto"/>
            </w:tcBorders>
            <w:shd w:val="clear" w:color="auto" w:fill="auto"/>
            <w:vAlign w:val="bottom"/>
            <w:hideMark/>
          </w:tcPr>
          <w:p w14:paraId="699DE31C"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Członkos</w:t>
            </w:r>
            <w:r w:rsidR="006147E2">
              <w:rPr>
                <w:rFonts w:ascii="Arial" w:eastAsia="Times New Roman" w:hAnsi="Arial" w:cs="Arial"/>
                <w:sz w:val="20"/>
                <w:szCs w:val="20"/>
                <w:lang w:eastAsia="pl-PL"/>
              </w:rPr>
              <w:t>two Rzeczypospolitej Polskiej w </w:t>
            </w:r>
            <w:r w:rsidRPr="009C3F4E">
              <w:rPr>
                <w:rFonts w:ascii="Arial" w:eastAsia="Times New Roman" w:hAnsi="Arial" w:cs="Arial"/>
                <w:sz w:val="20"/>
                <w:szCs w:val="20"/>
                <w:lang w:eastAsia="pl-PL"/>
              </w:rPr>
              <w:t xml:space="preserve">Unii Europejskiej </w:t>
            </w:r>
          </w:p>
        </w:tc>
        <w:tc>
          <w:tcPr>
            <w:tcW w:w="2520" w:type="dxa"/>
            <w:tcBorders>
              <w:top w:val="nil"/>
              <w:left w:val="nil"/>
              <w:bottom w:val="single" w:sz="4" w:space="0" w:color="auto"/>
              <w:right w:val="single" w:sz="4" w:space="0" w:color="auto"/>
            </w:tcBorders>
            <w:shd w:val="clear" w:color="auto" w:fill="auto"/>
            <w:noWrap/>
            <w:vAlign w:val="bottom"/>
            <w:hideMark/>
          </w:tcPr>
          <w:p w14:paraId="691E89E7"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264 </w:t>
            </w:r>
          </w:p>
        </w:tc>
        <w:tc>
          <w:tcPr>
            <w:tcW w:w="2037" w:type="dxa"/>
            <w:tcBorders>
              <w:top w:val="nil"/>
              <w:left w:val="nil"/>
              <w:bottom w:val="single" w:sz="4" w:space="0" w:color="auto"/>
              <w:right w:val="single" w:sz="4" w:space="0" w:color="auto"/>
            </w:tcBorders>
            <w:shd w:val="clear" w:color="auto" w:fill="auto"/>
            <w:noWrap/>
            <w:vAlign w:val="bottom"/>
            <w:hideMark/>
          </w:tcPr>
          <w:p w14:paraId="539D4FD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5A00FE93"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905F551"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24</w:t>
            </w:r>
          </w:p>
        </w:tc>
        <w:tc>
          <w:tcPr>
            <w:tcW w:w="3957" w:type="dxa"/>
            <w:tcBorders>
              <w:top w:val="nil"/>
              <w:left w:val="nil"/>
              <w:bottom w:val="single" w:sz="4" w:space="0" w:color="auto"/>
              <w:right w:val="single" w:sz="4" w:space="0" w:color="auto"/>
            </w:tcBorders>
            <w:shd w:val="clear" w:color="auto" w:fill="auto"/>
            <w:vAlign w:val="bottom"/>
            <w:hideMark/>
          </w:tcPr>
          <w:p w14:paraId="44A0DF18"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Kultura i ochrona dziedzictwa narodowego</w:t>
            </w:r>
          </w:p>
        </w:tc>
        <w:tc>
          <w:tcPr>
            <w:tcW w:w="2520" w:type="dxa"/>
            <w:tcBorders>
              <w:top w:val="nil"/>
              <w:left w:val="nil"/>
              <w:bottom w:val="single" w:sz="4" w:space="0" w:color="auto"/>
              <w:right w:val="single" w:sz="4" w:space="0" w:color="auto"/>
            </w:tcBorders>
            <w:shd w:val="clear" w:color="auto" w:fill="auto"/>
            <w:noWrap/>
            <w:vAlign w:val="bottom"/>
            <w:hideMark/>
          </w:tcPr>
          <w:p w14:paraId="6A9B7E2C"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29.241 </w:t>
            </w:r>
          </w:p>
        </w:tc>
        <w:tc>
          <w:tcPr>
            <w:tcW w:w="2037" w:type="dxa"/>
            <w:tcBorders>
              <w:top w:val="nil"/>
              <w:left w:val="nil"/>
              <w:bottom w:val="single" w:sz="4" w:space="0" w:color="auto"/>
              <w:right w:val="single" w:sz="4" w:space="0" w:color="auto"/>
            </w:tcBorders>
            <w:shd w:val="clear" w:color="auto" w:fill="auto"/>
            <w:noWrap/>
            <w:vAlign w:val="bottom"/>
            <w:hideMark/>
          </w:tcPr>
          <w:p w14:paraId="6A4451B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550F7539"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33346B5"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25</w:t>
            </w:r>
          </w:p>
        </w:tc>
        <w:tc>
          <w:tcPr>
            <w:tcW w:w="3957" w:type="dxa"/>
            <w:tcBorders>
              <w:top w:val="nil"/>
              <w:left w:val="nil"/>
              <w:bottom w:val="single" w:sz="4" w:space="0" w:color="auto"/>
              <w:right w:val="single" w:sz="4" w:space="0" w:color="auto"/>
            </w:tcBorders>
            <w:shd w:val="clear" w:color="auto" w:fill="auto"/>
            <w:vAlign w:val="bottom"/>
            <w:hideMark/>
          </w:tcPr>
          <w:p w14:paraId="112C90E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Kultura fizyczna</w:t>
            </w:r>
          </w:p>
        </w:tc>
        <w:tc>
          <w:tcPr>
            <w:tcW w:w="2520" w:type="dxa"/>
            <w:tcBorders>
              <w:top w:val="nil"/>
              <w:left w:val="nil"/>
              <w:bottom w:val="single" w:sz="4" w:space="0" w:color="auto"/>
              <w:right w:val="single" w:sz="4" w:space="0" w:color="auto"/>
            </w:tcBorders>
            <w:shd w:val="clear" w:color="auto" w:fill="auto"/>
            <w:noWrap/>
            <w:vAlign w:val="bottom"/>
            <w:hideMark/>
          </w:tcPr>
          <w:p w14:paraId="75BEDCC7"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562 </w:t>
            </w:r>
          </w:p>
        </w:tc>
        <w:tc>
          <w:tcPr>
            <w:tcW w:w="2037" w:type="dxa"/>
            <w:tcBorders>
              <w:top w:val="nil"/>
              <w:left w:val="nil"/>
              <w:bottom w:val="single" w:sz="4" w:space="0" w:color="auto"/>
              <w:right w:val="single" w:sz="4" w:space="0" w:color="auto"/>
            </w:tcBorders>
            <w:shd w:val="clear" w:color="auto" w:fill="auto"/>
            <w:noWrap/>
            <w:vAlign w:val="bottom"/>
            <w:hideMark/>
          </w:tcPr>
          <w:p w14:paraId="3628C4B7"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3516A548"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4D10F641"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26</w:t>
            </w:r>
          </w:p>
        </w:tc>
        <w:tc>
          <w:tcPr>
            <w:tcW w:w="3957" w:type="dxa"/>
            <w:tcBorders>
              <w:top w:val="nil"/>
              <w:left w:val="nil"/>
              <w:bottom w:val="single" w:sz="4" w:space="0" w:color="auto"/>
              <w:right w:val="single" w:sz="4" w:space="0" w:color="auto"/>
            </w:tcBorders>
            <w:shd w:val="clear" w:color="auto" w:fill="auto"/>
            <w:vAlign w:val="bottom"/>
            <w:hideMark/>
          </w:tcPr>
          <w:p w14:paraId="1EC400B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Łączność</w:t>
            </w:r>
          </w:p>
        </w:tc>
        <w:tc>
          <w:tcPr>
            <w:tcW w:w="2520" w:type="dxa"/>
            <w:tcBorders>
              <w:top w:val="nil"/>
              <w:left w:val="nil"/>
              <w:bottom w:val="single" w:sz="4" w:space="0" w:color="auto"/>
              <w:right w:val="single" w:sz="4" w:space="0" w:color="auto"/>
            </w:tcBorders>
            <w:shd w:val="clear" w:color="auto" w:fill="auto"/>
            <w:noWrap/>
            <w:vAlign w:val="bottom"/>
            <w:hideMark/>
          </w:tcPr>
          <w:p w14:paraId="605B6169"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26 </w:t>
            </w:r>
          </w:p>
        </w:tc>
        <w:tc>
          <w:tcPr>
            <w:tcW w:w="2037" w:type="dxa"/>
            <w:tcBorders>
              <w:top w:val="nil"/>
              <w:left w:val="nil"/>
              <w:bottom w:val="single" w:sz="4" w:space="0" w:color="auto"/>
              <w:right w:val="single" w:sz="4" w:space="0" w:color="auto"/>
            </w:tcBorders>
            <w:shd w:val="clear" w:color="auto" w:fill="auto"/>
            <w:noWrap/>
            <w:vAlign w:val="bottom"/>
            <w:hideMark/>
          </w:tcPr>
          <w:p w14:paraId="2CB4F48E"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462787F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40CF8FC0"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27</w:t>
            </w:r>
          </w:p>
        </w:tc>
        <w:tc>
          <w:tcPr>
            <w:tcW w:w="3957" w:type="dxa"/>
            <w:tcBorders>
              <w:top w:val="nil"/>
              <w:left w:val="nil"/>
              <w:bottom w:val="single" w:sz="4" w:space="0" w:color="auto"/>
              <w:right w:val="single" w:sz="4" w:space="0" w:color="auto"/>
            </w:tcBorders>
            <w:shd w:val="clear" w:color="auto" w:fill="auto"/>
            <w:vAlign w:val="bottom"/>
            <w:hideMark/>
          </w:tcPr>
          <w:p w14:paraId="75CA955C"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Informatyzacja</w:t>
            </w:r>
          </w:p>
        </w:tc>
        <w:tc>
          <w:tcPr>
            <w:tcW w:w="2520" w:type="dxa"/>
            <w:tcBorders>
              <w:top w:val="nil"/>
              <w:left w:val="nil"/>
              <w:bottom w:val="single" w:sz="4" w:space="0" w:color="auto"/>
              <w:right w:val="single" w:sz="4" w:space="0" w:color="auto"/>
            </w:tcBorders>
            <w:shd w:val="clear" w:color="auto" w:fill="auto"/>
            <w:noWrap/>
            <w:vAlign w:val="bottom"/>
            <w:hideMark/>
          </w:tcPr>
          <w:p w14:paraId="77D0D7BD"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889 </w:t>
            </w:r>
          </w:p>
        </w:tc>
        <w:tc>
          <w:tcPr>
            <w:tcW w:w="2037" w:type="dxa"/>
            <w:tcBorders>
              <w:top w:val="nil"/>
              <w:left w:val="nil"/>
              <w:bottom w:val="single" w:sz="4" w:space="0" w:color="auto"/>
              <w:right w:val="single" w:sz="4" w:space="0" w:color="auto"/>
            </w:tcBorders>
            <w:shd w:val="clear" w:color="auto" w:fill="auto"/>
            <w:noWrap/>
            <w:vAlign w:val="bottom"/>
            <w:hideMark/>
          </w:tcPr>
          <w:p w14:paraId="21F16E77"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64CE00DC"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5992763"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28</w:t>
            </w:r>
          </w:p>
        </w:tc>
        <w:tc>
          <w:tcPr>
            <w:tcW w:w="3957" w:type="dxa"/>
            <w:tcBorders>
              <w:top w:val="nil"/>
              <w:left w:val="nil"/>
              <w:bottom w:val="single" w:sz="4" w:space="0" w:color="auto"/>
              <w:right w:val="single" w:sz="4" w:space="0" w:color="auto"/>
            </w:tcBorders>
            <w:shd w:val="clear" w:color="auto" w:fill="auto"/>
            <w:vAlign w:val="bottom"/>
            <w:hideMark/>
          </w:tcPr>
          <w:p w14:paraId="0F88F46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Szkolnictwo wyższe i nauka </w:t>
            </w:r>
          </w:p>
        </w:tc>
        <w:tc>
          <w:tcPr>
            <w:tcW w:w="2520" w:type="dxa"/>
            <w:tcBorders>
              <w:top w:val="nil"/>
              <w:left w:val="nil"/>
              <w:bottom w:val="single" w:sz="4" w:space="0" w:color="auto"/>
              <w:right w:val="single" w:sz="4" w:space="0" w:color="auto"/>
            </w:tcBorders>
            <w:shd w:val="clear" w:color="auto" w:fill="auto"/>
            <w:noWrap/>
            <w:vAlign w:val="bottom"/>
            <w:hideMark/>
          </w:tcPr>
          <w:p w14:paraId="1415F65B"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186.539 </w:t>
            </w:r>
          </w:p>
        </w:tc>
        <w:tc>
          <w:tcPr>
            <w:tcW w:w="2037" w:type="dxa"/>
            <w:tcBorders>
              <w:top w:val="nil"/>
              <w:left w:val="nil"/>
              <w:bottom w:val="single" w:sz="4" w:space="0" w:color="auto"/>
              <w:right w:val="single" w:sz="4" w:space="0" w:color="auto"/>
            </w:tcBorders>
            <w:shd w:val="clear" w:color="auto" w:fill="auto"/>
            <w:noWrap/>
            <w:vAlign w:val="bottom"/>
            <w:hideMark/>
          </w:tcPr>
          <w:p w14:paraId="2998C518"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0682DBD7"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4E03DB47"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29</w:t>
            </w:r>
          </w:p>
        </w:tc>
        <w:tc>
          <w:tcPr>
            <w:tcW w:w="3957" w:type="dxa"/>
            <w:tcBorders>
              <w:top w:val="nil"/>
              <w:left w:val="nil"/>
              <w:bottom w:val="single" w:sz="4" w:space="0" w:color="auto"/>
              <w:right w:val="single" w:sz="4" w:space="0" w:color="auto"/>
            </w:tcBorders>
            <w:shd w:val="clear" w:color="auto" w:fill="auto"/>
            <w:vAlign w:val="bottom"/>
            <w:hideMark/>
          </w:tcPr>
          <w:p w14:paraId="05000717"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Obrona narodowa</w:t>
            </w:r>
          </w:p>
        </w:tc>
        <w:tc>
          <w:tcPr>
            <w:tcW w:w="2520" w:type="dxa"/>
            <w:tcBorders>
              <w:top w:val="nil"/>
              <w:left w:val="nil"/>
              <w:bottom w:val="single" w:sz="4" w:space="0" w:color="auto"/>
              <w:right w:val="single" w:sz="4" w:space="0" w:color="auto"/>
            </w:tcBorders>
            <w:shd w:val="clear" w:color="auto" w:fill="auto"/>
            <w:noWrap/>
            <w:vAlign w:val="bottom"/>
            <w:hideMark/>
          </w:tcPr>
          <w:p w14:paraId="6D1CBE17"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204.064 </w:t>
            </w:r>
          </w:p>
        </w:tc>
        <w:tc>
          <w:tcPr>
            <w:tcW w:w="2037" w:type="dxa"/>
            <w:tcBorders>
              <w:top w:val="nil"/>
              <w:left w:val="nil"/>
              <w:bottom w:val="single" w:sz="4" w:space="0" w:color="auto"/>
              <w:right w:val="single" w:sz="4" w:space="0" w:color="auto"/>
            </w:tcBorders>
            <w:shd w:val="clear" w:color="auto" w:fill="auto"/>
            <w:noWrap/>
            <w:vAlign w:val="bottom"/>
            <w:hideMark/>
          </w:tcPr>
          <w:p w14:paraId="02B5762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585978B0"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65386B85"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30</w:t>
            </w:r>
          </w:p>
        </w:tc>
        <w:tc>
          <w:tcPr>
            <w:tcW w:w="3957" w:type="dxa"/>
            <w:tcBorders>
              <w:top w:val="nil"/>
              <w:left w:val="nil"/>
              <w:bottom w:val="single" w:sz="4" w:space="0" w:color="auto"/>
              <w:right w:val="single" w:sz="4" w:space="0" w:color="auto"/>
            </w:tcBorders>
            <w:shd w:val="clear" w:color="auto" w:fill="auto"/>
            <w:vAlign w:val="bottom"/>
            <w:hideMark/>
          </w:tcPr>
          <w:p w14:paraId="4081C8C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Oświata i wychowanie</w:t>
            </w:r>
          </w:p>
        </w:tc>
        <w:tc>
          <w:tcPr>
            <w:tcW w:w="2520" w:type="dxa"/>
            <w:tcBorders>
              <w:top w:val="nil"/>
              <w:left w:val="nil"/>
              <w:bottom w:val="single" w:sz="4" w:space="0" w:color="auto"/>
              <w:right w:val="single" w:sz="4" w:space="0" w:color="auto"/>
            </w:tcBorders>
            <w:shd w:val="clear" w:color="auto" w:fill="auto"/>
            <w:noWrap/>
            <w:vAlign w:val="bottom"/>
            <w:hideMark/>
          </w:tcPr>
          <w:p w14:paraId="4E00C520"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1.193 </w:t>
            </w:r>
          </w:p>
        </w:tc>
        <w:tc>
          <w:tcPr>
            <w:tcW w:w="2037" w:type="dxa"/>
            <w:tcBorders>
              <w:top w:val="nil"/>
              <w:left w:val="nil"/>
              <w:bottom w:val="single" w:sz="4" w:space="0" w:color="auto"/>
              <w:right w:val="single" w:sz="4" w:space="0" w:color="auto"/>
            </w:tcBorders>
            <w:shd w:val="clear" w:color="auto" w:fill="auto"/>
            <w:noWrap/>
            <w:vAlign w:val="bottom"/>
            <w:hideMark/>
          </w:tcPr>
          <w:p w14:paraId="0E972B0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38A9C1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B77E208"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31</w:t>
            </w:r>
          </w:p>
        </w:tc>
        <w:tc>
          <w:tcPr>
            <w:tcW w:w="3957" w:type="dxa"/>
            <w:tcBorders>
              <w:top w:val="nil"/>
              <w:left w:val="nil"/>
              <w:bottom w:val="single" w:sz="4" w:space="0" w:color="auto"/>
              <w:right w:val="single" w:sz="4" w:space="0" w:color="auto"/>
            </w:tcBorders>
            <w:shd w:val="clear" w:color="auto" w:fill="auto"/>
            <w:vAlign w:val="bottom"/>
            <w:hideMark/>
          </w:tcPr>
          <w:p w14:paraId="412754E7"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Praca</w:t>
            </w:r>
          </w:p>
        </w:tc>
        <w:tc>
          <w:tcPr>
            <w:tcW w:w="2520" w:type="dxa"/>
            <w:tcBorders>
              <w:top w:val="nil"/>
              <w:left w:val="nil"/>
              <w:bottom w:val="single" w:sz="4" w:space="0" w:color="auto"/>
              <w:right w:val="single" w:sz="4" w:space="0" w:color="auto"/>
            </w:tcBorders>
            <w:shd w:val="clear" w:color="auto" w:fill="auto"/>
            <w:noWrap/>
            <w:vAlign w:val="bottom"/>
            <w:hideMark/>
          </w:tcPr>
          <w:p w14:paraId="1CF0EF79"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3.978 </w:t>
            </w:r>
          </w:p>
        </w:tc>
        <w:tc>
          <w:tcPr>
            <w:tcW w:w="2037" w:type="dxa"/>
            <w:tcBorders>
              <w:top w:val="nil"/>
              <w:left w:val="nil"/>
              <w:bottom w:val="single" w:sz="4" w:space="0" w:color="auto"/>
              <w:right w:val="single" w:sz="4" w:space="0" w:color="auto"/>
            </w:tcBorders>
            <w:shd w:val="clear" w:color="auto" w:fill="auto"/>
            <w:noWrap/>
            <w:vAlign w:val="bottom"/>
            <w:hideMark/>
          </w:tcPr>
          <w:p w14:paraId="621FA85B"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45AF66E"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27945523"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32</w:t>
            </w:r>
          </w:p>
        </w:tc>
        <w:tc>
          <w:tcPr>
            <w:tcW w:w="3957" w:type="dxa"/>
            <w:tcBorders>
              <w:top w:val="nil"/>
              <w:left w:val="nil"/>
              <w:bottom w:val="single" w:sz="4" w:space="0" w:color="auto"/>
              <w:right w:val="single" w:sz="4" w:space="0" w:color="auto"/>
            </w:tcBorders>
            <w:shd w:val="clear" w:color="auto" w:fill="auto"/>
            <w:vAlign w:val="bottom"/>
            <w:hideMark/>
          </w:tcPr>
          <w:p w14:paraId="0092ED9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Rolnictwo</w:t>
            </w:r>
          </w:p>
        </w:tc>
        <w:tc>
          <w:tcPr>
            <w:tcW w:w="2520" w:type="dxa"/>
            <w:tcBorders>
              <w:top w:val="nil"/>
              <w:left w:val="nil"/>
              <w:bottom w:val="single" w:sz="4" w:space="0" w:color="auto"/>
              <w:right w:val="single" w:sz="4" w:space="0" w:color="auto"/>
            </w:tcBorders>
            <w:shd w:val="clear" w:color="auto" w:fill="auto"/>
            <w:noWrap/>
            <w:vAlign w:val="bottom"/>
            <w:hideMark/>
          </w:tcPr>
          <w:p w14:paraId="1FB0A2F4"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3.839 </w:t>
            </w:r>
          </w:p>
        </w:tc>
        <w:tc>
          <w:tcPr>
            <w:tcW w:w="2037" w:type="dxa"/>
            <w:tcBorders>
              <w:top w:val="nil"/>
              <w:left w:val="nil"/>
              <w:bottom w:val="single" w:sz="4" w:space="0" w:color="auto"/>
              <w:right w:val="single" w:sz="4" w:space="0" w:color="auto"/>
            </w:tcBorders>
            <w:shd w:val="clear" w:color="auto" w:fill="auto"/>
            <w:noWrap/>
            <w:vAlign w:val="bottom"/>
            <w:hideMark/>
          </w:tcPr>
          <w:p w14:paraId="566824DC"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3F139E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60ACCEB3"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33</w:t>
            </w:r>
          </w:p>
        </w:tc>
        <w:tc>
          <w:tcPr>
            <w:tcW w:w="3957" w:type="dxa"/>
            <w:tcBorders>
              <w:top w:val="nil"/>
              <w:left w:val="nil"/>
              <w:bottom w:val="single" w:sz="4" w:space="0" w:color="auto"/>
              <w:right w:val="single" w:sz="4" w:space="0" w:color="auto"/>
            </w:tcBorders>
            <w:shd w:val="clear" w:color="auto" w:fill="auto"/>
            <w:vAlign w:val="bottom"/>
            <w:hideMark/>
          </w:tcPr>
          <w:p w14:paraId="608282D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Rozwój wsi</w:t>
            </w:r>
          </w:p>
        </w:tc>
        <w:tc>
          <w:tcPr>
            <w:tcW w:w="2520" w:type="dxa"/>
            <w:tcBorders>
              <w:top w:val="nil"/>
              <w:left w:val="nil"/>
              <w:bottom w:val="single" w:sz="4" w:space="0" w:color="auto"/>
              <w:right w:val="single" w:sz="4" w:space="0" w:color="auto"/>
            </w:tcBorders>
            <w:shd w:val="clear" w:color="auto" w:fill="auto"/>
            <w:noWrap/>
            <w:vAlign w:val="bottom"/>
            <w:hideMark/>
          </w:tcPr>
          <w:p w14:paraId="09E35053"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207 </w:t>
            </w:r>
          </w:p>
        </w:tc>
        <w:tc>
          <w:tcPr>
            <w:tcW w:w="2037" w:type="dxa"/>
            <w:tcBorders>
              <w:top w:val="nil"/>
              <w:left w:val="nil"/>
              <w:bottom w:val="single" w:sz="4" w:space="0" w:color="auto"/>
              <w:right w:val="single" w:sz="4" w:space="0" w:color="auto"/>
            </w:tcBorders>
            <w:shd w:val="clear" w:color="auto" w:fill="auto"/>
            <w:noWrap/>
            <w:vAlign w:val="bottom"/>
            <w:hideMark/>
          </w:tcPr>
          <w:p w14:paraId="708D332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304B23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84877F2"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34</w:t>
            </w:r>
          </w:p>
        </w:tc>
        <w:tc>
          <w:tcPr>
            <w:tcW w:w="3957" w:type="dxa"/>
            <w:tcBorders>
              <w:top w:val="nil"/>
              <w:left w:val="nil"/>
              <w:bottom w:val="single" w:sz="4" w:space="0" w:color="auto"/>
              <w:right w:val="single" w:sz="4" w:space="0" w:color="auto"/>
            </w:tcBorders>
            <w:shd w:val="clear" w:color="auto" w:fill="auto"/>
            <w:vAlign w:val="bottom"/>
            <w:hideMark/>
          </w:tcPr>
          <w:p w14:paraId="5F2E249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Rozwój regionalny</w:t>
            </w:r>
          </w:p>
        </w:tc>
        <w:tc>
          <w:tcPr>
            <w:tcW w:w="2520" w:type="dxa"/>
            <w:tcBorders>
              <w:top w:val="nil"/>
              <w:left w:val="nil"/>
              <w:bottom w:val="single" w:sz="4" w:space="0" w:color="auto"/>
              <w:right w:val="single" w:sz="4" w:space="0" w:color="auto"/>
            </w:tcBorders>
            <w:shd w:val="clear" w:color="auto" w:fill="auto"/>
            <w:noWrap/>
            <w:vAlign w:val="bottom"/>
            <w:hideMark/>
          </w:tcPr>
          <w:p w14:paraId="083F0FCD"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519 </w:t>
            </w:r>
          </w:p>
        </w:tc>
        <w:tc>
          <w:tcPr>
            <w:tcW w:w="2037" w:type="dxa"/>
            <w:tcBorders>
              <w:top w:val="nil"/>
              <w:left w:val="nil"/>
              <w:bottom w:val="single" w:sz="4" w:space="0" w:color="auto"/>
              <w:right w:val="single" w:sz="4" w:space="0" w:color="auto"/>
            </w:tcBorders>
            <w:shd w:val="clear" w:color="auto" w:fill="auto"/>
            <w:noWrap/>
            <w:vAlign w:val="bottom"/>
            <w:hideMark/>
          </w:tcPr>
          <w:p w14:paraId="764DD58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629BC184"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636E272"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35</w:t>
            </w:r>
          </w:p>
        </w:tc>
        <w:tc>
          <w:tcPr>
            <w:tcW w:w="3957" w:type="dxa"/>
            <w:tcBorders>
              <w:top w:val="nil"/>
              <w:left w:val="nil"/>
              <w:bottom w:val="single" w:sz="4" w:space="0" w:color="auto"/>
              <w:right w:val="single" w:sz="4" w:space="0" w:color="auto"/>
            </w:tcBorders>
            <w:shd w:val="clear" w:color="auto" w:fill="auto"/>
            <w:vAlign w:val="bottom"/>
            <w:hideMark/>
          </w:tcPr>
          <w:p w14:paraId="0299F4C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Rynki rolne</w:t>
            </w:r>
          </w:p>
        </w:tc>
        <w:tc>
          <w:tcPr>
            <w:tcW w:w="2520" w:type="dxa"/>
            <w:tcBorders>
              <w:top w:val="nil"/>
              <w:left w:val="nil"/>
              <w:bottom w:val="single" w:sz="4" w:space="0" w:color="auto"/>
              <w:right w:val="single" w:sz="4" w:space="0" w:color="auto"/>
            </w:tcBorders>
            <w:shd w:val="clear" w:color="auto" w:fill="auto"/>
            <w:noWrap/>
            <w:vAlign w:val="bottom"/>
            <w:hideMark/>
          </w:tcPr>
          <w:p w14:paraId="67511797"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534 </w:t>
            </w:r>
          </w:p>
        </w:tc>
        <w:tc>
          <w:tcPr>
            <w:tcW w:w="2037" w:type="dxa"/>
            <w:tcBorders>
              <w:top w:val="nil"/>
              <w:left w:val="nil"/>
              <w:bottom w:val="single" w:sz="4" w:space="0" w:color="auto"/>
              <w:right w:val="single" w:sz="4" w:space="0" w:color="auto"/>
            </w:tcBorders>
            <w:shd w:val="clear" w:color="auto" w:fill="auto"/>
            <w:noWrap/>
            <w:vAlign w:val="bottom"/>
            <w:hideMark/>
          </w:tcPr>
          <w:p w14:paraId="2D02E1C3"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6E39BC5"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C5BD054"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37</w:t>
            </w:r>
          </w:p>
        </w:tc>
        <w:tc>
          <w:tcPr>
            <w:tcW w:w="3957" w:type="dxa"/>
            <w:tcBorders>
              <w:top w:val="nil"/>
              <w:left w:val="nil"/>
              <w:bottom w:val="single" w:sz="4" w:space="0" w:color="auto"/>
              <w:right w:val="single" w:sz="4" w:space="0" w:color="auto"/>
            </w:tcBorders>
            <w:shd w:val="clear" w:color="auto" w:fill="auto"/>
            <w:vAlign w:val="bottom"/>
            <w:hideMark/>
          </w:tcPr>
          <w:p w14:paraId="3953E528"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Sprawiedliwość</w:t>
            </w:r>
          </w:p>
        </w:tc>
        <w:tc>
          <w:tcPr>
            <w:tcW w:w="2520" w:type="dxa"/>
            <w:tcBorders>
              <w:top w:val="nil"/>
              <w:left w:val="nil"/>
              <w:bottom w:val="single" w:sz="4" w:space="0" w:color="auto"/>
              <w:right w:val="single" w:sz="4" w:space="0" w:color="auto"/>
            </w:tcBorders>
            <w:shd w:val="clear" w:color="auto" w:fill="auto"/>
            <w:noWrap/>
            <w:vAlign w:val="bottom"/>
            <w:hideMark/>
          </w:tcPr>
          <w:p w14:paraId="628B03AD"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35.865 </w:t>
            </w:r>
          </w:p>
        </w:tc>
        <w:tc>
          <w:tcPr>
            <w:tcW w:w="2037" w:type="dxa"/>
            <w:tcBorders>
              <w:top w:val="nil"/>
              <w:left w:val="nil"/>
              <w:bottom w:val="single" w:sz="4" w:space="0" w:color="auto"/>
              <w:right w:val="single" w:sz="4" w:space="0" w:color="auto"/>
            </w:tcBorders>
            <w:shd w:val="clear" w:color="auto" w:fill="auto"/>
            <w:noWrap/>
            <w:vAlign w:val="bottom"/>
            <w:hideMark/>
          </w:tcPr>
          <w:p w14:paraId="0A18DD04"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514ED0A"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14DBD30C"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39</w:t>
            </w:r>
          </w:p>
        </w:tc>
        <w:tc>
          <w:tcPr>
            <w:tcW w:w="3957" w:type="dxa"/>
            <w:tcBorders>
              <w:top w:val="nil"/>
              <w:left w:val="nil"/>
              <w:bottom w:val="single" w:sz="4" w:space="0" w:color="auto"/>
              <w:right w:val="single" w:sz="4" w:space="0" w:color="auto"/>
            </w:tcBorders>
            <w:shd w:val="clear" w:color="auto" w:fill="auto"/>
            <w:vAlign w:val="bottom"/>
            <w:hideMark/>
          </w:tcPr>
          <w:p w14:paraId="503C3E36"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Transport</w:t>
            </w:r>
          </w:p>
        </w:tc>
        <w:tc>
          <w:tcPr>
            <w:tcW w:w="2520" w:type="dxa"/>
            <w:tcBorders>
              <w:top w:val="nil"/>
              <w:left w:val="nil"/>
              <w:bottom w:val="single" w:sz="4" w:space="0" w:color="auto"/>
              <w:right w:val="single" w:sz="4" w:space="0" w:color="auto"/>
            </w:tcBorders>
            <w:shd w:val="clear" w:color="auto" w:fill="auto"/>
            <w:noWrap/>
            <w:vAlign w:val="bottom"/>
            <w:hideMark/>
          </w:tcPr>
          <w:p w14:paraId="322B8911"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4.560 </w:t>
            </w:r>
          </w:p>
        </w:tc>
        <w:tc>
          <w:tcPr>
            <w:tcW w:w="2037" w:type="dxa"/>
            <w:tcBorders>
              <w:top w:val="nil"/>
              <w:left w:val="nil"/>
              <w:bottom w:val="single" w:sz="4" w:space="0" w:color="auto"/>
              <w:right w:val="single" w:sz="4" w:space="0" w:color="auto"/>
            </w:tcBorders>
            <w:shd w:val="clear" w:color="auto" w:fill="auto"/>
            <w:noWrap/>
            <w:vAlign w:val="bottom"/>
            <w:hideMark/>
          </w:tcPr>
          <w:p w14:paraId="4B3616C9"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438E2223"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3ED69889"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40</w:t>
            </w:r>
          </w:p>
        </w:tc>
        <w:tc>
          <w:tcPr>
            <w:tcW w:w="3957" w:type="dxa"/>
            <w:tcBorders>
              <w:top w:val="nil"/>
              <w:left w:val="nil"/>
              <w:bottom w:val="single" w:sz="4" w:space="0" w:color="auto"/>
              <w:right w:val="single" w:sz="4" w:space="0" w:color="auto"/>
            </w:tcBorders>
            <w:shd w:val="clear" w:color="auto" w:fill="auto"/>
            <w:vAlign w:val="bottom"/>
            <w:hideMark/>
          </w:tcPr>
          <w:p w14:paraId="49A69C0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Turystyka</w:t>
            </w:r>
          </w:p>
        </w:tc>
        <w:tc>
          <w:tcPr>
            <w:tcW w:w="2520" w:type="dxa"/>
            <w:tcBorders>
              <w:top w:val="nil"/>
              <w:left w:val="nil"/>
              <w:bottom w:val="single" w:sz="4" w:space="0" w:color="auto"/>
              <w:right w:val="single" w:sz="4" w:space="0" w:color="auto"/>
            </w:tcBorders>
            <w:shd w:val="clear" w:color="auto" w:fill="auto"/>
            <w:noWrap/>
            <w:vAlign w:val="bottom"/>
            <w:hideMark/>
          </w:tcPr>
          <w:p w14:paraId="17BBC335"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324 </w:t>
            </w:r>
          </w:p>
        </w:tc>
        <w:tc>
          <w:tcPr>
            <w:tcW w:w="2037" w:type="dxa"/>
            <w:tcBorders>
              <w:top w:val="nil"/>
              <w:left w:val="nil"/>
              <w:bottom w:val="single" w:sz="4" w:space="0" w:color="auto"/>
              <w:right w:val="single" w:sz="4" w:space="0" w:color="auto"/>
            </w:tcBorders>
            <w:shd w:val="clear" w:color="auto" w:fill="auto"/>
            <w:noWrap/>
            <w:vAlign w:val="bottom"/>
            <w:hideMark/>
          </w:tcPr>
          <w:p w14:paraId="193C90D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84898F0"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3EC066DE"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41</w:t>
            </w:r>
          </w:p>
        </w:tc>
        <w:tc>
          <w:tcPr>
            <w:tcW w:w="3957" w:type="dxa"/>
            <w:tcBorders>
              <w:top w:val="nil"/>
              <w:left w:val="nil"/>
              <w:bottom w:val="single" w:sz="4" w:space="0" w:color="auto"/>
              <w:right w:val="single" w:sz="4" w:space="0" w:color="auto"/>
            </w:tcBorders>
            <w:shd w:val="clear" w:color="auto" w:fill="auto"/>
            <w:vAlign w:val="bottom"/>
            <w:hideMark/>
          </w:tcPr>
          <w:p w14:paraId="7637176E"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Środowisko</w:t>
            </w:r>
          </w:p>
        </w:tc>
        <w:tc>
          <w:tcPr>
            <w:tcW w:w="2520" w:type="dxa"/>
            <w:tcBorders>
              <w:top w:val="nil"/>
              <w:left w:val="nil"/>
              <w:bottom w:val="single" w:sz="4" w:space="0" w:color="auto"/>
              <w:right w:val="single" w:sz="4" w:space="0" w:color="auto"/>
            </w:tcBorders>
            <w:shd w:val="clear" w:color="auto" w:fill="auto"/>
            <w:noWrap/>
            <w:vAlign w:val="bottom"/>
            <w:hideMark/>
          </w:tcPr>
          <w:p w14:paraId="3A8ACD6C"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2.437 </w:t>
            </w:r>
          </w:p>
        </w:tc>
        <w:tc>
          <w:tcPr>
            <w:tcW w:w="2037" w:type="dxa"/>
            <w:tcBorders>
              <w:top w:val="nil"/>
              <w:left w:val="nil"/>
              <w:bottom w:val="single" w:sz="4" w:space="0" w:color="auto"/>
              <w:right w:val="single" w:sz="4" w:space="0" w:color="auto"/>
            </w:tcBorders>
            <w:shd w:val="clear" w:color="auto" w:fill="auto"/>
            <w:noWrap/>
            <w:vAlign w:val="bottom"/>
            <w:hideMark/>
          </w:tcPr>
          <w:p w14:paraId="79F788D0"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BD8BA01"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41FEEF5"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42</w:t>
            </w:r>
          </w:p>
        </w:tc>
        <w:tc>
          <w:tcPr>
            <w:tcW w:w="3957" w:type="dxa"/>
            <w:tcBorders>
              <w:top w:val="nil"/>
              <w:left w:val="nil"/>
              <w:bottom w:val="single" w:sz="4" w:space="0" w:color="auto"/>
              <w:right w:val="single" w:sz="4" w:space="0" w:color="auto"/>
            </w:tcBorders>
            <w:shd w:val="clear" w:color="auto" w:fill="auto"/>
            <w:vAlign w:val="bottom"/>
            <w:hideMark/>
          </w:tcPr>
          <w:p w14:paraId="581ED038"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Sprawy wewnętrzne</w:t>
            </w:r>
          </w:p>
        </w:tc>
        <w:tc>
          <w:tcPr>
            <w:tcW w:w="2520" w:type="dxa"/>
            <w:tcBorders>
              <w:top w:val="nil"/>
              <w:left w:val="nil"/>
              <w:bottom w:val="single" w:sz="4" w:space="0" w:color="auto"/>
              <w:right w:val="single" w:sz="4" w:space="0" w:color="auto"/>
            </w:tcBorders>
            <w:shd w:val="clear" w:color="auto" w:fill="auto"/>
            <w:noWrap/>
            <w:vAlign w:val="bottom"/>
            <w:hideMark/>
          </w:tcPr>
          <w:p w14:paraId="3126DC6C"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168.043 </w:t>
            </w:r>
          </w:p>
        </w:tc>
        <w:tc>
          <w:tcPr>
            <w:tcW w:w="2037" w:type="dxa"/>
            <w:tcBorders>
              <w:top w:val="nil"/>
              <w:left w:val="nil"/>
              <w:bottom w:val="single" w:sz="4" w:space="0" w:color="auto"/>
              <w:right w:val="single" w:sz="4" w:space="0" w:color="auto"/>
            </w:tcBorders>
            <w:shd w:val="clear" w:color="auto" w:fill="auto"/>
            <w:noWrap/>
            <w:vAlign w:val="bottom"/>
            <w:hideMark/>
          </w:tcPr>
          <w:p w14:paraId="3AE2DA2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FE1EFA7"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3464810B"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43</w:t>
            </w:r>
          </w:p>
        </w:tc>
        <w:tc>
          <w:tcPr>
            <w:tcW w:w="3957" w:type="dxa"/>
            <w:tcBorders>
              <w:top w:val="nil"/>
              <w:left w:val="nil"/>
              <w:bottom w:val="single" w:sz="4" w:space="0" w:color="auto"/>
              <w:right w:val="single" w:sz="4" w:space="0" w:color="auto"/>
            </w:tcBorders>
            <w:shd w:val="clear" w:color="auto" w:fill="auto"/>
            <w:vAlign w:val="bottom"/>
            <w:hideMark/>
          </w:tcPr>
          <w:p w14:paraId="0EB7642E"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Wyznania religijne oraz mniejszości narodowe i etniczne</w:t>
            </w:r>
          </w:p>
        </w:tc>
        <w:tc>
          <w:tcPr>
            <w:tcW w:w="2520" w:type="dxa"/>
            <w:tcBorders>
              <w:top w:val="nil"/>
              <w:left w:val="nil"/>
              <w:bottom w:val="single" w:sz="4" w:space="0" w:color="auto"/>
              <w:right w:val="single" w:sz="4" w:space="0" w:color="auto"/>
            </w:tcBorders>
            <w:shd w:val="clear" w:color="auto" w:fill="auto"/>
            <w:noWrap/>
            <w:vAlign w:val="bottom"/>
            <w:hideMark/>
          </w:tcPr>
          <w:p w14:paraId="2C8B02BE"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57 </w:t>
            </w:r>
          </w:p>
        </w:tc>
        <w:tc>
          <w:tcPr>
            <w:tcW w:w="2037" w:type="dxa"/>
            <w:tcBorders>
              <w:top w:val="nil"/>
              <w:left w:val="nil"/>
              <w:bottom w:val="single" w:sz="4" w:space="0" w:color="auto"/>
              <w:right w:val="single" w:sz="4" w:space="0" w:color="auto"/>
            </w:tcBorders>
            <w:shd w:val="clear" w:color="auto" w:fill="auto"/>
            <w:noWrap/>
            <w:vAlign w:val="bottom"/>
            <w:hideMark/>
          </w:tcPr>
          <w:p w14:paraId="6BF4F82E"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6E85DE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9B3A5B9"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44</w:t>
            </w:r>
          </w:p>
        </w:tc>
        <w:tc>
          <w:tcPr>
            <w:tcW w:w="3957" w:type="dxa"/>
            <w:tcBorders>
              <w:top w:val="nil"/>
              <w:left w:val="nil"/>
              <w:bottom w:val="single" w:sz="4" w:space="0" w:color="auto"/>
              <w:right w:val="single" w:sz="4" w:space="0" w:color="auto"/>
            </w:tcBorders>
            <w:shd w:val="clear" w:color="auto" w:fill="auto"/>
            <w:vAlign w:val="bottom"/>
            <w:hideMark/>
          </w:tcPr>
          <w:p w14:paraId="4BE96BB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Zabezpieczenie społeczne</w:t>
            </w:r>
          </w:p>
        </w:tc>
        <w:tc>
          <w:tcPr>
            <w:tcW w:w="2520" w:type="dxa"/>
            <w:tcBorders>
              <w:top w:val="nil"/>
              <w:left w:val="nil"/>
              <w:bottom w:val="single" w:sz="4" w:space="0" w:color="auto"/>
              <w:right w:val="single" w:sz="4" w:space="0" w:color="auto"/>
            </w:tcBorders>
            <w:shd w:val="clear" w:color="auto" w:fill="auto"/>
            <w:noWrap/>
            <w:vAlign w:val="bottom"/>
            <w:hideMark/>
          </w:tcPr>
          <w:p w14:paraId="54D55C10"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615 </w:t>
            </w:r>
          </w:p>
        </w:tc>
        <w:tc>
          <w:tcPr>
            <w:tcW w:w="2037" w:type="dxa"/>
            <w:tcBorders>
              <w:top w:val="nil"/>
              <w:left w:val="nil"/>
              <w:bottom w:val="single" w:sz="4" w:space="0" w:color="auto"/>
              <w:right w:val="single" w:sz="4" w:space="0" w:color="auto"/>
            </w:tcBorders>
            <w:shd w:val="clear" w:color="auto" w:fill="auto"/>
            <w:noWrap/>
            <w:vAlign w:val="bottom"/>
            <w:hideMark/>
          </w:tcPr>
          <w:p w14:paraId="1839A7D5"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825D416"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4B688592"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45</w:t>
            </w:r>
          </w:p>
        </w:tc>
        <w:tc>
          <w:tcPr>
            <w:tcW w:w="3957" w:type="dxa"/>
            <w:tcBorders>
              <w:top w:val="nil"/>
              <w:left w:val="nil"/>
              <w:bottom w:val="single" w:sz="4" w:space="0" w:color="auto"/>
              <w:right w:val="single" w:sz="4" w:space="0" w:color="auto"/>
            </w:tcBorders>
            <w:shd w:val="clear" w:color="auto" w:fill="auto"/>
            <w:vAlign w:val="bottom"/>
            <w:hideMark/>
          </w:tcPr>
          <w:p w14:paraId="03D913A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Sprawy zagraniczne</w:t>
            </w:r>
          </w:p>
        </w:tc>
        <w:tc>
          <w:tcPr>
            <w:tcW w:w="2520" w:type="dxa"/>
            <w:tcBorders>
              <w:top w:val="nil"/>
              <w:left w:val="nil"/>
              <w:bottom w:val="single" w:sz="4" w:space="0" w:color="auto"/>
              <w:right w:val="single" w:sz="4" w:space="0" w:color="auto"/>
            </w:tcBorders>
            <w:shd w:val="clear" w:color="auto" w:fill="auto"/>
            <w:noWrap/>
            <w:vAlign w:val="bottom"/>
            <w:hideMark/>
          </w:tcPr>
          <w:p w14:paraId="39D47AF6"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7.400 </w:t>
            </w:r>
          </w:p>
        </w:tc>
        <w:tc>
          <w:tcPr>
            <w:tcW w:w="2037" w:type="dxa"/>
            <w:tcBorders>
              <w:top w:val="nil"/>
              <w:left w:val="nil"/>
              <w:bottom w:val="single" w:sz="4" w:space="0" w:color="auto"/>
              <w:right w:val="single" w:sz="4" w:space="0" w:color="auto"/>
            </w:tcBorders>
            <w:shd w:val="clear" w:color="auto" w:fill="auto"/>
            <w:noWrap/>
            <w:vAlign w:val="bottom"/>
            <w:hideMark/>
          </w:tcPr>
          <w:p w14:paraId="277E022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418A4FC6"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4E4606C4"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46</w:t>
            </w:r>
          </w:p>
        </w:tc>
        <w:tc>
          <w:tcPr>
            <w:tcW w:w="3957" w:type="dxa"/>
            <w:tcBorders>
              <w:top w:val="nil"/>
              <w:left w:val="nil"/>
              <w:bottom w:val="single" w:sz="4" w:space="0" w:color="auto"/>
              <w:right w:val="single" w:sz="4" w:space="0" w:color="auto"/>
            </w:tcBorders>
            <w:shd w:val="clear" w:color="auto" w:fill="auto"/>
            <w:vAlign w:val="bottom"/>
            <w:hideMark/>
          </w:tcPr>
          <w:p w14:paraId="6F7E5E93"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Zdrowie</w:t>
            </w:r>
          </w:p>
        </w:tc>
        <w:tc>
          <w:tcPr>
            <w:tcW w:w="2520" w:type="dxa"/>
            <w:tcBorders>
              <w:top w:val="nil"/>
              <w:left w:val="nil"/>
              <w:bottom w:val="single" w:sz="4" w:space="0" w:color="auto"/>
              <w:right w:val="single" w:sz="4" w:space="0" w:color="auto"/>
            </w:tcBorders>
            <w:shd w:val="clear" w:color="auto" w:fill="auto"/>
            <w:noWrap/>
            <w:vAlign w:val="bottom"/>
            <w:hideMark/>
          </w:tcPr>
          <w:p w14:paraId="5DFF1148"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6.121 </w:t>
            </w:r>
          </w:p>
        </w:tc>
        <w:tc>
          <w:tcPr>
            <w:tcW w:w="2037" w:type="dxa"/>
            <w:tcBorders>
              <w:top w:val="nil"/>
              <w:left w:val="nil"/>
              <w:bottom w:val="single" w:sz="4" w:space="0" w:color="auto"/>
              <w:right w:val="single" w:sz="4" w:space="0" w:color="auto"/>
            </w:tcBorders>
            <w:shd w:val="clear" w:color="auto" w:fill="auto"/>
            <w:noWrap/>
            <w:vAlign w:val="bottom"/>
            <w:hideMark/>
          </w:tcPr>
          <w:p w14:paraId="1D46D5F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1EDFF1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22334DF"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47</w:t>
            </w:r>
          </w:p>
        </w:tc>
        <w:tc>
          <w:tcPr>
            <w:tcW w:w="3957" w:type="dxa"/>
            <w:tcBorders>
              <w:top w:val="nil"/>
              <w:left w:val="nil"/>
              <w:bottom w:val="single" w:sz="4" w:space="0" w:color="auto"/>
              <w:right w:val="single" w:sz="4" w:space="0" w:color="auto"/>
            </w:tcBorders>
            <w:shd w:val="clear" w:color="auto" w:fill="auto"/>
            <w:vAlign w:val="bottom"/>
            <w:hideMark/>
          </w:tcPr>
          <w:p w14:paraId="4BB035F6"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Energia</w:t>
            </w:r>
          </w:p>
        </w:tc>
        <w:tc>
          <w:tcPr>
            <w:tcW w:w="2520" w:type="dxa"/>
            <w:tcBorders>
              <w:top w:val="nil"/>
              <w:left w:val="nil"/>
              <w:bottom w:val="single" w:sz="4" w:space="0" w:color="auto"/>
              <w:right w:val="single" w:sz="4" w:space="0" w:color="auto"/>
            </w:tcBorders>
            <w:shd w:val="clear" w:color="auto" w:fill="auto"/>
            <w:noWrap/>
            <w:vAlign w:val="bottom"/>
            <w:hideMark/>
          </w:tcPr>
          <w:p w14:paraId="42130E63"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346 </w:t>
            </w:r>
          </w:p>
        </w:tc>
        <w:tc>
          <w:tcPr>
            <w:tcW w:w="2037" w:type="dxa"/>
            <w:tcBorders>
              <w:top w:val="nil"/>
              <w:left w:val="nil"/>
              <w:bottom w:val="single" w:sz="4" w:space="0" w:color="auto"/>
              <w:right w:val="single" w:sz="4" w:space="0" w:color="auto"/>
            </w:tcBorders>
            <w:shd w:val="clear" w:color="auto" w:fill="auto"/>
            <w:noWrap/>
            <w:vAlign w:val="bottom"/>
            <w:hideMark/>
          </w:tcPr>
          <w:p w14:paraId="701BB4A5"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0BA3FD91"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526138BA"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48</w:t>
            </w:r>
          </w:p>
        </w:tc>
        <w:tc>
          <w:tcPr>
            <w:tcW w:w="3957" w:type="dxa"/>
            <w:tcBorders>
              <w:top w:val="nil"/>
              <w:left w:val="nil"/>
              <w:bottom w:val="single" w:sz="4" w:space="0" w:color="auto"/>
              <w:right w:val="single" w:sz="4" w:space="0" w:color="auto"/>
            </w:tcBorders>
            <w:shd w:val="clear" w:color="auto" w:fill="auto"/>
            <w:vAlign w:val="bottom"/>
            <w:hideMark/>
          </w:tcPr>
          <w:p w14:paraId="76CA2A2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Gospodarka złożami kopalin</w:t>
            </w:r>
          </w:p>
        </w:tc>
        <w:tc>
          <w:tcPr>
            <w:tcW w:w="2520" w:type="dxa"/>
            <w:tcBorders>
              <w:top w:val="nil"/>
              <w:left w:val="nil"/>
              <w:bottom w:val="single" w:sz="4" w:space="0" w:color="auto"/>
              <w:right w:val="single" w:sz="4" w:space="0" w:color="auto"/>
            </w:tcBorders>
            <w:shd w:val="clear" w:color="auto" w:fill="auto"/>
            <w:noWrap/>
            <w:vAlign w:val="bottom"/>
            <w:hideMark/>
          </w:tcPr>
          <w:p w14:paraId="44BF5024"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51 </w:t>
            </w:r>
          </w:p>
        </w:tc>
        <w:tc>
          <w:tcPr>
            <w:tcW w:w="2037" w:type="dxa"/>
            <w:tcBorders>
              <w:top w:val="nil"/>
              <w:left w:val="nil"/>
              <w:bottom w:val="single" w:sz="4" w:space="0" w:color="auto"/>
              <w:right w:val="single" w:sz="4" w:space="0" w:color="auto"/>
            </w:tcBorders>
            <w:shd w:val="clear" w:color="auto" w:fill="auto"/>
            <w:noWrap/>
            <w:vAlign w:val="bottom"/>
            <w:hideMark/>
          </w:tcPr>
          <w:p w14:paraId="7A723D3B"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5B53377B"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2D436457"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49</w:t>
            </w:r>
          </w:p>
        </w:tc>
        <w:tc>
          <w:tcPr>
            <w:tcW w:w="3957" w:type="dxa"/>
            <w:tcBorders>
              <w:top w:val="nil"/>
              <w:left w:val="nil"/>
              <w:bottom w:val="single" w:sz="4" w:space="0" w:color="auto"/>
              <w:right w:val="single" w:sz="4" w:space="0" w:color="auto"/>
            </w:tcBorders>
            <w:shd w:val="clear" w:color="auto" w:fill="auto"/>
            <w:vAlign w:val="bottom"/>
            <w:hideMark/>
          </w:tcPr>
          <w:p w14:paraId="0D6D2E15"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Urząd Zamówień Publicznych</w:t>
            </w:r>
          </w:p>
        </w:tc>
        <w:tc>
          <w:tcPr>
            <w:tcW w:w="2520" w:type="dxa"/>
            <w:tcBorders>
              <w:top w:val="nil"/>
              <w:left w:val="nil"/>
              <w:bottom w:val="single" w:sz="4" w:space="0" w:color="auto"/>
              <w:right w:val="single" w:sz="4" w:space="0" w:color="auto"/>
            </w:tcBorders>
            <w:shd w:val="clear" w:color="auto" w:fill="auto"/>
            <w:noWrap/>
            <w:vAlign w:val="bottom"/>
            <w:hideMark/>
          </w:tcPr>
          <w:p w14:paraId="308D9241"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308 </w:t>
            </w:r>
          </w:p>
        </w:tc>
        <w:tc>
          <w:tcPr>
            <w:tcW w:w="2037" w:type="dxa"/>
            <w:tcBorders>
              <w:top w:val="nil"/>
              <w:left w:val="nil"/>
              <w:bottom w:val="single" w:sz="4" w:space="0" w:color="auto"/>
              <w:right w:val="single" w:sz="4" w:space="0" w:color="auto"/>
            </w:tcBorders>
            <w:shd w:val="clear" w:color="auto" w:fill="auto"/>
            <w:noWrap/>
            <w:vAlign w:val="bottom"/>
            <w:hideMark/>
          </w:tcPr>
          <w:p w14:paraId="42308B0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35C89E64"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228447A5"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50</w:t>
            </w:r>
          </w:p>
        </w:tc>
        <w:tc>
          <w:tcPr>
            <w:tcW w:w="3957" w:type="dxa"/>
            <w:tcBorders>
              <w:top w:val="nil"/>
              <w:left w:val="nil"/>
              <w:bottom w:val="single" w:sz="4" w:space="0" w:color="auto"/>
              <w:right w:val="single" w:sz="4" w:space="0" w:color="auto"/>
            </w:tcBorders>
            <w:shd w:val="clear" w:color="auto" w:fill="auto"/>
            <w:vAlign w:val="bottom"/>
            <w:hideMark/>
          </w:tcPr>
          <w:p w14:paraId="47BD563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Urząd Regulacji Energetyki</w:t>
            </w:r>
          </w:p>
        </w:tc>
        <w:tc>
          <w:tcPr>
            <w:tcW w:w="2520" w:type="dxa"/>
            <w:tcBorders>
              <w:top w:val="nil"/>
              <w:left w:val="nil"/>
              <w:bottom w:val="single" w:sz="4" w:space="0" w:color="auto"/>
              <w:right w:val="single" w:sz="4" w:space="0" w:color="auto"/>
            </w:tcBorders>
            <w:shd w:val="clear" w:color="auto" w:fill="auto"/>
            <w:noWrap/>
            <w:vAlign w:val="bottom"/>
            <w:hideMark/>
          </w:tcPr>
          <w:p w14:paraId="45A23F12"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666 </w:t>
            </w:r>
          </w:p>
        </w:tc>
        <w:tc>
          <w:tcPr>
            <w:tcW w:w="2037" w:type="dxa"/>
            <w:tcBorders>
              <w:top w:val="nil"/>
              <w:left w:val="nil"/>
              <w:bottom w:val="single" w:sz="4" w:space="0" w:color="auto"/>
              <w:right w:val="single" w:sz="4" w:space="0" w:color="auto"/>
            </w:tcBorders>
            <w:shd w:val="clear" w:color="auto" w:fill="auto"/>
            <w:noWrap/>
            <w:vAlign w:val="bottom"/>
            <w:hideMark/>
          </w:tcPr>
          <w:p w14:paraId="7C5A785E"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10144DC7"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6C714010"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51</w:t>
            </w:r>
          </w:p>
        </w:tc>
        <w:tc>
          <w:tcPr>
            <w:tcW w:w="3957" w:type="dxa"/>
            <w:tcBorders>
              <w:top w:val="nil"/>
              <w:left w:val="nil"/>
              <w:bottom w:val="single" w:sz="4" w:space="0" w:color="auto"/>
              <w:right w:val="single" w:sz="4" w:space="0" w:color="auto"/>
            </w:tcBorders>
            <w:shd w:val="clear" w:color="auto" w:fill="auto"/>
            <w:vAlign w:val="bottom"/>
            <w:hideMark/>
          </w:tcPr>
          <w:p w14:paraId="4FB3889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Klimat</w:t>
            </w:r>
          </w:p>
        </w:tc>
        <w:tc>
          <w:tcPr>
            <w:tcW w:w="2520" w:type="dxa"/>
            <w:tcBorders>
              <w:top w:val="nil"/>
              <w:left w:val="nil"/>
              <w:bottom w:val="single" w:sz="4" w:space="0" w:color="auto"/>
              <w:right w:val="single" w:sz="4" w:space="0" w:color="auto"/>
            </w:tcBorders>
            <w:shd w:val="clear" w:color="auto" w:fill="auto"/>
            <w:noWrap/>
            <w:vAlign w:val="bottom"/>
            <w:hideMark/>
          </w:tcPr>
          <w:p w14:paraId="358B0C1A"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2.559 </w:t>
            </w:r>
          </w:p>
        </w:tc>
        <w:tc>
          <w:tcPr>
            <w:tcW w:w="2037" w:type="dxa"/>
            <w:tcBorders>
              <w:top w:val="nil"/>
              <w:left w:val="nil"/>
              <w:bottom w:val="single" w:sz="4" w:space="0" w:color="auto"/>
              <w:right w:val="single" w:sz="4" w:space="0" w:color="auto"/>
            </w:tcBorders>
            <w:shd w:val="clear" w:color="auto" w:fill="auto"/>
            <w:noWrap/>
            <w:vAlign w:val="bottom"/>
            <w:hideMark/>
          </w:tcPr>
          <w:p w14:paraId="325C0AB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3468A47"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5F8745A"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53</w:t>
            </w:r>
          </w:p>
        </w:tc>
        <w:tc>
          <w:tcPr>
            <w:tcW w:w="3957" w:type="dxa"/>
            <w:tcBorders>
              <w:top w:val="nil"/>
              <w:left w:val="nil"/>
              <w:bottom w:val="single" w:sz="4" w:space="0" w:color="auto"/>
              <w:right w:val="single" w:sz="4" w:space="0" w:color="auto"/>
            </w:tcBorders>
            <w:shd w:val="clear" w:color="auto" w:fill="auto"/>
            <w:vAlign w:val="bottom"/>
            <w:hideMark/>
          </w:tcPr>
          <w:p w14:paraId="57948F37" w14:textId="77777777" w:rsidR="009C3F4E" w:rsidRPr="009C3F4E" w:rsidRDefault="006147E2" w:rsidP="00F02EA3">
            <w:pPr>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Urząd Ochrony Konkurencji i </w:t>
            </w:r>
            <w:r w:rsidR="009C3F4E" w:rsidRPr="009C3F4E">
              <w:rPr>
                <w:rFonts w:ascii="Arial" w:eastAsia="Times New Roman" w:hAnsi="Arial" w:cs="Arial"/>
                <w:sz w:val="20"/>
                <w:szCs w:val="20"/>
                <w:lang w:eastAsia="pl-PL"/>
              </w:rPr>
              <w:t>Konsumentów</w:t>
            </w:r>
          </w:p>
        </w:tc>
        <w:tc>
          <w:tcPr>
            <w:tcW w:w="2520" w:type="dxa"/>
            <w:tcBorders>
              <w:top w:val="nil"/>
              <w:left w:val="nil"/>
              <w:bottom w:val="single" w:sz="4" w:space="0" w:color="auto"/>
              <w:right w:val="single" w:sz="4" w:space="0" w:color="auto"/>
            </w:tcBorders>
            <w:shd w:val="clear" w:color="auto" w:fill="auto"/>
            <w:noWrap/>
            <w:vAlign w:val="bottom"/>
            <w:hideMark/>
          </w:tcPr>
          <w:p w14:paraId="794707D2"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1.145 </w:t>
            </w:r>
          </w:p>
        </w:tc>
        <w:tc>
          <w:tcPr>
            <w:tcW w:w="2037" w:type="dxa"/>
            <w:tcBorders>
              <w:top w:val="nil"/>
              <w:left w:val="nil"/>
              <w:bottom w:val="single" w:sz="4" w:space="0" w:color="auto"/>
              <w:right w:val="single" w:sz="4" w:space="0" w:color="auto"/>
            </w:tcBorders>
            <w:shd w:val="clear" w:color="auto" w:fill="auto"/>
            <w:noWrap/>
            <w:vAlign w:val="bottom"/>
            <w:hideMark/>
          </w:tcPr>
          <w:p w14:paraId="3503F123"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0F5649B1"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433B954"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54</w:t>
            </w:r>
          </w:p>
        </w:tc>
        <w:tc>
          <w:tcPr>
            <w:tcW w:w="3957" w:type="dxa"/>
            <w:tcBorders>
              <w:top w:val="nil"/>
              <w:left w:val="nil"/>
              <w:bottom w:val="single" w:sz="4" w:space="0" w:color="auto"/>
              <w:right w:val="single" w:sz="4" w:space="0" w:color="auto"/>
            </w:tcBorders>
            <w:shd w:val="clear" w:color="auto" w:fill="auto"/>
            <w:vAlign w:val="bottom"/>
            <w:hideMark/>
          </w:tcPr>
          <w:p w14:paraId="7F59CF50"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Urząd do Spraw Kombatantów i Osób Represjonowanych</w:t>
            </w:r>
          </w:p>
        </w:tc>
        <w:tc>
          <w:tcPr>
            <w:tcW w:w="2520" w:type="dxa"/>
            <w:tcBorders>
              <w:top w:val="nil"/>
              <w:left w:val="nil"/>
              <w:bottom w:val="single" w:sz="4" w:space="0" w:color="auto"/>
              <w:right w:val="single" w:sz="4" w:space="0" w:color="auto"/>
            </w:tcBorders>
            <w:shd w:val="clear" w:color="auto" w:fill="auto"/>
            <w:noWrap/>
            <w:vAlign w:val="bottom"/>
            <w:hideMark/>
          </w:tcPr>
          <w:p w14:paraId="33731D62"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244 </w:t>
            </w:r>
          </w:p>
        </w:tc>
        <w:tc>
          <w:tcPr>
            <w:tcW w:w="2037" w:type="dxa"/>
            <w:tcBorders>
              <w:top w:val="nil"/>
              <w:left w:val="nil"/>
              <w:bottom w:val="single" w:sz="4" w:space="0" w:color="auto"/>
              <w:right w:val="single" w:sz="4" w:space="0" w:color="auto"/>
            </w:tcBorders>
            <w:shd w:val="clear" w:color="auto" w:fill="auto"/>
            <w:noWrap/>
            <w:vAlign w:val="bottom"/>
            <w:hideMark/>
          </w:tcPr>
          <w:p w14:paraId="623B130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3BEEB1FB"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C55C3B8"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55</w:t>
            </w:r>
          </w:p>
        </w:tc>
        <w:tc>
          <w:tcPr>
            <w:tcW w:w="3957" w:type="dxa"/>
            <w:tcBorders>
              <w:top w:val="nil"/>
              <w:left w:val="nil"/>
              <w:bottom w:val="single" w:sz="4" w:space="0" w:color="auto"/>
              <w:right w:val="single" w:sz="4" w:space="0" w:color="auto"/>
            </w:tcBorders>
            <w:shd w:val="clear" w:color="auto" w:fill="auto"/>
            <w:vAlign w:val="bottom"/>
            <w:hideMark/>
          </w:tcPr>
          <w:p w14:paraId="0142616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Aktywa państwowe</w:t>
            </w:r>
          </w:p>
        </w:tc>
        <w:tc>
          <w:tcPr>
            <w:tcW w:w="2520" w:type="dxa"/>
            <w:tcBorders>
              <w:top w:val="nil"/>
              <w:left w:val="nil"/>
              <w:bottom w:val="single" w:sz="4" w:space="0" w:color="auto"/>
              <w:right w:val="single" w:sz="4" w:space="0" w:color="auto"/>
            </w:tcBorders>
            <w:shd w:val="clear" w:color="auto" w:fill="auto"/>
            <w:noWrap/>
            <w:vAlign w:val="bottom"/>
            <w:hideMark/>
          </w:tcPr>
          <w:p w14:paraId="6AA08EE7"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664 </w:t>
            </w:r>
          </w:p>
        </w:tc>
        <w:tc>
          <w:tcPr>
            <w:tcW w:w="2037" w:type="dxa"/>
            <w:tcBorders>
              <w:top w:val="nil"/>
              <w:left w:val="nil"/>
              <w:bottom w:val="single" w:sz="4" w:space="0" w:color="auto"/>
              <w:right w:val="single" w:sz="4" w:space="0" w:color="auto"/>
            </w:tcBorders>
            <w:shd w:val="clear" w:color="auto" w:fill="auto"/>
            <w:noWrap/>
            <w:vAlign w:val="bottom"/>
            <w:hideMark/>
          </w:tcPr>
          <w:p w14:paraId="2C971AD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67D857E7"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4F2EC346"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56</w:t>
            </w:r>
          </w:p>
        </w:tc>
        <w:tc>
          <w:tcPr>
            <w:tcW w:w="3957" w:type="dxa"/>
            <w:tcBorders>
              <w:top w:val="nil"/>
              <w:left w:val="nil"/>
              <w:bottom w:val="single" w:sz="4" w:space="0" w:color="auto"/>
              <w:right w:val="single" w:sz="4" w:space="0" w:color="auto"/>
            </w:tcBorders>
            <w:shd w:val="clear" w:color="auto" w:fill="auto"/>
            <w:vAlign w:val="bottom"/>
            <w:hideMark/>
          </w:tcPr>
          <w:p w14:paraId="50062D25"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Centralne Biuro Antykorupcyjne</w:t>
            </w:r>
          </w:p>
        </w:tc>
        <w:tc>
          <w:tcPr>
            <w:tcW w:w="2520" w:type="dxa"/>
            <w:tcBorders>
              <w:top w:val="nil"/>
              <w:left w:val="nil"/>
              <w:bottom w:val="single" w:sz="4" w:space="0" w:color="auto"/>
              <w:right w:val="single" w:sz="4" w:space="0" w:color="auto"/>
            </w:tcBorders>
            <w:shd w:val="clear" w:color="auto" w:fill="auto"/>
            <w:noWrap/>
            <w:vAlign w:val="bottom"/>
            <w:hideMark/>
          </w:tcPr>
          <w:p w14:paraId="17FEC0AE"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2.474 </w:t>
            </w:r>
          </w:p>
        </w:tc>
        <w:tc>
          <w:tcPr>
            <w:tcW w:w="2037" w:type="dxa"/>
            <w:tcBorders>
              <w:top w:val="nil"/>
              <w:left w:val="nil"/>
              <w:bottom w:val="single" w:sz="4" w:space="0" w:color="auto"/>
              <w:right w:val="single" w:sz="4" w:space="0" w:color="auto"/>
            </w:tcBorders>
            <w:shd w:val="clear" w:color="auto" w:fill="auto"/>
            <w:noWrap/>
            <w:vAlign w:val="bottom"/>
            <w:hideMark/>
          </w:tcPr>
          <w:p w14:paraId="23329DB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6ACA08BD"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1B1397E"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57</w:t>
            </w:r>
          </w:p>
        </w:tc>
        <w:tc>
          <w:tcPr>
            <w:tcW w:w="3957" w:type="dxa"/>
            <w:tcBorders>
              <w:top w:val="nil"/>
              <w:left w:val="nil"/>
              <w:bottom w:val="single" w:sz="4" w:space="0" w:color="auto"/>
              <w:right w:val="single" w:sz="4" w:space="0" w:color="auto"/>
            </w:tcBorders>
            <w:shd w:val="clear" w:color="auto" w:fill="auto"/>
            <w:vAlign w:val="bottom"/>
            <w:hideMark/>
          </w:tcPr>
          <w:p w14:paraId="36F78B4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Agencja Bezpieczeństwa Wewnętrznego</w:t>
            </w:r>
          </w:p>
        </w:tc>
        <w:tc>
          <w:tcPr>
            <w:tcW w:w="2520" w:type="dxa"/>
            <w:tcBorders>
              <w:top w:val="nil"/>
              <w:left w:val="nil"/>
              <w:bottom w:val="single" w:sz="4" w:space="0" w:color="auto"/>
              <w:right w:val="single" w:sz="4" w:space="0" w:color="auto"/>
            </w:tcBorders>
            <w:shd w:val="clear" w:color="auto" w:fill="auto"/>
            <w:noWrap/>
            <w:vAlign w:val="bottom"/>
            <w:hideMark/>
          </w:tcPr>
          <w:p w14:paraId="51A75ABE"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6.437 </w:t>
            </w:r>
          </w:p>
        </w:tc>
        <w:tc>
          <w:tcPr>
            <w:tcW w:w="2037" w:type="dxa"/>
            <w:tcBorders>
              <w:top w:val="nil"/>
              <w:left w:val="nil"/>
              <w:bottom w:val="single" w:sz="4" w:space="0" w:color="auto"/>
              <w:right w:val="single" w:sz="4" w:space="0" w:color="auto"/>
            </w:tcBorders>
            <w:shd w:val="clear" w:color="auto" w:fill="auto"/>
            <w:noWrap/>
            <w:vAlign w:val="bottom"/>
            <w:hideMark/>
          </w:tcPr>
          <w:p w14:paraId="1C510218"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1C814C1D"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63BE3970"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58</w:t>
            </w:r>
          </w:p>
        </w:tc>
        <w:tc>
          <w:tcPr>
            <w:tcW w:w="3957" w:type="dxa"/>
            <w:tcBorders>
              <w:top w:val="nil"/>
              <w:left w:val="nil"/>
              <w:bottom w:val="single" w:sz="4" w:space="0" w:color="auto"/>
              <w:right w:val="single" w:sz="4" w:space="0" w:color="auto"/>
            </w:tcBorders>
            <w:shd w:val="clear" w:color="auto" w:fill="auto"/>
            <w:vAlign w:val="bottom"/>
            <w:hideMark/>
          </w:tcPr>
          <w:p w14:paraId="13AE646B"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Główny Urząd Statystyczny</w:t>
            </w:r>
          </w:p>
        </w:tc>
        <w:tc>
          <w:tcPr>
            <w:tcW w:w="2520" w:type="dxa"/>
            <w:tcBorders>
              <w:top w:val="nil"/>
              <w:left w:val="nil"/>
              <w:bottom w:val="single" w:sz="4" w:space="0" w:color="auto"/>
              <w:right w:val="single" w:sz="4" w:space="0" w:color="auto"/>
            </w:tcBorders>
            <w:shd w:val="clear" w:color="auto" w:fill="auto"/>
            <w:noWrap/>
            <w:vAlign w:val="bottom"/>
            <w:hideMark/>
          </w:tcPr>
          <w:p w14:paraId="244F1179"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5.657 </w:t>
            </w:r>
          </w:p>
        </w:tc>
        <w:tc>
          <w:tcPr>
            <w:tcW w:w="2037" w:type="dxa"/>
            <w:tcBorders>
              <w:top w:val="nil"/>
              <w:left w:val="nil"/>
              <w:bottom w:val="single" w:sz="4" w:space="0" w:color="auto"/>
              <w:right w:val="single" w:sz="4" w:space="0" w:color="auto"/>
            </w:tcBorders>
            <w:shd w:val="clear" w:color="auto" w:fill="auto"/>
            <w:noWrap/>
            <w:vAlign w:val="bottom"/>
            <w:hideMark/>
          </w:tcPr>
          <w:p w14:paraId="085E161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0DE31D8E"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2751C862"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59</w:t>
            </w:r>
          </w:p>
        </w:tc>
        <w:tc>
          <w:tcPr>
            <w:tcW w:w="3957" w:type="dxa"/>
            <w:tcBorders>
              <w:top w:val="nil"/>
              <w:left w:val="nil"/>
              <w:bottom w:val="single" w:sz="4" w:space="0" w:color="auto"/>
              <w:right w:val="single" w:sz="4" w:space="0" w:color="auto"/>
            </w:tcBorders>
            <w:shd w:val="clear" w:color="auto" w:fill="auto"/>
            <w:vAlign w:val="bottom"/>
            <w:hideMark/>
          </w:tcPr>
          <w:p w14:paraId="078114E6"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Agencja Wywiadu</w:t>
            </w:r>
          </w:p>
        </w:tc>
        <w:tc>
          <w:tcPr>
            <w:tcW w:w="2520" w:type="dxa"/>
            <w:tcBorders>
              <w:top w:val="nil"/>
              <w:left w:val="nil"/>
              <w:bottom w:val="single" w:sz="4" w:space="0" w:color="auto"/>
              <w:right w:val="single" w:sz="4" w:space="0" w:color="auto"/>
            </w:tcBorders>
            <w:shd w:val="clear" w:color="auto" w:fill="auto"/>
            <w:noWrap/>
            <w:vAlign w:val="bottom"/>
            <w:hideMark/>
          </w:tcPr>
          <w:p w14:paraId="7E0B5EFE"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2.146 </w:t>
            </w:r>
          </w:p>
        </w:tc>
        <w:tc>
          <w:tcPr>
            <w:tcW w:w="2037" w:type="dxa"/>
            <w:tcBorders>
              <w:top w:val="nil"/>
              <w:left w:val="nil"/>
              <w:bottom w:val="single" w:sz="4" w:space="0" w:color="auto"/>
              <w:right w:val="single" w:sz="4" w:space="0" w:color="auto"/>
            </w:tcBorders>
            <w:shd w:val="clear" w:color="auto" w:fill="auto"/>
            <w:noWrap/>
            <w:vAlign w:val="bottom"/>
            <w:hideMark/>
          </w:tcPr>
          <w:p w14:paraId="1548334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45093398"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5CF19B5D"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60</w:t>
            </w:r>
          </w:p>
        </w:tc>
        <w:tc>
          <w:tcPr>
            <w:tcW w:w="3957" w:type="dxa"/>
            <w:tcBorders>
              <w:top w:val="nil"/>
              <w:left w:val="nil"/>
              <w:bottom w:val="single" w:sz="4" w:space="0" w:color="auto"/>
              <w:right w:val="single" w:sz="4" w:space="0" w:color="auto"/>
            </w:tcBorders>
            <w:shd w:val="clear" w:color="auto" w:fill="auto"/>
            <w:vAlign w:val="bottom"/>
            <w:hideMark/>
          </w:tcPr>
          <w:p w14:paraId="3BE22344"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Wyższy Urząd Górniczy</w:t>
            </w:r>
          </w:p>
        </w:tc>
        <w:tc>
          <w:tcPr>
            <w:tcW w:w="2520" w:type="dxa"/>
            <w:tcBorders>
              <w:top w:val="nil"/>
              <w:left w:val="nil"/>
              <w:bottom w:val="single" w:sz="4" w:space="0" w:color="auto"/>
              <w:right w:val="single" w:sz="4" w:space="0" w:color="auto"/>
            </w:tcBorders>
            <w:shd w:val="clear" w:color="auto" w:fill="auto"/>
            <w:noWrap/>
            <w:vAlign w:val="bottom"/>
            <w:hideMark/>
          </w:tcPr>
          <w:p w14:paraId="6D6FB16E"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784 </w:t>
            </w:r>
          </w:p>
        </w:tc>
        <w:tc>
          <w:tcPr>
            <w:tcW w:w="2037" w:type="dxa"/>
            <w:tcBorders>
              <w:top w:val="nil"/>
              <w:left w:val="nil"/>
              <w:bottom w:val="single" w:sz="4" w:space="0" w:color="auto"/>
              <w:right w:val="single" w:sz="4" w:space="0" w:color="auto"/>
            </w:tcBorders>
            <w:shd w:val="clear" w:color="auto" w:fill="auto"/>
            <w:noWrap/>
            <w:vAlign w:val="bottom"/>
            <w:hideMark/>
          </w:tcPr>
          <w:p w14:paraId="70F6BEF8"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1E31D29E"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D0D1FAB"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61</w:t>
            </w:r>
          </w:p>
        </w:tc>
        <w:tc>
          <w:tcPr>
            <w:tcW w:w="3957" w:type="dxa"/>
            <w:tcBorders>
              <w:top w:val="nil"/>
              <w:left w:val="nil"/>
              <w:bottom w:val="single" w:sz="4" w:space="0" w:color="auto"/>
              <w:right w:val="single" w:sz="4" w:space="0" w:color="auto"/>
            </w:tcBorders>
            <w:shd w:val="clear" w:color="auto" w:fill="auto"/>
            <w:vAlign w:val="bottom"/>
            <w:hideMark/>
          </w:tcPr>
          <w:p w14:paraId="4B84A79B"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Urząd Patentowy Rzeczypospolitej Polskiej</w:t>
            </w:r>
          </w:p>
        </w:tc>
        <w:tc>
          <w:tcPr>
            <w:tcW w:w="2520" w:type="dxa"/>
            <w:tcBorders>
              <w:top w:val="nil"/>
              <w:left w:val="nil"/>
              <w:bottom w:val="single" w:sz="4" w:space="0" w:color="auto"/>
              <w:right w:val="single" w:sz="4" w:space="0" w:color="auto"/>
            </w:tcBorders>
            <w:shd w:val="clear" w:color="auto" w:fill="auto"/>
            <w:noWrap/>
            <w:vAlign w:val="bottom"/>
            <w:hideMark/>
          </w:tcPr>
          <w:p w14:paraId="3B1EBFE6"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833 </w:t>
            </w:r>
          </w:p>
        </w:tc>
        <w:tc>
          <w:tcPr>
            <w:tcW w:w="2037" w:type="dxa"/>
            <w:tcBorders>
              <w:top w:val="nil"/>
              <w:left w:val="nil"/>
              <w:bottom w:val="single" w:sz="4" w:space="0" w:color="auto"/>
              <w:right w:val="single" w:sz="4" w:space="0" w:color="auto"/>
            </w:tcBorders>
            <w:shd w:val="clear" w:color="auto" w:fill="auto"/>
            <w:noWrap/>
            <w:vAlign w:val="bottom"/>
            <w:hideMark/>
          </w:tcPr>
          <w:p w14:paraId="25B4A52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3655C0A5"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869C95E"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lastRenderedPageBreak/>
              <w:t>62</w:t>
            </w:r>
          </w:p>
        </w:tc>
        <w:tc>
          <w:tcPr>
            <w:tcW w:w="3957" w:type="dxa"/>
            <w:tcBorders>
              <w:top w:val="nil"/>
              <w:left w:val="nil"/>
              <w:bottom w:val="single" w:sz="4" w:space="0" w:color="auto"/>
              <w:right w:val="single" w:sz="4" w:space="0" w:color="auto"/>
            </w:tcBorders>
            <w:shd w:val="clear" w:color="auto" w:fill="auto"/>
            <w:vAlign w:val="bottom"/>
            <w:hideMark/>
          </w:tcPr>
          <w:p w14:paraId="0D5F106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Rybołówstwo</w:t>
            </w:r>
          </w:p>
        </w:tc>
        <w:tc>
          <w:tcPr>
            <w:tcW w:w="2520" w:type="dxa"/>
            <w:tcBorders>
              <w:top w:val="nil"/>
              <w:left w:val="nil"/>
              <w:bottom w:val="single" w:sz="4" w:space="0" w:color="auto"/>
              <w:right w:val="single" w:sz="4" w:space="0" w:color="auto"/>
            </w:tcBorders>
            <w:shd w:val="clear" w:color="auto" w:fill="auto"/>
            <w:noWrap/>
            <w:vAlign w:val="bottom"/>
            <w:hideMark/>
          </w:tcPr>
          <w:p w14:paraId="13057054"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153 </w:t>
            </w:r>
          </w:p>
        </w:tc>
        <w:tc>
          <w:tcPr>
            <w:tcW w:w="2037" w:type="dxa"/>
            <w:tcBorders>
              <w:top w:val="nil"/>
              <w:left w:val="nil"/>
              <w:bottom w:val="single" w:sz="4" w:space="0" w:color="auto"/>
              <w:right w:val="single" w:sz="4" w:space="0" w:color="auto"/>
            </w:tcBorders>
            <w:shd w:val="clear" w:color="auto" w:fill="auto"/>
            <w:noWrap/>
            <w:vAlign w:val="bottom"/>
            <w:hideMark/>
          </w:tcPr>
          <w:p w14:paraId="52B2F45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644D8677"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12CC5582"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63</w:t>
            </w:r>
          </w:p>
        </w:tc>
        <w:tc>
          <w:tcPr>
            <w:tcW w:w="3957" w:type="dxa"/>
            <w:tcBorders>
              <w:top w:val="nil"/>
              <w:left w:val="nil"/>
              <w:bottom w:val="single" w:sz="4" w:space="0" w:color="auto"/>
              <w:right w:val="single" w:sz="4" w:space="0" w:color="auto"/>
            </w:tcBorders>
            <w:shd w:val="clear" w:color="auto" w:fill="auto"/>
            <w:vAlign w:val="bottom"/>
            <w:hideMark/>
          </w:tcPr>
          <w:p w14:paraId="43F90E5B"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Rodzina</w:t>
            </w:r>
          </w:p>
        </w:tc>
        <w:tc>
          <w:tcPr>
            <w:tcW w:w="2520" w:type="dxa"/>
            <w:tcBorders>
              <w:top w:val="nil"/>
              <w:left w:val="nil"/>
              <w:bottom w:val="single" w:sz="4" w:space="0" w:color="auto"/>
              <w:right w:val="single" w:sz="4" w:space="0" w:color="auto"/>
            </w:tcBorders>
            <w:shd w:val="clear" w:color="auto" w:fill="auto"/>
            <w:noWrap/>
            <w:vAlign w:val="bottom"/>
            <w:hideMark/>
          </w:tcPr>
          <w:p w14:paraId="44A88064"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140 </w:t>
            </w:r>
          </w:p>
        </w:tc>
        <w:tc>
          <w:tcPr>
            <w:tcW w:w="2037" w:type="dxa"/>
            <w:tcBorders>
              <w:top w:val="nil"/>
              <w:left w:val="nil"/>
              <w:bottom w:val="single" w:sz="4" w:space="0" w:color="auto"/>
              <w:right w:val="single" w:sz="4" w:space="0" w:color="auto"/>
            </w:tcBorders>
            <w:shd w:val="clear" w:color="auto" w:fill="auto"/>
            <w:noWrap/>
            <w:vAlign w:val="bottom"/>
            <w:hideMark/>
          </w:tcPr>
          <w:p w14:paraId="0F52532C"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5DFC3C23"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D2C6803"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64</w:t>
            </w:r>
          </w:p>
        </w:tc>
        <w:tc>
          <w:tcPr>
            <w:tcW w:w="3957" w:type="dxa"/>
            <w:tcBorders>
              <w:top w:val="nil"/>
              <w:left w:val="nil"/>
              <w:bottom w:val="single" w:sz="4" w:space="0" w:color="auto"/>
              <w:right w:val="single" w:sz="4" w:space="0" w:color="auto"/>
            </w:tcBorders>
            <w:shd w:val="clear" w:color="auto" w:fill="auto"/>
            <w:vAlign w:val="bottom"/>
            <w:hideMark/>
          </w:tcPr>
          <w:p w14:paraId="7B9EFA53"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Główny Urząd Miar</w:t>
            </w:r>
          </w:p>
        </w:tc>
        <w:tc>
          <w:tcPr>
            <w:tcW w:w="2520" w:type="dxa"/>
            <w:tcBorders>
              <w:top w:val="nil"/>
              <w:left w:val="nil"/>
              <w:bottom w:val="single" w:sz="4" w:space="0" w:color="auto"/>
              <w:right w:val="single" w:sz="4" w:space="0" w:color="auto"/>
            </w:tcBorders>
            <w:shd w:val="clear" w:color="auto" w:fill="auto"/>
            <w:noWrap/>
            <w:vAlign w:val="bottom"/>
            <w:hideMark/>
          </w:tcPr>
          <w:p w14:paraId="1CF64E0C"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1.957 </w:t>
            </w:r>
          </w:p>
        </w:tc>
        <w:tc>
          <w:tcPr>
            <w:tcW w:w="2037" w:type="dxa"/>
            <w:tcBorders>
              <w:top w:val="nil"/>
              <w:left w:val="nil"/>
              <w:bottom w:val="single" w:sz="4" w:space="0" w:color="auto"/>
              <w:right w:val="single" w:sz="4" w:space="0" w:color="auto"/>
            </w:tcBorders>
            <w:shd w:val="clear" w:color="auto" w:fill="auto"/>
            <w:noWrap/>
            <w:vAlign w:val="bottom"/>
            <w:hideMark/>
          </w:tcPr>
          <w:p w14:paraId="301CDAA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31BFD408"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309BE8E7"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65</w:t>
            </w:r>
          </w:p>
        </w:tc>
        <w:tc>
          <w:tcPr>
            <w:tcW w:w="3957" w:type="dxa"/>
            <w:tcBorders>
              <w:top w:val="nil"/>
              <w:left w:val="nil"/>
              <w:bottom w:val="single" w:sz="4" w:space="0" w:color="auto"/>
              <w:right w:val="single" w:sz="4" w:space="0" w:color="auto"/>
            </w:tcBorders>
            <w:shd w:val="clear" w:color="auto" w:fill="auto"/>
            <w:vAlign w:val="bottom"/>
            <w:hideMark/>
          </w:tcPr>
          <w:p w14:paraId="6842A5C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Polski Komitet Normalizacyjny</w:t>
            </w:r>
          </w:p>
        </w:tc>
        <w:tc>
          <w:tcPr>
            <w:tcW w:w="2520" w:type="dxa"/>
            <w:tcBorders>
              <w:top w:val="nil"/>
              <w:left w:val="nil"/>
              <w:bottom w:val="single" w:sz="4" w:space="0" w:color="auto"/>
              <w:right w:val="single" w:sz="4" w:space="0" w:color="auto"/>
            </w:tcBorders>
            <w:shd w:val="clear" w:color="auto" w:fill="auto"/>
            <w:noWrap/>
            <w:vAlign w:val="bottom"/>
            <w:hideMark/>
          </w:tcPr>
          <w:p w14:paraId="5FDDD406"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290 </w:t>
            </w:r>
          </w:p>
        </w:tc>
        <w:tc>
          <w:tcPr>
            <w:tcW w:w="2037" w:type="dxa"/>
            <w:tcBorders>
              <w:top w:val="nil"/>
              <w:left w:val="nil"/>
              <w:bottom w:val="single" w:sz="4" w:space="0" w:color="auto"/>
              <w:right w:val="single" w:sz="4" w:space="0" w:color="auto"/>
            </w:tcBorders>
            <w:shd w:val="clear" w:color="auto" w:fill="auto"/>
            <w:noWrap/>
            <w:vAlign w:val="bottom"/>
            <w:hideMark/>
          </w:tcPr>
          <w:p w14:paraId="5C1BCE2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45791A8"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2735FD0A"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66</w:t>
            </w:r>
          </w:p>
        </w:tc>
        <w:tc>
          <w:tcPr>
            <w:tcW w:w="3957" w:type="dxa"/>
            <w:tcBorders>
              <w:top w:val="nil"/>
              <w:left w:val="nil"/>
              <w:bottom w:val="single" w:sz="4" w:space="0" w:color="auto"/>
              <w:right w:val="single" w:sz="4" w:space="0" w:color="auto"/>
            </w:tcBorders>
            <w:shd w:val="clear" w:color="auto" w:fill="auto"/>
            <w:vAlign w:val="bottom"/>
            <w:hideMark/>
          </w:tcPr>
          <w:p w14:paraId="5D394312"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Rzecznik Praw Pacjenta</w:t>
            </w:r>
          </w:p>
        </w:tc>
        <w:tc>
          <w:tcPr>
            <w:tcW w:w="2520" w:type="dxa"/>
            <w:tcBorders>
              <w:top w:val="nil"/>
              <w:left w:val="nil"/>
              <w:bottom w:val="single" w:sz="4" w:space="0" w:color="auto"/>
              <w:right w:val="single" w:sz="4" w:space="0" w:color="auto"/>
            </w:tcBorders>
            <w:shd w:val="clear" w:color="auto" w:fill="auto"/>
            <w:noWrap/>
            <w:vAlign w:val="bottom"/>
            <w:hideMark/>
          </w:tcPr>
          <w:p w14:paraId="78CEEC97"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160 </w:t>
            </w:r>
          </w:p>
        </w:tc>
        <w:tc>
          <w:tcPr>
            <w:tcW w:w="2037" w:type="dxa"/>
            <w:tcBorders>
              <w:top w:val="nil"/>
              <w:left w:val="nil"/>
              <w:bottom w:val="single" w:sz="4" w:space="0" w:color="auto"/>
              <w:right w:val="single" w:sz="4" w:space="0" w:color="auto"/>
            </w:tcBorders>
            <w:shd w:val="clear" w:color="auto" w:fill="auto"/>
            <w:noWrap/>
            <w:vAlign w:val="bottom"/>
            <w:hideMark/>
          </w:tcPr>
          <w:p w14:paraId="35576201"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D821BD0"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5E7BDD4E"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68</w:t>
            </w:r>
          </w:p>
        </w:tc>
        <w:tc>
          <w:tcPr>
            <w:tcW w:w="3957" w:type="dxa"/>
            <w:tcBorders>
              <w:top w:val="nil"/>
              <w:left w:val="nil"/>
              <w:bottom w:val="single" w:sz="4" w:space="0" w:color="auto"/>
              <w:right w:val="single" w:sz="4" w:space="0" w:color="auto"/>
            </w:tcBorders>
            <w:shd w:val="clear" w:color="auto" w:fill="auto"/>
            <w:vAlign w:val="bottom"/>
            <w:hideMark/>
          </w:tcPr>
          <w:p w14:paraId="50E5DC2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Państwowa Agencja Atomistyki</w:t>
            </w:r>
          </w:p>
        </w:tc>
        <w:tc>
          <w:tcPr>
            <w:tcW w:w="2520" w:type="dxa"/>
            <w:tcBorders>
              <w:top w:val="nil"/>
              <w:left w:val="nil"/>
              <w:bottom w:val="single" w:sz="4" w:space="0" w:color="auto"/>
              <w:right w:val="single" w:sz="4" w:space="0" w:color="auto"/>
            </w:tcBorders>
            <w:shd w:val="clear" w:color="auto" w:fill="auto"/>
            <w:noWrap/>
            <w:vAlign w:val="bottom"/>
            <w:hideMark/>
          </w:tcPr>
          <w:p w14:paraId="1D3C2781"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207 </w:t>
            </w:r>
          </w:p>
        </w:tc>
        <w:tc>
          <w:tcPr>
            <w:tcW w:w="2037" w:type="dxa"/>
            <w:tcBorders>
              <w:top w:val="nil"/>
              <w:left w:val="nil"/>
              <w:bottom w:val="single" w:sz="4" w:space="0" w:color="auto"/>
              <w:right w:val="single" w:sz="4" w:space="0" w:color="auto"/>
            </w:tcBorders>
            <w:shd w:val="clear" w:color="auto" w:fill="auto"/>
            <w:noWrap/>
            <w:vAlign w:val="bottom"/>
            <w:hideMark/>
          </w:tcPr>
          <w:p w14:paraId="27C43716"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5E82F71D"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371C5B6"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69</w:t>
            </w:r>
          </w:p>
        </w:tc>
        <w:tc>
          <w:tcPr>
            <w:tcW w:w="3957" w:type="dxa"/>
            <w:tcBorders>
              <w:top w:val="nil"/>
              <w:left w:val="nil"/>
              <w:bottom w:val="single" w:sz="4" w:space="0" w:color="auto"/>
              <w:right w:val="single" w:sz="4" w:space="0" w:color="auto"/>
            </w:tcBorders>
            <w:shd w:val="clear" w:color="auto" w:fill="auto"/>
            <w:vAlign w:val="bottom"/>
            <w:hideMark/>
          </w:tcPr>
          <w:p w14:paraId="6EBADE6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Żegluga śródlądowa</w:t>
            </w:r>
          </w:p>
        </w:tc>
        <w:tc>
          <w:tcPr>
            <w:tcW w:w="2520" w:type="dxa"/>
            <w:tcBorders>
              <w:top w:val="nil"/>
              <w:left w:val="nil"/>
              <w:bottom w:val="single" w:sz="4" w:space="0" w:color="auto"/>
              <w:right w:val="single" w:sz="4" w:space="0" w:color="auto"/>
            </w:tcBorders>
            <w:shd w:val="clear" w:color="auto" w:fill="auto"/>
            <w:noWrap/>
            <w:vAlign w:val="bottom"/>
            <w:hideMark/>
          </w:tcPr>
          <w:p w14:paraId="11F44A54"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186 </w:t>
            </w:r>
          </w:p>
        </w:tc>
        <w:tc>
          <w:tcPr>
            <w:tcW w:w="2037" w:type="dxa"/>
            <w:tcBorders>
              <w:top w:val="nil"/>
              <w:left w:val="nil"/>
              <w:bottom w:val="single" w:sz="4" w:space="0" w:color="auto"/>
              <w:right w:val="single" w:sz="4" w:space="0" w:color="auto"/>
            </w:tcBorders>
            <w:shd w:val="clear" w:color="auto" w:fill="auto"/>
            <w:noWrap/>
            <w:vAlign w:val="bottom"/>
            <w:hideMark/>
          </w:tcPr>
          <w:p w14:paraId="63D431A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1C68BFCB"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614F0CFE"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71</w:t>
            </w:r>
          </w:p>
        </w:tc>
        <w:tc>
          <w:tcPr>
            <w:tcW w:w="3957" w:type="dxa"/>
            <w:tcBorders>
              <w:top w:val="nil"/>
              <w:left w:val="nil"/>
              <w:bottom w:val="single" w:sz="4" w:space="0" w:color="auto"/>
              <w:right w:val="single" w:sz="4" w:space="0" w:color="auto"/>
            </w:tcBorders>
            <w:shd w:val="clear" w:color="auto" w:fill="auto"/>
            <w:vAlign w:val="bottom"/>
            <w:hideMark/>
          </w:tcPr>
          <w:p w14:paraId="30B256F9"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Urząd Transportu Kolejowego</w:t>
            </w:r>
          </w:p>
        </w:tc>
        <w:tc>
          <w:tcPr>
            <w:tcW w:w="2520" w:type="dxa"/>
            <w:tcBorders>
              <w:top w:val="nil"/>
              <w:left w:val="nil"/>
              <w:bottom w:val="single" w:sz="4" w:space="0" w:color="auto"/>
              <w:right w:val="single" w:sz="4" w:space="0" w:color="auto"/>
            </w:tcBorders>
            <w:shd w:val="clear" w:color="auto" w:fill="auto"/>
            <w:noWrap/>
            <w:vAlign w:val="bottom"/>
            <w:hideMark/>
          </w:tcPr>
          <w:p w14:paraId="44BF5B1C"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430 </w:t>
            </w:r>
          </w:p>
        </w:tc>
        <w:tc>
          <w:tcPr>
            <w:tcW w:w="2037" w:type="dxa"/>
            <w:tcBorders>
              <w:top w:val="nil"/>
              <w:left w:val="nil"/>
              <w:bottom w:val="single" w:sz="4" w:space="0" w:color="auto"/>
              <w:right w:val="single" w:sz="4" w:space="0" w:color="auto"/>
            </w:tcBorders>
            <w:shd w:val="clear" w:color="auto" w:fill="auto"/>
            <w:noWrap/>
            <w:vAlign w:val="bottom"/>
            <w:hideMark/>
          </w:tcPr>
          <w:p w14:paraId="7C17140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4CAD24B1"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9928178"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74</w:t>
            </w:r>
          </w:p>
        </w:tc>
        <w:tc>
          <w:tcPr>
            <w:tcW w:w="3957" w:type="dxa"/>
            <w:tcBorders>
              <w:top w:val="nil"/>
              <w:left w:val="nil"/>
              <w:bottom w:val="single" w:sz="4" w:space="0" w:color="auto"/>
              <w:right w:val="single" w:sz="4" w:space="0" w:color="auto"/>
            </w:tcBorders>
            <w:shd w:val="clear" w:color="auto" w:fill="auto"/>
            <w:vAlign w:val="bottom"/>
            <w:hideMark/>
          </w:tcPr>
          <w:p w14:paraId="047DD7A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Prokuratoria Generalna Rzeczypospolitej Polskiej</w:t>
            </w:r>
          </w:p>
        </w:tc>
        <w:tc>
          <w:tcPr>
            <w:tcW w:w="2520" w:type="dxa"/>
            <w:tcBorders>
              <w:top w:val="nil"/>
              <w:left w:val="nil"/>
              <w:bottom w:val="single" w:sz="4" w:space="0" w:color="auto"/>
              <w:right w:val="single" w:sz="4" w:space="0" w:color="auto"/>
            </w:tcBorders>
            <w:shd w:val="clear" w:color="auto" w:fill="auto"/>
            <w:noWrap/>
            <w:vAlign w:val="bottom"/>
            <w:hideMark/>
          </w:tcPr>
          <w:p w14:paraId="6AC7BDB8"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632 </w:t>
            </w:r>
          </w:p>
        </w:tc>
        <w:tc>
          <w:tcPr>
            <w:tcW w:w="2037" w:type="dxa"/>
            <w:tcBorders>
              <w:top w:val="nil"/>
              <w:left w:val="nil"/>
              <w:bottom w:val="single" w:sz="4" w:space="0" w:color="auto"/>
              <w:right w:val="single" w:sz="4" w:space="0" w:color="auto"/>
            </w:tcBorders>
            <w:shd w:val="clear" w:color="auto" w:fill="auto"/>
            <w:noWrap/>
            <w:vAlign w:val="bottom"/>
            <w:hideMark/>
          </w:tcPr>
          <w:p w14:paraId="0BC62CB0"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6634B92"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29658274"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75</w:t>
            </w:r>
          </w:p>
        </w:tc>
        <w:tc>
          <w:tcPr>
            <w:tcW w:w="3957" w:type="dxa"/>
            <w:tcBorders>
              <w:top w:val="nil"/>
              <w:left w:val="nil"/>
              <w:bottom w:val="single" w:sz="4" w:space="0" w:color="auto"/>
              <w:right w:val="single" w:sz="4" w:space="0" w:color="auto"/>
            </w:tcBorders>
            <w:shd w:val="clear" w:color="auto" w:fill="auto"/>
            <w:vAlign w:val="bottom"/>
            <w:hideMark/>
          </w:tcPr>
          <w:p w14:paraId="364A620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Rządowe Centrum Legislacji</w:t>
            </w:r>
          </w:p>
        </w:tc>
        <w:tc>
          <w:tcPr>
            <w:tcW w:w="2520" w:type="dxa"/>
            <w:tcBorders>
              <w:top w:val="nil"/>
              <w:left w:val="nil"/>
              <w:bottom w:val="single" w:sz="4" w:space="0" w:color="auto"/>
              <w:right w:val="single" w:sz="4" w:space="0" w:color="auto"/>
            </w:tcBorders>
            <w:shd w:val="clear" w:color="auto" w:fill="auto"/>
            <w:noWrap/>
            <w:vAlign w:val="bottom"/>
            <w:hideMark/>
          </w:tcPr>
          <w:p w14:paraId="5EA05241"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384 </w:t>
            </w:r>
          </w:p>
        </w:tc>
        <w:tc>
          <w:tcPr>
            <w:tcW w:w="2037" w:type="dxa"/>
            <w:tcBorders>
              <w:top w:val="nil"/>
              <w:left w:val="nil"/>
              <w:bottom w:val="single" w:sz="4" w:space="0" w:color="auto"/>
              <w:right w:val="single" w:sz="4" w:space="0" w:color="auto"/>
            </w:tcBorders>
            <w:shd w:val="clear" w:color="auto" w:fill="auto"/>
            <w:noWrap/>
            <w:vAlign w:val="bottom"/>
            <w:hideMark/>
          </w:tcPr>
          <w:p w14:paraId="47807708"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7F270771"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4A56D576"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76</w:t>
            </w:r>
          </w:p>
        </w:tc>
        <w:tc>
          <w:tcPr>
            <w:tcW w:w="3957" w:type="dxa"/>
            <w:tcBorders>
              <w:top w:val="nil"/>
              <w:left w:val="nil"/>
              <w:bottom w:val="single" w:sz="4" w:space="0" w:color="auto"/>
              <w:right w:val="single" w:sz="4" w:space="0" w:color="auto"/>
            </w:tcBorders>
            <w:shd w:val="clear" w:color="auto" w:fill="auto"/>
            <w:vAlign w:val="bottom"/>
            <w:hideMark/>
          </w:tcPr>
          <w:p w14:paraId="0047FD44"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Urząd Komunikacji Elektronicznej</w:t>
            </w:r>
          </w:p>
        </w:tc>
        <w:tc>
          <w:tcPr>
            <w:tcW w:w="2520" w:type="dxa"/>
            <w:tcBorders>
              <w:top w:val="nil"/>
              <w:left w:val="nil"/>
              <w:bottom w:val="single" w:sz="4" w:space="0" w:color="auto"/>
              <w:right w:val="single" w:sz="4" w:space="0" w:color="auto"/>
            </w:tcBorders>
            <w:shd w:val="clear" w:color="auto" w:fill="auto"/>
            <w:noWrap/>
            <w:vAlign w:val="bottom"/>
            <w:hideMark/>
          </w:tcPr>
          <w:p w14:paraId="64CBD4AB"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894 </w:t>
            </w:r>
          </w:p>
        </w:tc>
        <w:tc>
          <w:tcPr>
            <w:tcW w:w="2037" w:type="dxa"/>
            <w:tcBorders>
              <w:top w:val="nil"/>
              <w:left w:val="nil"/>
              <w:bottom w:val="single" w:sz="4" w:space="0" w:color="auto"/>
              <w:right w:val="single" w:sz="4" w:space="0" w:color="auto"/>
            </w:tcBorders>
            <w:shd w:val="clear" w:color="auto" w:fill="auto"/>
            <w:noWrap/>
            <w:vAlign w:val="bottom"/>
            <w:hideMark/>
          </w:tcPr>
          <w:p w14:paraId="7AAAA273"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0B8161A"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17556906"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80</w:t>
            </w:r>
          </w:p>
        </w:tc>
        <w:tc>
          <w:tcPr>
            <w:tcW w:w="3957" w:type="dxa"/>
            <w:tcBorders>
              <w:top w:val="nil"/>
              <w:left w:val="nil"/>
              <w:bottom w:val="single" w:sz="4" w:space="0" w:color="auto"/>
              <w:right w:val="single" w:sz="4" w:space="0" w:color="auto"/>
            </w:tcBorders>
            <w:shd w:val="clear" w:color="auto" w:fill="auto"/>
            <w:vAlign w:val="bottom"/>
            <w:hideMark/>
          </w:tcPr>
          <w:p w14:paraId="42AABF1B"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Regionalne izby obrachunkowe</w:t>
            </w:r>
          </w:p>
        </w:tc>
        <w:tc>
          <w:tcPr>
            <w:tcW w:w="2520" w:type="dxa"/>
            <w:tcBorders>
              <w:top w:val="nil"/>
              <w:left w:val="nil"/>
              <w:bottom w:val="single" w:sz="4" w:space="0" w:color="auto"/>
              <w:right w:val="single" w:sz="4" w:space="0" w:color="auto"/>
            </w:tcBorders>
            <w:shd w:val="clear" w:color="auto" w:fill="auto"/>
            <w:noWrap/>
            <w:vAlign w:val="bottom"/>
            <w:hideMark/>
          </w:tcPr>
          <w:p w14:paraId="2B7243EE"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1.497 </w:t>
            </w:r>
          </w:p>
        </w:tc>
        <w:tc>
          <w:tcPr>
            <w:tcW w:w="2037" w:type="dxa"/>
            <w:tcBorders>
              <w:top w:val="nil"/>
              <w:left w:val="nil"/>
              <w:bottom w:val="single" w:sz="4" w:space="0" w:color="auto"/>
              <w:right w:val="single" w:sz="4" w:space="0" w:color="auto"/>
            </w:tcBorders>
            <w:shd w:val="clear" w:color="auto" w:fill="auto"/>
            <w:noWrap/>
            <w:vAlign w:val="bottom"/>
            <w:hideMark/>
          </w:tcPr>
          <w:p w14:paraId="59A4C21F"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1EDFCED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51349A11"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82</w:t>
            </w:r>
          </w:p>
        </w:tc>
        <w:tc>
          <w:tcPr>
            <w:tcW w:w="3957" w:type="dxa"/>
            <w:tcBorders>
              <w:top w:val="nil"/>
              <w:left w:val="nil"/>
              <w:bottom w:val="single" w:sz="4" w:space="0" w:color="auto"/>
              <w:right w:val="single" w:sz="4" w:space="0" w:color="auto"/>
            </w:tcBorders>
            <w:shd w:val="clear" w:color="auto" w:fill="auto"/>
            <w:vAlign w:val="bottom"/>
            <w:hideMark/>
          </w:tcPr>
          <w:p w14:paraId="6A0767F9"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Subwencje ogólne dla jednostek samorządu terytorialnego</w:t>
            </w:r>
          </w:p>
        </w:tc>
        <w:tc>
          <w:tcPr>
            <w:tcW w:w="2520" w:type="dxa"/>
            <w:tcBorders>
              <w:top w:val="nil"/>
              <w:left w:val="nil"/>
              <w:bottom w:val="single" w:sz="4" w:space="0" w:color="auto"/>
              <w:right w:val="single" w:sz="4" w:space="0" w:color="auto"/>
            </w:tcBorders>
            <w:shd w:val="clear" w:color="auto" w:fill="auto"/>
            <w:noWrap/>
            <w:vAlign w:val="bottom"/>
            <w:hideMark/>
          </w:tcPr>
          <w:p w14:paraId="392CA794"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935.437 </w:t>
            </w:r>
          </w:p>
        </w:tc>
        <w:tc>
          <w:tcPr>
            <w:tcW w:w="2037" w:type="dxa"/>
            <w:tcBorders>
              <w:top w:val="nil"/>
              <w:left w:val="nil"/>
              <w:bottom w:val="single" w:sz="4" w:space="0" w:color="auto"/>
              <w:right w:val="single" w:sz="4" w:space="0" w:color="auto"/>
            </w:tcBorders>
            <w:shd w:val="clear" w:color="auto" w:fill="auto"/>
            <w:noWrap/>
            <w:vAlign w:val="bottom"/>
            <w:hideMark/>
          </w:tcPr>
          <w:p w14:paraId="0125B6BB"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147.866 </w:t>
            </w:r>
          </w:p>
        </w:tc>
      </w:tr>
      <w:tr w:rsidR="009C3F4E" w:rsidRPr="009C3F4E" w14:paraId="63DF38E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B0FF790"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83</w:t>
            </w:r>
          </w:p>
        </w:tc>
        <w:tc>
          <w:tcPr>
            <w:tcW w:w="3957" w:type="dxa"/>
            <w:tcBorders>
              <w:top w:val="nil"/>
              <w:left w:val="nil"/>
              <w:bottom w:val="single" w:sz="4" w:space="0" w:color="auto"/>
              <w:right w:val="single" w:sz="4" w:space="0" w:color="auto"/>
            </w:tcBorders>
            <w:shd w:val="clear" w:color="auto" w:fill="auto"/>
            <w:vAlign w:val="bottom"/>
            <w:hideMark/>
          </w:tcPr>
          <w:p w14:paraId="7E991747"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Rezerwy celowe</w:t>
            </w:r>
          </w:p>
        </w:tc>
        <w:tc>
          <w:tcPr>
            <w:tcW w:w="2520" w:type="dxa"/>
            <w:tcBorders>
              <w:top w:val="nil"/>
              <w:left w:val="nil"/>
              <w:bottom w:val="single" w:sz="4" w:space="0" w:color="auto"/>
              <w:right w:val="single" w:sz="4" w:space="0" w:color="auto"/>
            </w:tcBorders>
            <w:shd w:val="clear" w:color="auto" w:fill="auto"/>
            <w:noWrap/>
            <w:vAlign w:val="bottom"/>
            <w:hideMark/>
          </w:tcPr>
          <w:p w14:paraId="521EFDAF"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174.975 </w:t>
            </w:r>
          </w:p>
        </w:tc>
        <w:tc>
          <w:tcPr>
            <w:tcW w:w="2037" w:type="dxa"/>
            <w:tcBorders>
              <w:top w:val="nil"/>
              <w:left w:val="nil"/>
              <w:bottom w:val="single" w:sz="4" w:space="0" w:color="auto"/>
              <w:right w:val="single" w:sz="4" w:space="0" w:color="auto"/>
            </w:tcBorders>
            <w:shd w:val="clear" w:color="auto" w:fill="auto"/>
            <w:noWrap/>
            <w:vAlign w:val="bottom"/>
            <w:hideMark/>
          </w:tcPr>
          <w:p w14:paraId="09F7009D"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60.000 </w:t>
            </w:r>
          </w:p>
        </w:tc>
      </w:tr>
      <w:tr w:rsidR="009C3F4E" w:rsidRPr="009C3F4E" w14:paraId="59A3D73F"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059827FB"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85</w:t>
            </w:r>
          </w:p>
        </w:tc>
        <w:tc>
          <w:tcPr>
            <w:tcW w:w="3957" w:type="dxa"/>
            <w:tcBorders>
              <w:top w:val="nil"/>
              <w:left w:val="nil"/>
              <w:bottom w:val="single" w:sz="4" w:space="0" w:color="auto"/>
              <w:right w:val="single" w:sz="4" w:space="0" w:color="auto"/>
            </w:tcBorders>
            <w:shd w:val="clear" w:color="auto" w:fill="auto"/>
            <w:vAlign w:val="bottom"/>
            <w:hideMark/>
          </w:tcPr>
          <w:p w14:paraId="39428507"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Zbiorczy Budżet Wojewodów</w:t>
            </w:r>
          </w:p>
        </w:tc>
        <w:tc>
          <w:tcPr>
            <w:tcW w:w="2520" w:type="dxa"/>
            <w:tcBorders>
              <w:top w:val="nil"/>
              <w:left w:val="nil"/>
              <w:bottom w:val="single" w:sz="4" w:space="0" w:color="auto"/>
              <w:right w:val="single" w:sz="4" w:space="0" w:color="auto"/>
            </w:tcBorders>
            <w:shd w:val="clear" w:color="auto" w:fill="auto"/>
            <w:noWrap/>
            <w:vAlign w:val="bottom"/>
            <w:hideMark/>
          </w:tcPr>
          <w:p w14:paraId="47F623E7"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112.306 </w:t>
            </w:r>
          </w:p>
        </w:tc>
        <w:tc>
          <w:tcPr>
            <w:tcW w:w="2037" w:type="dxa"/>
            <w:tcBorders>
              <w:top w:val="nil"/>
              <w:left w:val="nil"/>
              <w:bottom w:val="single" w:sz="4" w:space="0" w:color="auto"/>
              <w:right w:val="single" w:sz="4" w:space="0" w:color="auto"/>
            </w:tcBorders>
            <w:shd w:val="clear" w:color="auto" w:fill="auto"/>
            <w:noWrap/>
            <w:vAlign w:val="bottom"/>
            <w:hideMark/>
          </w:tcPr>
          <w:p w14:paraId="48CC1DE6"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5194D755"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7D856BCB"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86</w:t>
            </w:r>
          </w:p>
        </w:tc>
        <w:tc>
          <w:tcPr>
            <w:tcW w:w="3957" w:type="dxa"/>
            <w:tcBorders>
              <w:top w:val="nil"/>
              <w:left w:val="nil"/>
              <w:bottom w:val="single" w:sz="4" w:space="0" w:color="auto"/>
              <w:right w:val="single" w:sz="4" w:space="0" w:color="auto"/>
            </w:tcBorders>
            <w:shd w:val="clear" w:color="auto" w:fill="auto"/>
            <w:vAlign w:val="bottom"/>
            <w:hideMark/>
          </w:tcPr>
          <w:p w14:paraId="028537C5"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Samorządowe Kolegia Odwoławcze</w:t>
            </w:r>
          </w:p>
        </w:tc>
        <w:tc>
          <w:tcPr>
            <w:tcW w:w="2520" w:type="dxa"/>
            <w:tcBorders>
              <w:top w:val="nil"/>
              <w:left w:val="nil"/>
              <w:bottom w:val="single" w:sz="4" w:space="0" w:color="auto"/>
              <w:right w:val="single" w:sz="4" w:space="0" w:color="auto"/>
            </w:tcBorders>
            <w:shd w:val="clear" w:color="auto" w:fill="auto"/>
            <w:noWrap/>
            <w:vAlign w:val="bottom"/>
            <w:hideMark/>
          </w:tcPr>
          <w:p w14:paraId="4BB93F22"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1.559 </w:t>
            </w:r>
          </w:p>
        </w:tc>
        <w:tc>
          <w:tcPr>
            <w:tcW w:w="2037" w:type="dxa"/>
            <w:tcBorders>
              <w:top w:val="nil"/>
              <w:left w:val="nil"/>
              <w:bottom w:val="single" w:sz="4" w:space="0" w:color="auto"/>
              <w:right w:val="single" w:sz="4" w:space="0" w:color="auto"/>
            </w:tcBorders>
            <w:shd w:val="clear" w:color="auto" w:fill="auto"/>
            <w:noWrap/>
            <w:vAlign w:val="bottom"/>
            <w:hideMark/>
          </w:tcPr>
          <w:p w14:paraId="1CB7C888"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37630C35" w14:textId="77777777" w:rsidTr="006147E2">
        <w:trPr>
          <w:trHeight w:val="141"/>
        </w:trPr>
        <w:tc>
          <w:tcPr>
            <w:tcW w:w="688" w:type="dxa"/>
            <w:tcBorders>
              <w:top w:val="nil"/>
              <w:left w:val="single" w:sz="4" w:space="0" w:color="auto"/>
              <w:bottom w:val="single" w:sz="4" w:space="0" w:color="auto"/>
              <w:right w:val="nil"/>
            </w:tcBorders>
            <w:shd w:val="clear" w:color="auto" w:fill="auto"/>
            <w:noWrap/>
            <w:hideMark/>
          </w:tcPr>
          <w:p w14:paraId="5615AE1F"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88</w:t>
            </w:r>
          </w:p>
        </w:tc>
        <w:tc>
          <w:tcPr>
            <w:tcW w:w="3957" w:type="dxa"/>
            <w:tcBorders>
              <w:top w:val="nil"/>
              <w:left w:val="nil"/>
              <w:bottom w:val="single" w:sz="4" w:space="0" w:color="auto"/>
              <w:right w:val="single" w:sz="4" w:space="0" w:color="auto"/>
            </w:tcBorders>
            <w:shd w:val="clear" w:color="auto" w:fill="auto"/>
            <w:vAlign w:val="bottom"/>
            <w:hideMark/>
          </w:tcPr>
          <w:p w14:paraId="18C5B7B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Powszechne jednostki organizacyjne prokuratury</w:t>
            </w:r>
          </w:p>
        </w:tc>
        <w:tc>
          <w:tcPr>
            <w:tcW w:w="2520" w:type="dxa"/>
            <w:tcBorders>
              <w:top w:val="nil"/>
              <w:left w:val="nil"/>
              <w:bottom w:val="single" w:sz="4" w:space="0" w:color="auto"/>
              <w:right w:val="single" w:sz="4" w:space="0" w:color="auto"/>
            </w:tcBorders>
            <w:shd w:val="clear" w:color="auto" w:fill="auto"/>
            <w:noWrap/>
            <w:vAlign w:val="bottom"/>
            <w:hideMark/>
          </w:tcPr>
          <w:p w14:paraId="74261396"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27.569 </w:t>
            </w:r>
          </w:p>
        </w:tc>
        <w:tc>
          <w:tcPr>
            <w:tcW w:w="2037" w:type="dxa"/>
            <w:tcBorders>
              <w:top w:val="nil"/>
              <w:left w:val="nil"/>
              <w:bottom w:val="single" w:sz="4" w:space="0" w:color="auto"/>
              <w:right w:val="single" w:sz="4" w:space="0" w:color="auto"/>
            </w:tcBorders>
            <w:shd w:val="clear" w:color="auto" w:fill="auto"/>
            <w:noWrap/>
            <w:vAlign w:val="bottom"/>
            <w:hideMark/>
          </w:tcPr>
          <w:p w14:paraId="73CA6A75"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r w:rsidR="009C3F4E" w:rsidRPr="009C3F4E" w14:paraId="271AAFDA" w14:textId="77777777" w:rsidTr="006147E2">
        <w:trPr>
          <w:trHeight w:val="428"/>
        </w:trPr>
        <w:tc>
          <w:tcPr>
            <w:tcW w:w="688" w:type="dxa"/>
            <w:tcBorders>
              <w:top w:val="nil"/>
              <w:left w:val="single" w:sz="4" w:space="0" w:color="auto"/>
              <w:bottom w:val="single" w:sz="4" w:space="0" w:color="auto"/>
              <w:right w:val="nil"/>
            </w:tcBorders>
            <w:shd w:val="clear" w:color="auto" w:fill="auto"/>
            <w:noWrap/>
            <w:hideMark/>
          </w:tcPr>
          <w:p w14:paraId="6DD810E9" w14:textId="77777777" w:rsidR="009C3F4E" w:rsidRPr="009C3F4E" w:rsidRDefault="009C3F4E" w:rsidP="00F02EA3">
            <w:pPr>
              <w:spacing w:after="0" w:line="240" w:lineRule="auto"/>
              <w:jc w:val="center"/>
              <w:rPr>
                <w:rFonts w:ascii="Arial" w:eastAsia="Times New Roman" w:hAnsi="Arial" w:cs="Arial"/>
                <w:sz w:val="20"/>
                <w:szCs w:val="20"/>
                <w:lang w:eastAsia="pl-PL"/>
              </w:rPr>
            </w:pPr>
            <w:r w:rsidRPr="009C3F4E">
              <w:rPr>
                <w:rFonts w:ascii="Arial" w:eastAsia="Times New Roman" w:hAnsi="Arial" w:cs="Arial"/>
                <w:sz w:val="20"/>
                <w:szCs w:val="20"/>
                <w:lang w:eastAsia="pl-PL"/>
              </w:rPr>
              <w:t>89</w:t>
            </w:r>
          </w:p>
        </w:tc>
        <w:tc>
          <w:tcPr>
            <w:tcW w:w="3957" w:type="dxa"/>
            <w:tcBorders>
              <w:top w:val="nil"/>
              <w:left w:val="nil"/>
              <w:bottom w:val="single" w:sz="4" w:space="0" w:color="auto"/>
              <w:right w:val="single" w:sz="4" w:space="0" w:color="auto"/>
            </w:tcBorders>
            <w:shd w:val="clear" w:color="auto" w:fill="auto"/>
            <w:vAlign w:val="bottom"/>
            <w:hideMark/>
          </w:tcPr>
          <w:p w14:paraId="150DBBAD"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Państwowa Komisja do spraw wyjaśniania przypadków czynności skierowanych </w:t>
            </w:r>
            <w:r w:rsidR="006147E2">
              <w:rPr>
                <w:rFonts w:ascii="Arial" w:eastAsia="Times New Roman" w:hAnsi="Arial" w:cs="Arial"/>
                <w:sz w:val="20"/>
                <w:szCs w:val="20"/>
                <w:lang w:eastAsia="pl-PL"/>
              </w:rPr>
              <w:t>przeciwko wolności seksualnej i </w:t>
            </w:r>
            <w:r w:rsidRPr="009C3F4E">
              <w:rPr>
                <w:rFonts w:ascii="Arial" w:eastAsia="Times New Roman" w:hAnsi="Arial" w:cs="Arial"/>
                <w:sz w:val="20"/>
                <w:szCs w:val="20"/>
                <w:lang w:eastAsia="pl-PL"/>
              </w:rPr>
              <w:t>obyczajności wobec małoletniego poniżej lat 15</w:t>
            </w:r>
          </w:p>
        </w:tc>
        <w:tc>
          <w:tcPr>
            <w:tcW w:w="2520" w:type="dxa"/>
            <w:tcBorders>
              <w:top w:val="nil"/>
              <w:left w:val="nil"/>
              <w:bottom w:val="single" w:sz="4" w:space="0" w:color="auto"/>
              <w:right w:val="single" w:sz="4" w:space="0" w:color="auto"/>
            </w:tcBorders>
            <w:shd w:val="clear" w:color="auto" w:fill="auto"/>
            <w:noWrap/>
            <w:vAlign w:val="bottom"/>
            <w:hideMark/>
          </w:tcPr>
          <w:p w14:paraId="4AE5873B" w14:textId="77777777" w:rsidR="009C3F4E" w:rsidRPr="009C3F4E" w:rsidRDefault="009C3F4E" w:rsidP="00F02EA3">
            <w:pPr>
              <w:spacing w:after="0" w:line="240" w:lineRule="auto"/>
              <w:jc w:val="right"/>
              <w:rPr>
                <w:rFonts w:ascii="Arial" w:eastAsia="Times New Roman" w:hAnsi="Arial" w:cs="Arial"/>
                <w:sz w:val="20"/>
                <w:szCs w:val="20"/>
                <w:lang w:eastAsia="pl-PL"/>
              </w:rPr>
            </w:pPr>
            <w:r w:rsidRPr="009C3F4E">
              <w:rPr>
                <w:rFonts w:ascii="Arial" w:eastAsia="Times New Roman" w:hAnsi="Arial" w:cs="Arial"/>
                <w:sz w:val="20"/>
                <w:szCs w:val="20"/>
                <w:lang w:eastAsia="pl-PL"/>
              </w:rPr>
              <w:t xml:space="preserve">59 </w:t>
            </w:r>
          </w:p>
        </w:tc>
        <w:tc>
          <w:tcPr>
            <w:tcW w:w="2037" w:type="dxa"/>
            <w:tcBorders>
              <w:top w:val="nil"/>
              <w:left w:val="nil"/>
              <w:bottom w:val="single" w:sz="4" w:space="0" w:color="auto"/>
              <w:right w:val="single" w:sz="4" w:space="0" w:color="auto"/>
            </w:tcBorders>
            <w:shd w:val="clear" w:color="auto" w:fill="auto"/>
            <w:noWrap/>
            <w:vAlign w:val="bottom"/>
            <w:hideMark/>
          </w:tcPr>
          <w:p w14:paraId="6281C2CA" w14:textId="77777777" w:rsidR="009C3F4E" w:rsidRPr="009C3F4E" w:rsidRDefault="009C3F4E" w:rsidP="00F02EA3">
            <w:pPr>
              <w:spacing w:after="0" w:line="240" w:lineRule="auto"/>
              <w:rPr>
                <w:rFonts w:ascii="Arial" w:eastAsia="Times New Roman" w:hAnsi="Arial" w:cs="Arial"/>
                <w:sz w:val="20"/>
                <w:szCs w:val="20"/>
                <w:lang w:eastAsia="pl-PL"/>
              </w:rPr>
            </w:pPr>
            <w:r w:rsidRPr="009C3F4E">
              <w:rPr>
                <w:rFonts w:ascii="Arial" w:eastAsia="Times New Roman" w:hAnsi="Arial" w:cs="Arial"/>
                <w:sz w:val="20"/>
                <w:szCs w:val="20"/>
                <w:lang w:eastAsia="pl-PL"/>
              </w:rPr>
              <w:t> </w:t>
            </w:r>
          </w:p>
        </w:tc>
      </w:tr>
    </w:tbl>
    <w:p w14:paraId="45D90A53" w14:textId="77777777" w:rsidR="006B25B1" w:rsidRDefault="006B25B1" w:rsidP="009C5C2E">
      <w:pPr>
        <w:spacing w:before="240" w:after="120" w:line="340" w:lineRule="atLeast"/>
        <w:rPr>
          <w:rFonts w:ascii="Arial" w:hAnsi="Arial" w:cs="Arial"/>
        </w:rPr>
      </w:pPr>
    </w:p>
    <w:p w14:paraId="326DDA9C" w14:textId="77777777" w:rsidR="009C5C2E" w:rsidRPr="00CD35DD" w:rsidRDefault="009C5C2E" w:rsidP="000C1EA7">
      <w:pPr>
        <w:spacing w:before="240" w:after="120" w:line="340" w:lineRule="atLeast"/>
        <w:rPr>
          <w:rFonts w:ascii="Arial" w:hAnsi="Arial" w:cs="Arial"/>
        </w:rPr>
      </w:pPr>
      <w:r>
        <w:rPr>
          <w:rFonts w:ascii="Arial" w:hAnsi="Arial" w:cs="Arial"/>
        </w:rPr>
        <w:t xml:space="preserve">Ponadto do </w:t>
      </w:r>
      <w:r w:rsidRPr="00B43478">
        <w:rPr>
          <w:rFonts w:ascii="Arial" w:hAnsi="Arial" w:cs="Arial"/>
          <w:b/>
        </w:rPr>
        <w:t xml:space="preserve">części 19 </w:t>
      </w:r>
      <w:r w:rsidR="00B43478" w:rsidRPr="00B43478">
        <w:rPr>
          <w:rFonts w:ascii="Arial" w:hAnsi="Arial" w:cs="Arial"/>
          <w:b/>
        </w:rPr>
        <w:t>–</w:t>
      </w:r>
      <w:r>
        <w:rPr>
          <w:rFonts w:ascii="Arial" w:hAnsi="Arial" w:cs="Arial"/>
        </w:rPr>
        <w:t xml:space="preserve"> </w:t>
      </w:r>
      <w:r w:rsidRPr="00744B5B">
        <w:rPr>
          <w:rFonts w:ascii="Arial" w:hAnsi="Arial" w:cs="Arial"/>
          <w:b/>
        </w:rPr>
        <w:t>Budżet, finanse publiczne i instytucje finansowe</w:t>
      </w:r>
      <w:r w:rsidRPr="00CD35DD">
        <w:rPr>
          <w:rFonts w:ascii="Arial" w:hAnsi="Arial" w:cs="Arial"/>
        </w:rPr>
        <w:t xml:space="preserve"> </w:t>
      </w:r>
      <w:r>
        <w:rPr>
          <w:rFonts w:ascii="Arial" w:hAnsi="Arial" w:cs="Arial"/>
        </w:rPr>
        <w:t xml:space="preserve">przeniesiono środki w wysokości 125.152 tys. zł z rezerwy celowej </w:t>
      </w:r>
      <w:r w:rsidRPr="00CD35DD">
        <w:rPr>
          <w:rFonts w:ascii="Arial" w:hAnsi="Arial" w:cs="Arial"/>
        </w:rPr>
        <w:t>poz. 40 „Środki na odbudowę dochodów budżetu państwa oraz na zadania związane z funkcjonowanie</w:t>
      </w:r>
      <w:r>
        <w:rPr>
          <w:rFonts w:ascii="Arial" w:hAnsi="Arial" w:cs="Arial"/>
        </w:rPr>
        <w:t>m systemu finansów publicznych” na:</w:t>
      </w:r>
    </w:p>
    <w:p w14:paraId="3B685EF3" w14:textId="77777777" w:rsidR="009C5C2E" w:rsidRPr="00CD35DD" w:rsidRDefault="009C5C2E" w:rsidP="000C1EA7">
      <w:pPr>
        <w:pStyle w:val="Akapitzlist"/>
        <w:numPr>
          <w:ilvl w:val="0"/>
          <w:numId w:val="25"/>
        </w:numPr>
        <w:overflowPunct/>
        <w:spacing w:after="0" w:line="340" w:lineRule="atLeast"/>
        <w:ind w:left="426" w:hanging="426"/>
        <w:jc w:val="left"/>
        <w:textAlignment w:val="auto"/>
        <w:rPr>
          <w:rFonts w:cs="Arial"/>
        </w:rPr>
      </w:pPr>
      <w:r w:rsidRPr="00CD35DD">
        <w:rPr>
          <w:rFonts w:cs="Arial"/>
        </w:rPr>
        <w:t>sfinansowanie wynagr</w:t>
      </w:r>
      <w:r>
        <w:rPr>
          <w:rFonts w:cs="Arial"/>
        </w:rPr>
        <w:t xml:space="preserve">odzeń prowizyjnych </w:t>
      </w:r>
      <w:r w:rsidRPr="00CD35DD">
        <w:rPr>
          <w:rFonts w:cs="Arial"/>
        </w:rPr>
        <w:t xml:space="preserve">w związku ze zmianą przepisów prawa polegającą na zwiększeniu najniższego mnożnika kwoty bazowej służącego do ustalenia wysokości wynagrodzenia zasadniczego członków korpusu służby cywilnej w urzędach skarbowych na stanowiskach wspomagających w służbie cywilnej a także wzrost efektywności w ściągalności należności organu egzekucyjnego, co wpływa na znaczący wzrost wynagrodzenia prowizyjnego. Zgodnie § 1 rozporządzenia w sprawie uprawnień szczególnych przysługujących niektórym kategoriom członków korpusu służby cywilnej, członkowi korpusu służby cywilnej zatrudnionemu w komórce egzekucyjnej (...) przysługuje wynagrodzenie prowizyjne, które nie może przekroczyć sześciokrotności najniższego wynagrodzenia zasadniczego, </w:t>
      </w:r>
    </w:p>
    <w:p w14:paraId="2E0F66AC" w14:textId="77777777" w:rsidR="009C5C2E" w:rsidRPr="009D4976" w:rsidRDefault="009C5C2E" w:rsidP="000C1EA7">
      <w:pPr>
        <w:pStyle w:val="Akapitzlist"/>
        <w:numPr>
          <w:ilvl w:val="0"/>
          <w:numId w:val="25"/>
        </w:numPr>
        <w:overflowPunct/>
        <w:spacing w:before="120" w:after="0" w:line="340" w:lineRule="atLeast"/>
        <w:ind w:left="426" w:hanging="426"/>
        <w:jc w:val="left"/>
        <w:textAlignment w:val="auto"/>
        <w:rPr>
          <w:rFonts w:cs="Arial"/>
        </w:rPr>
      </w:pPr>
      <w:r w:rsidRPr="00CD35DD">
        <w:rPr>
          <w:rFonts w:cs="Arial"/>
        </w:rPr>
        <w:t>realizację wydatków wynikających z Uchwały nr</w:t>
      </w:r>
      <w:r>
        <w:rPr>
          <w:rFonts w:cs="Arial"/>
        </w:rPr>
        <w:t xml:space="preserve"> 2/2023 Rady Ministrów z dnia 3 </w:t>
      </w:r>
      <w:r w:rsidRPr="00CD35DD">
        <w:rPr>
          <w:rFonts w:cs="Arial"/>
        </w:rPr>
        <w:t xml:space="preserve">stycznia 2023 r. w sprawie ustanowienia programu wieloletniego „Modernizacja Krajowej </w:t>
      </w:r>
      <w:r w:rsidRPr="00CD35DD">
        <w:rPr>
          <w:rFonts w:cs="Arial"/>
        </w:rPr>
        <w:lastRenderedPageBreak/>
        <w:t>Administracji Skarbowej w latach 2023-2025” w zakresie Priorytetu I - Wzrost konkurencyjności i motywacyjności zatrudnienia w jednostka</w:t>
      </w:r>
      <w:r>
        <w:rPr>
          <w:rFonts w:cs="Arial"/>
        </w:rPr>
        <w:t>ch organizacyjnych KAS, w </w:t>
      </w:r>
      <w:r w:rsidRPr="00CD35DD">
        <w:rPr>
          <w:rFonts w:cs="Arial"/>
        </w:rPr>
        <w:t>tym w szczególności na modernizację systemu wynagrodzeń i uposażeń w postaci wzrostu przeciętnego wynagrodzenia i uposażenia zasadniczego, finansowania dodatków zwiększających zaangażowanie zawodowe pracowników i funkcjonariuszy, wypłatę nagród jubileuszowych i odpraw emerytalnych dla funkcjonariuszy Służby Celno-Skarbowej przysługujących w 2023 r.,</w:t>
      </w:r>
      <w:r>
        <w:rPr>
          <w:rFonts w:cs="Arial"/>
        </w:rPr>
        <w:t xml:space="preserve"> a także w tym zakresie dla pozostałych grup pracowniczych Ministerstwa Finansów</w:t>
      </w:r>
      <w:r w:rsidR="00F02EA3">
        <w:rPr>
          <w:rFonts w:cs="Arial"/>
        </w:rPr>
        <w:t>.</w:t>
      </w:r>
      <w:r w:rsidRPr="00CD35DD">
        <w:rPr>
          <w:rFonts w:cs="Arial"/>
        </w:rPr>
        <w:t xml:space="preserve"> </w:t>
      </w:r>
      <w:r>
        <w:rPr>
          <w:rFonts w:cs="Arial"/>
        </w:rPr>
        <w:t xml:space="preserve">Przeniesienie środków z programu wieloletniego do części 19 stanowi </w:t>
      </w:r>
      <w:r w:rsidRPr="00CD35DD">
        <w:rPr>
          <w:rFonts w:cs="Arial"/>
        </w:rPr>
        <w:t>realizację zalecenia Najwyższej Izby Kontroli, zawa</w:t>
      </w:r>
      <w:r>
        <w:rPr>
          <w:rFonts w:cs="Arial"/>
        </w:rPr>
        <w:t xml:space="preserve">rtego w wystąpieniu pokontrolnym </w:t>
      </w:r>
      <w:r w:rsidRPr="00CD35DD">
        <w:rPr>
          <w:rFonts w:cs="Arial"/>
        </w:rPr>
        <w:t xml:space="preserve">„P/23/001 </w:t>
      </w:r>
      <w:r w:rsidR="00B43478">
        <w:rPr>
          <w:rFonts w:cs="Arial"/>
          <w:color w:val="000000"/>
        </w:rPr>
        <w:t>Wykonanie budżetu państwa w 2022 </w:t>
      </w:r>
      <w:r w:rsidRPr="00CD35DD">
        <w:rPr>
          <w:rFonts w:cs="Arial"/>
          <w:color w:val="000000"/>
        </w:rPr>
        <w:t>r. w części 19 – Budżet, finanse publiczne i instytucje finansowe oraz wykonanie planu finansowego Funduszu Reprywatyzacji”</w:t>
      </w:r>
      <w:r>
        <w:rPr>
          <w:rFonts w:cs="Arial"/>
          <w:color w:val="000000"/>
        </w:rPr>
        <w:t>.</w:t>
      </w:r>
    </w:p>
    <w:p w14:paraId="1FE29886" w14:textId="77777777" w:rsidR="009C5C2E" w:rsidRDefault="009C5C2E" w:rsidP="000C1EA7">
      <w:pPr>
        <w:spacing w:before="120" w:after="120" w:line="340" w:lineRule="atLeast"/>
        <w:rPr>
          <w:rFonts w:ascii="Arial" w:hAnsi="Arial" w:cs="Arial"/>
        </w:rPr>
      </w:pPr>
      <w:r>
        <w:rPr>
          <w:rFonts w:ascii="Arial" w:hAnsi="Arial" w:cs="Arial"/>
        </w:rPr>
        <w:t xml:space="preserve">Konsekwencją przeniesienia do części 19 środków z programu wieloletniego </w:t>
      </w:r>
      <w:r w:rsidRPr="009179D5">
        <w:rPr>
          <w:rFonts w:ascii="Arial" w:hAnsi="Arial" w:cs="Arial"/>
        </w:rPr>
        <w:t>„Modernizacja Krajowej Administracji Skarbowej w latach 2023-2025” – ustanowionego uchwałą nr 2/2023 Rady Minis</w:t>
      </w:r>
      <w:r>
        <w:rPr>
          <w:rFonts w:ascii="Arial" w:hAnsi="Arial" w:cs="Arial"/>
        </w:rPr>
        <w:t>trów z dnia 3 stycznia 2023 r. są z</w:t>
      </w:r>
      <w:r w:rsidRPr="009179D5">
        <w:rPr>
          <w:rFonts w:ascii="Arial" w:hAnsi="Arial" w:cs="Arial"/>
        </w:rPr>
        <w:t>mian</w:t>
      </w:r>
      <w:r>
        <w:rPr>
          <w:rFonts w:ascii="Arial" w:hAnsi="Arial" w:cs="Arial"/>
        </w:rPr>
        <w:t>y</w:t>
      </w:r>
      <w:r w:rsidRPr="009179D5">
        <w:rPr>
          <w:rFonts w:ascii="Arial" w:hAnsi="Arial" w:cs="Arial"/>
        </w:rPr>
        <w:t xml:space="preserve"> w zesta</w:t>
      </w:r>
      <w:r>
        <w:rPr>
          <w:rFonts w:ascii="Arial" w:hAnsi="Arial" w:cs="Arial"/>
        </w:rPr>
        <w:t>wieniu programów wieloletnich w </w:t>
      </w:r>
      <w:r w:rsidRPr="009179D5">
        <w:rPr>
          <w:rFonts w:ascii="Arial" w:hAnsi="Arial" w:cs="Arial"/>
        </w:rPr>
        <w:t>układzie zadaniowym, sporządzanym zgodnie z art. 122 ust. 1 ustawy o finansach publicznych, stanowiącym załącznik nr 10 d</w:t>
      </w:r>
      <w:r>
        <w:rPr>
          <w:rFonts w:ascii="Arial" w:hAnsi="Arial" w:cs="Arial"/>
        </w:rPr>
        <w:t>o ustawy budżetowej na rok 2023.</w:t>
      </w:r>
      <w:r w:rsidRPr="009179D5">
        <w:rPr>
          <w:rFonts w:ascii="Arial" w:hAnsi="Arial" w:cs="Arial"/>
        </w:rPr>
        <w:t xml:space="preserve"> Dodano tabelę prezentującą ten program wieloletni odpowiednio w Załączniku nr 8.</w:t>
      </w:r>
    </w:p>
    <w:p w14:paraId="5301FD75" w14:textId="77777777" w:rsidR="00A95C85" w:rsidRPr="00744B5B" w:rsidRDefault="00744B5B" w:rsidP="007A3F8C">
      <w:pPr>
        <w:spacing w:before="360" w:after="120" w:line="340" w:lineRule="atLeast"/>
        <w:rPr>
          <w:rFonts w:ascii="Arial" w:hAnsi="Arial" w:cs="Arial"/>
          <w:b/>
        </w:rPr>
      </w:pPr>
      <w:r w:rsidRPr="00744B5B">
        <w:rPr>
          <w:rFonts w:ascii="Arial" w:hAnsi="Arial" w:cs="Arial"/>
          <w:b/>
        </w:rPr>
        <w:t>Cześć</w:t>
      </w:r>
      <w:r w:rsidR="00A95C85" w:rsidRPr="00744B5B">
        <w:rPr>
          <w:rFonts w:ascii="Arial" w:hAnsi="Arial" w:cs="Arial"/>
          <w:b/>
        </w:rPr>
        <w:t xml:space="preserve"> 82 – Subwencje ogólne dla jednostek samorządu terytorialnego</w:t>
      </w:r>
    </w:p>
    <w:p w14:paraId="0E6554DD" w14:textId="77777777" w:rsidR="00AC2AB1" w:rsidRPr="00CD35DD" w:rsidRDefault="00AC2AB1" w:rsidP="000C1EA7">
      <w:pPr>
        <w:spacing w:before="120" w:after="120" w:line="340" w:lineRule="atLeast"/>
        <w:rPr>
          <w:rFonts w:ascii="Arial" w:hAnsi="Arial" w:cs="Arial"/>
        </w:rPr>
      </w:pPr>
      <w:r w:rsidRPr="00CD35DD">
        <w:rPr>
          <w:rFonts w:ascii="Arial" w:hAnsi="Arial" w:cs="Arial"/>
        </w:rPr>
        <w:t>Zmiana kwoty wyd</w:t>
      </w:r>
      <w:r w:rsidR="00A95C85">
        <w:rPr>
          <w:rFonts w:ascii="Arial" w:hAnsi="Arial" w:cs="Arial"/>
        </w:rPr>
        <w:t>atków zaplanowanych w tej części</w:t>
      </w:r>
      <w:r w:rsidRPr="00CD35DD">
        <w:rPr>
          <w:rFonts w:ascii="Arial" w:hAnsi="Arial" w:cs="Arial"/>
        </w:rPr>
        <w:t xml:space="preserve"> jest g</w:t>
      </w:r>
      <w:r w:rsidR="006F2618" w:rsidRPr="00CD35DD">
        <w:rPr>
          <w:rFonts w:ascii="Arial" w:hAnsi="Arial" w:cs="Arial"/>
        </w:rPr>
        <w:t>łówn</w:t>
      </w:r>
      <w:r w:rsidR="00744B5B">
        <w:rPr>
          <w:rFonts w:ascii="Arial" w:hAnsi="Arial" w:cs="Arial"/>
        </w:rPr>
        <w:t>ie wynikiem zwiększenia o </w:t>
      </w:r>
      <w:r w:rsidR="006F2618" w:rsidRPr="00CD35DD">
        <w:rPr>
          <w:rFonts w:ascii="Arial" w:hAnsi="Arial" w:cs="Arial"/>
        </w:rPr>
        <w:t>13.000.</w:t>
      </w:r>
      <w:r w:rsidRPr="00CD35DD">
        <w:rPr>
          <w:rFonts w:ascii="Arial" w:hAnsi="Arial" w:cs="Arial"/>
        </w:rPr>
        <w:t xml:space="preserve">000 tys. zł kwoty przeznaczonej na uzupełnienie subwencji ogólnej w celu wsparcia realizacji zadań jednostek samorządu terytorialnego. </w:t>
      </w:r>
    </w:p>
    <w:p w14:paraId="60755037" w14:textId="631551DC" w:rsidR="00CD35DD" w:rsidRPr="00CD35DD" w:rsidRDefault="00CD35DD" w:rsidP="000C1EA7">
      <w:pPr>
        <w:spacing w:before="240" w:after="120" w:line="340" w:lineRule="atLeast"/>
        <w:rPr>
          <w:rFonts w:ascii="Arial" w:hAnsi="Arial" w:cs="Arial"/>
        </w:rPr>
      </w:pPr>
      <w:r w:rsidRPr="00CD35DD">
        <w:rPr>
          <w:rFonts w:ascii="Arial" w:hAnsi="Arial" w:cs="Arial"/>
        </w:rPr>
        <w:t>Zwiększenie wydatków w ramach uzupełnienia subwencji ogólnej obejmuje również zapewnienie dodatkowych środków w rezerwie subwencj</w:t>
      </w:r>
      <w:r w:rsidR="009764D3">
        <w:rPr>
          <w:rFonts w:ascii="Arial" w:hAnsi="Arial" w:cs="Arial"/>
        </w:rPr>
        <w:t xml:space="preserve">i ogólnej, o której mowa w art. </w:t>
      </w:r>
      <w:r w:rsidRPr="00CD35DD">
        <w:rPr>
          <w:rFonts w:ascii="Arial" w:hAnsi="Arial" w:cs="Arial"/>
        </w:rPr>
        <w:t xml:space="preserve">36 ust. 4 pkt 1 ustawy z dnia 13 listopada 2003 r. o dochodach jednostek samorządu </w:t>
      </w:r>
      <w:r w:rsidR="009764D3">
        <w:rPr>
          <w:rFonts w:ascii="Arial" w:hAnsi="Arial" w:cs="Arial"/>
        </w:rPr>
        <w:t>terytorialnego, o kwotę 935</w:t>
      </w:r>
      <w:r w:rsidR="00371F60">
        <w:rPr>
          <w:rFonts w:ascii="Arial" w:hAnsi="Arial" w:cs="Arial"/>
        </w:rPr>
        <w:t>.</w:t>
      </w:r>
      <w:r w:rsidRPr="00CD35DD">
        <w:rPr>
          <w:rFonts w:ascii="Arial" w:hAnsi="Arial" w:cs="Arial"/>
        </w:rPr>
        <w:t>437 tys. zł, z przeznaczeniem na wypłatę w 2023 r. nagrody specjalnej dla nauczycieli, o której mowa w ustawie z dnia 26 stycznia 1982 r. – Karta Nauczyciela.</w:t>
      </w:r>
    </w:p>
    <w:p w14:paraId="0F933516" w14:textId="739328EC" w:rsidR="00CD35DD" w:rsidRPr="00CD35DD" w:rsidRDefault="00CD35DD" w:rsidP="000C1EA7">
      <w:pPr>
        <w:spacing w:before="240" w:after="120" w:line="340" w:lineRule="atLeast"/>
        <w:rPr>
          <w:rFonts w:ascii="Arial" w:hAnsi="Arial" w:cs="Arial"/>
        </w:rPr>
      </w:pPr>
      <w:r w:rsidRPr="00CD35DD">
        <w:rPr>
          <w:rFonts w:ascii="Arial" w:hAnsi="Arial" w:cs="Arial"/>
        </w:rPr>
        <w:t>Zgodnie z art. 4 ustawy z dnia 1 grudnia 2022 r. o szczególnych rozwiązaniach służących realizacji ustawy budżetowej na rok 2023 (Dz. U. poz. 2666) w roku 2023 do ustalania odpisu na zakładowy fundusz świadczeń socjalnych dla nauczycieli, o którym mowa w art. 53 ust. 1 ustawy – Karta Nauczyciela, stosuje się kwotę bazową obowiązują</w:t>
      </w:r>
      <w:r w:rsidR="009764D3">
        <w:rPr>
          <w:rFonts w:ascii="Arial" w:hAnsi="Arial" w:cs="Arial"/>
        </w:rPr>
        <w:t>cą w dniu 1 stycznia 2019 r. (3</w:t>
      </w:r>
      <w:r w:rsidR="000C1EA7">
        <w:rPr>
          <w:rFonts w:ascii="Arial" w:hAnsi="Arial" w:cs="Arial"/>
        </w:rPr>
        <w:t xml:space="preserve"> </w:t>
      </w:r>
      <w:r w:rsidRPr="00CD35DD">
        <w:rPr>
          <w:rFonts w:ascii="Arial" w:hAnsi="Arial" w:cs="Arial"/>
        </w:rPr>
        <w:t>045, 21 zł). W związku z planowanym ustaleniem od dnia 1 lipca 2023 r. wyższej kwoty bazowej służącej ustaleniu odpisu na zakładowy fundusz świadczeń socjalnych</w:t>
      </w:r>
      <w:r w:rsidR="009764D3">
        <w:rPr>
          <w:rFonts w:ascii="Arial" w:hAnsi="Arial" w:cs="Arial"/>
        </w:rPr>
        <w:t xml:space="preserve"> (z dnia 1 stycznia 2021 r. – 3</w:t>
      </w:r>
      <w:r w:rsidR="000C1EA7">
        <w:rPr>
          <w:rFonts w:ascii="Arial" w:hAnsi="Arial" w:cs="Arial"/>
        </w:rPr>
        <w:t xml:space="preserve"> </w:t>
      </w:r>
      <w:r w:rsidRPr="00CD35DD">
        <w:rPr>
          <w:rFonts w:ascii="Arial" w:hAnsi="Arial" w:cs="Arial"/>
        </w:rPr>
        <w:t>537,80 zł) niezbędne jest zwiększenie części oświatowe</w:t>
      </w:r>
      <w:r w:rsidR="009764D3">
        <w:rPr>
          <w:rFonts w:ascii="Arial" w:hAnsi="Arial" w:cs="Arial"/>
        </w:rPr>
        <w:t>j subwencji ogólnej o kwotę 147</w:t>
      </w:r>
      <w:r w:rsidR="000C1EA7">
        <w:rPr>
          <w:rFonts w:ascii="Arial" w:hAnsi="Arial" w:cs="Arial"/>
        </w:rPr>
        <w:t xml:space="preserve"> </w:t>
      </w:r>
      <w:r w:rsidRPr="00CD35DD">
        <w:rPr>
          <w:rFonts w:ascii="Arial" w:hAnsi="Arial" w:cs="Arial"/>
        </w:rPr>
        <w:t>866 tys. zł.</w:t>
      </w:r>
    </w:p>
    <w:p w14:paraId="1D683E13" w14:textId="77777777" w:rsidR="0061582F" w:rsidRDefault="00744B5B" w:rsidP="007A3F8C">
      <w:pPr>
        <w:spacing w:before="360" w:after="120" w:line="340" w:lineRule="atLeast"/>
        <w:rPr>
          <w:rFonts w:ascii="Arial" w:hAnsi="Arial" w:cs="Arial"/>
          <w:b/>
        </w:rPr>
      </w:pPr>
      <w:r w:rsidRPr="00744B5B">
        <w:rPr>
          <w:rFonts w:ascii="Arial" w:hAnsi="Arial" w:cs="Arial"/>
          <w:b/>
        </w:rPr>
        <w:lastRenderedPageBreak/>
        <w:t>Część</w:t>
      </w:r>
      <w:r w:rsidR="00A95C85" w:rsidRPr="00744B5B">
        <w:rPr>
          <w:rFonts w:ascii="Arial" w:hAnsi="Arial" w:cs="Arial"/>
          <w:b/>
        </w:rPr>
        <w:t xml:space="preserve"> 83 - </w:t>
      </w:r>
      <w:r w:rsidR="00941165" w:rsidRPr="00744B5B">
        <w:rPr>
          <w:rFonts w:ascii="Arial" w:hAnsi="Arial" w:cs="Arial"/>
          <w:b/>
        </w:rPr>
        <w:t>Rezerwy celowe</w:t>
      </w:r>
      <w:r w:rsidR="00941165" w:rsidRPr="00744B5B">
        <w:rPr>
          <w:rFonts w:ascii="Arial" w:hAnsi="Arial" w:cs="Arial"/>
          <w:b/>
        </w:rPr>
        <w:tab/>
      </w:r>
    </w:p>
    <w:p w14:paraId="43221167" w14:textId="77777777" w:rsidR="00B911F0" w:rsidRDefault="00B911F0" w:rsidP="000C1EA7">
      <w:pPr>
        <w:spacing w:before="360" w:after="120" w:line="340" w:lineRule="atLeast"/>
        <w:rPr>
          <w:rFonts w:ascii="Arial" w:hAnsi="Arial" w:cs="Arial"/>
        </w:rPr>
      </w:pPr>
      <w:r w:rsidRPr="00B911F0">
        <w:rPr>
          <w:rFonts w:ascii="Arial" w:hAnsi="Arial" w:cs="Arial"/>
          <w:i/>
        </w:rPr>
        <w:t xml:space="preserve">Poz. 11 </w:t>
      </w:r>
      <w:r w:rsidRPr="00B554DF">
        <w:rPr>
          <w:rFonts w:ascii="Arial" w:hAnsi="Arial" w:cs="Arial"/>
          <w:i/>
        </w:rPr>
        <w:t>–</w:t>
      </w:r>
      <w:r>
        <w:rPr>
          <w:rFonts w:ascii="Arial" w:hAnsi="Arial" w:cs="Arial"/>
          <w:i/>
        </w:rPr>
        <w:t xml:space="preserve"> </w:t>
      </w:r>
      <w:r w:rsidRPr="00B911F0">
        <w:rPr>
          <w:rFonts w:ascii="Arial" w:hAnsi="Arial" w:cs="Arial"/>
          <w:i/>
        </w:rPr>
        <w:t>Stypendia Prezesa Rady Ministrów dla uczniów szczególnie uzdolnionych</w:t>
      </w:r>
      <w:r w:rsidR="00F02EA3">
        <w:rPr>
          <w:rFonts w:ascii="Arial" w:hAnsi="Arial" w:cs="Arial"/>
          <w:i/>
        </w:rPr>
        <w:t xml:space="preserve"> </w:t>
      </w:r>
      <w:r w:rsidR="00F02EA3" w:rsidRPr="00F02EA3">
        <w:rPr>
          <w:rFonts w:ascii="Arial" w:hAnsi="Arial" w:cs="Arial"/>
        </w:rPr>
        <w:t>zwiększono o 3.000 tys. zł</w:t>
      </w:r>
      <w:r w:rsidR="00F02EA3">
        <w:rPr>
          <w:rFonts w:ascii="Arial" w:hAnsi="Arial" w:cs="Arial"/>
        </w:rPr>
        <w:t>, tj. do kwoty 17.500 tys. zł –</w:t>
      </w:r>
      <w:r w:rsidR="00993FC8">
        <w:rPr>
          <w:rFonts w:ascii="Arial" w:hAnsi="Arial" w:cs="Arial"/>
        </w:rPr>
        <w:t xml:space="preserve"> </w:t>
      </w:r>
      <w:r w:rsidR="00F02EA3">
        <w:rPr>
          <w:rFonts w:ascii="Arial" w:hAnsi="Arial" w:cs="Arial"/>
        </w:rPr>
        <w:t>na z</w:t>
      </w:r>
      <w:r w:rsidRPr="00B911F0">
        <w:rPr>
          <w:rFonts w:ascii="Arial" w:hAnsi="Arial" w:cs="Arial"/>
        </w:rPr>
        <w:t xml:space="preserve">większenie środków dla uczniów szczególnie uzdolnionych </w:t>
      </w:r>
      <w:r w:rsidR="00F02EA3">
        <w:rPr>
          <w:rFonts w:ascii="Arial" w:hAnsi="Arial" w:cs="Arial"/>
        </w:rPr>
        <w:t>w związku z wejściem</w:t>
      </w:r>
      <w:r w:rsidRPr="00B911F0">
        <w:rPr>
          <w:rFonts w:ascii="Arial" w:hAnsi="Arial" w:cs="Arial"/>
        </w:rPr>
        <w:t xml:space="preserve"> w życie rozporządzenia Rady Mi</w:t>
      </w:r>
      <w:r>
        <w:rPr>
          <w:rFonts w:ascii="Arial" w:hAnsi="Arial" w:cs="Arial"/>
        </w:rPr>
        <w:t>nistrów</w:t>
      </w:r>
      <w:r w:rsidR="00AB7601">
        <w:rPr>
          <w:rFonts w:ascii="Arial" w:hAnsi="Arial" w:cs="Arial"/>
        </w:rPr>
        <w:t xml:space="preserve"> z </w:t>
      </w:r>
      <w:r>
        <w:rPr>
          <w:rFonts w:ascii="Arial" w:hAnsi="Arial" w:cs="Arial"/>
        </w:rPr>
        <w:t>dnia 11 maja 2023 r. zmieniającego rozporządzenie w </w:t>
      </w:r>
      <w:r w:rsidRPr="00B911F0">
        <w:rPr>
          <w:rFonts w:ascii="Arial" w:hAnsi="Arial" w:cs="Arial"/>
        </w:rPr>
        <w:t>sprawie stypendiów Prezesa Rady Ministrów, ministr</w:t>
      </w:r>
      <w:r>
        <w:rPr>
          <w:rFonts w:ascii="Arial" w:hAnsi="Arial" w:cs="Arial"/>
        </w:rPr>
        <w:t>a właściwego do spraw oświaty i </w:t>
      </w:r>
      <w:r w:rsidRPr="00B911F0">
        <w:rPr>
          <w:rFonts w:ascii="Arial" w:hAnsi="Arial" w:cs="Arial"/>
        </w:rPr>
        <w:t>wychowania oraz ministra właściwego do spraw kultury i ochrony dziedzictwa narodowego, na mocy którego od roku szkolnego 2023/2024 wymiar stypendiów P</w:t>
      </w:r>
      <w:r w:rsidR="00CD770C">
        <w:rPr>
          <w:rFonts w:ascii="Arial" w:hAnsi="Arial" w:cs="Arial"/>
        </w:rPr>
        <w:t xml:space="preserve">remiera zostanie podwyższony z </w:t>
      </w:r>
      <w:r w:rsidRPr="00B911F0">
        <w:rPr>
          <w:rFonts w:ascii="Arial" w:hAnsi="Arial" w:cs="Arial"/>
        </w:rPr>
        <w:t xml:space="preserve">dotychczasowej kwoty </w:t>
      </w:r>
      <w:r w:rsidR="00AB7601">
        <w:rPr>
          <w:rFonts w:ascii="Arial" w:hAnsi="Arial" w:cs="Arial"/>
        </w:rPr>
        <w:t>300 </w:t>
      </w:r>
      <w:r w:rsidRPr="00B911F0">
        <w:rPr>
          <w:rFonts w:ascii="Arial" w:hAnsi="Arial" w:cs="Arial"/>
        </w:rPr>
        <w:t>zł do 500 zł.</w:t>
      </w:r>
    </w:p>
    <w:p w14:paraId="0D028698" w14:textId="77777777" w:rsidR="00626287" w:rsidRPr="00626287" w:rsidRDefault="00626287" w:rsidP="000C1EA7">
      <w:pPr>
        <w:spacing w:before="360" w:after="120" w:line="340" w:lineRule="atLeast"/>
        <w:rPr>
          <w:rFonts w:ascii="Arial" w:hAnsi="Arial" w:cs="Arial"/>
        </w:rPr>
      </w:pPr>
      <w:r>
        <w:rPr>
          <w:rFonts w:ascii="Arial" w:hAnsi="Arial" w:cs="Arial"/>
          <w:i/>
        </w:rPr>
        <w:t xml:space="preserve">Poz. 42 </w:t>
      </w:r>
      <w:r w:rsidRPr="00B554DF">
        <w:rPr>
          <w:rFonts w:ascii="Arial" w:hAnsi="Arial" w:cs="Arial"/>
          <w:i/>
        </w:rPr>
        <w:t>–</w:t>
      </w:r>
      <w:r w:rsidRPr="00626287">
        <w:rPr>
          <w:rFonts w:ascii="Arial" w:hAnsi="Arial" w:cs="Arial"/>
          <w:i/>
        </w:rPr>
        <w:t xml:space="preserve"> Środki dla samorządowych kolegiów odwoławczych</w:t>
      </w:r>
      <w:r w:rsidR="00993FC8">
        <w:rPr>
          <w:rFonts w:ascii="Arial" w:hAnsi="Arial" w:cs="Arial"/>
        </w:rPr>
        <w:t xml:space="preserve"> </w:t>
      </w:r>
      <w:r w:rsidR="00776BA4">
        <w:rPr>
          <w:rFonts w:ascii="Arial" w:hAnsi="Arial" w:cs="Arial"/>
        </w:rPr>
        <w:t>zwiększono o 3.000 tys. zł, tj. </w:t>
      </w:r>
      <w:r w:rsidR="00993FC8">
        <w:rPr>
          <w:rFonts w:ascii="Arial" w:hAnsi="Arial" w:cs="Arial"/>
        </w:rPr>
        <w:t>do kwoty 7.000 tys. zł – z</w:t>
      </w:r>
      <w:r w:rsidRPr="00626287">
        <w:rPr>
          <w:rFonts w:ascii="Arial" w:hAnsi="Arial" w:cs="Arial"/>
        </w:rPr>
        <w:t xml:space="preserve"> przeznaczeniem na uzupełnienie wydatków bieżących niezbędnych dla zapewnienia prawidłowego funkcjonowania </w:t>
      </w:r>
      <w:r w:rsidR="00993FC8">
        <w:rPr>
          <w:rFonts w:ascii="Arial" w:hAnsi="Arial" w:cs="Arial"/>
        </w:rPr>
        <w:t xml:space="preserve">samorządowych </w:t>
      </w:r>
      <w:r w:rsidRPr="00626287">
        <w:rPr>
          <w:rFonts w:ascii="Arial" w:hAnsi="Arial" w:cs="Arial"/>
        </w:rPr>
        <w:t>kolegiów</w:t>
      </w:r>
      <w:r w:rsidR="00993FC8">
        <w:rPr>
          <w:rFonts w:ascii="Arial" w:hAnsi="Arial" w:cs="Arial"/>
        </w:rPr>
        <w:t xml:space="preserve"> odwoławczych</w:t>
      </w:r>
      <w:r w:rsidRPr="00626287">
        <w:rPr>
          <w:rFonts w:ascii="Arial" w:hAnsi="Arial" w:cs="Arial"/>
        </w:rPr>
        <w:t xml:space="preserve"> i bieżącej realizacji zadań w roku 2023, głównie z uwagi na znaczny wzrost licz</w:t>
      </w:r>
      <w:r w:rsidR="00993FC8">
        <w:rPr>
          <w:rFonts w:ascii="Arial" w:hAnsi="Arial" w:cs="Arial"/>
        </w:rPr>
        <w:t>b</w:t>
      </w:r>
      <w:r w:rsidRPr="00626287">
        <w:rPr>
          <w:rFonts w:ascii="Arial" w:hAnsi="Arial" w:cs="Arial"/>
        </w:rPr>
        <w:t>y spraw.</w:t>
      </w:r>
    </w:p>
    <w:p w14:paraId="34F23775" w14:textId="77777777" w:rsidR="009C5C2E" w:rsidRPr="00993FC8" w:rsidRDefault="009C5C2E" w:rsidP="000C1EA7">
      <w:pPr>
        <w:spacing w:before="360" w:after="120" w:line="340" w:lineRule="atLeast"/>
        <w:rPr>
          <w:rFonts w:ascii="Arial" w:hAnsi="Arial" w:cs="Arial"/>
        </w:rPr>
      </w:pPr>
      <w:r w:rsidRPr="00B554DF">
        <w:rPr>
          <w:rFonts w:ascii="Arial" w:hAnsi="Arial" w:cs="Arial"/>
          <w:i/>
        </w:rPr>
        <w:t>Poz. 72 –</w:t>
      </w:r>
      <w:r>
        <w:rPr>
          <w:rFonts w:ascii="Arial" w:hAnsi="Arial" w:cs="Arial"/>
          <w:i/>
        </w:rPr>
        <w:t xml:space="preserve"> </w:t>
      </w:r>
      <w:r w:rsidRPr="0042386B">
        <w:rPr>
          <w:rFonts w:ascii="Arial" w:hAnsi="Arial" w:cs="Arial"/>
          <w:i/>
        </w:rPr>
        <w:t>Wydatki związanie ze zwalczaniem skutków, w tym społeczno-gospodarczych, kryzysu wywołanego konfliktem zbrojnym w Ukrainie</w:t>
      </w:r>
      <w:r w:rsidR="00993FC8">
        <w:rPr>
          <w:rFonts w:ascii="Arial" w:hAnsi="Arial" w:cs="Arial"/>
        </w:rPr>
        <w:t xml:space="preserve"> – 16.000.000 tys. zł.</w:t>
      </w:r>
    </w:p>
    <w:p w14:paraId="4B464CDC" w14:textId="77777777" w:rsidR="00CD770C" w:rsidRPr="00CD770C" w:rsidRDefault="00F02EA3" w:rsidP="000C1EA7">
      <w:pPr>
        <w:spacing w:before="120" w:after="120" w:line="340" w:lineRule="atLeast"/>
        <w:rPr>
          <w:rFonts w:ascii="Arial" w:hAnsi="Arial" w:cs="Arial"/>
        </w:rPr>
      </w:pPr>
      <w:r>
        <w:rPr>
          <w:rFonts w:ascii="Arial" w:hAnsi="Arial" w:cs="Arial"/>
        </w:rPr>
        <w:t>Nowa r</w:t>
      </w:r>
      <w:r w:rsidR="00CD770C" w:rsidRPr="00CD770C">
        <w:rPr>
          <w:rFonts w:ascii="Arial" w:hAnsi="Arial" w:cs="Arial"/>
        </w:rPr>
        <w:t>ezerwa</w:t>
      </w:r>
      <w:r>
        <w:rPr>
          <w:rFonts w:ascii="Arial" w:hAnsi="Arial" w:cs="Arial"/>
        </w:rPr>
        <w:t>, która</w:t>
      </w:r>
      <w:r w:rsidR="00CD770C" w:rsidRPr="00CD770C">
        <w:rPr>
          <w:rFonts w:ascii="Arial" w:hAnsi="Arial" w:cs="Arial"/>
        </w:rPr>
        <w:t xml:space="preserve"> stanowić będzie instrument reagowania na potencjalne potrzeby wymagające szybkiej interwencji finansowej. Wspieranie środkami publicznymi, w trakcie roku budżetowego, realizacji zadań wnioskowanych przez właściwych ministrów lub innych dysponentów części budżetowych nastąpi w momencie konkretyzacji celów, co będzie poprzedzone identyfikacją okoliczności, które będą uzasadniały udzielenie wsparcia. Istotne jest przy tym istnienie podstawy materialnoprawnej do wydatkowania środków jako nadzwyczajny, dodatkowy mechanizm reagowania na zaistniałe potrzeby. </w:t>
      </w:r>
    </w:p>
    <w:p w14:paraId="62FF6717" w14:textId="286C5837" w:rsidR="00CD770C" w:rsidRDefault="00CD770C" w:rsidP="000C1EA7">
      <w:pPr>
        <w:spacing w:before="120" w:after="120" w:line="340" w:lineRule="atLeast"/>
        <w:rPr>
          <w:rFonts w:ascii="Arial" w:hAnsi="Arial" w:cs="Arial"/>
        </w:rPr>
      </w:pPr>
      <w:r w:rsidRPr="00CD770C">
        <w:rPr>
          <w:rFonts w:ascii="Arial" w:hAnsi="Arial" w:cs="Arial"/>
        </w:rPr>
        <w:t>Sama nazwa rezerwy wskazuje na uprawnienie do wykorzystania środków na wspieranie szerokiego wachlarza zadań publicznych. Pla</w:t>
      </w:r>
      <w:r w:rsidR="000E0465">
        <w:rPr>
          <w:rFonts w:ascii="Arial" w:hAnsi="Arial" w:cs="Arial"/>
        </w:rPr>
        <w:t xml:space="preserve">nuje się, że jej środki </w:t>
      </w:r>
      <w:r w:rsidRPr="00CD770C">
        <w:rPr>
          <w:rFonts w:ascii="Arial" w:hAnsi="Arial" w:cs="Arial"/>
        </w:rPr>
        <w:t>zostaną m.in. przeznaczone na sfinansowanie przyjętych i projek</w:t>
      </w:r>
      <w:r>
        <w:rPr>
          <w:rFonts w:ascii="Arial" w:hAnsi="Arial" w:cs="Arial"/>
        </w:rPr>
        <w:t>towanych rozwiązań pomocowych w </w:t>
      </w:r>
      <w:r w:rsidRPr="00CD770C">
        <w:rPr>
          <w:rFonts w:ascii="Arial" w:hAnsi="Arial" w:cs="Arial"/>
        </w:rPr>
        <w:t>obszarze rolnictwa, w tym dla producentów rolnych i przedsiębiorców prowadzących działalność w tym obszarze, w celu złagodzenia skutków gospodarczych wyn</w:t>
      </w:r>
      <w:r>
        <w:rPr>
          <w:rFonts w:ascii="Arial" w:hAnsi="Arial" w:cs="Arial"/>
        </w:rPr>
        <w:t>ikających z </w:t>
      </w:r>
      <w:r w:rsidRPr="00CD770C">
        <w:rPr>
          <w:rFonts w:ascii="Arial" w:hAnsi="Arial" w:cs="Arial"/>
        </w:rPr>
        <w:t>agresji Rosji na Ukrainę.</w:t>
      </w:r>
    </w:p>
    <w:p w14:paraId="7B22CF05" w14:textId="77777777" w:rsidR="00993FC8" w:rsidRDefault="00EF0F2B" w:rsidP="000C1EA7">
      <w:pPr>
        <w:spacing w:before="360" w:after="120" w:line="340" w:lineRule="atLeast"/>
        <w:rPr>
          <w:rFonts w:ascii="Arial" w:hAnsi="Arial" w:cs="Arial"/>
        </w:rPr>
      </w:pPr>
      <w:r w:rsidRPr="00EF0F2B">
        <w:rPr>
          <w:rFonts w:ascii="Arial" w:hAnsi="Arial" w:cs="Arial"/>
          <w:i/>
        </w:rPr>
        <w:t xml:space="preserve">Poz. 73 - Zwiększenie wynagrodzeń, w tym środki na nagrody specjalne i jednorazowe wynagrodzenia oraz na finansowanie skutków zmiany podstawy naliczania odpisu na zakładowy fundusz świadczeń socjalnych oraz inne fundusze socjalne </w:t>
      </w:r>
      <w:r w:rsidR="00F02EA3">
        <w:rPr>
          <w:rFonts w:ascii="Arial" w:hAnsi="Arial" w:cs="Arial"/>
        </w:rPr>
        <w:t>– 234.975 tys. zł</w:t>
      </w:r>
      <w:r w:rsidRPr="00EF0F2B">
        <w:rPr>
          <w:rFonts w:ascii="Arial" w:hAnsi="Arial" w:cs="Arial"/>
        </w:rPr>
        <w:t>.</w:t>
      </w:r>
      <w:r w:rsidR="00F02EA3">
        <w:rPr>
          <w:rFonts w:ascii="Arial" w:hAnsi="Arial" w:cs="Arial"/>
        </w:rPr>
        <w:t xml:space="preserve"> </w:t>
      </w:r>
    </w:p>
    <w:p w14:paraId="016CE1B7" w14:textId="77777777" w:rsidR="00EF0F2B" w:rsidRPr="00EF0F2B" w:rsidRDefault="00F02EA3" w:rsidP="000C1EA7">
      <w:pPr>
        <w:spacing w:before="240" w:after="120" w:line="340" w:lineRule="atLeast"/>
        <w:rPr>
          <w:rFonts w:ascii="Arial" w:hAnsi="Arial" w:cs="Arial"/>
          <w:i/>
        </w:rPr>
      </w:pPr>
      <w:r>
        <w:rPr>
          <w:rFonts w:ascii="Arial" w:hAnsi="Arial" w:cs="Arial"/>
        </w:rPr>
        <w:t>Jest to nowa rezerwa, która będzie stanowić uzupełnienie środków na ten cel zaplanowanych w częściach budżetowych.</w:t>
      </w:r>
    </w:p>
    <w:p w14:paraId="491BD65D" w14:textId="77777777" w:rsidR="00EF0F2B" w:rsidRPr="00CD770C" w:rsidRDefault="00EF0F2B" w:rsidP="00CD770C">
      <w:pPr>
        <w:spacing w:before="120" w:after="120" w:line="340" w:lineRule="atLeast"/>
        <w:rPr>
          <w:rFonts w:ascii="Arial" w:hAnsi="Arial" w:cs="Arial"/>
        </w:rPr>
      </w:pPr>
    </w:p>
    <w:p w14:paraId="4BFB800F" w14:textId="77777777" w:rsidR="003B6004" w:rsidRPr="0061582F" w:rsidRDefault="003B6004" w:rsidP="000C1EA7">
      <w:pPr>
        <w:pStyle w:val="Akapitzlist"/>
        <w:numPr>
          <w:ilvl w:val="0"/>
          <w:numId w:val="5"/>
        </w:numPr>
        <w:spacing w:before="360"/>
        <w:ind w:left="426" w:hanging="426"/>
        <w:jc w:val="left"/>
        <w:rPr>
          <w:rFonts w:cs="Arial"/>
          <w:b/>
          <w:sz w:val="24"/>
          <w:szCs w:val="24"/>
        </w:rPr>
      </w:pPr>
      <w:r w:rsidRPr="0061582F">
        <w:rPr>
          <w:rFonts w:cs="Arial"/>
          <w:b/>
        </w:rPr>
        <w:t xml:space="preserve">Zmiany w planach finansowych </w:t>
      </w:r>
      <w:r w:rsidR="00343757" w:rsidRPr="0061582F">
        <w:rPr>
          <w:rFonts w:cs="Arial"/>
          <w:b/>
        </w:rPr>
        <w:t>państwowych funduszy celowych</w:t>
      </w:r>
      <w:r w:rsidRPr="0061582F">
        <w:rPr>
          <w:rFonts w:cs="Arial"/>
          <w:b/>
        </w:rPr>
        <w:t>, in</w:t>
      </w:r>
      <w:r w:rsidR="00343757">
        <w:rPr>
          <w:rFonts w:cs="Arial"/>
          <w:b/>
        </w:rPr>
        <w:t>stytucji gospodarki budżetowej</w:t>
      </w:r>
      <w:r w:rsidRPr="0061582F">
        <w:rPr>
          <w:rFonts w:cs="Arial"/>
          <w:b/>
        </w:rPr>
        <w:t xml:space="preserve"> i państwowych osób prawnych</w:t>
      </w:r>
      <w:r w:rsidR="00EB1E41">
        <w:rPr>
          <w:rFonts w:cs="Arial"/>
          <w:b/>
        </w:rPr>
        <w:t xml:space="preserve">, </w:t>
      </w:r>
      <w:r w:rsidR="00EB1E41" w:rsidRPr="00EB1E41">
        <w:rPr>
          <w:rFonts w:cs="Arial"/>
          <w:b/>
        </w:rPr>
        <w:t xml:space="preserve">o których mowa </w:t>
      </w:r>
      <w:r w:rsidR="00EB1E41">
        <w:rPr>
          <w:rFonts w:cs="Arial"/>
          <w:b/>
        </w:rPr>
        <w:br/>
      </w:r>
      <w:r w:rsidR="00EB1E41" w:rsidRPr="00EB1E41">
        <w:rPr>
          <w:rFonts w:cs="Arial"/>
          <w:b/>
        </w:rPr>
        <w:t>w art. 9 pkt 14 ustawy o finansach publicznych</w:t>
      </w:r>
    </w:p>
    <w:p w14:paraId="0A6C8F54" w14:textId="77777777" w:rsidR="009E36E4" w:rsidRPr="00223488" w:rsidRDefault="009E36E4" w:rsidP="000C1EA7">
      <w:pPr>
        <w:spacing w:before="240" w:after="120" w:line="360" w:lineRule="atLeast"/>
        <w:rPr>
          <w:rFonts w:ascii="Arial" w:hAnsi="Arial" w:cs="Arial"/>
        </w:rPr>
      </w:pPr>
      <w:r w:rsidRPr="00223488">
        <w:rPr>
          <w:rFonts w:ascii="Arial" w:hAnsi="Arial" w:cs="Arial"/>
        </w:rPr>
        <w:t>W związku ze zmianami wydatków w poszczególnych częściach budżetu państwa dotyczącymi transferów do </w:t>
      </w:r>
      <w:r>
        <w:rPr>
          <w:rFonts w:ascii="Arial" w:hAnsi="Arial" w:cs="Arial"/>
        </w:rPr>
        <w:t>instytucji gospodarki budżetowej,</w:t>
      </w:r>
      <w:r w:rsidRPr="00223488">
        <w:rPr>
          <w:rFonts w:ascii="Arial" w:hAnsi="Arial" w:cs="Arial"/>
        </w:rPr>
        <w:t> państwowych funduszy celowych oraz państwowych osób prawnych zmianie uległy również plany finansowe jednostek wymienionych poniżej:</w:t>
      </w:r>
    </w:p>
    <w:p w14:paraId="01C32EC2" w14:textId="2CC4108D" w:rsidR="009E36E4" w:rsidRPr="0020397B" w:rsidRDefault="009E36E4" w:rsidP="000C1EA7">
      <w:pPr>
        <w:numPr>
          <w:ilvl w:val="0"/>
          <w:numId w:val="11"/>
        </w:numPr>
        <w:spacing w:before="120" w:after="120" w:line="360" w:lineRule="atLeast"/>
        <w:ind w:left="426" w:hanging="426"/>
        <w:rPr>
          <w:rFonts w:ascii="Arial" w:hAnsi="Arial" w:cs="Arial"/>
        </w:rPr>
      </w:pPr>
      <w:r w:rsidRPr="0020397B">
        <w:rPr>
          <w:rFonts w:ascii="Arial" w:hAnsi="Arial" w:cs="Arial"/>
        </w:rPr>
        <w:t>Centralnego Ośrodka Sportu – w związku ze zwiększeniem dotacji celowej na sfinansowanie działalności bieżącej</w:t>
      </w:r>
      <w:r>
        <w:rPr>
          <w:rFonts w:ascii="Arial" w:hAnsi="Arial" w:cs="Arial"/>
        </w:rPr>
        <w:t>,</w:t>
      </w:r>
      <w:r w:rsidRPr="0020397B">
        <w:rPr>
          <w:rFonts w:ascii="Arial" w:hAnsi="Arial" w:cs="Arial"/>
        </w:rPr>
        <w:t xml:space="preserve"> w tym wynagrodzeń. Zgodnie z art. 24 ust. 1 ustawy z dnia 27 sierpnia 2009 r. o finansach publicznych Centralny Ośrodek Sportu może otrzymywać dotacje z budżetu państwa, jeżeli odrębn</w:t>
      </w:r>
      <w:r w:rsidR="009373DF">
        <w:rPr>
          <w:rFonts w:ascii="Arial" w:hAnsi="Arial" w:cs="Arial"/>
        </w:rPr>
        <w:t>e ustawy tak stanowią. Zmiana w </w:t>
      </w:r>
      <w:r w:rsidRPr="0020397B">
        <w:rPr>
          <w:rFonts w:ascii="Arial" w:hAnsi="Arial" w:cs="Arial"/>
        </w:rPr>
        <w:t xml:space="preserve">planie </w:t>
      </w:r>
      <w:r w:rsidR="002927CD">
        <w:rPr>
          <w:rFonts w:ascii="Arial" w:hAnsi="Arial" w:cs="Arial"/>
        </w:rPr>
        <w:t xml:space="preserve">została wprowadzona z uwagi na </w:t>
      </w:r>
      <w:r w:rsidRPr="0020397B">
        <w:rPr>
          <w:rFonts w:ascii="Arial" w:hAnsi="Arial" w:cs="Arial"/>
        </w:rPr>
        <w:t>ograniczenie, o którym mowa w art. 24 ust. 5 ustawy o finansach publicznych, dotyczące zwięks</w:t>
      </w:r>
      <w:r w:rsidR="009373DF">
        <w:rPr>
          <w:rFonts w:ascii="Arial" w:hAnsi="Arial" w:cs="Arial"/>
        </w:rPr>
        <w:t>zenia dotacji z budżetu państwa;</w:t>
      </w:r>
    </w:p>
    <w:p w14:paraId="37E58685" w14:textId="77777777" w:rsidR="009E36E4" w:rsidRPr="000A639A" w:rsidRDefault="009E36E4" w:rsidP="000C1EA7">
      <w:pPr>
        <w:numPr>
          <w:ilvl w:val="0"/>
          <w:numId w:val="11"/>
        </w:numPr>
        <w:spacing w:before="120" w:after="120" w:line="360" w:lineRule="atLeast"/>
        <w:ind w:left="426" w:hanging="426"/>
        <w:rPr>
          <w:rFonts w:ascii="Arial" w:hAnsi="Arial" w:cs="Arial"/>
        </w:rPr>
      </w:pPr>
      <w:r w:rsidRPr="000A639A">
        <w:rPr>
          <w:rFonts w:ascii="Arial" w:hAnsi="Arial" w:cs="Arial"/>
        </w:rPr>
        <w:t xml:space="preserve">Zakładu Inwestycji Organizacji Traktatu Północnoatlantyckiego – w związku ze zwiększeniem dotacji podmiotowej z przeznaczeniem na sfinansowanie wzrostu kosztów funkcjonowania ZIOTP, w tym wynagrodzeń. Zmiana w planie została wprowadzona </w:t>
      </w:r>
      <w:r w:rsidRPr="000A639A">
        <w:rPr>
          <w:rFonts w:ascii="Arial" w:hAnsi="Arial" w:cs="Arial"/>
        </w:rPr>
        <w:br/>
        <w:t>z uwagi na ograniczenie, o którym mowa w art. 24 ust. 5 ustawy o finansach publicznych, dotyczące zwięks</w:t>
      </w:r>
      <w:r w:rsidR="009373DF">
        <w:rPr>
          <w:rFonts w:ascii="Arial" w:hAnsi="Arial" w:cs="Arial"/>
        </w:rPr>
        <w:t>zenia dotacji z budżetu państwa;</w:t>
      </w:r>
    </w:p>
    <w:p w14:paraId="7B665F14" w14:textId="77777777" w:rsidR="009E36E4" w:rsidRPr="000A639A" w:rsidRDefault="009E36E4" w:rsidP="000C1EA7">
      <w:pPr>
        <w:numPr>
          <w:ilvl w:val="0"/>
          <w:numId w:val="11"/>
        </w:numPr>
        <w:spacing w:before="120" w:after="120" w:line="360" w:lineRule="atLeast"/>
        <w:ind w:left="426" w:hanging="426"/>
        <w:rPr>
          <w:rFonts w:ascii="Arial" w:hAnsi="Arial" w:cs="Arial"/>
        </w:rPr>
      </w:pPr>
      <w:r w:rsidRPr="000A639A">
        <w:rPr>
          <w:rFonts w:ascii="Arial" w:hAnsi="Arial" w:cs="Arial"/>
        </w:rPr>
        <w:t xml:space="preserve">Funduszu Ubezpieczeń Społecznych – przede wszystkim </w:t>
      </w:r>
      <w:r>
        <w:rPr>
          <w:rFonts w:ascii="Arial" w:hAnsi="Arial" w:cs="Arial"/>
        </w:rPr>
        <w:t xml:space="preserve">w związku ze </w:t>
      </w:r>
      <w:r w:rsidRPr="000A639A">
        <w:rPr>
          <w:rFonts w:ascii="Arial" w:hAnsi="Arial" w:cs="Arial"/>
        </w:rPr>
        <w:t>zmniejszenie</w:t>
      </w:r>
      <w:r>
        <w:rPr>
          <w:rFonts w:ascii="Arial" w:hAnsi="Arial" w:cs="Arial"/>
        </w:rPr>
        <w:t>m</w:t>
      </w:r>
      <w:r w:rsidRPr="000A639A">
        <w:rPr>
          <w:rFonts w:ascii="Arial" w:hAnsi="Arial" w:cs="Arial"/>
        </w:rPr>
        <w:t xml:space="preserve"> dotacji z budżetu państwa na skutek zwiększenia wpływów ze składek na ubezpieczenia społeczne w związku z lepszą od zakładanej sytuacją na rynku pracy (wysoka dynamika wynagrodzeń oraz liczba osób ubezpieczonych i odprowadzających składki) oraz uwzględnienie po stronie wydatkowej skutków procentowo-kwotowej waloryzacji świadczeń emerytalno-rentowych od 1 marca 2023 r. (wskaźnik waloryzacji na poziomie 114,8% przy gwarantowanej minimalnej kwocie waloryzacji świadczenia co do zasady na p</w:t>
      </w:r>
      <w:r w:rsidR="009373DF">
        <w:rPr>
          <w:rFonts w:ascii="Arial" w:hAnsi="Arial" w:cs="Arial"/>
        </w:rPr>
        <w:t>oziomie 250 zł);</w:t>
      </w:r>
    </w:p>
    <w:p w14:paraId="215A6D0A" w14:textId="77777777" w:rsidR="009E36E4" w:rsidRPr="0020397B" w:rsidRDefault="009E36E4" w:rsidP="000C1EA7">
      <w:pPr>
        <w:numPr>
          <w:ilvl w:val="0"/>
          <w:numId w:val="11"/>
        </w:numPr>
        <w:spacing w:before="120" w:after="120" w:line="360" w:lineRule="atLeast"/>
        <w:ind w:left="426" w:hanging="426"/>
        <w:rPr>
          <w:rFonts w:ascii="Arial" w:hAnsi="Arial" w:cs="Arial"/>
        </w:rPr>
      </w:pPr>
      <w:r w:rsidRPr="000A639A">
        <w:rPr>
          <w:rFonts w:ascii="Arial" w:hAnsi="Arial" w:cs="Arial"/>
        </w:rPr>
        <w:t xml:space="preserve">Centrum Dialogu im. Juliusza Mieroszewskiego – </w:t>
      </w:r>
      <w:r w:rsidRPr="0020397B">
        <w:rPr>
          <w:rFonts w:ascii="Arial" w:hAnsi="Arial" w:cs="Arial"/>
        </w:rPr>
        <w:t>w</w:t>
      </w:r>
      <w:r>
        <w:rPr>
          <w:rFonts w:ascii="Arial" w:hAnsi="Arial" w:cs="Arial"/>
        </w:rPr>
        <w:t xml:space="preserve"> związku ze zwiększeniem</w:t>
      </w:r>
      <w:r w:rsidRPr="0020397B">
        <w:rPr>
          <w:rFonts w:ascii="Arial" w:hAnsi="Arial" w:cs="Arial"/>
        </w:rPr>
        <w:t xml:space="preserve"> dotacji podmiotowej z przeznaczeniem na sfinansowanie wzrostu kosztów funkcjonowania Centrum, w tym wynagrodzeń. W myśl ustawy z dnia 25 marca 2011 r. o Centrum Dialogu im. Juliusza Mieroszewskiego, Centrum może otrzymywać z budżetu państwa dotacje podmiotowe. Zmiana w planie została wprowadzona z uwagi na postanowienia </w:t>
      </w:r>
      <w:r>
        <w:rPr>
          <w:rFonts w:ascii="Arial" w:hAnsi="Arial" w:cs="Arial"/>
        </w:rPr>
        <w:br/>
      </w:r>
      <w:r w:rsidRPr="0020397B">
        <w:rPr>
          <w:rFonts w:ascii="Arial" w:hAnsi="Arial" w:cs="Arial"/>
        </w:rPr>
        <w:t>art. 20 ust. 2 pkt 1 ww. ustawy, zgodnie z którym kwotę dotacji podmiotowej określa ustawa budżetow</w:t>
      </w:r>
      <w:r w:rsidR="009373DF">
        <w:rPr>
          <w:rFonts w:ascii="Arial" w:hAnsi="Arial" w:cs="Arial"/>
        </w:rPr>
        <w:t>a;</w:t>
      </w:r>
    </w:p>
    <w:p w14:paraId="2515EC54" w14:textId="77777777" w:rsidR="009E36E4" w:rsidRPr="0020397B" w:rsidRDefault="009E36E4" w:rsidP="000C1EA7">
      <w:pPr>
        <w:numPr>
          <w:ilvl w:val="0"/>
          <w:numId w:val="11"/>
        </w:numPr>
        <w:spacing w:before="120" w:after="120" w:line="360" w:lineRule="atLeast"/>
        <w:ind w:left="426" w:hanging="426"/>
        <w:rPr>
          <w:rFonts w:ascii="Arial" w:hAnsi="Arial" w:cs="Arial"/>
        </w:rPr>
      </w:pPr>
      <w:r w:rsidRPr="0020397B">
        <w:rPr>
          <w:rFonts w:ascii="Arial" w:hAnsi="Arial" w:cs="Arial"/>
        </w:rPr>
        <w:lastRenderedPageBreak/>
        <w:t xml:space="preserve">Polskiej Organizacji Turystycznej – w związku ze zwiększeniem dotacji podmiotowej </w:t>
      </w:r>
      <w:r>
        <w:rPr>
          <w:rFonts w:ascii="Arial" w:hAnsi="Arial" w:cs="Arial"/>
        </w:rPr>
        <w:br/>
      </w:r>
      <w:r w:rsidRPr="0020397B">
        <w:rPr>
          <w:rFonts w:ascii="Arial" w:hAnsi="Arial" w:cs="Arial"/>
        </w:rPr>
        <w:t>z przeznaczeniem na sfinansowanie wzrostu kosztów funkcjonowania POT, w tym wynagrodzeń. W myśl ustawy z dnia 25 czerwca 1999 r. o Polskiej Organizacji Turystycznej</w:t>
      </w:r>
      <w:r>
        <w:rPr>
          <w:rFonts w:ascii="Arial" w:hAnsi="Arial" w:cs="Arial"/>
        </w:rPr>
        <w:t>,</w:t>
      </w:r>
      <w:r w:rsidRPr="0020397B">
        <w:rPr>
          <w:rFonts w:ascii="Arial" w:hAnsi="Arial" w:cs="Arial"/>
        </w:rPr>
        <w:t xml:space="preserve"> POT może otrzymywać z budżetu państwa dotacje podmiotowe. Zmiana </w:t>
      </w:r>
      <w:r>
        <w:rPr>
          <w:rFonts w:ascii="Arial" w:hAnsi="Arial" w:cs="Arial"/>
        </w:rPr>
        <w:br/>
      </w:r>
      <w:r w:rsidRPr="0020397B">
        <w:rPr>
          <w:rFonts w:ascii="Arial" w:hAnsi="Arial" w:cs="Arial"/>
        </w:rPr>
        <w:t xml:space="preserve">w planie została wprowadzona z uwagi na postanowienia art. 14 ust. </w:t>
      </w:r>
      <w:r>
        <w:rPr>
          <w:rFonts w:ascii="Arial" w:hAnsi="Arial" w:cs="Arial"/>
        </w:rPr>
        <w:t xml:space="preserve">3 ww. ustawy, zgodnie z którym </w:t>
      </w:r>
      <w:r w:rsidRPr="0020397B">
        <w:rPr>
          <w:rFonts w:ascii="Arial" w:hAnsi="Arial" w:cs="Arial"/>
        </w:rPr>
        <w:t>kwoty dotacji ustala ustawa budżetowa.</w:t>
      </w:r>
    </w:p>
    <w:p w14:paraId="5518283C" w14:textId="77777777" w:rsidR="00E01EE9" w:rsidRPr="00AC2AB1" w:rsidRDefault="00E01EE9" w:rsidP="00E01EE9">
      <w:pPr>
        <w:rPr>
          <w:rFonts w:cs="Arial"/>
          <w:b/>
          <w:sz w:val="24"/>
          <w:szCs w:val="24"/>
          <w:highlight w:val="yellow"/>
        </w:rPr>
      </w:pPr>
    </w:p>
    <w:p w14:paraId="1ACC57D9" w14:textId="77777777" w:rsidR="00C57672" w:rsidRPr="0061582F" w:rsidRDefault="003B6004" w:rsidP="0061582F">
      <w:pPr>
        <w:pStyle w:val="Akapitzlist"/>
        <w:numPr>
          <w:ilvl w:val="0"/>
          <w:numId w:val="5"/>
        </w:numPr>
        <w:ind w:left="426" w:hanging="426"/>
        <w:rPr>
          <w:rFonts w:cs="Arial"/>
          <w:b/>
          <w:sz w:val="24"/>
          <w:szCs w:val="24"/>
        </w:rPr>
      </w:pPr>
      <w:r w:rsidRPr="001053DD">
        <w:rPr>
          <w:rFonts w:cs="Arial"/>
          <w:b/>
          <w:sz w:val="24"/>
          <w:szCs w:val="24"/>
        </w:rPr>
        <w:t>Finansowanie potrzeb pożyczkowych budżetu państwa</w:t>
      </w:r>
    </w:p>
    <w:p w14:paraId="2C52CF57" w14:textId="77777777" w:rsidR="0033568D" w:rsidRPr="00734A00" w:rsidRDefault="0033568D" w:rsidP="000C1EA7">
      <w:pPr>
        <w:pStyle w:val="akapit1"/>
        <w:spacing w:before="240" w:line="340" w:lineRule="atLeast"/>
        <w:ind w:firstLine="0"/>
        <w:contextualSpacing/>
        <w:jc w:val="left"/>
        <w:rPr>
          <w:rFonts w:cs="Arial"/>
          <w:szCs w:val="22"/>
        </w:rPr>
      </w:pPr>
      <w:r w:rsidRPr="00734A00">
        <w:rPr>
          <w:rFonts w:cs="Arial"/>
          <w:szCs w:val="22"/>
        </w:rPr>
        <w:t>Przewiduje się, że w 202</w:t>
      </w:r>
      <w:r>
        <w:rPr>
          <w:rFonts w:cs="Arial"/>
          <w:szCs w:val="22"/>
        </w:rPr>
        <w:t>3</w:t>
      </w:r>
      <w:r w:rsidRPr="00734A00">
        <w:rPr>
          <w:rFonts w:cs="Arial"/>
          <w:szCs w:val="22"/>
        </w:rPr>
        <w:t> r.:</w:t>
      </w:r>
    </w:p>
    <w:p w14:paraId="7FE8F639" w14:textId="77777777" w:rsidR="0033568D" w:rsidRPr="00734A00" w:rsidRDefault="0033568D" w:rsidP="000C1EA7">
      <w:pPr>
        <w:pStyle w:val="akapit1"/>
        <w:numPr>
          <w:ilvl w:val="0"/>
          <w:numId w:val="30"/>
        </w:numPr>
        <w:tabs>
          <w:tab w:val="clear" w:pos="720"/>
        </w:tabs>
        <w:spacing w:before="0" w:line="340" w:lineRule="atLeast"/>
        <w:ind w:left="425" w:hanging="425"/>
        <w:contextualSpacing/>
        <w:jc w:val="left"/>
        <w:rPr>
          <w:rFonts w:cs="Arial"/>
          <w:szCs w:val="22"/>
        </w:rPr>
      </w:pPr>
      <w:r w:rsidRPr="00734A00">
        <w:rPr>
          <w:rFonts w:cs="Arial"/>
          <w:szCs w:val="22"/>
        </w:rPr>
        <w:t>deficyt budżetu państwa wyniesie </w:t>
      </w:r>
      <w:r>
        <w:t>92.000,0</w:t>
      </w:r>
      <w:r w:rsidRPr="00734A00">
        <w:rPr>
          <w:rFonts w:cs="Arial"/>
          <w:szCs w:val="22"/>
        </w:rPr>
        <w:t xml:space="preserve"> mln zł wobec planowanej w ustawie kwoty </w:t>
      </w:r>
      <w:r>
        <w:rPr>
          <w:rFonts w:cs="Arial"/>
          <w:szCs w:val="22"/>
        </w:rPr>
        <w:t>68</w:t>
      </w:r>
      <w:r w:rsidRPr="00734A00">
        <w:rPr>
          <w:rFonts w:cs="Arial"/>
          <w:szCs w:val="22"/>
        </w:rPr>
        <w:t>.</w:t>
      </w:r>
      <w:r>
        <w:rPr>
          <w:rFonts w:cs="Arial"/>
          <w:szCs w:val="22"/>
        </w:rPr>
        <w:t>0</w:t>
      </w:r>
      <w:r w:rsidRPr="00734A00">
        <w:rPr>
          <w:rFonts w:cs="Arial"/>
          <w:szCs w:val="22"/>
        </w:rPr>
        <w:t>00,0 mln zł,</w:t>
      </w:r>
    </w:p>
    <w:p w14:paraId="273ADCB3" w14:textId="77777777" w:rsidR="0033568D" w:rsidRPr="00734A00" w:rsidRDefault="0033568D" w:rsidP="000C1EA7">
      <w:pPr>
        <w:pStyle w:val="akapit1"/>
        <w:numPr>
          <w:ilvl w:val="0"/>
          <w:numId w:val="30"/>
        </w:numPr>
        <w:tabs>
          <w:tab w:val="clear" w:pos="720"/>
        </w:tabs>
        <w:spacing w:before="0" w:line="340" w:lineRule="atLeast"/>
        <w:ind w:left="425" w:hanging="425"/>
        <w:contextualSpacing/>
        <w:jc w:val="left"/>
        <w:rPr>
          <w:rFonts w:cs="Arial"/>
          <w:szCs w:val="22"/>
        </w:rPr>
      </w:pPr>
      <w:r w:rsidRPr="00734A00">
        <w:rPr>
          <w:rFonts w:cs="Arial"/>
          <w:szCs w:val="22"/>
        </w:rPr>
        <w:t xml:space="preserve">deficyt budżetu środków europejskich wyniesie </w:t>
      </w:r>
      <w:r>
        <w:t>16.182,7</w:t>
      </w:r>
      <w:r>
        <w:rPr>
          <w:rFonts w:cs="Arial"/>
          <w:szCs w:val="22"/>
        </w:rPr>
        <w:t xml:space="preserve"> </w:t>
      </w:r>
      <w:r w:rsidRPr="00734A00">
        <w:rPr>
          <w:rFonts w:cs="Arial"/>
          <w:szCs w:val="22"/>
        </w:rPr>
        <w:t xml:space="preserve">mln zł wobec planowanej w ustawie kwoty </w:t>
      </w:r>
      <w:r>
        <w:rPr>
          <w:rFonts w:cs="Arial"/>
          <w:szCs w:val="22"/>
        </w:rPr>
        <w:t>1</w:t>
      </w:r>
      <w:r w:rsidRPr="0041281D">
        <w:rPr>
          <w:szCs w:val="22"/>
        </w:rPr>
        <w:t>6.</w:t>
      </w:r>
      <w:r>
        <w:rPr>
          <w:szCs w:val="22"/>
        </w:rPr>
        <w:t>182,7</w:t>
      </w:r>
      <w:r w:rsidRPr="00734A00">
        <w:rPr>
          <w:rFonts w:cs="Arial"/>
          <w:szCs w:val="22"/>
        </w:rPr>
        <w:t xml:space="preserve"> mln zł,</w:t>
      </w:r>
    </w:p>
    <w:p w14:paraId="18317966" w14:textId="77777777" w:rsidR="0033568D" w:rsidRPr="00734A00" w:rsidRDefault="0033568D" w:rsidP="000C1EA7">
      <w:pPr>
        <w:pStyle w:val="akapit1"/>
        <w:numPr>
          <w:ilvl w:val="0"/>
          <w:numId w:val="30"/>
        </w:numPr>
        <w:tabs>
          <w:tab w:val="clear" w:pos="720"/>
        </w:tabs>
        <w:spacing w:before="0" w:line="340" w:lineRule="atLeast"/>
        <w:ind w:left="425" w:hanging="425"/>
        <w:contextualSpacing/>
        <w:jc w:val="left"/>
        <w:rPr>
          <w:rFonts w:cs="Arial"/>
          <w:szCs w:val="22"/>
        </w:rPr>
      </w:pPr>
      <w:r w:rsidRPr="00734A00">
        <w:rPr>
          <w:rFonts w:cs="Arial"/>
          <w:szCs w:val="22"/>
        </w:rPr>
        <w:t xml:space="preserve">pozostałe potrzeby pożyczkowe netto </w:t>
      </w:r>
      <w:r>
        <w:rPr>
          <w:rFonts w:cs="Arial"/>
          <w:szCs w:val="22"/>
        </w:rPr>
        <w:t xml:space="preserve">wyniosą </w:t>
      </w:r>
      <w:r>
        <w:t>42.411,6</w:t>
      </w:r>
      <w:r w:rsidRPr="00734A00">
        <w:rPr>
          <w:rFonts w:cs="Arial"/>
          <w:szCs w:val="22"/>
        </w:rPr>
        <w:t xml:space="preserve"> mln zł</w:t>
      </w:r>
      <w:r>
        <w:rPr>
          <w:rFonts w:cs="Arial"/>
          <w:szCs w:val="22"/>
        </w:rPr>
        <w:t xml:space="preserve"> wobec planowanego w </w:t>
      </w:r>
      <w:r w:rsidRPr="00734A00">
        <w:rPr>
          <w:rFonts w:cs="Arial"/>
          <w:szCs w:val="22"/>
        </w:rPr>
        <w:t>ustawie poziomu</w:t>
      </w:r>
      <w:r>
        <w:rPr>
          <w:rFonts w:cs="Arial"/>
          <w:szCs w:val="22"/>
        </w:rPr>
        <w:t xml:space="preserve"> 26.333,5</w:t>
      </w:r>
      <w:r w:rsidRPr="00734A00">
        <w:rPr>
          <w:rFonts w:cs="Arial"/>
          <w:szCs w:val="22"/>
        </w:rPr>
        <w:t xml:space="preserve"> mln zł.</w:t>
      </w:r>
    </w:p>
    <w:p w14:paraId="3D0B04A3" w14:textId="77777777" w:rsidR="0033568D" w:rsidRPr="005826B5" w:rsidRDefault="0033568D" w:rsidP="000C1EA7">
      <w:pPr>
        <w:pStyle w:val="akapit"/>
        <w:ind w:firstLine="0"/>
        <w:contextualSpacing/>
        <w:jc w:val="left"/>
        <w:rPr>
          <w:sz w:val="22"/>
          <w:szCs w:val="22"/>
        </w:rPr>
      </w:pPr>
      <w:r w:rsidRPr="00734A00">
        <w:rPr>
          <w:sz w:val="22"/>
          <w:szCs w:val="22"/>
        </w:rPr>
        <w:t xml:space="preserve">Planuje się, że łączne potrzeby pożyczkowe netto w </w:t>
      </w:r>
      <w:r w:rsidRPr="005826B5">
        <w:rPr>
          <w:sz w:val="22"/>
          <w:szCs w:val="22"/>
        </w:rPr>
        <w:t xml:space="preserve">kwocie </w:t>
      </w:r>
      <w:r w:rsidRPr="00855B0A">
        <w:rPr>
          <w:sz w:val="22"/>
          <w:szCs w:val="22"/>
        </w:rPr>
        <w:t>150.594,3</w:t>
      </w:r>
      <w:r w:rsidRPr="005826B5">
        <w:rPr>
          <w:sz w:val="22"/>
          <w:szCs w:val="22"/>
        </w:rPr>
        <w:t xml:space="preserve"> mln zł (wobec 110.516,3 mln zł w ustawie) zostaną sfinansowane następująco:</w:t>
      </w:r>
    </w:p>
    <w:p w14:paraId="6ABDBF19" w14:textId="77777777" w:rsidR="0033568D" w:rsidRPr="00734A00" w:rsidRDefault="0033568D" w:rsidP="000C1EA7">
      <w:pPr>
        <w:pStyle w:val="akapit1"/>
        <w:numPr>
          <w:ilvl w:val="0"/>
          <w:numId w:val="31"/>
        </w:numPr>
        <w:tabs>
          <w:tab w:val="clear" w:pos="720"/>
        </w:tabs>
        <w:spacing w:before="0" w:line="340" w:lineRule="atLeast"/>
        <w:ind w:left="426" w:hanging="426"/>
        <w:contextualSpacing/>
        <w:jc w:val="left"/>
        <w:rPr>
          <w:rFonts w:cs="Arial"/>
          <w:szCs w:val="22"/>
        </w:rPr>
      </w:pPr>
      <w:r w:rsidRPr="00734A00">
        <w:rPr>
          <w:rFonts w:cs="Arial"/>
          <w:szCs w:val="22"/>
        </w:rPr>
        <w:t xml:space="preserve">finansowanie krajowe ukształtuje się na poziomie </w:t>
      </w:r>
      <w:r>
        <w:t>126.016,3</w:t>
      </w:r>
      <w:r w:rsidRPr="00734A00">
        <w:rPr>
          <w:rFonts w:cs="Arial"/>
          <w:szCs w:val="22"/>
        </w:rPr>
        <w:t xml:space="preserve"> mln zł (w ustawie </w:t>
      </w:r>
      <w:r>
        <w:rPr>
          <w:rFonts w:cs="Arial"/>
          <w:szCs w:val="22"/>
        </w:rPr>
        <w:t>83.545</w:t>
      </w:r>
      <w:r w:rsidRPr="00734A00">
        <w:rPr>
          <w:rFonts w:cs="Arial"/>
          <w:szCs w:val="22"/>
        </w:rPr>
        <w:t>,</w:t>
      </w:r>
      <w:r>
        <w:rPr>
          <w:rFonts w:cs="Arial"/>
          <w:szCs w:val="22"/>
        </w:rPr>
        <w:t>6</w:t>
      </w:r>
      <w:r w:rsidRPr="00734A00">
        <w:rPr>
          <w:rFonts w:cs="Arial"/>
          <w:szCs w:val="22"/>
        </w:rPr>
        <w:t> mln zł),</w:t>
      </w:r>
    </w:p>
    <w:p w14:paraId="0C5912C7" w14:textId="77777777" w:rsidR="0033568D" w:rsidRDefault="0033568D" w:rsidP="000C1EA7">
      <w:pPr>
        <w:pStyle w:val="akapit1"/>
        <w:numPr>
          <w:ilvl w:val="0"/>
          <w:numId w:val="31"/>
        </w:numPr>
        <w:tabs>
          <w:tab w:val="clear" w:pos="720"/>
        </w:tabs>
        <w:spacing w:before="0" w:line="340" w:lineRule="atLeast"/>
        <w:ind w:left="425" w:hanging="425"/>
        <w:jc w:val="left"/>
        <w:rPr>
          <w:rFonts w:cs="Arial"/>
          <w:szCs w:val="22"/>
        </w:rPr>
      </w:pPr>
      <w:r w:rsidRPr="00734A00">
        <w:rPr>
          <w:rFonts w:cs="Arial"/>
          <w:szCs w:val="22"/>
        </w:rPr>
        <w:t xml:space="preserve">finansowanie zagraniczne </w:t>
      </w:r>
      <w:r w:rsidRPr="0041281D">
        <w:rPr>
          <w:szCs w:val="22"/>
        </w:rPr>
        <w:t>wyniesie</w:t>
      </w:r>
      <w:r w:rsidRPr="00734A00">
        <w:rPr>
          <w:rFonts w:cs="Arial"/>
          <w:szCs w:val="22"/>
        </w:rPr>
        <w:t xml:space="preserve"> </w:t>
      </w:r>
      <w:r>
        <w:t>24.578,0</w:t>
      </w:r>
      <w:r w:rsidRPr="00734A00">
        <w:rPr>
          <w:rFonts w:cs="Arial"/>
          <w:szCs w:val="22"/>
        </w:rPr>
        <w:t xml:space="preserve"> mln zł (w ustawie </w:t>
      </w:r>
      <w:r>
        <w:rPr>
          <w:rFonts w:cs="Arial"/>
          <w:szCs w:val="22"/>
        </w:rPr>
        <w:t>26.970</w:t>
      </w:r>
      <w:r w:rsidRPr="00734A00">
        <w:rPr>
          <w:rFonts w:cs="Arial"/>
          <w:szCs w:val="22"/>
        </w:rPr>
        <w:t>,7 mln zł).</w:t>
      </w:r>
    </w:p>
    <w:p w14:paraId="503216F6" w14:textId="77777777" w:rsidR="0033568D" w:rsidRPr="0033568D" w:rsidRDefault="0033568D" w:rsidP="000C1EA7">
      <w:pPr>
        <w:pStyle w:val="akapit1"/>
        <w:spacing w:before="240" w:line="340" w:lineRule="atLeast"/>
        <w:ind w:firstLine="0"/>
        <w:jc w:val="left"/>
        <w:rPr>
          <w:rFonts w:cs="Arial"/>
          <w:szCs w:val="22"/>
        </w:rPr>
      </w:pPr>
      <w:r w:rsidRPr="0033568D">
        <w:rPr>
          <w:rFonts w:cs="Arial"/>
          <w:szCs w:val="22"/>
        </w:rPr>
        <w:t xml:space="preserve">Najważniejsze zmiany w przedstawionych założeniach dotyczą następujących wielkości: </w:t>
      </w:r>
    </w:p>
    <w:p w14:paraId="2CA7BDD3" w14:textId="77777777" w:rsidR="0033568D" w:rsidRPr="00734A00" w:rsidRDefault="0033568D" w:rsidP="000C1EA7">
      <w:pPr>
        <w:pStyle w:val="pktmyslnw2"/>
        <w:numPr>
          <w:ilvl w:val="0"/>
          <w:numId w:val="13"/>
        </w:numPr>
        <w:tabs>
          <w:tab w:val="clear" w:pos="1134"/>
          <w:tab w:val="clear" w:pos="1210"/>
        </w:tabs>
        <w:spacing w:line="340" w:lineRule="atLeast"/>
        <w:ind w:left="425" w:hanging="425"/>
        <w:contextualSpacing/>
        <w:jc w:val="left"/>
        <w:rPr>
          <w:rFonts w:cs="Arial"/>
          <w:szCs w:val="22"/>
        </w:rPr>
      </w:pPr>
      <w:r>
        <w:rPr>
          <w:szCs w:val="22"/>
        </w:rPr>
        <w:t>zwiększenia</w:t>
      </w:r>
      <w:r w:rsidRPr="00734A00">
        <w:rPr>
          <w:rFonts w:cs="Arial"/>
          <w:szCs w:val="22"/>
        </w:rPr>
        <w:t xml:space="preserve"> deficytu budżetu państwa o </w:t>
      </w:r>
      <w:r>
        <w:t>24.000,0</w:t>
      </w:r>
      <w:r>
        <w:rPr>
          <w:rFonts w:cs="Arial"/>
          <w:szCs w:val="22"/>
        </w:rPr>
        <w:t xml:space="preserve"> </w:t>
      </w:r>
      <w:r w:rsidRPr="00734A00">
        <w:rPr>
          <w:rFonts w:cs="Arial"/>
          <w:szCs w:val="22"/>
        </w:rPr>
        <w:t>mln zł,</w:t>
      </w:r>
    </w:p>
    <w:p w14:paraId="3A2A150E" w14:textId="77777777" w:rsidR="0033568D" w:rsidRPr="00734A00" w:rsidRDefault="0033568D" w:rsidP="000C1EA7">
      <w:pPr>
        <w:pStyle w:val="pktmyslnw2"/>
        <w:numPr>
          <w:ilvl w:val="0"/>
          <w:numId w:val="13"/>
        </w:numPr>
        <w:tabs>
          <w:tab w:val="clear" w:pos="1134"/>
          <w:tab w:val="clear" w:pos="1210"/>
        </w:tabs>
        <w:spacing w:line="340" w:lineRule="atLeast"/>
        <w:ind w:left="425" w:hanging="425"/>
        <w:contextualSpacing/>
        <w:jc w:val="left"/>
        <w:rPr>
          <w:rFonts w:cs="Arial"/>
          <w:szCs w:val="22"/>
        </w:rPr>
      </w:pPr>
      <w:r>
        <w:rPr>
          <w:szCs w:val="22"/>
        </w:rPr>
        <w:t>zwiększenia</w:t>
      </w:r>
      <w:r w:rsidRPr="00734A00">
        <w:rPr>
          <w:rFonts w:cs="Arial"/>
          <w:szCs w:val="22"/>
        </w:rPr>
        <w:t xml:space="preserve"> potrzeb pożyczkowych netto z tytułu zarządzania płynnością sektora finansów publicznych o </w:t>
      </w:r>
      <w:r>
        <w:t>18.881,5</w:t>
      </w:r>
      <w:r w:rsidRPr="00734A00">
        <w:rPr>
          <w:rFonts w:cs="Arial"/>
          <w:szCs w:val="22"/>
        </w:rPr>
        <w:t xml:space="preserve"> mln zł,</w:t>
      </w:r>
    </w:p>
    <w:p w14:paraId="7B7685E9" w14:textId="77777777" w:rsidR="0033568D" w:rsidRPr="00734A00" w:rsidRDefault="0033568D" w:rsidP="000C1EA7">
      <w:pPr>
        <w:pStyle w:val="pktmyslnw2"/>
        <w:numPr>
          <w:ilvl w:val="0"/>
          <w:numId w:val="13"/>
        </w:numPr>
        <w:tabs>
          <w:tab w:val="clear" w:pos="1134"/>
          <w:tab w:val="clear" w:pos="1210"/>
        </w:tabs>
        <w:spacing w:line="340" w:lineRule="atLeast"/>
        <w:ind w:left="425" w:hanging="425"/>
        <w:contextualSpacing/>
        <w:jc w:val="left"/>
        <w:rPr>
          <w:rFonts w:cs="Arial"/>
          <w:szCs w:val="22"/>
        </w:rPr>
      </w:pPr>
      <w:r>
        <w:rPr>
          <w:szCs w:val="22"/>
        </w:rPr>
        <w:t>zwiększenia</w:t>
      </w:r>
      <w:r w:rsidRPr="00734A00">
        <w:rPr>
          <w:rFonts w:cs="Arial"/>
          <w:szCs w:val="22"/>
        </w:rPr>
        <w:t xml:space="preserve"> finansowania krajowego o </w:t>
      </w:r>
      <w:r>
        <w:t>42.470,7</w:t>
      </w:r>
      <w:r w:rsidRPr="00734A00">
        <w:rPr>
          <w:rFonts w:cs="Arial"/>
          <w:szCs w:val="22"/>
        </w:rPr>
        <w:t xml:space="preserve"> mln zł</w:t>
      </w:r>
      <w:r>
        <w:rPr>
          <w:rFonts w:cs="Arial"/>
          <w:szCs w:val="22"/>
        </w:rPr>
        <w:t>,</w:t>
      </w:r>
      <w:r w:rsidRPr="00734A00">
        <w:rPr>
          <w:rFonts w:cs="Arial"/>
          <w:szCs w:val="22"/>
        </w:rPr>
        <w:t xml:space="preserve"> jako wypadkowej </w:t>
      </w:r>
      <w:r w:rsidRPr="0041281D">
        <w:rPr>
          <w:szCs w:val="22"/>
        </w:rPr>
        <w:t>zmniejszenia</w:t>
      </w:r>
      <w:r w:rsidRPr="00734A00">
        <w:rPr>
          <w:rFonts w:cs="Arial"/>
          <w:szCs w:val="22"/>
        </w:rPr>
        <w:t xml:space="preserve"> finansowania w skarbowych papierach wartościowych (o </w:t>
      </w:r>
      <w:r>
        <w:t>21.866,3</w:t>
      </w:r>
      <w:r w:rsidRPr="00734A00">
        <w:rPr>
          <w:rFonts w:cs="Arial"/>
          <w:szCs w:val="22"/>
        </w:rPr>
        <w:t xml:space="preserve"> mln zł) i </w:t>
      </w:r>
      <w:r w:rsidRPr="0041281D">
        <w:rPr>
          <w:szCs w:val="22"/>
        </w:rPr>
        <w:t>wzrostu</w:t>
      </w:r>
      <w:r w:rsidRPr="00734A00">
        <w:rPr>
          <w:rFonts w:cs="Arial"/>
          <w:szCs w:val="22"/>
        </w:rPr>
        <w:t xml:space="preserve"> salda środków na rachunkach złotowych budżetu państwa (o </w:t>
      </w:r>
      <w:r>
        <w:t>64.337,0</w:t>
      </w:r>
      <w:r w:rsidRPr="00734A00">
        <w:rPr>
          <w:rFonts w:cs="Arial"/>
          <w:szCs w:val="22"/>
        </w:rPr>
        <w:t xml:space="preserve"> mln zł),</w:t>
      </w:r>
    </w:p>
    <w:p w14:paraId="0CFC34F5" w14:textId="77777777" w:rsidR="0033568D" w:rsidRPr="00CA5D93" w:rsidRDefault="0033568D" w:rsidP="000C1EA7">
      <w:pPr>
        <w:pStyle w:val="pktmyslnw2"/>
        <w:numPr>
          <w:ilvl w:val="0"/>
          <w:numId w:val="13"/>
        </w:numPr>
        <w:tabs>
          <w:tab w:val="clear" w:pos="1134"/>
          <w:tab w:val="clear" w:pos="1210"/>
        </w:tabs>
        <w:spacing w:line="340" w:lineRule="atLeast"/>
        <w:ind w:left="425" w:hanging="425"/>
        <w:contextualSpacing/>
        <w:jc w:val="left"/>
        <w:rPr>
          <w:szCs w:val="22"/>
        </w:rPr>
      </w:pPr>
      <w:r w:rsidRPr="00855B0A">
        <w:rPr>
          <w:szCs w:val="22"/>
        </w:rPr>
        <w:t>zmniejszenia</w:t>
      </w:r>
      <w:r>
        <w:rPr>
          <w:szCs w:val="22"/>
        </w:rPr>
        <w:t xml:space="preserve"> </w:t>
      </w:r>
      <w:r w:rsidRPr="00CA5D93">
        <w:rPr>
          <w:szCs w:val="22"/>
        </w:rPr>
        <w:t xml:space="preserve">finansowania zagranicznego o </w:t>
      </w:r>
      <w:r w:rsidRPr="00855B0A">
        <w:rPr>
          <w:szCs w:val="22"/>
        </w:rPr>
        <w:t>2.392,7</w:t>
      </w:r>
      <w:r w:rsidRPr="00CA5D93">
        <w:rPr>
          <w:szCs w:val="22"/>
        </w:rPr>
        <w:t xml:space="preserve"> mln zł jako wypadkowej </w:t>
      </w:r>
      <w:r w:rsidRPr="00855B0A">
        <w:rPr>
          <w:szCs w:val="22"/>
        </w:rPr>
        <w:t>zwiększenia</w:t>
      </w:r>
      <w:r>
        <w:rPr>
          <w:szCs w:val="22"/>
        </w:rPr>
        <w:t xml:space="preserve"> </w:t>
      </w:r>
      <w:r w:rsidRPr="00CA5D93">
        <w:rPr>
          <w:szCs w:val="22"/>
        </w:rPr>
        <w:t>finansowania w obligacjach emitowan</w:t>
      </w:r>
      <w:r>
        <w:rPr>
          <w:szCs w:val="22"/>
        </w:rPr>
        <w:t>ych na rynkach zagranicznych (o </w:t>
      </w:r>
      <w:r w:rsidRPr="00855B0A">
        <w:rPr>
          <w:szCs w:val="22"/>
        </w:rPr>
        <w:t>12.998,8</w:t>
      </w:r>
      <w:r w:rsidRPr="00CA5D93">
        <w:rPr>
          <w:szCs w:val="22"/>
        </w:rPr>
        <w:t xml:space="preserve"> mln zł) i kredytach zaciąganych w międzynarodowych instytucjach finansowych (o </w:t>
      </w:r>
      <w:r w:rsidRPr="00855B0A">
        <w:rPr>
          <w:szCs w:val="22"/>
        </w:rPr>
        <w:t>2.709,7</w:t>
      </w:r>
      <w:r w:rsidRPr="00CA5D93">
        <w:rPr>
          <w:szCs w:val="22"/>
        </w:rPr>
        <w:t xml:space="preserve"> mln zł), </w:t>
      </w:r>
      <w:r>
        <w:rPr>
          <w:szCs w:val="22"/>
        </w:rPr>
        <w:t xml:space="preserve">oraz zmniejszenia </w:t>
      </w:r>
      <w:r w:rsidRPr="00CA5D93">
        <w:rPr>
          <w:szCs w:val="22"/>
        </w:rPr>
        <w:t>finansowania</w:t>
      </w:r>
      <w:r>
        <w:rPr>
          <w:szCs w:val="22"/>
        </w:rPr>
        <w:t xml:space="preserve"> z pożyczki z Unii Europejskiej otrzymanej</w:t>
      </w:r>
      <w:r w:rsidRPr="00CA5D93">
        <w:rPr>
          <w:szCs w:val="22"/>
        </w:rPr>
        <w:t xml:space="preserve"> w ramach części zwrotnej Europejskiego Instrumentu na Rzecz Odbudowy i Zwiększenia Odporności (o</w:t>
      </w:r>
      <w:r>
        <w:rPr>
          <w:szCs w:val="22"/>
        </w:rPr>
        <w:t> </w:t>
      </w:r>
      <w:r w:rsidRPr="00855B0A">
        <w:rPr>
          <w:szCs w:val="22"/>
        </w:rPr>
        <w:t>7.191,6</w:t>
      </w:r>
      <w:r>
        <w:rPr>
          <w:szCs w:val="22"/>
        </w:rPr>
        <w:t xml:space="preserve"> mln zł) i </w:t>
      </w:r>
      <w:r w:rsidRPr="00CA5D93">
        <w:rPr>
          <w:szCs w:val="22"/>
        </w:rPr>
        <w:t xml:space="preserve">mniejszego wykorzystania zgromadzonych środków walutowych (saldo niższe o </w:t>
      </w:r>
      <w:r w:rsidRPr="00855B0A">
        <w:rPr>
          <w:szCs w:val="22"/>
        </w:rPr>
        <w:t>10.909,5</w:t>
      </w:r>
      <w:r>
        <w:rPr>
          <w:szCs w:val="22"/>
        </w:rPr>
        <w:t xml:space="preserve"> mln zł).</w:t>
      </w:r>
    </w:p>
    <w:p w14:paraId="4288517A" w14:textId="77777777" w:rsidR="0033568D" w:rsidRPr="00CA5D93" w:rsidRDefault="0033568D" w:rsidP="0033568D">
      <w:pPr>
        <w:pStyle w:val="pktmyslnw2"/>
        <w:tabs>
          <w:tab w:val="clear" w:pos="1134"/>
        </w:tabs>
        <w:spacing w:before="240"/>
        <w:contextualSpacing/>
        <w:jc w:val="left"/>
        <w:rPr>
          <w:szCs w:val="22"/>
        </w:rPr>
      </w:pPr>
    </w:p>
    <w:p w14:paraId="02AA9130" w14:textId="77777777" w:rsidR="003B6004" w:rsidRDefault="003B6004">
      <w:pPr>
        <w:rPr>
          <w:rFonts w:ascii="Arial" w:eastAsia="Times New Roman" w:hAnsi="Arial" w:cs="Arial"/>
          <w:lang w:eastAsia="pl-PL"/>
        </w:rPr>
      </w:pPr>
      <w:r>
        <w:rPr>
          <w:rFonts w:ascii="Arial" w:eastAsia="Times New Roman" w:hAnsi="Arial" w:cs="Arial"/>
          <w:lang w:eastAsia="pl-PL"/>
        </w:rPr>
        <w:br w:type="page"/>
      </w:r>
    </w:p>
    <w:p w14:paraId="64908613" w14:textId="77777777" w:rsidR="003B6004" w:rsidRPr="003B6004" w:rsidRDefault="003B6004" w:rsidP="003B6004">
      <w:pPr>
        <w:rPr>
          <w:rFonts w:ascii="Arial" w:hAnsi="Arial" w:cs="Arial"/>
          <w:b/>
          <w:sz w:val="24"/>
          <w:szCs w:val="24"/>
        </w:rPr>
      </w:pPr>
      <w:bookmarkStart w:id="1" w:name="_Toc101649"/>
      <w:r w:rsidRPr="003B6004">
        <w:rPr>
          <w:rFonts w:ascii="Arial" w:hAnsi="Arial" w:cs="Arial"/>
          <w:b/>
          <w:sz w:val="24"/>
          <w:szCs w:val="24"/>
        </w:rPr>
        <w:lastRenderedPageBreak/>
        <w:t>Tablica 1. Podstawowe wskaźniki makroekonomiczne w latach 2022-202</w:t>
      </w:r>
      <w:bookmarkEnd w:id="1"/>
      <w:r>
        <w:rPr>
          <w:rFonts w:ascii="Arial" w:hAnsi="Arial" w:cs="Arial"/>
          <w:b/>
          <w:sz w:val="24"/>
          <w:szCs w:val="24"/>
        </w:rPr>
        <w:t>3</w:t>
      </w:r>
    </w:p>
    <w:tbl>
      <w:tblPr>
        <w:tblStyle w:val="TableGrid"/>
        <w:tblW w:w="5000" w:type="pct"/>
        <w:tblInd w:w="0" w:type="dxa"/>
        <w:tblCellMar>
          <w:top w:w="35" w:type="dxa"/>
          <w:bottom w:w="25" w:type="dxa"/>
          <w:right w:w="15" w:type="dxa"/>
        </w:tblCellMar>
        <w:tblLook w:val="04A0" w:firstRow="1" w:lastRow="0" w:firstColumn="1" w:lastColumn="0" w:noHBand="0" w:noVBand="1"/>
      </w:tblPr>
      <w:tblGrid>
        <w:gridCol w:w="4077"/>
        <w:gridCol w:w="1833"/>
        <w:gridCol w:w="788"/>
        <w:gridCol w:w="788"/>
        <w:gridCol w:w="788"/>
        <w:gridCol w:w="788"/>
      </w:tblGrid>
      <w:tr w:rsidR="003B6004" w:rsidRPr="00F90FE6" w14:paraId="7ECDC5AA" w14:textId="77777777" w:rsidTr="003B6004">
        <w:trPr>
          <w:trHeight w:val="205"/>
        </w:trPr>
        <w:tc>
          <w:tcPr>
            <w:tcW w:w="2249" w:type="pct"/>
            <w:vMerge w:val="restart"/>
            <w:tcBorders>
              <w:top w:val="single" w:sz="9" w:space="0" w:color="000000"/>
              <w:left w:val="single" w:sz="4" w:space="0" w:color="000000"/>
              <w:bottom w:val="single" w:sz="9" w:space="0" w:color="000000"/>
              <w:right w:val="single" w:sz="9" w:space="0" w:color="000000"/>
            </w:tcBorders>
            <w:vAlign w:val="center"/>
          </w:tcPr>
          <w:p w14:paraId="1774641E" w14:textId="77777777" w:rsidR="003B6004" w:rsidRPr="00F90FE6" w:rsidRDefault="003B6004" w:rsidP="003B6004">
            <w:pPr>
              <w:spacing w:line="259" w:lineRule="auto"/>
              <w:ind w:left="9"/>
              <w:jc w:val="center"/>
              <w:rPr>
                <w:rFonts w:ascii="Arial" w:hAnsi="Arial" w:cs="Arial"/>
                <w:sz w:val="18"/>
                <w:szCs w:val="16"/>
              </w:rPr>
            </w:pPr>
            <w:r w:rsidRPr="00F90FE6">
              <w:rPr>
                <w:rFonts w:ascii="Arial" w:hAnsi="Arial" w:cs="Arial"/>
                <w:b/>
                <w:sz w:val="18"/>
                <w:szCs w:val="16"/>
              </w:rPr>
              <w:t>Wyszczególnienie</w:t>
            </w:r>
          </w:p>
        </w:tc>
        <w:tc>
          <w:tcPr>
            <w:tcW w:w="1011" w:type="pct"/>
            <w:vMerge w:val="restart"/>
            <w:tcBorders>
              <w:top w:val="single" w:sz="9" w:space="0" w:color="000000"/>
              <w:left w:val="single" w:sz="9" w:space="0" w:color="000000"/>
              <w:bottom w:val="single" w:sz="9" w:space="0" w:color="000000"/>
              <w:right w:val="single" w:sz="4" w:space="0" w:color="auto"/>
            </w:tcBorders>
            <w:vAlign w:val="center"/>
          </w:tcPr>
          <w:p w14:paraId="67319BE0" w14:textId="77777777" w:rsidR="003B6004" w:rsidRPr="00F90FE6" w:rsidRDefault="003B6004" w:rsidP="003B6004">
            <w:pPr>
              <w:spacing w:line="259" w:lineRule="auto"/>
              <w:ind w:left="32"/>
              <w:jc w:val="center"/>
              <w:rPr>
                <w:rFonts w:ascii="Arial" w:hAnsi="Arial" w:cs="Arial"/>
                <w:sz w:val="18"/>
                <w:szCs w:val="16"/>
              </w:rPr>
            </w:pPr>
            <w:r w:rsidRPr="00F90FE6">
              <w:rPr>
                <w:rFonts w:ascii="Arial" w:hAnsi="Arial" w:cs="Arial"/>
                <w:b/>
                <w:sz w:val="18"/>
                <w:szCs w:val="16"/>
              </w:rPr>
              <w:t>jedn.</w:t>
            </w:r>
          </w:p>
        </w:tc>
        <w:tc>
          <w:tcPr>
            <w:tcW w:w="870" w:type="pct"/>
            <w:gridSpan w:val="2"/>
            <w:tcBorders>
              <w:top w:val="single" w:sz="4" w:space="0" w:color="auto"/>
              <w:bottom w:val="single" w:sz="4" w:space="0" w:color="auto"/>
              <w:right w:val="single" w:sz="4" w:space="0" w:color="auto"/>
            </w:tcBorders>
            <w:shd w:val="clear" w:color="auto" w:fill="auto"/>
            <w:vAlign w:val="center"/>
          </w:tcPr>
          <w:p w14:paraId="7535DD6D" w14:textId="77777777" w:rsidR="003B6004" w:rsidRPr="00F90FE6" w:rsidRDefault="003B6004" w:rsidP="003B6004">
            <w:pPr>
              <w:spacing w:line="259" w:lineRule="auto"/>
              <w:ind w:left="9"/>
              <w:jc w:val="center"/>
              <w:rPr>
                <w:rFonts w:ascii="Arial" w:hAnsi="Arial" w:cs="Arial"/>
                <w:b/>
                <w:sz w:val="16"/>
                <w:szCs w:val="16"/>
              </w:rPr>
            </w:pPr>
            <w:r w:rsidRPr="00F90FE6">
              <w:rPr>
                <w:rFonts w:ascii="Arial" w:hAnsi="Arial" w:cs="Arial"/>
                <w:b/>
                <w:sz w:val="16"/>
                <w:szCs w:val="16"/>
              </w:rPr>
              <w:t>Ustawa budżetowa 2023</w:t>
            </w:r>
          </w:p>
        </w:tc>
        <w:tc>
          <w:tcPr>
            <w:tcW w:w="870" w:type="pct"/>
            <w:gridSpan w:val="2"/>
            <w:tcBorders>
              <w:top w:val="single" w:sz="4" w:space="0" w:color="auto"/>
              <w:bottom w:val="single" w:sz="4" w:space="0" w:color="auto"/>
              <w:right w:val="single" w:sz="4" w:space="0" w:color="auto"/>
            </w:tcBorders>
            <w:shd w:val="clear" w:color="auto" w:fill="auto"/>
            <w:vAlign w:val="center"/>
          </w:tcPr>
          <w:p w14:paraId="2E7CA4DF" w14:textId="77777777" w:rsidR="003B6004" w:rsidRPr="00F90FE6" w:rsidRDefault="003B6004" w:rsidP="003B6004">
            <w:pPr>
              <w:spacing w:line="259" w:lineRule="auto"/>
              <w:ind w:left="9"/>
              <w:jc w:val="center"/>
              <w:rPr>
                <w:rFonts w:ascii="Arial" w:hAnsi="Arial" w:cs="Arial"/>
                <w:b/>
                <w:sz w:val="16"/>
                <w:szCs w:val="16"/>
              </w:rPr>
            </w:pPr>
            <w:r w:rsidRPr="00F90FE6">
              <w:rPr>
                <w:rFonts w:ascii="Arial" w:hAnsi="Arial" w:cs="Arial"/>
                <w:b/>
                <w:sz w:val="16"/>
                <w:szCs w:val="16"/>
              </w:rPr>
              <w:t>Nowelizacja ustawy budżetowej 2023</w:t>
            </w:r>
          </w:p>
        </w:tc>
      </w:tr>
      <w:tr w:rsidR="003B6004" w:rsidRPr="00F90FE6" w14:paraId="1EDDD6CA" w14:textId="77777777" w:rsidTr="003B6004">
        <w:trPr>
          <w:trHeight w:val="219"/>
        </w:trPr>
        <w:tc>
          <w:tcPr>
            <w:tcW w:w="2249" w:type="pct"/>
            <w:vMerge/>
            <w:tcBorders>
              <w:top w:val="nil"/>
              <w:left w:val="single" w:sz="4" w:space="0" w:color="000000"/>
              <w:bottom w:val="single" w:sz="9" w:space="0" w:color="000000"/>
              <w:right w:val="single" w:sz="9" w:space="0" w:color="000000"/>
            </w:tcBorders>
          </w:tcPr>
          <w:p w14:paraId="372515FA" w14:textId="77777777" w:rsidR="003B6004" w:rsidRPr="00F90FE6" w:rsidRDefault="003B6004" w:rsidP="003B6004">
            <w:pPr>
              <w:spacing w:after="160" w:line="259" w:lineRule="auto"/>
              <w:rPr>
                <w:rFonts w:ascii="Arial" w:hAnsi="Arial" w:cs="Arial"/>
                <w:sz w:val="18"/>
                <w:szCs w:val="16"/>
              </w:rPr>
            </w:pPr>
          </w:p>
        </w:tc>
        <w:tc>
          <w:tcPr>
            <w:tcW w:w="1011" w:type="pct"/>
            <w:vMerge/>
            <w:tcBorders>
              <w:top w:val="nil"/>
              <w:left w:val="single" w:sz="9" w:space="0" w:color="000000"/>
              <w:bottom w:val="single" w:sz="9" w:space="0" w:color="000000"/>
              <w:right w:val="single" w:sz="4" w:space="0" w:color="auto"/>
            </w:tcBorders>
          </w:tcPr>
          <w:p w14:paraId="24C8DE2E" w14:textId="77777777" w:rsidR="003B6004" w:rsidRPr="00F90FE6" w:rsidRDefault="003B6004" w:rsidP="003B6004">
            <w:pPr>
              <w:spacing w:after="160" w:line="259" w:lineRule="auto"/>
              <w:rPr>
                <w:rFonts w:ascii="Arial" w:hAnsi="Arial" w:cs="Arial"/>
                <w:sz w:val="18"/>
                <w:szCs w:val="16"/>
              </w:rPr>
            </w:pPr>
          </w:p>
        </w:tc>
        <w:tc>
          <w:tcPr>
            <w:tcW w:w="435" w:type="pct"/>
            <w:tcBorders>
              <w:top w:val="single" w:sz="9" w:space="0" w:color="000000"/>
              <w:left w:val="single" w:sz="4" w:space="0" w:color="auto"/>
              <w:bottom w:val="single" w:sz="9" w:space="0" w:color="000000"/>
              <w:right w:val="single" w:sz="9" w:space="0" w:color="000000"/>
            </w:tcBorders>
            <w:vAlign w:val="center"/>
          </w:tcPr>
          <w:p w14:paraId="490053B1" w14:textId="77777777" w:rsidR="003B6004" w:rsidRPr="00F90FE6" w:rsidRDefault="003B6004" w:rsidP="003B6004">
            <w:pPr>
              <w:spacing w:line="259" w:lineRule="auto"/>
              <w:ind w:left="29"/>
              <w:jc w:val="center"/>
              <w:rPr>
                <w:rFonts w:ascii="Arial" w:hAnsi="Arial" w:cs="Arial"/>
                <w:sz w:val="18"/>
                <w:szCs w:val="16"/>
              </w:rPr>
            </w:pPr>
            <w:r w:rsidRPr="00F90FE6">
              <w:rPr>
                <w:rFonts w:ascii="Arial" w:hAnsi="Arial" w:cs="Arial"/>
                <w:b/>
                <w:sz w:val="18"/>
                <w:szCs w:val="16"/>
              </w:rPr>
              <w:t>2022</w:t>
            </w:r>
          </w:p>
        </w:tc>
        <w:tc>
          <w:tcPr>
            <w:tcW w:w="435" w:type="pct"/>
            <w:tcBorders>
              <w:top w:val="single" w:sz="9" w:space="0" w:color="000000"/>
              <w:left w:val="single" w:sz="9" w:space="0" w:color="000000"/>
              <w:bottom w:val="single" w:sz="9" w:space="0" w:color="000000"/>
              <w:right w:val="single" w:sz="4" w:space="0" w:color="auto"/>
            </w:tcBorders>
            <w:vAlign w:val="center"/>
          </w:tcPr>
          <w:p w14:paraId="2C9783FF" w14:textId="77777777" w:rsidR="003B6004" w:rsidRPr="00F90FE6" w:rsidRDefault="003B6004" w:rsidP="003B6004">
            <w:pPr>
              <w:spacing w:line="259" w:lineRule="auto"/>
              <w:ind w:left="29"/>
              <w:jc w:val="center"/>
              <w:rPr>
                <w:rFonts w:ascii="Arial" w:hAnsi="Arial" w:cs="Arial"/>
                <w:sz w:val="18"/>
                <w:szCs w:val="16"/>
              </w:rPr>
            </w:pPr>
            <w:r w:rsidRPr="00F90FE6">
              <w:rPr>
                <w:rFonts w:ascii="Arial" w:hAnsi="Arial" w:cs="Arial"/>
                <w:b/>
                <w:sz w:val="18"/>
                <w:szCs w:val="16"/>
              </w:rPr>
              <w:t>2023</w:t>
            </w:r>
          </w:p>
        </w:tc>
        <w:tc>
          <w:tcPr>
            <w:tcW w:w="435" w:type="pct"/>
            <w:tcBorders>
              <w:top w:val="single" w:sz="9" w:space="0" w:color="000000"/>
              <w:left w:val="single" w:sz="4" w:space="0" w:color="auto"/>
              <w:bottom w:val="single" w:sz="9" w:space="0" w:color="000000"/>
              <w:right w:val="single" w:sz="9" w:space="0" w:color="000000"/>
            </w:tcBorders>
            <w:vAlign w:val="center"/>
          </w:tcPr>
          <w:p w14:paraId="4BAF872E" w14:textId="77777777" w:rsidR="003B6004" w:rsidRPr="00F90FE6" w:rsidRDefault="003B6004" w:rsidP="003B6004">
            <w:pPr>
              <w:spacing w:line="259" w:lineRule="auto"/>
              <w:ind w:left="29"/>
              <w:jc w:val="center"/>
              <w:rPr>
                <w:rFonts w:ascii="Arial" w:hAnsi="Arial" w:cs="Arial"/>
                <w:sz w:val="18"/>
                <w:szCs w:val="16"/>
              </w:rPr>
            </w:pPr>
            <w:r w:rsidRPr="00F90FE6">
              <w:rPr>
                <w:rFonts w:ascii="Arial" w:hAnsi="Arial" w:cs="Arial"/>
                <w:b/>
                <w:sz w:val="18"/>
                <w:szCs w:val="16"/>
              </w:rPr>
              <w:t>2022</w:t>
            </w:r>
          </w:p>
        </w:tc>
        <w:tc>
          <w:tcPr>
            <w:tcW w:w="435" w:type="pct"/>
            <w:tcBorders>
              <w:top w:val="single" w:sz="9" w:space="0" w:color="000000"/>
              <w:left w:val="single" w:sz="9" w:space="0" w:color="000000"/>
              <w:bottom w:val="single" w:sz="9" w:space="0" w:color="000000"/>
              <w:right w:val="single" w:sz="9" w:space="0" w:color="000000"/>
            </w:tcBorders>
            <w:vAlign w:val="center"/>
          </w:tcPr>
          <w:p w14:paraId="27E1DCBC" w14:textId="77777777" w:rsidR="003B6004" w:rsidRPr="00F90FE6" w:rsidRDefault="003B6004" w:rsidP="003B6004">
            <w:pPr>
              <w:spacing w:line="259" w:lineRule="auto"/>
              <w:ind w:left="29"/>
              <w:jc w:val="center"/>
              <w:rPr>
                <w:rFonts w:ascii="Arial" w:hAnsi="Arial" w:cs="Arial"/>
                <w:sz w:val="18"/>
                <w:szCs w:val="16"/>
              </w:rPr>
            </w:pPr>
            <w:r w:rsidRPr="00F90FE6">
              <w:rPr>
                <w:rFonts w:ascii="Arial" w:hAnsi="Arial" w:cs="Arial"/>
                <w:b/>
                <w:sz w:val="18"/>
                <w:szCs w:val="16"/>
              </w:rPr>
              <w:t>2023</w:t>
            </w:r>
          </w:p>
        </w:tc>
      </w:tr>
      <w:tr w:rsidR="003B6004" w:rsidRPr="00F90FE6" w14:paraId="4AA4F03A" w14:textId="77777777" w:rsidTr="003B6004">
        <w:trPr>
          <w:trHeight w:val="23"/>
        </w:trPr>
        <w:tc>
          <w:tcPr>
            <w:tcW w:w="2249" w:type="pct"/>
            <w:tcBorders>
              <w:top w:val="single" w:sz="9" w:space="0" w:color="000000"/>
              <w:left w:val="single" w:sz="4" w:space="0" w:color="000000"/>
              <w:bottom w:val="nil"/>
              <w:right w:val="single" w:sz="9" w:space="0" w:color="000000"/>
            </w:tcBorders>
          </w:tcPr>
          <w:p w14:paraId="3F85C997" w14:textId="77777777" w:rsidR="003B6004" w:rsidRPr="00F90FE6" w:rsidRDefault="003B6004" w:rsidP="003B6004">
            <w:pPr>
              <w:spacing w:after="108" w:line="259" w:lineRule="auto"/>
              <w:ind w:left="9"/>
              <w:jc w:val="center"/>
              <w:rPr>
                <w:rFonts w:ascii="Arial" w:hAnsi="Arial" w:cs="Arial"/>
                <w:sz w:val="18"/>
                <w:szCs w:val="16"/>
              </w:rPr>
            </w:pPr>
            <w:r w:rsidRPr="00F90FE6">
              <w:rPr>
                <w:rFonts w:ascii="Arial" w:hAnsi="Arial" w:cs="Arial"/>
                <w:b/>
                <w:sz w:val="18"/>
                <w:szCs w:val="16"/>
              </w:rPr>
              <w:t>Procesy realne</w:t>
            </w:r>
          </w:p>
          <w:p w14:paraId="0A938744"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 xml:space="preserve">PKB </w:t>
            </w:r>
          </w:p>
        </w:tc>
        <w:tc>
          <w:tcPr>
            <w:tcW w:w="1011" w:type="pct"/>
            <w:tcBorders>
              <w:top w:val="single" w:sz="9" w:space="0" w:color="000000"/>
              <w:left w:val="single" w:sz="9" w:space="0" w:color="000000"/>
              <w:bottom w:val="nil"/>
              <w:right w:val="single" w:sz="9" w:space="0" w:color="000000"/>
            </w:tcBorders>
            <w:vAlign w:val="bottom"/>
          </w:tcPr>
          <w:p w14:paraId="58B8F446"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single" w:sz="9" w:space="0" w:color="000000"/>
              <w:left w:val="single" w:sz="9" w:space="0" w:color="000000"/>
              <w:bottom w:val="nil"/>
              <w:right w:val="single" w:sz="9" w:space="0" w:color="000000"/>
            </w:tcBorders>
            <w:vAlign w:val="bottom"/>
          </w:tcPr>
          <w:p w14:paraId="4A800097"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104,6</w:t>
            </w:r>
          </w:p>
        </w:tc>
        <w:tc>
          <w:tcPr>
            <w:tcW w:w="435" w:type="pct"/>
            <w:tcBorders>
              <w:top w:val="single" w:sz="9" w:space="0" w:color="000000"/>
              <w:left w:val="single" w:sz="9" w:space="0" w:color="000000"/>
              <w:bottom w:val="nil"/>
              <w:right w:val="single" w:sz="4" w:space="0" w:color="auto"/>
            </w:tcBorders>
            <w:vAlign w:val="bottom"/>
          </w:tcPr>
          <w:p w14:paraId="2BA36E8F"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101,7</w:t>
            </w:r>
          </w:p>
        </w:tc>
        <w:tc>
          <w:tcPr>
            <w:tcW w:w="435" w:type="pct"/>
            <w:tcBorders>
              <w:top w:val="single" w:sz="9" w:space="0" w:color="000000"/>
              <w:left w:val="single" w:sz="4" w:space="0" w:color="auto"/>
              <w:bottom w:val="nil"/>
              <w:right w:val="single" w:sz="9" w:space="0" w:color="000000"/>
            </w:tcBorders>
            <w:vAlign w:val="bottom"/>
          </w:tcPr>
          <w:p w14:paraId="37D5254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105,1</w:t>
            </w:r>
          </w:p>
        </w:tc>
        <w:tc>
          <w:tcPr>
            <w:tcW w:w="435" w:type="pct"/>
            <w:tcBorders>
              <w:top w:val="single" w:sz="9" w:space="0" w:color="000000"/>
              <w:left w:val="single" w:sz="9" w:space="0" w:color="000000"/>
              <w:bottom w:val="nil"/>
              <w:right w:val="single" w:sz="9" w:space="0" w:color="000000"/>
            </w:tcBorders>
            <w:vAlign w:val="bottom"/>
          </w:tcPr>
          <w:p w14:paraId="07044A59"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100,9</w:t>
            </w:r>
          </w:p>
        </w:tc>
      </w:tr>
      <w:tr w:rsidR="003B6004" w:rsidRPr="00F90FE6" w14:paraId="15E614A2" w14:textId="77777777" w:rsidTr="003B6004">
        <w:trPr>
          <w:trHeight w:val="33"/>
        </w:trPr>
        <w:tc>
          <w:tcPr>
            <w:tcW w:w="2249" w:type="pct"/>
            <w:tcBorders>
              <w:top w:val="nil"/>
              <w:left w:val="single" w:sz="4" w:space="0" w:color="000000"/>
              <w:bottom w:val="nil"/>
              <w:right w:val="single" w:sz="9" w:space="0" w:color="000000"/>
            </w:tcBorders>
          </w:tcPr>
          <w:p w14:paraId="34A0CE3E" w14:textId="77777777" w:rsidR="003B6004" w:rsidRPr="00F90FE6" w:rsidRDefault="003B6004" w:rsidP="003B6004">
            <w:pPr>
              <w:spacing w:line="259" w:lineRule="auto"/>
              <w:ind w:left="224"/>
              <w:rPr>
                <w:rFonts w:ascii="Arial" w:hAnsi="Arial" w:cs="Arial"/>
                <w:sz w:val="18"/>
                <w:szCs w:val="16"/>
              </w:rPr>
            </w:pPr>
            <w:r w:rsidRPr="00F90FE6">
              <w:rPr>
                <w:rFonts w:ascii="Arial" w:hAnsi="Arial" w:cs="Arial"/>
                <w:sz w:val="18"/>
                <w:szCs w:val="16"/>
              </w:rPr>
              <w:t>Eksport</w:t>
            </w:r>
          </w:p>
        </w:tc>
        <w:tc>
          <w:tcPr>
            <w:tcW w:w="1011" w:type="pct"/>
            <w:tcBorders>
              <w:top w:val="nil"/>
              <w:left w:val="single" w:sz="9" w:space="0" w:color="000000"/>
              <w:bottom w:val="nil"/>
              <w:right w:val="single" w:sz="9" w:space="0" w:color="000000"/>
            </w:tcBorders>
          </w:tcPr>
          <w:p w14:paraId="1814ECF4"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75D30A9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102,5</w:t>
            </w:r>
          </w:p>
        </w:tc>
        <w:tc>
          <w:tcPr>
            <w:tcW w:w="435" w:type="pct"/>
            <w:tcBorders>
              <w:top w:val="nil"/>
              <w:left w:val="single" w:sz="9" w:space="0" w:color="000000"/>
              <w:bottom w:val="nil"/>
              <w:right w:val="single" w:sz="9" w:space="0" w:color="000000"/>
            </w:tcBorders>
            <w:vAlign w:val="center"/>
          </w:tcPr>
          <w:p w14:paraId="3C4ABE77"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101,3</w:t>
            </w:r>
          </w:p>
        </w:tc>
        <w:tc>
          <w:tcPr>
            <w:tcW w:w="435" w:type="pct"/>
            <w:tcBorders>
              <w:top w:val="nil"/>
              <w:left w:val="single" w:sz="9" w:space="0" w:color="000000"/>
              <w:bottom w:val="nil"/>
              <w:right w:val="single" w:sz="9" w:space="0" w:color="000000"/>
            </w:tcBorders>
            <w:vAlign w:val="center"/>
          </w:tcPr>
          <w:p w14:paraId="1A79B346"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106,2</w:t>
            </w:r>
          </w:p>
        </w:tc>
        <w:tc>
          <w:tcPr>
            <w:tcW w:w="435" w:type="pct"/>
            <w:tcBorders>
              <w:top w:val="nil"/>
              <w:left w:val="single" w:sz="9" w:space="0" w:color="000000"/>
              <w:bottom w:val="nil"/>
              <w:right w:val="single" w:sz="9" w:space="0" w:color="000000"/>
            </w:tcBorders>
            <w:vAlign w:val="center"/>
          </w:tcPr>
          <w:p w14:paraId="49DF485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101,7</w:t>
            </w:r>
          </w:p>
        </w:tc>
      </w:tr>
      <w:tr w:rsidR="003B6004" w:rsidRPr="00F90FE6" w14:paraId="2051E38A" w14:textId="77777777" w:rsidTr="003B6004">
        <w:trPr>
          <w:trHeight w:val="33"/>
        </w:trPr>
        <w:tc>
          <w:tcPr>
            <w:tcW w:w="2249" w:type="pct"/>
            <w:tcBorders>
              <w:top w:val="nil"/>
              <w:left w:val="single" w:sz="4" w:space="0" w:color="000000"/>
              <w:bottom w:val="nil"/>
              <w:right w:val="single" w:sz="9" w:space="0" w:color="000000"/>
            </w:tcBorders>
          </w:tcPr>
          <w:p w14:paraId="36B25016" w14:textId="77777777" w:rsidR="003B6004" w:rsidRPr="00F90FE6" w:rsidRDefault="003B6004" w:rsidP="003B6004">
            <w:pPr>
              <w:spacing w:line="259" w:lineRule="auto"/>
              <w:ind w:left="224"/>
              <w:rPr>
                <w:rFonts w:ascii="Arial" w:hAnsi="Arial" w:cs="Arial"/>
                <w:sz w:val="18"/>
                <w:szCs w:val="16"/>
              </w:rPr>
            </w:pPr>
            <w:r w:rsidRPr="00F90FE6">
              <w:rPr>
                <w:rFonts w:ascii="Arial" w:hAnsi="Arial" w:cs="Arial"/>
                <w:sz w:val="18"/>
                <w:szCs w:val="16"/>
              </w:rPr>
              <w:t>Import</w:t>
            </w:r>
          </w:p>
        </w:tc>
        <w:tc>
          <w:tcPr>
            <w:tcW w:w="1011" w:type="pct"/>
            <w:tcBorders>
              <w:top w:val="nil"/>
              <w:left w:val="single" w:sz="9" w:space="0" w:color="000000"/>
              <w:bottom w:val="nil"/>
              <w:right w:val="single" w:sz="9" w:space="0" w:color="000000"/>
            </w:tcBorders>
          </w:tcPr>
          <w:p w14:paraId="71B72F89"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1BA788EB"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102,7</w:t>
            </w:r>
          </w:p>
        </w:tc>
        <w:tc>
          <w:tcPr>
            <w:tcW w:w="435" w:type="pct"/>
            <w:tcBorders>
              <w:top w:val="nil"/>
              <w:left w:val="single" w:sz="9" w:space="0" w:color="000000"/>
              <w:bottom w:val="nil"/>
              <w:right w:val="single" w:sz="9" w:space="0" w:color="000000"/>
            </w:tcBorders>
            <w:vAlign w:val="center"/>
          </w:tcPr>
          <w:p w14:paraId="053C537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100,5</w:t>
            </w:r>
          </w:p>
        </w:tc>
        <w:tc>
          <w:tcPr>
            <w:tcW w:w="435" w:type="pct"/>
            <w:tcBorders>
              <w:top w:val="nil"/>
              <w:left w:val="single" w:sz="9" w:space="0" w:color="000000"/>
              <w:bottom w:val="nil"/>
              <w:right w:val="single" w:sz="9" w:space="0" w:color="000000"/>
            </w:tcBorders>
            <w:vAlign w:val="center"/>
          </w:tcPr>
          <w:p w14:paraId="765A1F77"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106,2</w:t>
            </w:r>
          </w:p>
        </w:tc>
        <w:tc>
          <w:tcPr>
            <w:tcW w:w="435" w:type="pct"/>
            <w:tcBorders>
              <w:top w:val="nil"/>
              <w:left w:val="single" w:sz="9" w:space="0" w:color="000000"/>
              <w:bottom w:val="nil"/>
              <w:right w:val="single" w:sz="9" w:space="0" w:color="000000"/>
            </w:tcBorders>
            <w:vAlign w:val="center"/>
          </w:tcPr>
          <w:p w14:paraId="7A761D6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99,7</w:t>
            </w:r>
          </w:p>
        </w:tc>
      </w:tr>
      <w:tr w:rsidR="003B6004" w:rsidRPr="00F90FE6" w14:paraId="0604A1E9" w14:textId="77777777" w:rsidTr="003B6004">
        <w:trPr>
          <w:trHeight w:val="33"/>
        </w:trPr>
        <w:tc>
          <w:tcPr>
            <w:tcW w:w="2249" w:type="pct"/>
            <w:tcBorders>
              <w:top w:val="nil"/>
              <w:left w:val="single" w:sz="4" w:space="0" w:color="000000"/>
              <w:bottom w:val="nil"/>
              <w:right w:val="single" w:sz="9" w:space="0" w:color="000000"/>
            </w:tcBorders>
          </w:tcPr>
          <w:p w14:paraId="0092DBC2"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Popyt krajowy</w:t>
            </w:r>
          </w:p>
        </w:tc>
        <w:tc>
          <w:tcPr>
            <w:tcW w:w="1011" w:type="pct"/>
            <w:tcBorders>
              <w:top w:val="nil"/>
              <w:left w:val="single" w:sz="9" w:space="0" w:color="000000"/>
              <w:bottom w:val="nil"/>
              <w:right w:val="single" w:sz="9" w:space="0" w:color="000000"/>
            </w:tcBorders>
          </w:tcPr>
          <w:p w14:paraId="1D0564EA"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72FD2AC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104,8</w:t>
            </w:r>
          </w:p>
        </w:tc>
        <w:tc>
          <w:tcPr>
            <w:tcW w:w="435" w:type="pct"/>
            <w:tcBorders>
              <w:top w:val="nil"/>
              <w:left w:val="single" w:sz="9" w:space="0" w:color="000000"/>
              <w:bottom w:val="nil"/>
              <w:right w:val="single" w:sz="9" w:space="0" w:color="000000"/>
            </w:tcBorders>
            <w:vAlign w:val="center"/>
          </w:tcPr>
          <w:p w14:paraId="755E8AA9"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101,2</w:t>
            </w:r>
          </w:p>
        </w:tc>
        <w:tc>
          <w:tcPr>
            <w:tcW w:w="435" w:type="pct"/>
            <w:tcBorders>
              <w:top w:val="nil"/>
              <w:left w:val="single" w:sz="9" w:space="0" w:color="000000"/>
              <w:bottom w:val="nil"/>
              <w:right w:val="single" w:sz="9" w:space="0" w:color="000000"/>
            </w:tcBorders>
            <w:vAlign w:val="center"/>
          </w:tcPr>
          <w:p w14:paraId="46FA7BBE"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105,1</w:t>
            </w:r>
          </w:p>
        </w:tc>
        <w:tc>
          <w:tcPr>
            <w:tcW w:w="435" w:type="pct"/>
            <w:tcBorders>
              <w:top w:val="nil"/>
              <w:left w:val="single" w:sz="9" w:space="0" w:color="000000"/>
              <w:bottom w:val="nil"/>
              <w:right w:val="single" w:sz="9" w:space="0" w:color="000000"/>
            </w:tcBorders>
            <w:vAlign w:val="center"/>
          </w:tcPr>
          <w:p w14:paraId="1269F5B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99,7</w:t>
            </w:r>
          </w:p>
        </w:tc>
      </w:tr>
      <w:tr w:rsidR="003B6004" w:rsidRPr="00F90FE6" w14:paraId="5C227FAF" w14:textId="77777777" w:rsidTr="003B6004">
        <w:trPr>
          <w:trHeight w:val="66"/>
        </w:trPr>
        <w:tc>
          <w:tcPr>
            <w:tcW w:w="2249" w:type="pct"/>
            <w:tcBorders>
              <w:top w:val="nil"/>
              <w:left w:val="single" w:sz="4" w:space="0" w:color="000000"/>
              <w:bottom w:val="nil"/>
              <w:right w:val="single" w:sz="9" w:space="0" w:color="000000"/>
            </w:tcBorders>
          </w:tcPr>
          <w:p w14:paraId="7AC42A1A" w14:textId="77777777" w:rsidR="003B6004" w:rsidRPr="00F90FE6" w:rsidRDefault="003B6004" w:rsidP="003B6004">
            <w:pPr>
              <w:spacing w:line="259" w:lineRule="auto"/>
              <w:ind w:left="224"/>
              <w:rPr>
                <w:rFonts w:ascii="Arial" w:hAnsi="Arial" w:cs="Arial"/>
                <w:sz w:val="18"/>
                <w:szCs w:val="16"/>
              </w:rPr>
            </w:pPr>
            <w:r w:rsidRPr="00F90FE6">
              <w:rPr>
                <w:rFonts w:ascii="Arial" w:hAnsi="Arial" w:cs="Arial"/>
                <w:sz w:val="18"/>
                <w:szCs w:val="16"/>
              </w:rPr>
              <w:t>Spożycie</w:t>
            </w:r>
          </w:p>
        </w:tc>
        <w:tc>
          <w:tcPr>
            <w:tcW w:w="1011" w:type="pct"/>
            <w:tcBorders>
              <w:top w:val="nil"/>
              <w:left w:val="single" w:sz="9" w:space="0" w:color="000000"/>
              <w:bottom w:val="nil"/>
              <w:right w:val="single" w:sz="9" w:space="0" w:color="000000"/>
            </w:tcBorders>
          </w:tcPr>
          <w:p w14:paraId="52902C11"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7FF7757E"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103,0</w:t>
            </w:r>
          </w:p>
        </w:tc>
        <w:tc>
          <w:tcPr>
            <w:tcW w:w="435" w:type="pct"/>
            <w:tcBorders>
              <w:top w:val="nil"/>
              <w:left w:val="single" w:sz="9" w:space="0" w:color="000000"/>
              <w:bottom w:val="nil"/>
              <w:right w:val="single" w:sz="9" w:space="0" w:color="000000"/>
            </w:tcBorders>
            <w:vAlign w:val="center"/>
          </w:tcPr>
          <w:p w14:paraId="5363638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101,9</w:t>
            </w:r>
          </w:p>
        </w:tc>
        <w:tc>
          <w:tcPr>
            <w:tcW w:w="435" w:type="pct"/>
            <w:tcBorders>
              <w:top w:val="nil"/>
              <w:left w:val="single" w:sz="9" w:space="0" w:color="000000"/>
              <w:bottom w:val="nil"/>
              <w:right w:val="single" w:sz="9" w:space="0" w:color="000000"/>
            </w:tcBorders>
            <w:vAlign w:val="center"/>
          </w:tcPr>
          <w:p w14:paraId="26ED01BD"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102,0</w:t>
            </w:r>
          </w:p>
        </w:tc>
        <w:tc>
          <w:tcPr>
            <w:tcW w:w="435" w:type="pct"/>
            <w:tcBorders>
              <w:top w:val="nil"/>
              <w:left w:val="single" w:sz="9" w:space="0" w:color="000000"/>
              <w:bottom w:val="nil"/>
              <w:right w:val="single" w:sz="9" w:space="0" w:color="000000"/>
            </w:tcBorders>
            <w:vAlign w:val="center"/>
          </w:tcPr>
          <w:p w14:paraId="6D687A2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100,7</w:t>
            </w:r>
          </w:p>
        </w:tc>
      </w:tr>
      <w:tr w:rsidR="003B6004" w:rsidRPr="00F90FE6" w14:paraId="36FDF986" w14:textId="77777777" w:rsidTr="003B6004">
        <w:trPr>
          <w:trHeight w:val="33"/>
        </w:trPr>
        <w:tc>
          <w:tcPr>
            <w:tcW w:w="2249" w:type="pct"/>
            <w:tcBorders>
              <w:top w:val="nil"/>
              <w:left w:val="single" w:sz="4" w:space="0" w:color="000000"/>
              <w:bottom w:val="nil"/>
              <w:right w:val="single" w:sz="9" w:space="0" w:color="000000"/>
            </w:tcBorders>
          </w:tcPr>
          <w:p w14:paraId="328936DD" w14:textId="77777777" w:rsidR="003B6004" w:rsidRPr="00F90FE6" w:rsidRDefault="003B6004" w:rsidP="003B6004">
            <w:pPr>
              <w:spacing w:line="259" w:lineRule="auto"/>
              <w:ind w:left="323"/>
              <w:rPr>
                <w:rFonts w:ascii="Arial" w:hAnsi="Arial" w:cs="Arial"/>
                <w:sz w:val="18"/>
                <w:szCs w:val="16"/>
              </w:rPr>
            </w:pPr>
            <w:r w:rsidRPr="00F90FE6">
              <w:rPr>
                <w:rFonts w:ascii="Arial" w:hAnsi="Arial" w:cs="Arial"/>
                <w:sz w:val="18"/>
                <w:szCs w:val="16"/>
              </w:rPr>
              <w:t>- prywatne</w:t>
            </w:r>
          </w:p>
        </w:tc>
        <w:tc>
          <w:tcPr>
            <w:tcW w:w="1011" w:type="pct"/>
            <w:tcBorders>
              <w:top w:val="nil"/>
              <w:left w:val="single" w:sz="9" w:space="0" w:color="000000"/>
              <w:bottom w:val="nil"/>
              <w:right w:val="single" w:sz="9" w:space="0" w:color="000000"/>
            </w:tcBorders>
          </w:tcPr>
          <w:p w14:paraId="550A9167"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1179037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103,9</w:t>
            </w:r>
          </w:p>
        </w:tc>
        <w:tc>
          <w:tcPr>
            <w:tcW w:w="435" w:type="pct"/>
            <w:tcBorders>
              <w:top w:val="nil"/>
              <w:left w:val="single" w:sz="9" w:space="0" w:color="000000"/>
              <w:bottom w:val="nil"/>
              <w:right w:val="single" w:sz="9" w:space="0" w:color="000000"/>
            </w:tcBorders>
            <w:vAlign w:val="center"/>
          </w:tcPr>
          <w:p w14:paraId="6A85FCE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102,2</w:t>
            </w:r>
          </w:p>
        </w:tc>
        <w:tc>
          <w:tcPr>
            <w:tcW w:w="435" w:type="pct"/>
            <w:tcBorders>
              <w:top w:val="nil"/>
              <w:left w:val="single" w:sz="9" w:space="0" w:color="000000"/>
              <w:bottom w:val="nil"/>
              <w:right w:val="single" w:sz="9" w:space="0" w:color="000000"/>
            </w:tcBorders>
            <w:vAlign w:val="center"/>
          </w:tcPr>
          <w:p w14:paraId="31436D7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103,3</w:t>
            </w:r>
          </w:p>
        </w:tc>
        <w:tc>
          <w:tcPr>
            <w:tcW w:w="435" w:type="pct"/>
            <w:tcBorders>
              <w:top w:val="nil"/>
              <w:left w:val="single" w:sz="9" w:space="0" w:color="000000"/>
              <w:bottom w:val="nil"/>
              <w:right w:val="single" w:sz="9" w:space="0" w:color="000000"/>
            </w:tcBorders>
            <w:vAlign w:val="center"/>
          </w:tcPr>
          <w:p w14:paraId="02CABE95"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100,7</w:t>
            </w:r>
          </w:p>
        </w:tc>
      </w:tr>
      <w:tr w:rsidR="003B6004" w:rsidRPr="00F90FE6" w14:paraId="7E4028C9" w14:textId="77777777" w:rsidTr="003B6004">
        <w:trPr>
          <w:trHeight w:val="33"/>
        </w:trPr>
        <w:tc>
          <w:tcPr>
            <w:tcW w:w="2249" w:type="pct"/>
            <w:tcBorders>
              <w:top w:val="nil"/>
              <w:left w:val="single" w:sz="4" w:space="0" w:color="000000"/>
              <w:bottom w:val="nil"/>
              <w:right w:val="single" w:sz="9" w:space="0" w:color="000000"/>
            </w:tcBorders>
          </w:tcPr>
          <w:p w14:paraId="485A67A4" w14:textId="77777777" w:rsidR="003B6004" w:rsidRPr="00F90FE6" w:rsidRDefault="003B6004" w:rsidP="003B6004">
            <w:pPr>
              <w:spacing w:line="259" w:lineRule="auto"/>
              <w:ind w:left="323"/>
              <w:rPr>
                <w:rFonts w:ascii="Arial" w:hAnsi="Arial" w:cs="Arial"/>
                <w:sz w:val="18"/>
                <w:szCs w:val="16"/>
              </w:rPr>
            </w:pPr>
            <w:r w:rsidRPr="00F90FE6">
              <w:rPr>
                <w:rFonts w:ascii="Arial" w:hAnsi="Arial" w:cs="Arial"/>
                <w:sz w:val="18"/>
                <w:szCs w:val="16"/>
              </w:rPr>
              <w:t>- publiczne</w:t>
            </w:r>
          </w:p>
        </w:tc>
        <w:tc>
          <w:tcPr>
            <w:tcW w:w="1011" w:type="pct"/>
            <w:tcBorders>
              <w:top w:val="nil"/>
              <w:left w:val="single" w:sz="9" w:space="0" w:color="000000"/>
              <w:bottom w:val="nil"/>
              <w:right w:val="single" w:sz="9" w:space="0" w:color="000000"/>
            </w:tcBorders>
          </w:tcPr>
          <w:p w14:paraId="4F46E6E1"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6E141995"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100,0</w:t>
            </w:r>
          </w:p>
        </w:tc>
        <w:tc>
          <w:tcPr>
            <w:tcW w:w="435" w:type="pct"/>
            <w:tcBorders>
              <w:top w:val="nil"/>
              <w:left w:val="single" w:sz="9" w:space="0" w:color="000000"/>
              <w:bottom w:val="nil"/>
              <w:right w:val="single" w:sz="9" w:space="0" w:color="000000"/>
            </w:tcBorders>
            <w:vAlign w:val="center"/>
          </w:tcPr>
          <w:p w14:paraId="14264CC9"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101,0</w:t>
            </w:r>
          </w:p>
        </w:tc>
        <w:tc>
          <w:tcPr>
            <w:tcW w:w="435" w:type="pct"/>
            <w:tcBorders>
              <w:top w:val="nil"/>
              <w:left w:val="single" w:sz="9" w:space="0" w:color="000000"/>
              <w:bottom w:val="nil"/>
              <w:right w:val="single" w:sz="9" w:space="0" w:color="000000"/>
            </w:tcBorders>
            <w:vAlign w:val="center"/>
          </w:tcPr>
          <w:p w14:paraId="1C5C84F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98,0</w:t>
            </w:r>
          </w:p>
        </w:tc>
        <w:tc>
          <w:tcPr>
            <w:tcW w:w="435" w:type="pct"/>
            <w:tcBorders>
              <w:top w:val="nil"/>
              <w:left w:val="single" w:sz="9" w:space="0" w:color="000000"/>
              <w:bottom w:val="nil"/>
              <w:right w:val="single" w:sz="9" w:space="0" w:color="000000"/>
            </w:tcBorders>
            <w:vAlign w:val="center"/>
          </w:tcPr>
          <w:p w14:paraId="2466290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100,4</w:t>
            </w:r>
          </w:p>
        </w:tc>
      </w:tr>
      <w:tr w:rsidR="003B6004" w:rsidRPr="00F90FE6" w14:paraId="5AC526AE" w14:textId="77777777" w:rsidTr="003B6004">
        <w:trPr>
          <w:trHeight w:val="143"/>
        </w:trPr>
        <w:tc>
          <w:tcPr>
            <w:tcW w:w="2249" w:type="pct"/>
            <w:tcBorders>
              <w:top w:val="nil"/>
              <w:left w:val="single" w:sz="4" w:space="0" w:color="000000"/>
              <w:bottom w:val="nil"/>
              <w:right w:val="single" w:sz="9" w:space="0" w:color="000000"/>
            </w:tcBorders>
          </w:tcPr>
          <w:p w14:paraId="7E6998E8" w14:textId="77777777" w:rsidR="003B6004" w:rsidRPr="00F90FE6" w:rsidRDefault="003B6004" w:rsidP="003B6004">
            <w:pPr>
              <w:spacing w:line="259" w:lineRule="auto"/>
              <w:ind w:left="224"/>
              <w:rPr>
                <w:rFonts w:ascii="Arial" w:hAnsi="Arial" w:cs="Arial"/>
                <w:sz w:val="18"/>
                <w:szCs w:val="16"/>
              </w:rPr>
            </w:pPr>
            <w:r w:rsidRPr="00F90FE6">
              <w:rPr>
                <w:rFonts w:ascii="Arial" w:hAnsi="Arial" w:cs="Arial"/>
                <w:sz w:val="18"/>
                <w:szCs w:val="16"/>
              </w:rPr>
              <w:t>Akumulacja</w:t>
            </w:r>
          </w:p>
        </w:tc>
        <w:tc>
          <w:tcPr>
            <w:tcW w:w="1011" w:type="pct"/>
            <w:tcBorders>
              <w:top w:val="nil"/>
              <w:left w:val="single" w:sz="9" w:space="0" w:color="000000"/>
              <w:bottom w:val="nil"/>
              <w:right w:val="single" w:sz="9" w:space="0" w:color="000000"/>
            </w:tcBorders>
          </w:tcPr>
          <w:p w14:paraId="341C0015"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313BEC96"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111,3</w:t>
            </w:r>
          </w:p>
        </w:tc>
        <w:tc>
          <w:tcPr>
            <w:tcW w:w="435" w:type="pct"/>
            <w:tcBorders>
              <w:top w:val="nil"/>
              <w:left w:val="single" w:sz="9" w:space="0" w:color="000000"/>
              <w:bottom w:val="nil"/>
              <w:right w:val="single" w:sz="9" w:space="0" w:color="000000"/>
            </w:tcBorders>
            <w:vAlign w:val="center"/>
          </w:tcPr>
          <w:p w14:paraId="62F010DB"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98,8</w:t>
            </w:r>
          </w:p>
        </w:tc>
        <w:tc>
          <w:tcPr>
            <w:tcW w:w="435" w:type="pct"/>
            <w:tcBorders>
              <w:top w:val="nil"/>
              <w:left w:val="single" w:sz="9" w:space="0" w:color="000000"/>
              <w:bottom w:val="nil"/>
              <w:right w:val="single" w:sz="9" w:space="0" w:color="000000"/>
            </w:tcBorders>
            <w:vAlign w:val="center"/>
          </w:tcPr>
          <w:p w14:paraId="2EC37DA6"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115,9</w:t>
            </w:r>
          </w:p>
        </w:tc>
        <w:tc>
          <w:tcPr>
            <w:tcW w:w="435" w:type="pct"/>
            <w:tcBorders>
              <w:top w:val="nil"/>
              <w:left w:val="single" w:sz="9" w:space="0" w:color="000000"/>
              <w:bottom w:val="nil"/>
              <w:right w:val="single" w:sz="9" w:space="0" w:color="000000"/>
            </w:tcBorders>
            <w:vAlign w:val="center"/>
          </w:tcPr>
          <w:p w14:paraId="1CB805D9"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96,7</w:t>
            </w:r>
          </w:p>
        </w:tc>
      </w:tr>
      <w:tr w:rsidR="003B6004" w:rsidRPr="00F90FE6" w14:paraId="46C085A2" w14:textId="77777777" w:rsidTr="003B6004">
        <w:trPr>
          <w:trHeight w:val="219"/>
        </w:trPr>
        <w:tc>
          <w:tcPr>
            <w:tcW w:w="2249" w:type="pct"/>
            <w:tcBorders>
              <w:top w:val="nil"/>
              <w:left w:val="single" w:sz="4" w:space="0" w:color="000000"/>
              <w:bottom w:val="nil"/>
              <w:right w:val="single" w:sz="9" w:space="0" w:color="000000"/>
            </w:tcBorders>
          </w:tcPr>
          <w:p w14:paraId="5869BAAD" w14:textId="77777777" w:rsidR="003B6004" w:rsidRPr="00F90FE6" w:rsidRDefault="003B6004" w:rsidP="003B6004">
            <w:pPr>
              <w:spacing w:line="259" w:lineRule="auto"/>
              <w:ind w:left="323"/>
              <w:rPr>
                <w:rFonts w:ascii="Arial" w:hAnsi="Arial" w:cs="Arial"/>
                <w:sz w:val="18"/>
                <w:szCs w:val="16"/>
              </w:rPr>
            </w:pPr>
            <w:r w:rsidRPr="00F90FE6">
              <w:rPr>
                <w:rFonts w:ascii="Arial" w:hAnsi="Arial" w:cs="Arial"/>
                <w:sz w:val="18"/>
                <w:szCs w:val="16"/>
              </w:rPr>
              <w:t>- nakłady brutto na środki trwałe</w:t>
            </w:r>
          </w:p>
        </w:tc>
        <w:tc>
          <w:tcPr>
            <w:tcW w:w="1011" w:type="pct"/>
            <w:tcBorders>
              <w:top w:val="nil"/>
              <w:left w:val="single" w:sz="9" w:space="0" w:color="000000"/>
              <w:bottom w:val="nil"/>
              <w:right w:val="single" w:sz="9" w:space="0" w:color="000000"/>
            </w:tcBorders>
          </w:tcPr>
          <w:p w14:paraId="6B2B540A"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7843F1A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104,9</w:t>
            </w:r>
          </w:p>
        </w:tc>
        <w:tc>
          <w:tcPr>
            <w:tcW w:w="435" w:type="pct"/>
            <w:tcBorders>
              <w:top w:val="nil"/>
              <w:left w:val="single" w:sz="9" w:space="0" w:color="000000"/>
              <w:bottom w:val="nil"/>
              <w:right w:val="single" w:sz="9" w:space="0" w:color="000000"/>
            </w:tcBorders>
            <w:vAlign w:val="center"/>
          </w:tcPr>
          <w:p w14:paraId="619979D7"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106,2</w:t>
            </w:r>
          </w:p>
        </w:tc>
        <w:tc>
          <w:tcPr>
            <w:tcW w:w="435" w:type="pct"/>
            <w:tcBorders>
              <w:top w:val="nil"/>
              <w:left w:val="single" w:sz="9" w:space="0" w:color="000000"/>
              <w:bottom w:val="nil"/>
              <w:right w:val="single" w:sz="9" w:space="0" w:color="000000"/>
            </w:tcBorders>
            <w:vAlign w:val="center"/>
          </w:tcPr>
          <w:p w14:paraId="57E40A8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105,0</w:t>
            </w:r>
          </w:p>
        </w:tc>
        <w:tc>
          <w:tcPr>
            <w:tcW w:w="435" w:type="pct"/>
            <w:tcBorders>
              <w:top w:val="nil"/>
              <w:left w:val="single" w:sz="9" w:space="0" w:color="000000"/>
              <w:bottom w:val="nil"/>
              <w:right w:val="single" w:sz="9" w:space="0" w:color="000000"/>
            </w:tcBorders>
            <w:vAlign w:val="center"/>
          </w:tcPr>
          <w:p w14:paraId="62753D6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101,1</w:t>
            </w:r>
          </w:p>
        </w:tc>
      </w:tr>
      <w:tr w:rsidR="003B6004" w:rsidRPr="00F90FE6" w14:paraId="565EDA97" w14:textId="77777777" w:rsidTr="003B6004">
        <w:trPr>
          <w:trHeight w:val="225"/>
        </w:trPr>
        <w:tc>
          <w:tcPr>
            <w:tcW w:w="2249" w:type="pct"/>
            <w:tcBorders>
              <w:top w:val="nil"/>
              <w:left w:val="single" w:sz="4" w:space="0" w:color="000000"/>
              <w:bottom w:val="nil"/>
              <w:right w:val="single" w:sz="9" w:space="0" w:color="000000"/>
            </w:tcBorders>
            <w:vAlign w:val="center"/>
          </w:tcPr>
          <w:p w14:paraId="62D3780F" w14:textId="77777777" w:rsidR="003B6004" w:rsidRPr="00F90FE6" w:rsidRDefault="003B6004" w:rsidP="003B6004">
            <w:pPr>
              <w:spacing w:line="259" w:lineRule="auto"/>
              <w:ind w:left="126"/>
              <w:rPr>
                <w:rFonts w:ascii="Arial" w:hAnsi="Arial" w:cs="Arial"/>
                <w:sz w:val="18"/>
                <w:szCs w:val="16"/>
              </w:rPr>
            </w:pPr>
          </w:p>
          <w:p w14:paraId="65B1B9FA"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PKB w cenach bieżących</w:t>
            </w:r>
          </w:p>
        </w:tc>
        <w:tc>
          <w:tcPr>
            <w:tcW w:w="1011" w:type="pct"/>
            <w:tcBorders>
              <w:top w:val="nil"/>
              <w:left w:val="single" w:sz="9" w:space="0" w:color="000000"/>
              <w:bottom w:val="nil"/>
              <w:right w:val="single" w:sz="9" w:space="0" w:color="000000"/>
            </w:tcBorders>
            <w:vAlign w:val="bottom"/>
          </w:tcPr>
          <w:p w14:paraId="6E38A68D" w14:textId="77777777" w:rsidR="003B6004" w:rsidRPr="00F90FE6" w:rsidRDefault="003B6004" w:rsidP="003B6004">
            <w:pPr>
              <w:spacing w:line="259" w:lineRule="auto"/>
              <w:ind w:left="40"/>
              <w:jc w:val="center"/>
              <w:rPr>
                <w:rFonts w:ascii="Arial" w:hAnsi="Arial" w:cs="Arial"/>
                <w:sz w:val="18"/>
                <w:szCs w:val="16"/>
              </w:rPr>
            </w:pPr>
            <w:r w:rsidRPr="00F90FE6">
              <w:rPr>
                <w:rFonts w:ascii="Arial" w:hAnsi="Arial" w:cs="Arial"/>
                <w:sz w:val="18"/>
                <w:szCs w:val="16"/>
              </w:rPr>
              <w:t>mld PLN</w:t>
            </w:r>
          </w:p>
        </w:tc>
        <w:tc>
          <w:tcPr>
            <w:tcW w:w="435" w:type="pct"/>
            <w:tcBorders>
              <w:top w:val="nil"/>
              <w:left w:val="single" w:sz="9" w:space="0" w:color="000000"/>
              <w:bottom w:val="nil"/>
              <w:right w:val="single" w:sz="9" w:space="0" w:color="000000"/>
            </w:tcBorders>
            <w:vAlign w:val="bottom"/>
          </w:tcPr>
          <w:p w14:paraId="0E5A5D4C"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3 017,8</w:t>
            </w:r>
          </w:p>
        </w:tc>
        <w:tc>
          <w:tcPr>
            <w:tcW w:w="435" w:type="pct"/>
            <w:tcBorders>
              <w:top w:val="nil"/>
              <w:left w:val="single" w:sz="9" w:space="0" w:color="000000"/>
              <w:bottom w:val="nil"/>
              <w:right w:val="single" w:sz="9" w:space="0" w:color="000000"/>
            </w:tcBorders>
            <w:vAlign w:val="bottom"/>
          </w:tcPr>
          <w:p w14:paraId="3BB9D9A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3 317,7</w:t>
            </w:r>
          </w:p>
        </w:tc>
        <w:tc>
          <w:tcPr>
            <w:tcW w:w="435" w:type="pct"/>
            <w:tcBorders>
              <w:top w:val="nil"/>
              <w:left w:val="single" w:sz="9" w:space="0" w:color="000000"/>
              <w:bottom w:val="nil"/>
              <w:right w:val="single" w:sz="9" w:space="0" w:color="000000"/>
            </w:tcBorders>
            <w:vAlign w:val="bottom"/>
          </w:tcPr>
          <w:p w14:paraId="63DF48C9"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3 078,3</w:t>
            </w:r>
          </w:p>
        </w:tc>
        <w:tc>
          <w:tcPr>
            <w:tcW w:w="435" w:type="pct"/>
            <w:tcBorders>
              <w:top w:val="nil"/>
              <w:left w:val="single" w:sz="9" w:space="0" w:color="000000"/>
              <w:bottom w:val="nil"/>
              <w:right w:val="single" w:sz="9" w:space="0" w:color="000000"/>
            </w:tcBorders>
            <w:vAlign w:val="bottom"/>
          </w:tcPr>
          <w:p w14:paraId="07F8298E"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3 447,6</w:t>
            </w:r>
          </w:p>
        </w:tc>
      </w:tr>
      <w:tr w:rsidR="003B6004" w:rsidRPr="00F90FE6" w14:paraId="1E1C1123" w14:textId="77777777" w:rsidTr="003B6004">
        <w:trPr>
          <w:trHeight w:val="33"/>
        </w:trPr>
        <w:tc>
          <w:tcPr>
            <w:tcW w:w="2249" w:type="pct"/>
            <w:tcBorders>
              <w:top w:val="nil"/>
              <w:left w:val="single" w:sz="4" w:space="0" w:color="000000"/>
              <w:bottom w:val="nil"/>
              <w:right w:val="single" w:sz="9" w:space="0" w:color="000000"/>
            </w:tcBorders>
            <w:vAlign w:val="bottom"/>
          </w:tcPr>
          <w:p w14:paraId="0FF4C0EE" w14:textId="77777777" w:rsidR="003B6004" w:rsidRPr="00F90FE6" w:rsidRDefault="003B6004" w:rsidP="003B6004">
            <w:pPr>
              <w:spacing w:after="108" w:line="259" w:lineRule="auto"/>
              <w:ind w:left="34"/>
              <w:jc w:val="center"/>
              <w:rPr>
                <w:rFonts w:ascii="Arial" w:hAnsi="Arial" w:cs="Arial"/>
                <w:sz w:val="18"/>
                <w:szCs w:val="16"/>
              </w:rPr>
            </w:pPr>
            <w:r w:rsidRPr="00F90FE6">
              <w:rPr>
                <w:rFonts w:ascii="Arial" w:hAnsi="Arial" w:cs="Arial"/>
                <w:b/>
                <w:sz w:val="18"/>
                <w:szCs w:val="16"/>
              </w:rPr>
              <w:t>Ceny</w:t>
            </w:r>
          </w:p>
          <w:p w14:paraId="3B9A176B"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Ceny towarów i usług konsumpcyjnych (średniorocznie)</w:t>
            </w:r>
          </w:p>
        </w:tc>
        <w:tc>
          <w:tcPr>
            <w:tcW w:w="1011" w:type="pct"/>
            <w:tcBorders>
              <w:top w:val="nil"/>
              <w:left w:val="single" w:sz="9" w:space="0" w:color="000000"/>
              <w:bottom w:val="nil"/>
              <w:right w:val="single" w:sz="9" w:space="0" w:color="000000"/>
            </w:tcBorders>
            <w:vAlign w:val="bottom"/>
          </w:tcPr>
          <w:p w14:paraId="21813D1D"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bottom"/>
          </w:tcPr>
          <w:p w14:paraId="761241D2"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113,5</w:t>
            </w:r>
          </w:p>
        </w:tc>
        <w:tc>
          <w:tcPr>
            <w:tcW w:w="435" w:type="pct"/>
            <w:tcBorders>
              <w:top w:val="nil"/>
              <w:left w:val="single" w:sz="9" w:space="0" w:color="000000"/>
              <w:bottom w:val="nil"/>
              <w:right w:val="single" w:sz="9" w:space="0" w:color="000000"/>
            </w:tcBorders>
            <w:vAlign w:val="bottom"/>
          </w:tcPr>
          <w:p w14:paraId="35740FA6"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109,8</w:t>
            </w:r>
          </w:p>
        </w:tc>
        <w:tc>
          <w:tcPr>
            <w:tcW w:w="435" w:type="pct"/>
            <w:tcBorders>
              <w:top w:val="nil"/>
              <w:left w:val="single" w:sz="9" w:space="0" w:color="000000"/>
              <w:bottom w:val="nil"/>
              <w:right w:val="single" w:sz="9" w:space="0" w:color="000000"/>
            </w:tcBorders>
            <w:vAlign w:val="bottom"/>
          </w:tcPr>
          <w:p w14:paraId="40891E9C"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114,4</w:t>
            </w:r>
          </w:p>
        </w:tc>
        <w:tc>
          <w:tcPr>
            <w:tcW w:w="435" w:type="pct"/>
            <w:tcBorders>
              <w:top w:val="nil"/>
              <w:left w:val="single" w:sz="9" w:space="0" w:color="000000"/>
              <w:bottom w:val="nil"/>
              <w:right w:val="single" w:sz="9" w:space="0" w:color="000000"/>
            </w:tcBorders>
            <w:vAlign w:val="bottom"/>
          </w:tcPr>
          <w:p w14:paraId="67680F3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112,0</w:t>
            </w:r>
          </w:p>
        </w:tc>
      </w:tr>
      <w:tr w:rsidR="003B6004" w:rsidRPr="00F90FE6" w14:paraId="00AD6384" w14:textId="77777777" w:rsidTr="003B6004">
        <w:trPr>
          <w:trHeight w:val="37"/>
        </w:trPr>
        <w:tc>
          <w:tcPr>
            <w:tcW w:w="2249" w:type="pct"/>
            <w:tcBorders>
              <w:top w:val="nil"/>
              <w:left w:val="single" w:sz="4" w:space="0" w:color="000000"/>
              <w:bottom w:val="nil"/>
              <w:right w:val="single" w:sz="9" w:space="0" w:color="000000"/>
            </w:tcBorders>
            <w:vAlign w:val="bottom"/>
          </w:tcPr>
          <w:p w14:paraId="35CA3DFD"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Ceny produkcji sprzedanej przemysłu (średniorocznie)</w:t>
            </w:r>
          </w:p>
        </w:tc>
        <w:tc>
          <w:tcPr>
            <w:tcW w:w="1011" w:type="pct"/>
            <w:tcBorders>
              <w:top w:val="nil"/>
              <w:left w:val="single" w:sz="9" w:space="0" w:color="000000"/>
              <w:bottom w:val="nil"/>
              <w:right w:val="single" w:sz="9" w:space="0" w:color="000000"/>
            </w:tcBorders>
            <w:vAlign w:val="bottom"/>
          </w:tcPr>
          <w:p w14:paraId="2AB8D752"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bottom"/>
          </w:tcPr>
          <w:p w14:paraId="1029386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123,7</w:t>
            </w:r>
          </w:p>
        </w:tc>
        <w:tc>
          <w:tcPr>
            <w:tcW w:w="435" w:type="pct"/>
            <w:tcBorders>
              <w:top w:val="nil"/>
              <w:left w:val="single" w:sz="9" w:space="0" w:color="000000"/>
              <w:bottom w:val="nil"/>
              <w:right w:val="single" w:sz="9" w:space="0" w:color="000000"/>
            </w:tcBorders>
            <w:vAlign w:val="bottom"/>
          </w:tcPr>
          <w:p w14:paraId="1865E2E6"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113,2</w:t>
            </w:r>
          </w:p>
        </w:tc>
        <w:tc>
          <w:tcPr>
            <w:tcW w:w="435" w:type="pct"/>
            <w:tcBorders>
              <w:top w:val="nil"/>
              <w:left w:val="single" w:sz="9" w:space="0" w:color="000000"/>
              <w:bottom w:val="nil"/>
              <w:right w:val="single" w:sz="9" w:space="0" w:color="000000"/>
            </w:tcBorders>
            <w:vAlign w:val="bottom"/>
          </w:tcPr>
          <w:p w14:paraId="17BE415D"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122,4</w:t>
            </w:r>
          </w:p>
        </w:tc>
        <w:tc>
          <w:tcPr>
            <w:tcW w:w="435" w:type="pct"/>
            <w:tcBorders>
              <w:top w:val="nil"/>
              <w:left w:val="single" w:sz="9" w:space="0" w:color="000000"/>
              <w:bottom w:val="nil"/>
              <w:right w:val="single" w:sz="9" w:space="0" w:color="000000"/>
            </w:tcBorders>
            <w:vAlign w:val="bottom"/>
          </w:tcPr>
          <w:p w14:paraId="78DE3BE9"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107,8</w:t>
            </w:r>
          </w:p>
        </w:tc>
      </w:tr>
      <w:tr w:rsidR="003B6004" w:rsidRPr="00F90FE6" w14:paraId="60BB395D" w14:textId="77777777" w:rsidTr="003B6004">
        <w:trPr>
          <w:trHeight w:val="98"/>
        </w:trPr>
        <w:tc>
          <w:tcPr>
            <w:tcW w:w="2249" w:type="pct"/>
            <w:tcBorders>
              <w:top w:val="nil"/>
              <w:left w:val="single" w:sz="4" w:space="0" w:color="000000"/>
              <w:bottom w:val="nil"/>
              <w:right w:val="single" w:sz="9" w:space="0" w:color="000000"/>
            </w:tcBorders>
            <w:vAlign w:val="center"/>
          </w:tcPr>
          <w:p w14:paraId="16CF7AD3"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Deflator PKB</w:t>
            </w:r>
          </w:p>
        </w:tc>
        <w:tc>
          <w:tcPr>
            <w:tcW w:w="1011" w:type="pct"/>
            <w:tcBorders>
              <w:top w:val="nil"/>
              <w:left w:val="single" w:sz="9" w:space="0" w:color="000000"/>
              <w:bottom w:val="nil"/>
              <w:right w:val="single" w:sz="9" w:space="0" w:color="000000"/>
            </w:tcBorders>
            <w:vAlign w:val="center"/>
          </w:tcPr>
          <w:p w14:paraId="30A7A927"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2B10FA8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110,1</w:t>
            </w:r>
          </w:p>
        </w:tc>
        <w:tc>
          <w:tcPr>
            <w:tcW w:w="435" w:type="pct"/>
            <w:tcBorders>
              <w:top w:val="nil"/>
              <w:left w:val="single" w:sz="9" w:space="0" w:color="000000"/>
              <w:bottom w:val="nil"/>
              <w:right w:val="single" w:sz="9" w:space="0" w:color="000000"/>
            </w:tcBorders>
            <w:vAlign w:val="center"/>
          </w:tcPr>
          <w:p w14:paraId="4566BA9B"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108,1</w:t>
            </w:r>
          </w:p>
        </w:tc>
        <w:tc>
          <w:tcPr>
            <w:tcW w:w="435" w:type="pct"/>
            <w:tcBorders>
              <w:top w:val="nil"/>
              <w:left w:val="single" w:sz="9" w:space="0" w:color="000000"/>
              <w:bottom w:val="nil"/>
              <w:right w:val="single" w:sz="9" w:space="0" w:color="000000"/>
            </w:tcBorders>
            <w:vAlign w:val="center"/>
          </w:tcPr>
          <w:p w14:paraId="1111B40D"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111,3</w:t>
            </w:r>
          </w:p>
        </w:tc>
        <w:tc>
          <w:tcPr>
            <w:tcW w:w="435" w:type="pct"/>
            <w:tcBorders>
              <w:top w:val="nil"/>
              <w:left w:val="single" w:sz="9" w:space="0" w:color="000000"/>
              <w:bottom w:val="nil"/>
              <w:right w:val="single" w:sz="9" w:space="0" w:color="000000"/>
            </w:tcBorders>
            <w:vAlign w:val="center"/>
          </w:tcPr>
          <w:p w14:paraId="6F350986"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110,9</w:t>
            </w:r>
          </w:p>
        </w:tc>
      </w:tr>
      <w:tr w:rsidR="003B6004" w:rsidRPr="00F90FE6" w14:paraId="72D91438" w14:textId="77777777" w:rsidTr="003B6004">
        <w:trPr>
          <w:trHeight w:val="285"/>
        </w:trPr>
        <w:tc>
          <w:tcPr>
            <w:tcW w:w="2249" w:type="pct"/>
            <w:tcBorders>
              <w:top w:val="nil"/>
              <w:left w:val="single" w:sz="4" w:space="0" w:color="000000"/>
              <w:bottom w:val="nil"/>
              <w:right w:val="single" w:sz="9" w:space="0" w:color="000000"/>
            </w:tcBorders>
          </w:tcPr>
          <w:p w14:paraId="09947CFB" w14:textId="77777777" w:rsidR="003B6004" w:rsidRPr="00F90FE6" w:rsidRDefault="003B6004" w:rsidP="003B6004">
            <w:pPr>
              <w:spacing w:after="108" w:line="259" w:lineRule="auto"/>
              <w:jc w:val="center"/>
              <w:rPr>
                <w:rFonts w:ascii="Arial" w:hAnsi="Arial" w:cs="Arial"/>
                <w:sz w:val="18"/>
                <w:szCs w:val="16"/>
              </w:rPr>
            </w:pPr>
            <w:r w:rsidRPr="00F90FE6">
              <w:rPr>
                <w:rFonts w:ascii="Arial" w:hAnsi="Arial" w:cs="Arial"/>
                <w:b/>
                <w:sz w:val="18"/>
                <w:szCs w:val="16"/>
              </w:rPr>
              <w:t>Wynagrodzenia</w:t>
            </w:r>
          </w:p>
          <w:p w14:paraId="208B54A5"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Przeciętne wynagrodzenie brutto w gospodarce narodowej</w:t>
            </w:r>
          </w:p>
        </w:tc>
        <w:tc>
          <w:tcPr>
            <w:tcW w:w="1011" w:type="pct"/>
            <w:tcBorders>
              <w:top w:val="nil"/>
              <w:left w:val="single" w:sz="9" w:space="0" w:color="000000"/>
              <w:bottom w:val="nil"/>
              <w:right w:val="single" w:sz="9" w:space="0" w:color="000000"/>
            </w:tcBorders>
            <w:vAlign w:val="bottom"/>
          </w:tcPr>
          <w:p w14:paraId="1C3AFEE8" w14:textId="77777777" w:rsidR="003B6004" w:rsidRPr="00F90FE6" w:rsidRDefault="003B6004" w:rsidP="00F90FE6">
            <w:pPr>
              <w:tabs>
                <w:tab w:val="center" w:pos="686"/>
              </w:tabs>
              <w:spacing w:line="259" w:lineRule="auto"/>
              <w:ind w:left="-19"/>
              <w:jc w:val="center"/>
              <w:rPr>
                <w:rFonts w:ascii="Arial" w:hAnsi="Arial" w:cs="Arial"/>
                <w:sz w:val="18"/>
                <w:szCs w:val="16"/>
              </w:rPr>
            </w:pPr>
            <w:r w:rsidRPr="00F90FE6">
              <w:rPr>
                <w:rFonts w:ascii="Arial" w:hAnsi="Arial" w:cs="Arial"/>
                <w:sz w:val="18"/>
                <w:szCs w:val="16"/>
              </w:rPr>
              <w:t>PLN</w:t>
            </w:r>
          </w:p>
        </w:tc>
        <w:tc>
          <w:tcPr>
            <w:tcW w:w="435" w:type="pct"/>
            <w:tcBorders>
              <w:top w:val="nil"/>
              <w:left w:val="single" w:sz="9" w:space="0" w:color="000000"/>
              <w:bottom w:val="nil"/>
              <w:right w:val="single" w:sz="9" w:space="0" w:color="000000"/>
            </w:tcBorders>
            <w:vAlign w:val="bottom"/>
          </w:tcPr>
          <w:p w14:paraId="1E51D04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6 296</w:t>
            </w:r>
          </w:p>
        </w:tc>
        <w:tc>
          <w:tcPr>
            <w:tcW w:w="435" w:type="pct"/>
            <w:tcBorders>
              <w:top w:val="nil"/>
              <w:left w:val="single" w:sz="9" w:space="0" w:color="000000"/>
              <w:bottom w:val="nil"/>
              <w:right w:val="single" w:sz="9" w:space="0" w:color="000000"/>
            </w:tcBorders>
            <w:vAlign w:val="bottom"/>
          </w:tcPr>
          <w:p w14:paraId="43AF8D3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6 935</w:t>
            </w:r>
          </w:p>
        </w:tc>
        <w:tc>
          <w:tcPr>
            <w:tcW w:w="435" w:type="pct"/>
            <w:tcBorders>
              <w:top w:val="nil"/>
              <w:left w:val="single" w:sz="9" w:space="0" w:color="000000"/>
              <w:bottom w:val="nil"/>
              <w:right w:val="single" w:sz="9" w:space="0" w:color="000000"/>
            </w:tcBorders>
            <w:vAlign w:val="bottom"/>
          </w:tcPr>
          <w:p w14:paraId="40C8EF3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6 346</w:t>
            </w:r>
          </w:p>
        </w:tc>
        <w:tc>
          <w:tcPr>
            <w:tcW w:w="435" w:type="pct"/>
            <w:tcBorders>
              <w:top w:val="nil"/>
              <w:left w:val="single" w:sz="9" w:space="0" w:color="000000"/>
              <w:bottom w:val="nil"/>
              <w:right w:val="single" w:sz="9" w:space="0" w:color="000000"/>
            </w:tcBorders>
            <w:vAlign w:val="bottom"/>
          </w:tcPr>
          <w:p w14:paraId="778CE278"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7 104</w:t>
            </w:r>
          </w:p>
        </w:tc>
      </w:tr>
      <w:tr w:rsidR="003B6004" w:rsidRPr="00F90FE6" w14:paraId="72581F60" w14:textId="77777777" w:rsidTr="003B6004">
        <w:trPr>
          <w:trHeight w:val="33"/>
        </w:trPr>
        <w:tc>
          <w:tcPr>
            <w:tcW w:w="2249" w:type="pct"/>
            <w:tcBorders>
              <w:top w:val="nil"/>
              <w:left w:val="single" w:sz="4" w:space="0" w:color="000000"/>
              <w:bottom w:val="nil"/>
              <w:right w:val="single" w:sz="9" w:space="0" w:color="000000"/>
            </w:tcBorders>
          </w:tcPr>
          <w:p w14:paraId="0CE9A7A6" w14:textId="77777777" w:rsidR="003B6004" w:rsidRPr="00F90FE6" w:rsidRDefault="003B6004" w:rsidP="003B6004">
            <w:pPr>
              <w:spacing w:line="259" w:lineRule="auto"/>
              <w:ind w:left="323"/>
              <w:rPr>
                <w:rFonts w:ascii="Arial" w:hAnsi="Arial" w:cs="Arial"/>
                <w:sz w:val="18"/>
                <w:szCs w:val="16"/>
              </w:rPr>
            </w:pPr>
            <w:r w:rsidRPr="00F90FE6">
              <w:rPr>
                <w:rFonts w:ascii="Arial" w:hAnsi="Arial" w:cs="Arial"/>
                <w:sz w:val="18"/>
                <w:szCs w:val="16"/>
              </w:rPr>
              <w:t>- w sektorze przedsiębiorstw</w:t>
            </w:r>
          </w:p>
        </w:tc>
        <w:tc>
          <w:tcPr>
            <w:tcW w:w="1011" w:type="pct"/>
            <w:tcBorders>
              <w:top w:val="nil"/>
              <w:left w:val="single" w:sz="9" w:space="0" w:color="000000"/>
              <w:bottom w:val="nil"/>
              <w:right w:val="single" w:sz="9" w:space="0" w:color="000000"/>
            </w:tcBorders>
          </w:tcPr>
          <w:p w14:paraId="7AD15628" w14:textId="77777777" w:rsidR="003B6004" w:rsidRPr="00F90FE6" w:rsidRDefault="003B6004" w:rsidP="00F90FE6">
            <w:pPr>
              <w:tabs>
                <w:tab w:val="center" w:pos="686"/>
              </w:tabs>
              <w:spacing w:line="259" w:lineRule="auto"/>
              <w:ind w:left="-19"/>
              <w:jc w:val="center"/>
              <w:rPr>
                <w:rFonts w:ascii="Arial" w:hAnsi="Arial" w:cs="Arial"/>
                <w:sz w:val="18"/>
                <w:szCs w:val="16"/>
              </w:rPr>
            </w:pPr>
            <w:r w:rsidRPr="00F90FE6">
              <w:rPr>
                <w:rFonts w:ascii="Arial" w:hAnsi="Arial" w:cs="Arial"/>
                <w:sz w:val="18"/>
                <w:szCs w:val="16"/>
              </w:rPr>
              <w:t>PLN</w:t>
            </w:r>
          </w:p>
        </w:tc>
        <w:tc>
          <w:tcPr>
            <w:tcW w:w="435" w:type="pct"/>
            <w:tcBorders>
              <w:top w:val="nil"/>
              <w:left w:val="single" w:sz="9" w:space="0" w:color="000000"/>
              <w:bottom w:val="nil"/>
              <w:right w:val="single" w:sz="9" w:space="0" w:color="000000"/>
            </w:tcBorders>
            <w:vAlign w:val="center"/>
          </w:tcPr>
          <w:p w14:paraId="4BE327F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6 634</w:t>
            </w:r>
          </w:p>
        </w:tc>
        <w:tc>
          <w:tcPr>
            <w:tcW w:w="435" w:type="pct"/>
            <w:tcBorders>
              <w:top w:val="nil"/>
              <w:left w:val="single" w:sz="9" w:space="0" w:color="000000"/>
              <w:bottom w:val="nil"/>
              <w:right w:val="single" w:sz="9" w:space="0" w:color="000000"/>
            </w:tcBorders>
            <w:vAlign w:val="center"/>
          </w:tcPr>
          <w:p w14:paraId="64818DF1"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7 308</w:t>
            </w:r>
          </w:p>
        </w:tc>
        <w:tc>
          <w:tcPr>
            <w:tcW w:w="435" w:type="pct"/>
            <w:tcBorders>
              <w:top w:val="nil"/>
              <w:left w:val="single" w:sz="9" w:space="0" w:color="000000"/>
              <w:bottom w:val="nil"/>
              <w:right w:val="single" w:sz="9" w:space="0" w:color="000000"/>
            </w:tcBorders>
            <w:vAlign w:val="center"/>
          </w:tcPr>
          <w:p w14:paraId="592F3482"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6 654</w:t>
            </w:r>
          </w:p>
        </w:tc>
        <w:tc>
          <w:tcPr>
            <w:tcW w:w="435" w:type="pct"/>
            <w:tcBorders>
              <w:top w:val="nil"/>
              <w:left w:val="single" w:sz="9" w:space="0" w:color="000000"/>
              <w:bottom w:val="nil"/>
              <w:right w:val="single" w:sz="9" w:space="0" w:color="000000"/>
            </w:tcBorders>
            <w:vAlign w:val="center"/>
          </w:tcPr>
          <w:p w14:paraId="02FE56E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7 451</w:t>
            </w:r>
          </w:p>
        </w:tc>
      </w:tr>
      <w:tr w:rsidR="003B6004" w:rsidRPr="00F90FE6" w14:paraId="5751E9D2" w14:textId="77777777" w:rsidTr="003B6004">
        <w:trPr>
          <w:trHeight w:val="57"/>
        </w:trPr>
        <w:tc>
          <w:tcPr>
            <w:tcW w:w="2249" w:type="pct"/>
            <w:tcBorders>
              <w:top w:val="nil"/>
              <w:left w:val="single" w:sz="4" w:space="0" w:color="000000"/>
              <w:bottom w:val="nil"/>
              <w:right w:val="single" w:sz="9" w:space="0" w:color="000000"/>
            </w:tcBorders>
          </w:tcPr>
          <w:p w14:paraId="39B888B5"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Przeciętne wynagrodzenie brutto w gospodarce narodowej</w:t>
            </w:r>
          </w:p>
        </w:tc>
        <w:tc>
          <w:tcPr>
            <w:tcW w:w="1011" w:type="pct"/>
            <w:tcBorders>
              <w:top w:val="nil"/>
              <w:left w:val="single" w:sz="9" w:space="0" w:color="000000"/>
              <w:bottom w:val="nil"/>
              <w:right w:val="single" w:sz="9" w:space="0" w:color="000000"/>
            </w:tcBorders>
            <w:vAlign w:val="bottom"/>
          </w:tcPr>
          <w:p w14:paraId="776168A2" w14:textId="77777777" w:rsidR="003B6004" w:rsidRPr="00F90FE6" w:rsidRDefault="003B6004" w:rsidP="003B6004">
            <w:pPr>
              <w:spacing w:line="259" w:lineRule="auto"/>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bottom"/>
          </w:tcPr>
          <w:p w14:paraId="6EF809BB"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111,2</w:t>
            </w:r>
          </w:p>
        </w:tc>
        <w:tc>
          <w:tcPr>
            <w:tcW w:w="435" w:type="pct"/>
            <w:tcBorders>
              <w:top w:val="nil"/>
              <w:left w:val="single" w:sz="9" w:space="0" w:color="000000"/>
              <w:bottom w:val="nil"/>
              <w:right w:val="single" w:sz="9" w:space="0" w:color="000000"/>
            </w:tcBorders>
            <w:vAlign w:val="bottom"/>
          </w:tcPr>
          <w:p w14:paraId="3C9A46F1"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110,1</w:t>
            </w:r>
          </w:p>
        </w:tc>
        <w:tc>
          <w:tcPr>
            <w:tcW w:w="435" w:type="pct"/>
            <w:tcBorders>
              <w:top w:val="nil"/>
              <w:left w:val="single" w:sz="9" w:space="0" w:color="000000"/>
              <w:bottom w:val="nil"/>
              <w:right w:val="single" w:sz="9" w:space="0" w:color="000000"/>
            </w:tcBorders>
            <w:vAlign w:val="bottom"/>
          </w:tcPr>
          <w:p w14:paraId="05A056B5"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111,7</w:t>
            </w:r>
          </w:p>
        </w:tc>
        <w:tc>
          <w:tcPr>
            <w:tcW w:w="435" w:type="pct"/>
            <w:tcBorders>
              <w:top w:val="nil"/>
              <w:left w:val="single" w:sz="9" w:space="0" w:color="000000"/>
              <w:bottom w:val="nil"/>
              <w:right w:val="single" w:sz="9" w:space="0" w:color="000000"/>
            </w:tcBorders>
            <w:vAlign w:val="bottom"/>
          </w:tcPr>
          <w:p w14:paraId="732B1858"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111,9</w:t>
            </w:r>
          </w:p>
        </w:tc>
      </w:tr>
      <w:tr w:rsidR="003B6004" w:rsidRPr="00F90FE6" w14:paraId="5E07B9AE" w14:textId="77777777" w:rsidTr="003B6004">
        <w:trPr>
          <w:trHeight w:val="77"/>
        </w:trPr>
        <w:tc>
          <w:tcPr>
            <w:tcW w:w="2249" w:type="pct"/>
            <w:tcBorders>
              <w:top w:val="nil"/>
              <w:left w:val="single" w:sz="4" w:space="0" w:color="000000"/>
              <w:bottom w:val="nil"/>
              <w:right w:val="single" w:sz="9" w:space="0" w:color="000000"/>
            </w:tcBorders>
          </w:tcPr>
          <w:p w14:paraId="7C83EEE2" w14:textId="77777777" w:rsidR="003B6004" w:rsidRPr="00F90FE6" w:rsidRDefault="003B6004" w:rsidP="003B6004">
            <w:pPr>
              <w:spacing w:line="259" w:lineRule="auto"/>
              <w:ind w:left="323"/>
              <w:rPr>
                <w:rFonts w:ascii="Arial" w:hAnsi="Arial" w:cs="Arial"/>
                <w:sz w:val="18"/>
                <w:szCs w:val="16"/>
              </w:rPr>
            </w:pPr>
            <w:r w:rsidRPr="00F90FE6">
              <w:rPr>
                <w:rFonts w:ascii="Arial" w:hAnsi="Arial" w:cs="Arial"/>
                <w:sz w:val="18"/>
                <w:szCs w:val="16"/>
              </w:rPr>
              <w:t>- w sektorze przedsiębiorstw</w:t>
            </w:r>
          </w:p>
        </w:tc>
        <w:tc>
          <w:tcPr>
            <w:tcW w:w="1011" w:type="pct"/>
            <w:tcBorders>
              <w:top w:val="nil"/>
              <w:left w:val="single" w:sz="9" w:space="0" w:color="000000"/>
              <w:bottom w:val="nil"/>
              <w:right w:val="single" w:sz="9" w:space="0" w:color="000000"/>
            </w:tcBorders>
          </w:tcPr>
          <w:p w14:paraId="6C704CE2"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2B4272D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112,6</w:t>
            </w:r>
          </w:p>
        </w:tc>
        <w:tc>
          <w:tcPr>
            <w:tcW w:w="435" w:type="pct"/>
            <w:tcBorders>
              <w:top w:val="nil"/>
              <w:left w:val="single" w:sz="9" w:space="0" w:color="000000"/>
              <w:bottom w:val="nil"/>
              <w:right w:val="single" w:sz="9" w:space="0" w:color="000000"/>
            </w:tcBorders>
            <w:vAlign w:val="center"/>
          </w:tcPr>
          <w:p w14:paraId="2F3B610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110,2</w:t>
            </w:r>
          </w:p>
        </w:tc>
        <w:tc>
          <w:tcPr>
            <w:tcW w:w="435" w:type="pct"/>
            <w:tcBorders>
              <w:top w:val="nil"/>
              <w:left w:val="single" w:sz="9" w:space="0" w:color="000000"/>
              <w:bottom w:val="nil"/>
              <w:right w:val="single" w:sz="9" w:space="0" w:color="000000"/>
            </w:tcBorders>
            <w:vAlign w:val="center"/>
          </w:tcPr>
          <w:p w14:paraId="1405ACEC"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113,0</w:t>
            </w:r>
          </w:p>
        </w:tc>
        <w:tc>
          <w:tcPr>
            <w:tcW w:w="435" w:type="pct"/>
            <w:tcBorders>
              <w:top w:val="nil"/>
              <w:left w:val="single" w:sz="9" w:space="0" w:color="000000"/>
              <w:bottom w:val="nil"/>
              <w:right w:val="single" w:sz="9" w:space="0" w:color="000000"/>
            </w:tcBorders>
            <w:vAlign w:val="center"/>
          </w:tcPr>
          <w:p w14:paraId="38C7A4BD"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112,0</w:t>
            </w:r>
          </w:p>
        </w:tc>
      </w:tr>
      <w:tr w:rsidR="003B6004" w:rsidRPr="00F90FE6" w14:paraId="4D178F36" w14:textId="77777777" w:rsidTr="003B6004">
        <w:trPr>
          <w:trHeight w:val="279"/>
        </w:trPr>
        <w:tc>
          <w:tcPr>
            <w:tcW w:w="2249" w:type="pct"/>
            <w:tcBorders>
              <w:top w:val="nil"/>
              <w:left w:val="single" w:sz="4" w:space="0" w:color="000000"/>
              <w:bottom w:val="nil"/>
              <w:right w:val="single" w:sz="9" w:space="0" w:color="000000"/>
            </w:tcBorders>
          </w:tcPr>
          <w:p w14:paraId="696B2BF0" w14:textId="77777777" w:rsidR="003B6004" w:rsidRPr="00F90FE6" w:rsidRDefault="003B6004" w:rsidP="003B6004">
            <w:pPr>
              <w:spacing w:after="108" w:line="259" w:lineRule="auto"/>
              <w:ind w:left="32"/>
              <w:jc w:val="center"/>
              <w:rPr>
                <w:rFonts w:ascii="Arial" w:hAnsi="Arial" w:cs="Arial"/>
                <w:sz w:val="18"/>
                <w:szCs w:val="16"/>
              </w:rPr>
            </w:pPr>
            <w:r w:rsidRPr="00F90FE6">
              <w:rPr>
                <w:rFonts w:ascii="Arial" w:hAnsi="Arial" w:cs="Arial"/>
                <w:b/>
                <w:sz w:val="18"/>
                <w:szCs w:val="16"/>
              </w:rPr>
              <w:t>Rynek pracy</w:t>
            </w:r>
          </w:p>
          <w:p w14:paraId="4F818D53"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Przeciętne zatrudnienie w gospodarce narodowej</w:t>
            </w:r>
          </w:p>
        </w:tc>
        <w:tc>
          <w:tcPr>
            <w:tcW w:w="1011" w:type="pct"/>
            <w:tcBorders>
              <w:top w:val="nil"/>
              <w:left w:val="single" w:sz="9" w:space="0" w:color="000000"/>
              <w:bottom w:val="nil"/>
              <w:right w:val="single" w:sz="9" w:space="0" w:color="000000"/>
            </w:tcBorders>
            <w:vAlign w:val="bottom"/>
          </w:tcPr>
          <w:p w14:paraId="38177BA6" w14:textId="77777777" w:rsidR="003B6004" w:rsidRPr="00F90FE6" w:rsidRDefault="003B6004" w:rsidP="003B6004">
            <w:pPr>
              <w:spacing w:line="259" w:lineRule="auto"/>
              <w:ind w:left="39"/>
              <w:jc w:val="center"/>
              <w:rPr>
                <w:rFonts w:ascii="Arial" w:hAnsi="Arial" w:cs="Arial"/>
                <w:sz w:val="18"/>
                <w:szCs w:val="16"/>
              </w:rPr>
            </w:pPr>
            <w:r w:rsidRPr="00F90FE6">
              <w:rPr>
                <w:rFonts w:ascii="Arial" w:hAnsi="Arial" w:cs="Arial"/>
                <w:sz w:val="18"/>
                <w:szCs w:val="16"/>
              </w:rPr>
              <w:t>tys. etatów</w:t>
            </w:r>
          </w:p>
        </w:tc>
        <w:tc>
          <w:tcPr>
            <w:tcW w:w="435" w:type="pct"/>
            <w:tcBorders>
              <w:top w:val="nil"/>
              <w:left w:val="single" w:sz="9" w:space="0" w:color="000000"/>
              <w:bottom w:val="nil"/>
              <w:right w:val="single" w:sz="9" w:space="0" w:color="000000"/>
            </w:tcBorders>
            <w:vAlign w:val="bottom"/>
          </w:tcPr>
          <w:p w14:paraId="77EF689E"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11 038</w:t>
            </w:r>
          </w:p>
        </w:tc>
        <w:tc>
          <w:tcPr>
            <w:tcW w:w="435" w:type="pct"/>
            <w:tcBorders>
              <w:top w:val="nil"/>
              <w:left w:val="single" w:sz="9" w:space="0" w:color="000000"/>
              <w:bottom w:val="nil"/>
              <w:right w:val="single" w:sz="9" w:space="0" w:color="000000"/>
            </w:tcBorders>
            <w:vAlign w:val="bottom"/>
          </w:tcPr>
          <w:p w14:paraId="368D6305"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10 986</w:t>
            </w:r>
          </w:p>
        </w:tc>
        <w:tc>
          <w:tcPr>
            <w:tcW w:w="435" w:type="pct"/>
            <w:tcBorders>
              <w:top w:val="nil"/>
              <w:left w:val="single" w:sz="9" w:space="0" w:color="000000"/>
              <w:bottom w:val="nil"/>
              <w:right w:val="single" w:sz="9" w:space="0" w:color="000000"/>
            </w:tcBorders>
            <w:vAlign w:val="bottom"/>
          </w:tcPr>
          <w:p w14:paraId="691C86C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11 103</w:t>
            </w:r>
          </w:p>
        </w:tc>
        <w:tc>
          <w:tcPr>
            <w:tcW w:w="435" w:type="pct"/>
            <w:tcBorders>
              <w:top w:val="nil"/>
              <w:left w:val="single" w:sz="9" w:space="0" w:color="000000"/>
              <w:bottom w:val="nil"/>
              <w:right w:val="single" w:sz="9" w:space="0" w:color="000000"/>
            </w:tcBorders>
            <w:vAlign w:val="bottom"/>
          </w:tcPr>
          <w:p w14:paraId="066ADFC7"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11 168</w:t>
            </w:r>
          </w:p>
        </w:tc>
      </w:tr>
      <w:tr w:rsidR="003B6004" w:rsidRPr="00F90FE6" w14:paraId="16D747F5" w14:textId="77777777" w:rsidTr="003B6004">
        <w:trPr>
          <w:trHeight w:val="45"/>
        </w:trPr>
        <w:tc>
          <w:tcPr>
            <w:tcW w:w="2249" w:type="pct"/>
            <w:tcBorders>
              <w:top w:val="nil"/>
              <w:left w:val="single" w:sz="4" w:space="0" w:color="000000"/>
              <w:bottom w:val="nil"/>
              <w:right w:val="single" w:sz="9" w:space="0" w:color="000000"/>
            </w:tcBorders>
          </w:tcPr>
          <w:p w14:paraId="1BDDF41E" w14:textId="77777777" w:rsidR="003B6004" w:rsidRPr="00F90FE6" w:rsidRDefault="003B6004" w:rsidP="003B6004">
            <w:pPr>
              <w:spacing w:line="259" w:lineRule="auto"/>
              <w:ind w:left="323"/>
              <w:rPr>
                <w:rFonts w:ascii="Arial" w:hAnsi="Arial" w:cs="Arial"/>
                <w:sz w:val="18"/>
                <w:szCs w:val="16"/>
              </w:rPr>
            </w:pPr>
            <w:r w:rsidRPr="00F90FE6">
              <w:rPr>
                <w:rFonts w:ascii="Arial" w:hAnsi="Arial" w:cs="Arial"/>
                <w:sz w:val="18"/>
                <w:szCs w:val="16"/>
              </w:rPr>
              <w:t>- w sektorze przedsiębiorstw</w:t>
            </w:r>
          </w:p>
        </w:tc>
        <w:tc>
          <w:tcPr>
            <w:tcW w:w="1011" w:type="pct"/>
            <w:tcBorders>
              <w:top w:val="nil"/>
              <w:left w:val="single" w:sz="9" w:space="0" w:color="000000"/>
              <w:bottom w:val="nil"/>
              <w:right w:val="single" w:sz="9" w:space="0" w:color="000000"/>
            </w:tcBorders>
          </w:tcPr>
          <w:p w14:paraId="2CEAF326" w14:textId="77777777" w:rsidR="003B6004" w:rsidRPr="00F90FE6" w:rsidRDefault="003B6004" w:rsidP="003B6004">
            <w:pPr>
              <w:spacing w:line="259" w:lineRule="auto"/>
              <w:ind w:left="39"/>
              <w:jc w:val="center"/>
              <w:rPr>
                <w:rFonts w:ascii="Arial" w:hAnsi="Arial" w:cs="Arial"/>
                <w:sz w:val="18"/>
                <w:szCs w:val="16"/>
              </w:rPr>
            </w:pPr>
            <w:r w:rsidRPr="00F90FE6">
              <w:rPr>
                <w:rFonts w:ascii="Arial" w:hAnsi="Arial" w:cs="Arial"/>
                <w:sz w:val="18"/>
                <w:szCs w:val="16"/>
              </w:rPr>
              <w:t>tys. etatów</w:t>
            </w:r>
          </w:p>
        </w:tc>
        <w:tc>
          <w:tcPr>
            <w:tcW w:w="435" w:type="pct"/>
            <w:tcBorders>
              <w:top w:val="nil"/>
              <w:left w:val="single" w:sz="9" w:space="0" w:color="000000"/>
              <w:bottom w:val="nil"/>
              <w:right w:val="single" w:sz="9" w:space="0" w:color="000000"/>
            </w:tcBorders>
            <w:vAlign w:val="center"/>
          </w:tcPr>
          <w:p w14:paraId="4C7EC0E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6 499</w:t>
            </w:r>
          </w:p>
        </w:tc>
        <w:tc>
          <w:tcPr>
            <w:tcW w:w="435" w:type="pct"/>
            <w:tcBorders>
              <w:top w:val="nil"/>
              <w:left w:val="single" w:sz="9" w:space="0" w:color="000000"/>
              <w:bottom w:val="nil"/>
              <w:right w:val="single" w:sz="9" w:space="0" w:color="000000"/>
            </w:tcBorders>
            <w:vAlign w:val="center"/>
          </w:tcPr>
          <w:p w14:paraId="35BA944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6 527</w:t>
            </w:r>
          </w:p>
        </w:tc>
        <w:tc>
          <w:tcPr>
            <w:tcW w:w="435" w:type="pct"/>
            <w:tcBorders>
              <w:top w:val="nil"/>
              <w:left w:val="single" w:sz="9" w:space="0" w:color="000000"/>
              <w:bottom w:val="nil"/>
              <w:right w:val="single" w:sz="9" w:space="0" w:color="000000"/>
            </w:tcBorders>
            <w:vAlign w:val="center"/>
          </w:tcPr>
          <w:p w14:paraId="51D6B956"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6 509</w:t>
            </w:r>
          </w:p>
        </w:tc>
        <w:tc>
          <w:tcPr>
            <w:tcW w:w="435" w:type="pct"/>
            <w:tcBorders>
              <w:top w:val="nil"/>
              <w:left w:val="single" w:sz="9" w:space="0" w:color="000000"/>
              <w:bottom w:val="nil"/>
              <w:right w:val="single" w:sz="9" w:space="0" w:color="000000"/>
            </w:tcBorders>
            <w:vAlign w:val="center"/>
          </w:tcPr>
          <w:p w14:paraId="359100C5"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6 552</w:t>
            </w:r>
          </w:p>
        </w:tc>
      </w:tr>
      <w:tr w:rsidR="003B6004" w:rsidRPr="00F90FE6" w14:paraId="45E1AC01" w14:textId="77777777" w:rsidTr="003B6004">
        <w:trPr>
          <w:trHeight w:val="91"/>
        </w:trPr>
        <w:tc>
          <w:tcPr>
            <w:tcW w:w="2249" w:type="pct"/>
            <w:tcBorders>
              <w:top w:val="nil"/>
              <w:left w:val="single" w:sz="4" w:space="0" w:color="000000"/>
              <w:bottom w:val="nil"/>
              <w:right w:val="single" w:sz="9" w:space="0" w:color="000000"/>
            </w:tcBorders>
          </w:tcPr>
          <w:p w14:paraId="5BF032EE"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Przeciętne zatrudnienie w gospodarce narodowej</w:t>
            </w:r>
          </w:p>
        </w:tc>
        <w:tc>
          <w:tcPr>
            <w:tcW w:w="1011" w:type="pct"/>
            <w:tcBorders>
              <w:top w:val="nil"/>
              <w:left w:val="single" w:sz="9" w:space="0" w:color="000000"/>
              <w:bottom w:val="nil"/>
              <w:right w:val="single" w:sz="9" w:space="0" w:color="000000"/>
            </w:tcBorders>
            <w:vAlign w:val="bottom"/>
          </w:tcPr>
          <w:p w14:paraId="28DEC5C1"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bottom"/>
          </w:tcPr>
          <w:p w14:paraId="0555492B"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101,8</w:t>
            </w:r>
          </w:p>
        </w:tc>
        <w:tc>
          <w:tcPr>
            <w:tcW w:w="435" w:type="pct"/>
            <w:tcBorders>
              <w:top w:val="nil"/>
              <w:left w:val="single" w:sz="9" w:space="0" w:color="000000"/>
              <w:bottom w:val="nil"/>
              <w:right w:val="single" w:sz="9" w:space="0" w:color="000000"/>
            </w:tcBorders>
            <w:vAlign w:val="bottom"/>
          </w:tcPr>
          <w:p w14:paraId="33E4B81C"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99,5</w:t>
            </w:r>
          </w:p>
        </w:tc>
        <w:tc>
          <w:tcPr>
            <w:tcW w:w="435" w:type="pct"/>
            <w:tcBorders>
              <w:top w:val="nil"/>
              <w:left w:val="single" w:sz="9" w:space="0" w:color="000000"/>
              <w:bottom w:val="nil"/>
              <w:right w:val="single" w:sz="9" w:space="0" w:color="000000"/>
            </w:tcBorders>
            <w:vAlign w:val="bottom"/>
          </w:tcPr>
          <w:p w14:paraId="6877DA91"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102,1</w:t>
            </w:r>
          </w:p>
        </w:tc>
        <w:tc>
          <w:tcPr>
            <w:tcW w:w="435" w:type="pct"/>
            <w:tcBorders>
              <w:top w:val="nil"/>
              <w:left w:val="single" w:sz="9" w:space="0" w:color="000000"/>
              <w:bottom w:val="nil"/>
              <w:right w:val="single" w:sz="9" w:space="0" w:color="000000"/>
            </w:tcBorders>
            <w:vAlign w:val="bottom"/>
          </w:tcPr>
          <w:p w14:paraId="5908E90E"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100,6</w:t>
            </w:r>
          </w:p>
        </w:tc>
      </w:tr>
      <w:tr w:rsidR="003B6004" w:rsidRPr="00F90FE6" w14:paraId="39DDA59C" w14:textId="77777777" w:rsidTr="003B6004">
        <w:trPr>
          <w:trHeight w:val="151"/>
        </w:trPr>
        <w:tc>
          <w:tcPr>
            <w:tcW w:w="2249" w:type="pct"/>
            <w:tcBorders>
              <w:top w:val="nil"/>
              <w:left w:val="single" w:sz="4" w:space="0" w:color="000000"/>
              <w:bottom w:val="nil"/>
              <w:right w:val="single" w:sz="9" w:space="0" w:color="000000"/>
            </w:tcBorders>
          </w:tcPr>
          <w:p w14:paraId="7D908E1B" w14:textId="77777777" w:rsidR="003B6004" w:rsidRPr="00F90FE6" w:rsidRDefault="003B6004" w:rsidP="003B6004">
            <w:pPr>
              <w:spacing w:line="259" w:lineRule="auto"/>
              <w:ind w:left="323"/>
              <w:rPr>
                <w:rFonts w:ascii="Arial" w:hAnsi="Arial" w:cs="Arial"/>
                <w:sz w:val="18"/>
                <w:szCs w:val="16"/>
              </w:rPr>
            </w:pPr>
            <w:r w:rsidRPr="00F90FE6">
              <w:rPr>
                <w:rFonts w:ascii="Arial" w:hAnsi="Arial" w:cs="Arial"/>
                <w:sz w:val="18"/>
                <w:szCs w:val="16"/>
              </w:rPr>
              <w:t>- w sektorze przedsiębiorstw</w:t>
            </w:r>
          </w:p>
        </w:tc>
        <w:tc>
          <w:tcPr>
            <w:tcW w:w="1011" w:type="pct"/>
            <w:tcBorders>
              <w:top w:val="nil"/>
              <w:left w:val="single" w:sz="9" w:space="0" w:color="000000"/>
              <w:bottom w:val="nil"/>
              <w:right w:val="single" w:sz="9" w:space="0" w:color="000000"/>
            </w:tcBorders>
          </w:tcPr>
          <w:p w14:paraId="2DA8A9A8" w14:textId="77777777" w:rsidR="003B6004" w:rsidRPr="00F90FE6" w:rsidRDefault="003B6004" w:rsidP="003B6004">
            <w:pPr>
              <w:spacing w:line="259" w:lineRule="auto"/>
              <w:ind w:left="55"/>
              <w:jc w:val="center"/>
              <w:rPr>
                <w:rFonts w:ascii="Arial" w:hAnsi="Arial" w:cs="Arial"/>
                <w:sz w:val="18"/>
                <w:szCs w:val="16"/>
              </w:rPr>
            </w:pPr>
            <w:r w:rsidRPr="00F90FE6">
              <w:rPr>
                <w:rFonts w:ascii="Arial" w:hAnsi="Arial" w:cs="Arial"/>
                <w:sz w:val="18"/>
                <w:szCs w:val="16"/>
              </w:rPr>
              <w:t>rok poprzedni = 100</w:t>
            </w:r>
          </w:p>
        </w:tc>
        <w:tc>
          <w:tcPr>
            <w:tcW w:w="435" w:type="pct"/>
            <w:tcBorders>
              <w:top w:val="nil"/>
              <w:left w:val="single" w:sz="9" w:space="0" w:color="000000"/>
              <w:bottom w:val="nil"/>
              <w:right w:val="single" w:sz="9" w:space="0" w:color="000000"/>
            </w:tcBorders>
            <w:vAlign w:val="center"/>
          </w:tcPr>
          <w:p w14:paraId="3A8151A5"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102,4</w:t>
            </w:r>
          </w:p>
        </w:tc>
        <w:tc>
          <w:tcPr>
            <w:tcW w:w="435" w:type="pct"/>
            <w:tcBorders>
              <w:top w:val="nil"/>
              <w:left w:val="single" w:sz="9" w:space="0" w:color="000000"/>
              <w:bottom w:val="nil"/>
              <w:right w:val="single" w:sz="9" w:space="0" w:color="000000"/>
            </w:tcBorders>
            <w:vAlign w:val="center"/>
          </w:tcPr>
          <w:p w14:paraId="0E2608F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100,4</w:t>
            </w:r>
          </w:p>
        </w:tc>
        <w:tc>
          <w:tcPr>
            <w:tcW w:w="435" w:type="pct"/>
            <w:tcBorders>
              <w:top w:val="nil"/>
              <w:left w:val="single" w:sz="9" w:space="0" w:color="000000"/>
              <w:bottom w:val="nil"/>
              <w:right w:val="single" w:sz="9" w:space="0" w:color="000000"/>
            </w:tcBorders>
            <w:vAlign w:val="center"/>
          </w:tcPr>
          <w:p w14:paraId="64321C3B"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102,6</w:t>
            </w:r>
          </w:p>
        </w:tc>
        <w:tc>
          <w:tcPr>
            <w:tcW w:w="435" w:type="pct"/>
            <w:tcBorders>
              <w:top w:val="nil"/>
              <w:left w:val="single" w:sz="9" w:space="0" w:color="000000"/>
              <w:bottom w:val="nil"/>
              <w:right w:val="single" w:sz="9" w:space="0" w:color="000000"/>
            </w:tcBorders>
            <w:vAlign w:val="center"/>
          </w:tcPr>
          <w:p w14:paraId="7171E7FC"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100,7</w:t>
            </w:r>
          </w:p>
        </w:tc>
      </w:tr>
      <w:tr w:rsidR="003B6004" w:rsidRPr="00F90FE6" w14:paraId="0851A5D7" w14:textId="77777777" w:rsidTr="003B6004">
        <w:trPr>
          <w:trHeight w:val="41"/>
        </w:trPr>
        <w:tc>
          <w:tcPr>
            <w:tcW w:w="2249" w:type="pct"/>
            <w:tcBorders>
              <w:top w:val="nil"/>
              <w:left w:val="single" w:sz="4" w:space="0" w:color="000000"/>
              <w:bottom w:val="nil"/>
              <w:right w:val="single" w:sz="9" w:space="0" w:color="000000"/>
            </w:tcBorders>
          </w:tcPr>
          <w:p w14:paraId="07271D47"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Liczba zarejestrowanych bezrobotnych (koniec okresu)</w:t>
            </w:r>
          </w:p>
        </w:tc>
        <w:tc>
          <w:tcPr>
            <w:tcW w:w="1011" w:type="pct"/>
            <w:tcBorders>
              <w:top w:val="nil"/>
              <w:left w:val="single" w:sz="9" w:space="0" w:color="000000"/>
              <w:bottom w:val="nil"/>
              <w:right w:val="single" w:sz="9" w:space="0" w:color="000000"/>
            </w:tcBorders>
            <w:vAlign w:val="bottom"/>
          </w:tcPr>
          <w:p w14:paraId="029AEAD6" w14:textId="77777777" w:rsidR="003B6004" w:rsidRPr="00F90FE6" w:rsidRDefault="003B6004" w:rsidP="003B6004">
            <w:pPr>
              <w:spacing w:line="259" w:lineRule="auto"/>
              <w:ind w:left="38"/>
              <w:jc w:val="center"/>
              <w:rPr>
                <w:rFonts w:ascii="Arial" w:hAnsi="Arial" w:cs="Arial"/>
                <w:sz w:val="18"/>
                <w:szCs w:val="16"/>
              </w:rPr>
            </w:pPr>
            <w:r w:rsidRPr="00F90FE6">
              <w:rPr>
                <w:rFonts w:ascii="Arial" w:hAnsi="Arial" w:cs="Arial"/>
                <w:sz w:val="18"/>
                <w:szCs w:val="16"/>
              </w:rPr>
              <w:t>tys. osób</w:t>
            </w:r>
          </w:p>
        </w:tc>
        <w:tc>
          <w:tcPr>
            <w:tcW w:w="435" w:type="pct"/>
            <w:tcBorders>
              <w:top w:val="nil"/>
              <w:left w:val="single" w:sz="9" w:space="0" w:color="000000"/>
              <w:bottom w:val="nil"/>
              <w:right w:val="single" w:sz="9" w:space="0" w:color="000000"/>
            </w:tcBorders>
            <w:vAlign w:val="bottom"/>
          </w:tcPr>
          <w:p w14:paraId="0C2FD682"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814</w:t>
            </w:r>
          </w:p>
        </w:tc>
        <w:tc>
          <w:tcPr>
            <w:tcW w:w="435" w:type="pct"/>
            <w:tcBorders>
              <w:top w:val="nil"/>
              <w:left w:val="single" w:sz="9" w:space="0" w:color="000000"/>
              <w:bottom w:val="nil"/>
              <w:right w:val="single" w:sz="9" w:space="0" w:color="000000"/>
            </w:tcBorders>
            <w:vAlign w:val="bottom"/>
          </w:tcPr>
          <w:p w14:paraId="2244E6A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876</w:t>
            </w:r>
          </w:p>
        </w:tc>
        <w:tc>
          <w:tcPr>
            <w:tcW w:w="435" w:type="pct"/>
            <w:tcBorders>
              <w:top w:val="nil"/>
              <w:left w:val="single" w:sz="9" w:space="0" w:color="000000"/>
              <w:bottom w:val="nil"/>
              <w:right w:val="single" w:sz="9" w:space="0" w:color="000000"/>
            </w:tcBorders>
            <w:vAlign w:val="bottom"/>
          </w:tcPr>
          <w:p w14:paraId="4850C888"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812</w:t>
            </w:r>
          </w:p>
        </w:tc>
        <w:tc>
          <w:tcPr>
            <w:tcW w:w="435" w:type="pct"/>
            <w:tcBorders>
              <w:top w:val="nil"/>
              <w:left w:val="single" w:sz="9" w:space="0" w:color="000000"/>
              <w:bottom w:val="nil"/>
              <w:right w:val="single" w:sz="9" w:space="0" w:color="000000"/>
            </w:tcBorders>
            <w:vAlign w:val="bottom"/>
          </w:tcPr>
          <w:p w14:paraId="5E29E561"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854</w:t>
            </w:r>
          </w:p>
        </w:tc>
      </w:tr>
      <w:tr w:rsidR="003B6004" w:rsidRPr="00F90FE6" w14:paraId="70D695D2" w14:textId="77777777" w:rsidTr="003B6004">
        <w:trPr>
          <w:trHeight w:val="33"/>
        </w:trPr>
        <w:tc>
          <w:tcPr>
            <w:tcW w:w="2249" w:type="pct"/>
            <w:tcBorders>
              <w:top w:val="nil"/>
              <w:left w:val="single" w:sz="4" w:space="0" w:color="000000"/>
              <w:bottom w:val="nil"/>
              <w:right w:val="single" w:sz="9" w:space="0" w:color="000000"/>
            </w:tcBorders>
          </w:tcPr>
          <w:p w14:paraId="3F53D64A"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Stopa bezrobocia rejestrowanego (koniec okresu)</w:t>
            </w:r>
          </w:p>
        </w:tc>
        <w:tc>
          <w:tcPr>
            <w:tcW w:w="1011" w:type="pct"/>
            <w:tcBorders>
              <w:top w:val="nil"/>
              <w:left w:val="single" w:sz="9" w:space="0" w:color="000000"/>
              <w:bottom w:val="nil"/>
              <w:right w:val="single" w:sz="9" w:space="0" w:color="000000"/>
            </w:tcBorders>
            <w:vAlign w:val="bottom"/>
          </w:tcPr>
          <w:p w14:paraId="0E509CAB" w14:textId="77777777" w:rsidR="003B6004" w:rsidRPr="00F90FE6" w:rsidRDefault="003B6004" w:rsidP="003B6004">
            <w:pPr>
              <w:spacing w:line="259" w:lineRule="auto"/>
              <w:ind w:left="32"/>
              <w:jc w:val="center"/>
              <w:rPr>
                <w:rFonts w:ascii="Arial" w:hAnsi="Arial" w:cs="Arial"/>
                <w:sz w:val="18"/>
                <w:szCs w:val="16"/>
              </w:rPr>
            </w:pPr>
            <w:r w:rsidRPr="00F90FE6">
              <w:rPr>
                <w:rFonts w:ascii="Arial" w:hAnsi="Arial" w:cs="Arial"/>
                <w:sz w:val="18"/>
                <w:szCs w:val="16"/>
              </w:rPr>
              <w:t>%</w:t>
            </w:r>
          </w:p>
        </w:tc>
        <w:tc>
          <w:tcPr>
            <w:tcW w:w="435" w:type="pct"/>
            <w:tcBorders>
              <w:top w:val="nil"/>
              <w:left w:val="single" w:sz="9" w:space="0" w:color="000000"/>
              <w:bottom w:val="nil"/>
              <w:right w:val="single" w:sz="9" w:space="0" w:color="000000"/>
            </w:tcBorders>
            <w:vAlign w:val="bottom"/>
          </w:tcPr>
          <w:p w14:paraId="4597000C"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5,0</w:t>
            </w:r>
          </w:p>
        </w:tc>
        <w:tc>
          <w:tcPr>
            <w:tcW w:w="435" w:type="pct"/>
            <w:tcBorders>
              <w:top w:val="nil"/>
              <w:left w:val="single" w:sz="9" w:space="0" w:color="000000"/>
              <w:bottom w:val="nil"/>
              <w:right w:val="single" w:sz="9" w:space="0" w:color="000000"/>
            </w:tcBorders>
            <w:vAlign w:val="bottom"/>
          </w:tcPr>
          <w:p w14:paraId="4CE9A17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5,4</w:t>
            </w:r>
          </w:p>
        </w:tc>
        <w:tc>
          <w:tcPr>
            <w:tcW w:w="435" w:type="pct"/>
            <w:tcBorders>
              <w:top w:val="nil"/>
              <w:left w:val="single" w:sz="9" w:space="0" w:color="000000"/>
              <w:bottom w:val="nil"/>
              <w:right w:val="single" w:sz="9" w:space="0" w:color="000000"/>
            </w:tcBorders>
            <w:vAlign w:val="bottom"/>
          </w:tcPr>
          <w:p w14:paraId="39E4AC59"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5,2</w:t>
            </w:r>
          </w:p>
        </w:tc>
        <w:tc>
          <w:tcPr>
            <w:tcW w:w="435" w:type="pct"/>
            <w:tcBorders>
              <w:top w:val="nil"/>
              <w:left w:val="single" w:sz="9" w:space="0" w:color="000000"/>
              <w:bottom w:val="nil"/>
              <w:right w:val="single" w:sz="9" w:space="0" w:color="000000"/>
            </w:tcBorders>
            <w:vAlign w:val="bottom"/>
          </w:tcPr>
          <w:p w14:paraId="14B4A2CF"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5,5</w:t>
            </w:r>
          </w:p>
        </w:tc>
      </w:tr>
      <w:tr w:rsidR="003B6004" w:rsidRPr="00F90FE6" w14:paraId="2987F1A4" w14:textId="77777777" w:rsidTr="003B6004">
        <w:trPr>
          <w:trHeight w:val="397"/>
        </w:trPr>
        <w:tc>
          <w:tcPr>
            <w:tcW w:w="2249" w:type="pct"/>
            <w:tcBorders>
              <w:top w:val="nil"/>
              <w:left w:val="single" w:sz="4" w:space="0" w:color="000000"/>
              <w:bottom w:val="nil"/>
              <w:right w:val="single" w:sz="9" w:space="0" w:color="000000"/>
            </w:tcBorders>
            <w:vAlign w:val="center"/>
          </w:tcPr>
          <w:p w14:paraId="733E8316" w14:textId="77777777" w:rsidR="003B6004" w:rsidRPr="00F90FE6" w:rsidRDefault="003B6004" w:rsidP="003B6004">
            <w:pPr>
              <w:spacing w:after="108" w:line="259" w:lineRule="auto"/>
              <w:jc w:val="center"/>
              <w:rPr>
                <w:rFonts w:ascii="Arial" w:hAnsi="Arial" w:cs="Arial"/>
                <w:sz w:val="18"/>
                <w:szCs w:val="16"/>
              </w:rPr>
            </w:pPr>
            <w:r w:rsidRPr="00F90FE6">
              <w:rPr>
                <w:rFonts w:ascii="Arial" w:hAnsi="Arial" w:cs="Arial"/>
                <w:b/>
                <w:sz w:val="18"/>
                <w:szCs w:val="16"/>
              </w:rPr>
              <w:t>Kurs walutowy</w:t>
            </w:r>
          </w:p>
          <w:p w14:paraId="4037CF1D"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EUR/PLN (średni w roku)</w:t>
            </w:r>
          </w:p>
        </w:tc>
        <w:tc>
          <w:tcPr>
            <w:tcW w:w="1011" w:type="pct"/>
            <w:tcBorders>
              <w:top w:val="nil"/>
              <w:left w:val="single" w:sz="9" w:space="0" w:color="000000"/>
              <w:bottom w:val="nil"/>
              <w:right w:val="single" w:sz="9" w:space="0" w:color="000000"/>
            </w:tcBorders>
            <w:vAlign w:val="bottom"/>
          </w:tcPr>
          <w:p w14:paraId="38116992" w14:textId="77777777" w:rsidR="003B6004" w:rsidRPr="00F90FE6" w:rsidRDefault="003B6004" w:rsidP="00F90FE6">
            <w:pPr>
              <w:tabs>
                <w:tab w:val="center" w:pos="686"/>
              </w:tabs>
              <w:spacing w:line="259" w:lineRule="auto"/>
              <w:ind w:left="-19"/>
              <w:jc w:val="center"/>
              <w:rPr>
                <w:rFonts w:ascii="Arial" w:hAnsi="Arial" w:cs="Arial"/>
                <w:sz w:val="18"/>
                <w:szCs w:val="16"/>
              </w:rPr>
            </w:pPr>
            <w:r w:rsidRPr="00F90FE6">
              <w:rPr>
                <w:rFonts w:ascii="Arial" w:hAnsi="Arial" w:cs="Arial"/>
                <w:sz w:val="18"/>
                <w:szCs w:val="16"/>
              </w:rPr>
              <w:t>PLN</w:t>
            </w:r>
          </w:p>
        </w:tc>
        <w:tc>
          <w:tcPr>
            <w:tcW w:w="435" w:type="pct"/>
            <w:tcBorders>
              <w:top w:val="nil"/>
              <w:left w:val="single" w:sz="9" w:space="0" w:color="000000"/>
              <w:bottom w:val="nil"/>
              <w:right w:val="single" w:sz="9" w:space="0" w:color="000000"/>
            </w:tcBorders>
            <w:vAlign w:val="bottom"/>
          </w:tcPr>
          <w:p w14:paraId="0F0BDE4F"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4,64</w:t>
            </w:r>
          </w:p>
        </w:tc>
        <w:tc>
          <w:tcPr>
            <w:tcW w:w="435" w:type="pct"/>
            <w:tcBorders>
              <w:top w:val="nil"/>
              <w:left w:val="single" w:sz="9" w:space="0" w:color="000000"/>
              <w:bottom w:val="nil"/>
              <w:right w:val="single" w:sz="9" w:space="0" w:color="000000"/>
            </w:tcBorders>
            <w:vAlign w:val="bottom"/>
          </w:tcPr>
          <w:p w14:paraId="555C2F20"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4,65</w:t>
            </w:r>
          </w:p>
        </w:tc>
        <w:tc>
          <w:tcPr>
            <w:tcW w:w="435" w:type="pct"/>
            <w:tcBorders>
              <w:top w:val="nil"/>
              <w:left w:val="single" w:sz="9" w:space="0" w:color="000000"/>
              <w:bottom w:val="nil"/>
              <w:right w:val="single" w:sz="9" w:space="0" w:color="000000"/>
            </w:tcBorders>
            <w:vAlign w:val="bottom"/>
          </w:tcPr>
          <w:p w14:paraId="4C88C1D4"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4,69</w:t>
            </w:r>
          </w:p>
        </w:tc>
        <w:tc>
          <w:tcPr>
            <w:tcW w:w="435" w:type="pct"/>
            <w:tcBorders>
              <w:top w:val="nil"/>
              <w:left w:val="single" w:sz="9" w:space="0" w:color="000000"/>
              <w:bottom w:val="nil"/>
              <w:right w:val="single" w:sz="9" w:space="0" w:color="000000"/>
            </w:tcBorders>
            <w:vAlign w:val="bottom"/>
          </w:tcPr>
          <w:p w14:paraId="3580CEBD"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4,70</w:t>
            </w:r>
          </w:p>
        </w:tc>
      </w:tr>
      <w:tr w:rsidR="003B6004" w:rsidRPr="00F90FE6" w14:paraId="31D0C84E" w14:textId="77777777" w:rsidTr="003B6004">
        <w:trPr>
          <w:trHeight w:val="339"/>
        </w:trPr>
        <w:tc>
          <w:tcPr>
            <w:tcW w:w="2249" w:type="pct"/>
            <w:tcBorders>
              <w:top w:val="nil"/>
              <w:left w:val="single" w:sz="4" w:space="0" w:color="000000"/>
              <w:bottom w:val="nil"/>
              <w:right w:val="single" w:sz="9" w:space="0" w:color="000000"/>
            </w:tcBorders>
            <w:vAlign w:val="center"/>
          </w:tcPr>
          <w:p w14:paraId="5F4DF745" w14:textId="77777777" w:rsidR="003B6004" w:rsidRPr="00F90FE6" w:rsidRDefault="003B6004" w:rsidP="003B6004">
            <w:pPr>
              <w:spacing w:after="108" w:line="259" w:lineRule="auto"/>
              <w:jc w:val="center"/>
              <w:rPr>
                <w:rFonts w:ascii="Arial" w:hAnsi="Arial" w:cs="Arial"/>
                <w:b/>
                <w:sz w:val="18"/>
                <w:szCs w:val="16"/>
              </w:rPr>
            </w:pPr>
            <w:r w:rsidRPr="00F90FE6">
              <w:rPr>
                <w:rFonts w:ascii="Arial" w:hAnsi="Arial" w:cs="Arial"/>
                <w:b/>
                <w:sz w:val="18"/>
                <w:szCs w:val="16"/>
              </w:rPr>
              <w:t>Stopy procentowe</w:t>
            </w:r>
          </w:p>
          <w:p w14:paraId="4D13F1F9" w14:textId="77777777" w:rsidR="003B6004" w:rsidRPr="00F90FE6" w:rsidRDefault="003B6004" w:rsidP="003B6004">
            <w:pPr>
              <w:spacing w:line="259" w:lineRule="auto"/>
              <w:ind w:right="798"/>
              <w:rPr>
                <w:rFonts w:ascii="Arial" w:hAnsi="Arial" w:cs="Arial"/>
                <w:sz w:val="18"/>
                <w:szCs w:val="16"/>
              </w:rPr>
            </w:pPr>
            <w:r w:rsidRPr="00F90FE6">
              <w:rPr>
                <w:rFonts w:ascii="Arial" w:hAnsi="Arial" w:cs="Arial"/>
                <w:sz w:val="18"/>
                <w:szCs w:val="16"/>
              </w:rPr>
              <w:t xml:space="preserve">  Stopa referencyjna NBP (średn</w:t>
            </w:r>
            <w:r w:rsidR="009D4976">
              <w:rPr>
                <w:rFonts w:ascii="Arial" w:hAnsi="Arial" w:cs="Arial"/>
                <w:sz w:val="18"/>
                <w:szCs w:val="16"/>
              </w:rPr>
              <w:t xml:space="preserve">io </w:t>
            </w:r>
            <w:r w:rsidR="002A3106">
              <w:rPr>
                <w:rFonts w:ascii="Arial" w:hAnsi="Arial" w:cs="Arial"/>
                <w:sz w:val="18"/>
                <w:szCs w:val="16"/>
              </w:rPr>
              <w:br/>
              <w:t>  </w:t>
            </w:r>
            <w:r w:rsidR="009D4976">
              <w:rPr>
                <w:rFonts w:ascii="Arial" w:hAnsi="Arial" w:cs="Arial"/>
                <w:sz w:val="18"/>
                <w:szCs w:val="16"/>
              </w:rPr>
              <w:t>w </w:t>
            </w:r>
            <w:r w:rsidRPr="00F90FE6">
              <w:rPr>
                <w:rFonts w:ascii="Arial" w:hAnsi="Arial" w:cs="Arial"/>
                <w:sz w:val="18"/>
                <w:szCs w:val="16"/>
              </w:rPr>
              <w:t>okresie)</w:t>
            </w:r>
          </w:p>
        </w:tc>
        <w:tc>
          <w:tcPr>
            <w:tcW w:w="1011" w:type="pct"/>
            <w:tcBorders>
              <w:top w:val="nil"/>
              <w:left w:val="single" w:sz="9" w:space="0" w:color="000000"/>
              <w:bottom w:val="nil"/>
              <w:right w:val="single" w:sz="9" w:space="0" w:color="000000"/>
            </w:tcBorders>
            <w:vAlign w:val="bottom"/>
          </w:tcPr>
          <w:p w14:paraId="1136CA7B" w14:textId="77777777" w:rsidR="003B6004" w:rsidRPr="00F90FE6" w:rsidRDefault="003B6004" w:rsidP="003B6004">
            <w:pPr>
              <w:spacing w:line="259" w:lineRule="auto"/>
              <w:ind w:left="37"/>
              <w:jc w:val="center"/>
              <w:rPr>
                <w:rFonts w:ascii="Arial" w:hAnsi="Arial" w:cs="Arial"/>
                <w:sz w:val="18"/>
                <w:szCs w:val="16"/>
              </w:rPr>
            </w:pPr>
            <w:r w:rsidRPr="00F90FE6">
              <w:rPr>
                <w:rFonts w:ascii="Arial" w:hAnsi="Arial" w:cs="Arial"/>
                <w:sz w:val="18"/>
                <w:szCs w:val="16"/>
              </w:rPr>
              <w:t>%, nominalnie</w:t>
            </w:r>
          </w:p>
        </w:tc>
        <w:tc>
          <w:tcPr>
            <w:tcW w:w="435" w:type="pct"/>
            <w:tcBorders>
              <w:top w:val="nil"/>
              <w:left w:val="single" w:sz="9" w:space="0" w:color="000000"/>
              <w:bottom w:val="nil"/>
              <w:right w:val="single" w:sz="9" w:space="0" w:color="000000"/>
            </w:tcBorders>
            <w:vAlign w:val="bottom"/>
          </w:tcPr>
          <w:p w14:paraId="7E028F2C"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5,4</w:t>
            </w:r>
          </w:p>
        </w:tc>
        <w:tc>
          <w:tcPr>
            <w:tcW w:w="435" w:type="pct"/>
            <w:tcBorders>
              <w:top w:val="nil"/>
              <w:left w:val="single" w:sz="9" w:space="0" w:color="000000"/>
              <w:bottom w:val="nil"/>
              <w:right w:val="single" w:sz="9" w:space="0" w:color="000000"/>
            </w:tcBorders>
            <w:vAlign w:val="bottom"/>
          </w:tcPr>
          <w:p w14:paraId="433B778E"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6,9</w:t>
            </w:r>
          </w:p>
        </w:tc>
        <w:tc>
          <w:tcPr>
            <w:tcW w:w="435" w:type="pct"/>
            <w:tcBorders>
              <w:top w:val="nil"/>
              <w:left w:val="single" w:sz="9" w:space="0" w:color="000000"/>
              <w:bottom w:val="nil"/>
              <w:right w:val="single" w:sz="9" w:space="0" w:color="000000"/>
            </w:tcBorders>
            <w:vAlign w:val="bottom"/>
          </w:tcPr>
          <w:p w14:paraId="5B666411"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5,3</w:t>
            </w:r>
          </w:p>
        </w:tc>
        <w:tc>
          <w:tcPr>
            <w:tcW w:w="435" w:type="pct"/>
            <w:tcBorders>
              <w:top w:val="nil"/>
              <w:left w:val="single" w:sz="9" w:space="0" w:color="000000"/>
              <w:bottom w:val="nil"/>
              <w:right w:val="single" w:sz="9" w:space="0" w:color="000000"/>
            </w:tcBorders>
            <w:vAlign w:val="bottom"/>
          </w:tcPr>
          <w:p w14:paraId="0219C615"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6,8</w:t>
            </w:r>
          </w:p>
        </w:tc>
      </w:tr>
      <w:tr w:rsidR="003B6004" w:rsidRPr="00F90FE6" w14:paraId="45DE6CE4" w14:textId="77777777" w:rsidTr="003B6004">
        <w:trPr>
          <w:trHeight w:val="479"/>
        </w:trPr>
        <w:tc>
          <w:tcPr>
            <w:tcW w:w="2249" w:type="pct"/>
            <w:tcBorders>
              <w:top w:val="nil"/>
              <w:left w:val="single" w:sz="4" w:space="0" w:color="000000"/>
              <w:bottom w:val="single" w:sz="9" w:space="0" w:color="000000"/>
              <w:right w:val="single" w:sz="9" w:space="0" w:color="000000"/>
            </w:tcBorders>
          </w:tcPr>
          <w:p w14:paraId="31A1266A" w14:textId="77777777" w:rsidR="003B6004" w:rsidRPr="00F90FE6" w:rsidRDefault="003B6004" w:rsidP="003B6004">
            <w:pPr>
              <w:spacing w:after="108" w:line="259" w:lineRule="auto"/>
              <w:jc w:val="center"/>
              <w:rPr>
                <w:rFonts w:ascii="Arial" w:hAnsi="Arial" w:cs="Arial"/>
                <w:sz w:val="18"/>
                <w:szCs w:val="16"/>
              </w:rPr>
            </w:pPr>
            <w:r w:rsidRPr="00F90FE6">
              <w:rPr>
                <w:rFonts w:ascii="Arial" w:hAnsi="Arial" w:cs="Arial"/>
                <w:b/>
                <w:sz w:val="18"/>
                <w:szCs w:val="16"/>
              </w:rPr>
              <w:t>Bilans płatniczy na bazie transakcji</w:t>
            </w:r>
          </w:p>
          <w:p w14:paraId="0E4B8554" w14:textId="77777777" w:rsidR="003B6004" w:rsidRPr="00F90FE6" w:rsidRDefault="003B6004" w:rsidP="003B6004">
            <w:pPr>
              <w:spacing w:line="259" w:lineRule="auto"/>
              <w:ind w:left="126"/>
              <w:rPr>
                <w:rFonts w:ascii="Arial" w:hAnsi="Arial" w:cs="Arial"/>
                <w:sz w:val="18"/>
                <w:szCs w:val="16"/>
              </w:rPr>
            </w:pPr>
            <w:r w:rsidRPr="00F90FE6">
              <w:rPr>
                <w:rFonts w:ascii="Arial" w:hAnsi="Arial" w:cs="Arial"/>
                <w:sz w:val="18"/>
                <w:szCs w:val="16"/>
              </w:rPr>
              <w:t>Saldo obrotów bieżących</w:t>
            </w:r>
          </w:p>
        </w:tc>
        <w:tc>
          <w:tcPr>
            <w:tcW w:w="1011" w:type="pct"/>
            <w:tcBorders>
              <w:top w:val="nil"/>
              <w:left w:val="single" w:sz="9" w:space="0" w:color="000000"/>
              <w:bottom w:val="single" w:sz="9" w:space="0" w:color="000000"/>
              <w:right w:val="single" w:sz="9" w:space="0" w:color="000000"/>
            </w:tcBorders>
            <w:vAlign w:val="bottom"/>
          </w:tcPr>
          <w:p w14:paraId="0246B2AC" w14:textId="77777777" w:rsidR="003B6004" w:rsidRPr="00F90FE6" w:rsidRDefault="003B6004" w:rsidP="003B6004">
            <w:pPr>
              <w:spacing w:line="259" w:lineRule="auto"/>
              <w:ind w:left="21"/>
              <w:jc w:val="center"/>
              <w:rPr>
                <w:rFonts w:ascii="Arial" w:hAnsi="Arial" w:cs="Arial"/>
                <w:sz w:val="18"/>
                <w:szCs w:val="16"/>
              </w:rPr>
            </w:pPr>
            <w:r w:rsidRPr="00F90FE6">
              <w:rPr>
                <w:rFonts w:ascii="Arial" w:hAnsi="Arial" w:cs="Arial"/>
                <w:sz w:val="18"/>
                <w:szCs w:val="16"/>
              </w:rPr>
              <w:t>% PKB</w:t>
            </w:r>
          </w:p>
        </w:tc>
        <w:tc>
          <w:tcPr>
            <w:tcW w:w="435" w:type="pct"/>
            <w:tcBorders>
              <w:top w:val="nil"/>
              <w:left w:val="single" w:sz="9" w:space="0" w:color="000000"/>
              <w:bottom w:val="single" w:sz="9" w:space="0" w:color="000000"/>
              <w:right w:val="single" w:sz="9" w:space="0" w:color="000000"/>
            </w:tcBorders>
            <w:vAlign w:val="bottom"/>
          </w:tcPr>
          <w:p w14:paraId="6D412B1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-4,3</w:t>
            </w:r>
          </w:p>
        </w:tc>
        <w:tc>
          <w:tcPr>
            <w:tcW w:w="435" w:type="pct"/>
            <w:tcBorders>
              <w:top w:val="nil"/>
              <w:left w:val="single" w:sz="9" w:space="0" w:color="000000"/>
              <w:bottom w:val="single" w:sz="9" w:space="0" w:color="000000"/>
              <w:right w:val="single" w:sz="9" w:space="0" w:color="000000"/>
            </w:tcBorders>
            <w:vAlign w:val="bottom"/>
          </w:tcPr>
          <w:p w14:paraId="781E79C1"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-2,9</w:t>
            </w:r>
          </w:p>
        </w:tc>
        <w:tc>
          <w:tcPr>
            <w:tcW w:w="435" w:type="pct"/>
            <w:tcBorders>
              <w:top w:val="nil"/>
              <w:left w:val="single" w:sz="9" w:space="0" w:color="000000"/>
              <w:bottom w:val="single" w:sz="9" w:space="0" w:color="000000"/>
              <w:right w:val="single" w:sz="9" w:space="0" w:color="000000"/>
            </w:tcBorders>
            <w:vAlign w:val="bottom"/>
          </w:tcPr>
          <w:p w14:paraId="4431C9A3"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-3,0</w:t>
            </w:r>
          </w:p>
        </w:tc>
        <w:tc>
          <w:tcPr>
            <w:tcW w:w="435" w:type="pct"/>
            <w:tcBorders>
              <w:top w:val="nil"/>
              <w:left w:val="single" w:sz="9" w:space="0" w:color="000000"/>
              <w:bottom w:val="single" w:sz="9" w:space="0" w:color="000000"/>
              <w:right w:val="single" w:sz="9" w:space="0" w:color="000000"/>
            </w:tcBorders>
            <w:vAlign w:val="bottom"/>
          </w:tcPr>
          <w:p w14:paraId="45115B0A" w14:textId="77777777" w:rsidR="003B6004" w:rsidRPr="00F90FE6" w:rsidRDefault="003B6004" w:rsidP="003B6004">
            <w:pPr>
              <w:jc w:val="center"/>
              <w:rPr>
                <w:rFonts w:ascii="Arial" w:hAnsi="Arial" w:cs="Arial"/>
                <w:sz w:val="18"/>
                <w:szCs w:val="16"/>
              </w:rPr>
            </w:pPr>
            <w:r w:rsidRPr="00F90FE6">
              <w:rPr>
                <w:rFonts w:ascii="Arial" w:hAnsi="Arial" w:cs="Arial"/>
                <w:sz w:val="18"/>
                <w:szCs w:val="16"/>
              </w:rPr>
              <w:t>-1,0</w:t>
            </w:r>
          </w:p>
        </w:tc>
      </w:tr>
    </w:tbl>
    <w:p w14:paraId="01045401" w14:textId="77777777" w:rsidR="003B6004" w:rsidRDefault="003B6004"/>
    <w:sectPr w:rsidR="003B60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1B8F1" w14:textId="77777777" w:rsidR="00531586" w:rsidRDefault="00531586" w:rsidP="00EF7560">
      <w:pPr>
        <w:spacing w:after="0" w:line="240" w:lineRule="auto"/>
      </w:pPr>
      <w:r>
        <w:separator/>
      </w:r>
    </w:p>
  </w:endnote>
  <w:endnote w:type="continuationSeparator" w:id="0">
    <w:p w14:paraId="0E7EA7EA" w14:textId="77777777" w:rsidR="00531586" w:rsidRDefault="00531586" w:rsidP="00EF7560">
      <w:pPr>
        <w:spacing w:after="0" w:line="240" w:lineRule="auto"/>
      </w:pPr>
      <w:r>
        <w:continuationSeparator/>
      </w:r>
    </w:p>
  </w:endnote>
  <w:endnote w:type="continuationNotice" w:id="1">
    <w:p w14:paraId="0F282FE5" w14:textId="77777777" w:rsidR="00531586" w:rsidRDefault="005315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30B1" w14:textId="77777777" w:rsidR="0001613A" w:rsidRDefault="0001613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34CC353" w14:textId="77777777" w:rsidR="0001613A" w:rsidRDefault="0001613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853155"/>
      <w:docPartObj>
        <w:docPartGallery w:val="Page Numbers (Bottom of Page)"/>
        <w:docPartUnique/>
      </w:docPartObj>
    </w:sdtPr>
    <w:sdtEndPr>
      <w:rPr>
        <w:sz w:val="20"/>
      </w:rPr>
    </w:sdtEndPr>
    <w:sdtContent>
      <w:p w14:paraId="58A1D1D6" w14:textId="77777777" w:rsidR="0001613A" w:rsidRPr="001D23AD" w:rsidRDefault="0001613A">
        <w:pPr>
          <w:pStyle w:val="Stopka"/>
          <w:rPr>
            <w:sz w:val="20"/>
          </w:rPr>
        </w:pPr>
        <w:r w:rsidRPr="001D23AD">
          <w:rPr>
            <w:sz w:val="20"/>
          </w:rPr>
          <w:fldChar w:fldCharType="begin"/>
        </w:r>
        <w:r w:rsidRPr="001D23AD">
          <w:rPr>
            <w:sz w:val="20"/>
          </w:rPr>
          <w:instrText>PAGE   \* MERGEFORMAT</w:instrText>
        </w:r>
        <w:r w:rsidRPr="001D23AD">
          <w:rPr>
            <w:sz w:val="20"/>
          </w:rPr>
          <w:fldChar w:fldCharType="separate"/>
        </w:r>
        <w:r>
          <w:rPr>
            <w:noProof/>
            <w:sz w:val="20"/>
          </w:rPr>
          <w:t>2</w:t>
        </w:r>
        <w:r w:rsidRPr="001D23AD">
          <w:rPr>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7247936"/>
      <w:docPartObj>
        <w:docPartGallery w:val="Page Numbers (Bottom of Page)"/>
        <w:docPartUnique/>
      </w:docPartObj>
    </w:sdtPr>
    <w:sdtEndPr/>
    <w:sdtContent>
      <w:p w14:paraId="22D8DBFE" w14:textId="715009EE" w:rsidR="0001613A" w:rsidRDefault="0001613A">
        <w:pPr>
          <w:pStyle w:val="Stopka"/>
        </w:pPr>
        <w:r>
          <w:fldChar w:fldCharType="begin"/>
        </w:r>
        <w:r>
          <w:instrText>PAGE   \* MERGEFORMAT</w:instrText>
        </w:r>
        <w:r>
          <w:fldChar w:fldCharType="separate"/>
        </w:r>
        <w:r w:rsidR="00686965">
          <w:rPr>
            <w:noProof/>
          </w:rPr>
          <w:t>21</w:t>
        </w:r>
        <w:r>
          <w:fldChar w:fldCharType="end"/>
        </w:r>
      </w:p>
    </w:sdtContent>
  </w:sdt>
  <w:p w14:paraId="747C6554" w14:textId="77777777" w:rsidR="0001613A" w:rsidRPr="001D23AD" w:rsidRDefault="0001613A">
    <w:pPr>
      <w:pStyle w:val="Stopka"/>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5B0A7" w14:textId="77777777" w:rsidR="00531586" w:rsidRDefault="00531586" w:rsidP="00EF7560">
      <w:pPr>
        <w:spacing w:after="0" w:line="240" w:lineRule="auto"/>
      </w:pPr>
      <w:r>
        <w:separator/>
      </w:r>
    </w:p>
  </w:footnote>
  <w:footnote w:type="continuationSeparator" w:id="0">
    <w:p w14:paraId="69D8E877" w14:textId="77777777" w:rsidR="00531586" w:rsidRDefault="00531586" w:rsidP="00EF7560">
      <w:pPr>
        <w:spacing w:after="0" w:line="240" w:lineRule="auto"/>
      </w:pPr>
      <w:r>
        <w:continuationSeparator/>
      </w:r>
    </w:p>
  </w:footnote>
  <w:footnote w:type="continuationNotice" w:id="1">
    <w:p w14:paraId="5CFB5A39" w14:textId="77777777" w:rsidR="00531586" w:rsidRDefault="00531586">
      <w:pPr>
        <w:spacing w:after="0" w:line="240" w:lineRule="auto"/>
      </w:pPr>
    </w:p>
  </w:footnote>
  <w:footnote w:id="2">
    <w:p w14:paraId="1E17506E" w14:textId="77777777" w:rsidR="0001613A" w:rsidRDefault="0001613A" w:rsidP="00914D99">
      <w:pPr>
        <w:pStyle w:val="Tekstprzypisudolnego"/>
      </w:pPr>
      <w:r>
        <w:rPr>
          <w:rStyle w:val="Odwoanieprzypisudolnego"/>
        </w:rPr>
        <w:footnoteRef/>
      </w:r>
      <w:r>
        <w:t xml:space="preserve"> </w:t>
      </w:r>
      <w:r w:rsidRPr="000F1182">
        <w:t>W przypadku Komisji Europejskiej prognozowanym wskaźnikiem inflacji jest zharmonizowany wskaźnik cen konsumpcyjnych (HICP), w pozostałych prognozach wskaźnik cen towarów i usług konsumpcyjnych CPI.</w:t>
      </w:r>
    </w:p>
  </w:footnote>
  <w:footnote w:id="3">
    <w:p w14:paraId="7F7549ED" w14:textId="77777777" w:rsidR="0001613A" w:rsidRPr="00914D99" w:rsidRDefault="0001613A" w:rsidP="00914D99">
      <w:pPr>
        <w:pStyle w:val="footnotedescription"/>
        <w:spacing w:line="240" w:lineRule="auto"/>
        <w:rPr>
          <w:sz w:val="20"/>
          <w:szCs w:val="20"/>
        </w:rPr>
      </w:pPr>
      <w:r w:rsidRPr="00914D99">
        <w:rPr>
          <w:rStyle w:val="footnotemark"/>
          <w:sz w:val="20"/>
          <w:szCs w:val="20"/>
        </w:rPr>
        <w:footnoteRef/>
      </w:r>
      <w:r w:rsidRPr="00914D99">
        <w:rPr>
          <w:sz w:val="20"/>
          <w:szCs w:val="20"/>
        </w:rPr>
        <w:t xml:space="preserve"> Przyjęto techniczne założenia o stałych kursach walutowych na poziomie średniej z kursów z okresu 10 dni roboczych od 27 lutego do 10 marca włącznie.</w:t>
      </w:r>
    </w:p>
  </w:footnote>
  <w:footnote w:id="4">
    <w:p w14:paraId="51A1F6C1" w14:textId="77777777" w:rsidR="0001613A" w:rsidRPr="00B72C9B" w:rsidRDefault="0001613A" w:rsidP="00593B67">
      <w:pPr>
        <w:pStyle w:val="Tekstprzypisudolnego"/>
      </w:pPr>
      <w:r w:rsidRPr="00B72C9B">
        <w:rPr>
          <w:rStyle w:val="Odwoanieprzypisudolnego"/>
        </w:rPr>
        <w:footnoteRef/>
      </w:r>
      <w:r w:rsidRPr="00B72C9B">
        <w:t xml:space="preserve"> Tzw. mapa drogowa, tj. ustawa z dnia 29 października 2021 r. o zmianie ustawy o podatku akcyzowym oraz ustawy o zmianie ustawy o podatku akcyzowym oraz niektórych innych ustaw (Dz.U. poz. 2313)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B930F" w14:textId="77777777" w:rsidR="000C1EA7" w:rsidRDefault="000C1EA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0352F"/>
    <w:multiLevelType w:val="hybridMultilevel"/>
    <w:tmpl w:val="08D2A3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31605D"/>
    <w:multiLevelType w:val="hybridMultilevel"/>
    <w:tmpl w:val="41723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1A6F1A"/>
    <w:multiLevelType w:val="hybridMultilevel"/>
    <w:tmpl w:val="1960B812"/>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3" w15:restartNumberingAfterBreak="0">
    <w:nsid w:val="0A797E2A"/>
    <w:multiLevelType w:val="hybridMultilevel"/>
    <w:tmpl w:val="EE56E248"/>
    <w:lvl w:ilvl="0" w:tplc="66F8B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575B5B"/>
    <w:multiLevelType w:val="hybridMultilevel"/>
    <w:tmpl w:val="F1247F54"/>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1DE1D33"/>
    <w:multiLevelType w:val="hybridMultilevel"/>
    <w:tmpl w:val="63B0D29C"/>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95F76FC"/>
    <w:multiLevelType w:val="hybridMultilevel"/>
    <w:tmpl w:val="C7BAA92A"/>
    <w:lvl w:ilvl="0" w:tplc="0415000D">
      <w:start w:val="1"/>
      <w:numFmt w:val="bullet"/>
      <w:lvlText w:val=""/>
      <w:lvlJc w:val="left"/>
      <w:pPr>
        <w:ind w:left="1211" w:hanging="360"/>
      </w:pPr>
      <w:rPr>
        <w:rFonts w:ascii="Wingdings" w:hAnsi="Wingdings" w:hint="default"/>
      </w:rPr>
    </w:lvl>
    <w:lvl w:ilvl="1" w:tplc="04150003" w:tentative="1">
      <w:start w:val="1"/>
      <w:numFmt w:val="bullet"/>
      <w:lvlText w:val="o"/>
      <w:lvlJc w:val="left"/>
      <w:pPr>
        <w:ind w:left="2235" w:hanging="360"/>
      </w:pPr>
      <w:rPr>
        <w:rFonts w:ascii="Courier New" w:hAnsi="Courier New" w:cs="Courier New" w:hint="default"/>
      </w:rPr>
    </w:lvl>
    <w:lvl w:ilvl="2" w:tplc="04150005" w:tentative="1">
      <w:start w:val="1"/>
      <w:numFmt w:val="bullet"/>
      <w:lvlText w:val=""/>
      <w:lvlJc w:val="left"/>
      <w:pPr>
        <w:ind w:left="2955" w:hanging="360"/>
      </w:pPr>
      <w:rPr>
        <w:rFonts w:ascii="Wingdings" w:hAnsi="Wingdings" w:hint="default"/>
      </w:rPr>
    </w:lvl>
    <w:lvl w:ilvl="3" w:tplc="04150001" w:tentative="1">
      <w:start w:val="1"/>
      <w:numFmt w:val="bullet"/>
      <w:lvlText w:val=""/>
      <w:lvlJc w:val="left"/>
      <w:pPr>
        <w:ind w:left="3675" w:hanging="360"/>
      </w:pPr>
      <w:rPr>
        <w:rFonts w:ascii="Symbol" w:hAnsi="Symbol" w:hint="default"/>
      </w:rPr>
    </w:lvl>
    <w:lvl w:ilvl="4" w:tplc="04150003" w:tentative="1">
      <w:start w:val="1"/>
      <w:numFmt w:val="bullet"/>
      <w:lvlText w:val="o"/>
      <w:lvlJc w:val="left"/>
      <w:pPr>
        <w:ind w:left="4395" w:hanging="360"/>
      </w:pPr>
      <w:rPr>
        <w:rFonts w:ascii="Courier New" w:hAnsi="Courier New" w:cs="Courier New" w:hint="default"/>
      </w:rPr>
    </w:lvl>
    <w:lvl w:ilvl="5" w:tplc="04150005" w:tentative="1">
      <w:start w:val="1"/>
      <w:numFmt w:val="bullet"/>
      <w:lvlText w:val=""/>
      <w:lvlJc w:val="left"/>
      <w:pPr>
        <w:ind w:left="5115" w:hanging="360"/>
      </w:pPr>
      <w:rPr>
        <w:rFonts w:ascii="Wingdings" w:hAnsi="Wingdings" w:hint="default"/>
      </w:rPr>
    </w:lvl>
    <w:lvl w:ilvl="6" w:tplc="04150001" w:tentative="1">
      <w:start w:val="1"/>
      <w:numFmt w:val="bullet"/>
      <w:lvlText w:val=""/>
      <w:lvlJc w:val="left"/>
      <w:pPr>
        <w:ind w:left="5835" w:hanging="360"/>
      </w:pPr>
      <w:rPr>
        <w:rFonts w:ascii="Symbol" w:hAnsi="Symbol" w:hint="default"/>
      </w:rPr>
    </w:lvl>
    <w:lvl w:ilvl="7" w:tplc="04150003" w:tentative="1">
      <w:start w:val="1"/>
      <w:numFmt w:val="bullet"/>
      <w:lvlText w:val="o"/>
      <w:lvlJc w:val="left"/>
      <w:pPr>
        <w:ind w:left="6555" w:hanging="360"/>
      </w:pPr>
      <w:rPr>
        <w:rFonts w:ascii="Courier New" w:hAnsi="Courier New" w:cs="Courier New" w:hint="default"/>
      </w:rPr>
    </w:lvl>
    <w:lvl w:ilvl="8" w:tplc="04150005" w:tentative="1">
      <w:start w:val="1"/>
      <w:numFmt w:val="bullet"/>
      <w:lvlText w:val=""/>
      <w:lvlJc w:val="left"/>
      <w:pPr>
        <w:ind w:left="7275" w:hanging="360"/>
      </w:pPr>
      <w:rPr>
        <w:rFonts w:ascii="Wingdings" w:hAnsi="Wingdings" w:hint="default"/>
      </w:rPr>
    </w:lvl>
  </w:abstractNum>
  <w:abstractNum w:abstractNumId="7" w15:restartNumberingAfterBreak="0">
    <w:nsid w:val="1A920988"/>
    <w:multiLevelType w:val="hybridMultilevel"/>
    <w:tmpl w:val="95EE66AA"/>
    <w:lvl w:ilvl="0" w:tplc="66F8B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CAB7EA7"/>
    <w:multiLevelType w:val="hybridMultilevel"/>
    <w:tmpl w:val="9D16DF96"/>
    <w:lvl w:ilvl="0" w:tplc="1A3CC4B2">
      <w:start w:val="1"/>
      <w:numFmt w:val="decimal"/>
      <w:lvlText w:val="%1)"/>
      <w:lvlJc w:val="left"/>
      <w:pPr>
        <w:ind w:left="720" w:hanging="360"/>
      </w:pPr>
      <w:rPr>
        <w:rFonts w:hint="default"/>
      </w:rPr>
    </w:lvl>
    <w:lvl w:ilvl="1" w:tplc="3E98C44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E51F80"/>
    <w:multiLevelType w:val="hybridMultilevel"/>
    <w:tmpl w:val="73945B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075602B"/>
    <w:multiLevelType w:val="hybridMultilevel"/>
    <w:tmpl w:val="56B25A7A"/>
    <w:lvl w:ilvl="0" w:tplc="66F8B6A2">
      <w:start w:val="1"/>
      <w:numFmt w:val="bullet"/>
      <w:lvlText w:val=""/>
      <w:lvlJc w:val="left"/>
      <w:pPr>
        <w:ind w:left="1211" w:hanging="360"/>
      </w:pPr>
      <w:rPr>
        <w:rFonts w:ascii="Symbol" w:hAnsi="Symbol" w:hint="default"/>
      </w:rPr>
    </w:lvl>
    <w:lvl w:ilvl="1" w:tplc="04150003" w:tentative="1">
      <w:start w:val="1"/>
      <w:numFmt w:val="bullet"/>
      <w:lvlText w:val="o"/>
      <w:lvlJc w:val="left"/>
      <w:pPr>
        <w:ind w:left="2235" w:hanging="360"/>
      </w:pPr>
      <w:rPr>
        <w:rFonts w:ascii="Courier New" w:hAnsi="Courier New" w:cs="Courier New" w:hint="default"/>
      </w:rPr>
    </w:lvl>
    <w:lvl w:ilvl="2" w:tplc="04150005" w:tentative="1">
      <w:start w:val="1"/>
      <w:numFmt w:val="bullet"/>
      <w:lvlText w:val=""/>
      <w:lvlJc w:val="left"/>
      <w:pPr>
        <w:ind w:left="2955" w:hanging="360"/>
      </w:pPr>
      <w:rPr>
        <w:rFonts w:ascii="Wingdings" w:hAnsi="Wingdings" w:hint="default"/>
      </w:rPr>
    </w:lvl>
    <w:lvl w:ilvl="3" w:tplc="04150001" w:tentative="1">
      <w:start w:val="1"/>
      <w:numFmt w:val="bullet"/>
      <w:lvlText w:val=""/>
      <w:lvlJc w:val="left"/>
      <w:pPr>
        <w:ind w:left="3675" w:hanging="360"/>
      </w:pPr>
      <w:rPr>
        <w:rFonts w:ascii="Symbol" w:hAnsi="Symbol" w:hint="default"/>
      </w:rPr>
    </w:lvl>
    <w:lvl w:ilvl="4" w:tplc="04150003" w:tentative="1">
      <w:start w:val="1"/>
      <w:numFmt w:val="bullet"/>
      <w:lvlText w:val="o"/>
      <w:lvlJc w:val="left"/>
      <w:pPr>
        <w:ind w:left="4395" w:hanging="360"/>
      </w:pPr>
      <w:rPr>
        <w:rFonts w:ascii="Courier New" w:hAnsi="Courier New" w:cs="Courier New" w:hint="default"/>
      </w:rPr>
    </w:lvl>
    <w:lvl w:ilvl="5" w:tplc="04150005" w:tentative="1">
      <w:start w:val="1"/>
      <w:numFmt w:val="bullet"/>
      <w:lvlText w:val=""/>
      <w:lvlJc w:val="left"/>
      <w:pPr>
        <w:ind w:left="5115" w:hanging="360"/>
      </w:pPr>
      <w:rPr>
        <w:rFonts w:ascii="Wingdings" w:hAnsi="Wingdings" w:hint="default"/>
      </w:rPr>
    </w:lvl>
    <w:lvl w:ilvl="6" w:tplc="04150001" w:tentative="1">
      <w:start w:val="1"/>
      <w:numFmt w:val="bullet"/>
      <w:lvlText w:val=""/>
      <w:lvlJc w:val="left"/>
      <w:pPr>
        <w:ind w:left="5835" w:hanging="360"/>
      </w:pPr>
      <w:rPr>
        <w:rFonts w:ascii="Symbol" w:hAnsi="Symbol" w:hint="default"/>
      </w:rPr>
    </w:lvl>
    <w:lvl w:ilvl="7" w:tplc="04150003" w:tentative="1">
      <w:start w:val="1"/>
      <w:numFmt w:val="bullet"/>
      <w:lvlText w:val="o"/>
      <w:lvlJc w:val="left"/>
      <w:pPr>
        <w:ind w:left="6555" w:hanging="360"/>
      </w:pPr>
      <w:rPr>
        <w:rFonts w:ascii="Courier New" w:hAnsi="Courier New" w:cs="Courier New" w:hint="default"/>
      </w:rPr>
    </w:lvl>
    <w:lvl w:ilvl="8" w:tplc="04150005" w:tentative="1">
      <w:start w:val="1"/>
      <w:numFmt w:val="bullet"/>
      <w:lvlText w:val=""/>
      <w:lvlJc w:val="left"/>
      <w:pPr>
        <w:ind w:left="7275" w:hanging="360"/>
      </w:pPr>
      <w:rPr>
        <w:rFonts w:ascii="Wingdings" w:hAnsi="Wingdings" w:hint="default"/>
      </w:rPr>
    </w:lvl>
  </w:abstractNum>
  <w:abstractNum w:abstractNumId="11" w15:restartNumberingAfterBreak="0">
    <w:nsid w:val="25FC64FB"/>
    <w:multiLevelType w:val="hybridMultilevel"/>
    <w:tmpl w:val="91E479F2"/>
    <w:lvl w:ilvl="0" w:tplc="C226AAEA">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6C298B"/>
    <w:multiLevelType w:val="hybridMultilevel"/>
    <w:tmpl w:val="EF286E62"/>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3" w15:restartNumberingAfterBreak="0">
    <w:nsid w:val="269F559F"/>
    <w:multiLevelType w:val="hybridMultilevel"/>
    <w:tmpl w:val="D39A3F7A"/>
    <w:lvl w:ilvl="0" w:tplc="826E3A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B0E7A24"/>
    <w:multiLevelType w:val="hybridMultilevel"/>
    <w:tmpl w:val="F3E2CE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E2339F2"/>
    <w:multiLevelType w:val="hybridMultilevel"/>
    <w:tmpl w:val="B5003D06"/>
    <w:lvl w:ilvl="0" w:tplc="66F8B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EF64483"/>
    <w:multiLevelType w:val="hybridMultilevel"/>
    <w:tmpl w:val="3190C3B4"/>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7" w15:restartNumberingAfterBreak="0">
    <w:nsid w:val="2EF82C09"/>
    <w:multiLevelType w:val="hybridMultilevel"/>
    <w:tmpl w:val="3BA0CFD6"/>
    <w:lvl w:ilvl="0" w:tplc="D0CCBA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0445487"/>
    <w:multiLevelType w:val="hybridMultilevel"/>
    <w:tmpl w:val="09EE4F80"/>
    <w:lvl w:ilvl="0" w:tplc="66F8B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D47089"/>
    <w:multiLevelType w:val="hybridMultilevel"/>
    <w:tmpl w:val="270A1810"/>
    <w:lvl w:ilvl="0" w:tplc="66F8B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ED54544"/>
    <w:multiLevelType w:val="hybridMultilevel"/>
    <w:tmpl w:val="4A0E929C"/>
    <w:lvl w:ilvl="0" w:tplc="66487328">
      <w:start w:val="1"/>
      <w:numFmt w:val="decimal"/>
      <w:lvlText w:val="%1)"/>
      <w:lvlJc w:val="left"/>
      <w:pPr>
        <w:ind w:left="643" w:hanging="360"/>
      </w:pPr>
    </w:lvl>
    <w:lvl w:ilvl="1" w:tplc="04150001">
      <w:start w:val="1"/>
      <w:numFmt w:val="bullet"/>
      <w:lvlText w:val=""/>
      <w:lvlJc w:val="left"/>
      <w:pPr>
        <w:ind w:left="1363" w:hanging="360"/>
      </w:pPr>
      <w:rPr>
        <w:rFonts w:ascii="Symbol" w:hAnsi="Symbol" w:hint="default"/>
      </w:r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1" w15:restartNumberingAfterBreak="0">
    <w:nsid w:val="490C0881"/>
    <w:multiLevelType w:val="hybridMultilevel"/>
    <w:tmpl w:val="FC922C66"/>
    <w:lvl w:ilvl="0" w:tplc="6648732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BED7F50"/>
    <w:multiLevelType w:val="hybridMultilevel"/>
    <w:tmpl w:val="CC660C3E"/>
    <w:lvl w:ilvl="0" w:tplc="1A3CC4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C202E39"/>
    <w:multiLevelType w:val="hybridMultilevel"/>
    <w:tmpl w:val="D58279BE"/>
    <w:lvl w:ilvl="0" w:tplc="04150017">
      <w:start w:val="1"/>
      <w:numFmt w:val="lowerLetter"/>
      <w:lvlText w:val="%1)"/>
      <w:lvlJc w:val="left"/>
      <w:pPr>
        <w:tabs>
          <w:tab w:val="num" w:pos="720"/>
        </w:tabs>
        <w:ind w:left="720" w:hanging="360"/>
      </w:pPr>
    </w:lvl>
    <w:lvl w:ilvl="1" w:tplc="3BAC8996">
      <w:numFmt w:val="bullet"/>
      <w:lvlText w:val="-"/>
      <w:lvlJc w:val="left"/>
      <w:pPr>
        <w:tabs>
          <w:tab w:val="num" w:pos="1851"/>
        </w:tabs>
        <w:ind w:left="1851" w:hanging="360"/>
      </w:pPr>
      <w:rPr>
        <w:rFonts w:ascii="Times New Roman" w:eastAsia="Times New Roman" w:hAnsi="Times New Roman" w:cs="Times New Roman" w:hint="default"/>
      </w:rPr>
    </w:lvl>
    <w:lvl w:ilvl="2" w:tplc="0415001B" w:tentative="1">
      <w:start w:val="1"/>
      <w:numFmt w:val="lowerRoman"/>
      <w:lvlText w:val="%3."/>
      <w:lvlJc w:val="right"/>
      <w:pPr>
        <w:tabs>
          <w:tab w:val="num" w:pos="2571"/>
        </w:tabs>
        <w:ind w:left="2571" w:hanging="180"/>
      </w:pPr>
    </w:lvl>
    <w:lvl w:ilvl="3" w:tplc="0415000F" w:tentative="1">
      <w:start w:val="1"/>
      <w:numFmt w:val="decimal"/>
      <w:lvlText w:val="%4."/>
      <w:lvlJc w:val="left"/>
      <w:pPr>
        <w:tabs>
          <w:tab w:val="num" w:pos="3291"/>
        </w:tabs>
        <w:ind w:left="3291" w:hanging="360"/>
      </w:pPr>
    </w:lvl>
    <w:lvl w:ilvl="4" w:tplc="04150019" w:tentative="1">
      <w:start w:val="1"/>
      <w:numFmt w:val="lowerLetter"/>
      <w:lvlText w:val="%5."/>
      <w:lvlJc w:val="left"/>
      <w:pPr>
        <w:tabs>
          <w:tab w:val="num" w:pos="4011"/>
        </w:tabs>
        <w:ind w:left="4011" w:hanging="360"/>
      </w:pPr>
    </w:lvl>
    <w:lvl w:ilvl="5" w:tplc="0415001B" w:tentative="1">
      <w:start w:val="1"/>
      <w:numFmt w:val="lowerRoman"/>
      <w:lvlText w:val="%6."/>
      <w:lvlJc w:val="right"/>
      <w:pPr>
        <w:tabs>
          <w:tab w:val="num" w:pos="4731"/>
        </w:tabs>
        <w:ind w:left="4731" w:hanging="180"/>
      </w:pPr>
    </w:lvl>
    <w:lvl w:ilvl="6" w:tplc="0415000F" w:tentative="1">
      <w:start w:val="1"/>
      <w:numFmt w:val="decimal"/>
      <w:lvlText w:val="%7."/>
      <w:lvlJc w:val="left"/>
      <w:pPr>
        <w:tabs>
          <w:tab w:val="num" w:pos="5451"/>
        </w:tabs>
        <w:ind w:left="5451" w:hanging="360"/>
      </w:pPr>
    </w:lvl>
    <w:lvl w:ilvl="7" w:tplc="04150019" w:tentative="1">
      <w:start w:val="1"/>
      <w:numFmt w:val="lowerLetter"/>
      <w:lvlText w:val="%8."/>
      <w:lvlJc w:val="left"/>
      <w:pPr>
        <w:tabs>
          <w:tab w:val="num" w:pos="6171"/>
        </w:tabs>
        <w:ind w:left="6171" w:hanging="360"/>
      </w:pPr>
    </w:lvl>
    <w:lvl w:ilvl="8" w:tplc="0415001B" w:tentative="1">
      <w:start w:val="1"/>
      <w:numFmt w:val="lowerRoman"/>
      <w:lvlText w:val="%9."/>
      <w:lvlJc w:val="right"/>
      <w:pPr>
        <w:tabs>
          <w:tab w:val="num" w:pos="6891"/>
        </w:tabs>
        <w:ind w:left="6891" w:hanging="180"/>
      </w:pPr>
    </w:lvl>
  </w:abstractNum>
  <w:abstractNum w:abstractNumId="24" w15:restartNumberingAfterBreak="0">
    <w:nsid w:val="4E5855D9"/>
    <w:multiLevelType w:val="hybridMultilevel"/>
    <w:tmpl w:val="77DA5396"/>
    <w:lvl w:ilvl="0" w:tplc="66F8B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19042BD"/>
    <w:multiLevelType w:val="hybridMultilevel"/>
    <w:tmpl w:val="99E43FC2"/>
    <w:lvl w:ilvl="0" w:tplc="04150001">
      <w:start w:val="1"/>
      <w:numFmt w:val="bullet"/>
      <w:lvlText w:val=""/>
      <w:lvlJc w:val="left"/>
      <w:pPr>
        <w:ind w:left="750" w:hanging="360"/>
      </w:pPr>
      <w:rPr>
        <w:rFonts w:ascii="Symbol" w:hAnsi="Symbol"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26" w15:restartNumberingAfterBreak="0">
    <w:nsid w:val="52997643"/>
    <w:multiLevelType w:val="hybridMultilevel"/>
    <w:tmpl w:val="63B0D29C"/>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29A23BE"/>
    <w:multiLevelType w:val="hybridMultilevel"/>
    <w:tmpl w:val="D58279BE"/>
    <w:lvl w:ilvl="0" w:tplc="04150017">
      <w:start w:val="1"/>
      <w:numFmt w:val="lowerLetter"/>
      <w:lvlText w:val="%1)"/>
      <w:lvlJc w:val="left"/>
      <w:pPr>
        <w:tabs>
          <w:tab w:val="num" w:pos="720"/>
        </w:tabs>
        <w:ind w:left="720" w:hanging="360"/>
      </w:pPr>
    </w:lvl>
    <w:lvl w:ilvl="1" w:tplc="3BAC8996">
      <w:numFmt w:val="bullet"/>
      <w:lvlText w:val="-"/>
      <w:lvlJc w:val="left"/>
      <w:pPr>
        <w:tabs>
          <w:tab w:val="num" w:pos="1851"/>
        </w:tabs>
        <w:ind w:left="1851" w:hanging="360"/>
      </w:pPr>
      <w:rPr>
        <w:rFonts w:ascii="Times New Roman" w:eastAsia="Times New Roman" w:hAnsi="Times New Roman" w:cs="Times New Roman" w:hint="default"/>
      </w:rPr>
    </w:lvl>
    <w:lvl w:ilvl="2" w:tplc="0415001B" w:tentative="1">
      <w:start w:val="1"/>
      <w:numFmt w:val="lowerRoman"/>
      <w:lvlText w:val="%3."/>
      <w:lvlJc w:val="right"/>
      <w:pPr>
        <w:tabs>
          <w:tab w:val="num" w:pos="2571"/>
        </w:tabs>
        <w:ind w:left="2571" w:hanging="180"/>
      </w:pPr>
    </w:lvl>
    <w:lvl w:ilvl="3" w:tplc="0415000F" w:tentative="1">
      <w:start w:val="1"/>
      <w:numFmt w:val="decimal"/>
      <w:lvlText w:val="%4."/>
      <w:lvlJc w:val="left"/>
      <w:pPr>
        <w:tabs>
          <w:tab w:val="num" w:pos="3291"/>
        </w:tabs>
        <w:ind w:left="3291" w:hanging="360"/>
      </w:pPr>
    </w:lvl>
    <w:lvl w:ilvl="4" w:tplc="04150019" w:tentative="1">
      <w:start w:val="1"/>
      <w:numFmt w:val="lowerLetter"/>
      <w:lvlText w:val="%5."/>
      <w:lvlJc w:val="left"/>
      <w:pPr>
        <w:tabs>
          <w:tab w:val="num" w:pos="4011"/>
        </w:tabs>
        <w:ind w:left="4011" w:hanging="360"/>
      </w:pPr>
    </w:lvl>
    <w:lvl w:ilvl="5" w:tplc="0415001B" w:tentative="1">
      <w:start w:val="1"/>
      <w:numFmt w:val="lowerRoman"/>
      <w:lvlText w:val="%6."/>
      <w:lvlJc w:val="right"/>
      <w:pPr>
        <w:tabs>
          <w:tab w:val="num" w:pos="4731"/>
        </w:tabs>
        <w:ind w:left="4731" w:hanging="180"/>
      </w:pPr>
    </w:lvl>
    <w:lvl w:ilvl="6" w:tplc="0415000F" w:tentative="1">
      <w:start w:val="1"/>
      <w:numFmt w:val="decimal"/>
      <w:lvlText w:val="%7."/>
      <w:lvlJc w:val="left"/>
      <w:pPr>
        <w:tabs>
          <w:tab w:val="num" w:pos="5451"/>
        </w:tabs>
        <w:ind w:left="5451" w:hanging="360"/>
      </w:pPr>
    </w:lvl>
    <w:lvl w:ilvl="7" w:tplc="04150019" w:tentative="1">
      <w:start w:val="1"/>
      <w:numFmt w:val="lowerLetter"/>
      <w:lvlText w:val="%8."/>
      <w:lvlJc w:val="left"/>
      <w:pPr>
        <w:tabs>
          <w:tab w:val="num" w:pos="6171"/>
        </w:tabs>
        <w:ind w:left="6171" w:hanging="360"/>
      </w:pPr>
    </w:lvl>
    <w:lvl w:ilvl="8" w:tplc="0415001B" w:tentative="1">
      <w:start w:val="1"/>
      <w:numFmt w:val="lowerRoman"/>
      <w:lvlText w:val="%9."/>
      <w:lvlJc w:val="right"/>
      <w:pPr>
        <w:tabs>
          <w:tab w:val="num" w:pos="6891"/>
        </w:tabs>
        <w:ind w:left="6891" w:hanging="180"/>
      </w:pPr>
    </w:lvl>
  </w:abstractNum>
  <w:abstractNum w:abstractNumId="28" w15:restartNumberingAfterBreak="0">
    <w:nsid w:val="61B76A07"/>
    <w:multiLevelType w:val="hybridMultilevel"/>
    <w:tmpl w:val="A1D28C6C"/>
    <w:lvl w:ilvl="0" w:tplc="66F8B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2465739"/>
    <w:multiLevelType w:val="hybridMultilevel"/>
    <w:tmpl w:val="B73E4D80"/>
    <w:lvl w:ilvl="0" w:tplc="A4BA20E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65BC2318"/>
    <w:multiLevelType w:val="hybridMultilevel"/>
    <w:tmpl w:val="13FE3834"/>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69C46288"/>
    <w:multiLevelType w:val="hybridMultilevel"/>
    <w:tmpl w:val="AF166ACC"/>
    <w:lvl w:ilvl="0" w:tplc="66F8B6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F8F0D92"/>
    <w:multiLevelType w:val="hybridMultilevel"/>
    <w:tmpl w:val="1960B812"/>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15:restartNumberingAfterBreak="0">
    <w:nsid w:val="702B5FC7"/>
    <w:multiLevelType w:val="hybridMultilevel"/>
    <w:tmpl w:val="704217E2"/>
    <w:lvl w:ilvl="0" w:tplc="C79649D0">
      <w:start w:val="1"/>
      <w:numFmt w:val="bullet"/>
      <w:lvlText w:val=""/>
      <w:lvlJc w:val="left"/>
      <w:pPr>
        <w:tabs>
          <w:tab w:val="num" w:pos="1210"/>
        </w:tabs>
        <w:ind w:left="1210" w:hanging="360"/>
      </w:pPr>
      <w:rPr>
        <w:rFonts w:ascii="Symbol" w:hAnsi="Symbol" w:hint="default"/>
      </w:rPr>
    </w:lvl>
    <w:lvl w:ilvl="1" w:tplc="04150003" w:tentative="1">
      <w:start w:val="1"/>
      <w:numFmt w:val="bullet"/>
      <w:lvlText w:val="o"/>
      <w:lvlJc w:val="left"/>
      <w:pPr>
        <w:tabs>
          <w:tab w:val="num" w:pos="1930"/>
        </w:tabs>
        <w:ind w:left="1930" w:hanging="360"/>
      </w:pPr>
      <w:rPr>
        <w:rFonts w:ascii="Courier New" w:hAnsi="Courier New" w:hint="default"/>
      </w:rPr>
    </w:lvl>
    <w:lvl w:ilvl="2" w:tplc="04150005" w:tentative="1">
      <w:start w:val="1"/>
      <w:numFmt w:val="bullet"/>
      <w:lvlText w:val=""/>
      <w:lvlJc w:val="left"/>
      <w:pPr>
        <w:tabs>
          <w:tab w:val="num" w:pos="2650"/>
        </w:tabs>
        <w:ind w:left="2650" w:hanging="360"/>
      </w:pPr>
      <w:rPr>
        <w:rFonts w:ascii="Wingdings" w:hAnsi="Wingdings" w:hint="default"/>
      </w:rPr>
    </w:lvl>
    <w:lvl w:ilvl="3" w:tplc="04150001" w:tentative="1">
      <w:start w:val="1"/>
      <w:numFmt w:val="bullet"/>
      <w:lvlText w:val=""/>
      <w:lvlJc w:val="left"/>
      <w:pPr>
        <w:tabs>
          <w:tab w:val="num" w:pos="3370"/>
        </w:tabs>
        <w:ind w:left="3370" w:hanging="360"/>
      </w:pPr>
      <w:rPr>
        <w:rFonts w:ascii="Symbol" w:hAnsi="Symbol" w:hint="default"/>
      </w:rPr>
    </w:lvl>
    <w:lvl w:ilvl="4" w:tplc="04150003" w:tentative="1">
      <w:start w:val="1"/>
      <w:numFmt w:val="bullet"/>
      <w:lvlText w:val="o"/>
      <w:lvlJc w:val="left"/>
      <w:pPr>
        <w:tabs>
          <w:tab w:val="num" w:pos="4090"/>
        </w:tabs>
        <w:ind w:left="4090" w:hanging="360"/>
      </w:pPr>
      <w:rPr>
        <w:rFonts w:ascii="Courier New" w:hAnsi="Courier New" w:hint="default"/>
      </w:rPr>
    </w:lvl>
    <w:lvl w:ilvl="5" w:tplc="04150005" w:tentative="1">
      <w:start w:val="1"/>
      <w:numFmt w:val="bullet"/>
      <w:lvlText w:val=""/>
      <w:lvlJc w:val="left"/>
      <w:pPr>
        <w:tabs>
          <w:tab w:val="num" w:pos="4810"/>
        </w:tabs>
        <w:ind w:left="4810" w:hanging="360"/>
      </w:pPr>
      <w:rPr>
        <w:rFonts w:ascii="Wingdings" w:hAnsi="Wingdings" w:hint="default"/>
      </w:rPr>
    </w:lvl>
    <w:lvl w:ilvl="6" w:tplc="04150001" w:tentative="1">
      <w:start w:val="1"/>
      <w:numFmt w:val="bullet"/>
      <w:lvlText w:val=""/>
      <w:lvlJc w:val="left"/>
      <w:pPr>
        <w:tabs>
          <w:tab w:val="num" w:pos="5530"/>
        </w:tabs>
        <w:ind w:left="5530" w:hanging="360"/>
      </w:pPr>
      <w:rPr>
        <w:rFonts w:ascii="Symbol" w:hAnsi="Symbol" w:hint="default"/>
      </w:rPr>
    </w:lvl>
    <w:lvl w:ilvl="7" w:tplc="04150003" w:tentative="1">
      <w:start w:val="1"/>
      <w:numFmt w:val="bullet"/>
      <w:lvlText w:val="o"/>
      <w:lvlJc w:val="left"/>
      <w:pPr>
        <w:tabs>
          <w:tab w:val="num" w:pos="6250"/>
        </w:tabs>
        <w:ind w:left="6250" w:hanging="360"/>
      </w:pPr>
      <w:rPr>
        <w:rFonts w:ascii="Courier New" w:hAnsi="Courier New" w:hint="default"/>
      </w:rPr>
    </w:lvl>
    <w:lvl w:ilvl="8" w:tplc="04150005" w:tentative="1">
      <w:start w:val="1"/>
      <w:numFmt w:val="bullet"/>
      <w:lvlText w:val=""/>
      <w:lvlJc w:val="left"/>
      <w:pPr>
        <w:tabs>
          <w:tab w:val="num" w:pos="6970"/>
        </w:tabs>
        <w:ind w:left="6970" w:hanging="360"/>
      </w:pPr>
      <w:rPr>
        <w:rFonts w:ascii="Wingdings" w:hAnsi="Wingdings" w:hint="default"/>
      </w:rPr>
    </w:lvl>
  </w:abstractNum>
  <w:abstractNum w:abstractNumId="34" w15:restartNumberingAfterBreak="0">
    <w:nsid w:val="78AC3AC8"/>
    <w:multiLevelType w:val="hybridMultilevel"/>
    <w:tmpl w:val="5784E986"/>
    <w:lvl w:ilvl="0" w:tplc="4E986E6A">
      <w:start w:val="1"/>
      <w:numFmt w:val="decimal"/>
      <w:lvlText w:val="%1."/>
      <w:lvlJc w:val="left"/>
      <w:pPr>
        <w:ind w:left="10673" w:hanging="4860"/>
      </w:pPr>
      <w:rPr>
        <w:rFonts w:ascii="Arial" w:hAnsi="Aria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A920DCA"/>
    <w:multiLevelType w:val="hybridMultilevel"/>
    <w:tmpl w:val="467C71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4"/>
  </w:num>
  <w:num w:numId="2">
    <w:abstractNumId w:val="15"/>
  </w:num>
  <w:num w:numId="3">
    <w:abstractNumId w:val="0"/>
  </w:num>
  <w:num w:numId="4">
    <w:abstractNumId w:val="13"/>
  </w:num>
  <w:num w:numId="5">
    <w:abstractNumId w:val="1"/>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6"/>
  </w:num>
  <w:num w:numId="10">
    <w:abstractNumId w:val="12"/>
  </w:num>
  <w:num w:numId="11">
    <w:abstractNumId w:val="29"/>
  </w:num>
  <w:num w:numId="12">
    <w:abstractNumId w:val="27"/>
  </w:num>
  <w:num w:numId="13">
    <w:abstractNumId w:val="33"/>
  </w:num>
  <w:num w:numId="14">
    <w:abstractNumId w:val="11"/>
  </w:num>
  <w:num w:numId="15">
    <w:abstractNumId w:val="26"/>
  </w:num>
  <w:num w:numId="16">
    <w:abstractNumId w:val="35"/>
  </w:num>
  <w:num w:numId="17">
    <w:abstractNumId w:val="28"/>
  </w:num>
  <w:num w:numId="18">
    <w:abstractNumId w:val="14"/>
  </w:num>
  <w:num w:numId="19">
    <w:abstractNumId w:val="3"/>
  </w:num>
  <w:num w:numId="20">
    <w:abstractNumId w:val="7"/>
  </w:num>
  <w:num w:numId="21">
    <w:abstractNumId w:val="31"/>
  </w:num>
  <w:num w:numId="22">
    <w:abstractNumId w:val="25"/>
  </w:num>
  <w:num w:numId="23">
    <w:abstractNumId w:val="6"/>
  </w:num>
  <w:num w:numId="24">
    <w:abstractNumId w:val="18"/>
  </w:num>
  <w:num w:numId="25">
    <w:abstractNumId w:val="9"/>
  </w:num>
  <w:num w:numId="26">
    <w:abstractNumId w:val="10"/>
  </w:num>
  <w:num w:numId="27">
    <w:abstractNumId w:val="24"/>
  </w:num>
  <w:num w:numId="28">
    <w:abstractNumId w:val="17"/>
  </w:num>
  <w:num w:numId="29">
    <w:abstractNumId w:val="19"/>
  </w:num>
  <w:num w:numId="30">
    <w:abstractNumId w:val="23"/>
  </w:num>
  <w:num w:numId="31">
    <w:abstractNumId w:val="5"/>
  </w:num>
  <w:num w:numId="32">
    <w:abstractNumId w:val="8"/>
  </w:num>
  <w:num w:numId="33">
    <w:abstractNumId w:val="22"/>
  </w:num>
  <w:num w:numId="34">
    <w:abstractNumId w:val="30"/>
  </w:num>
  <w:num w:numId="35">
    <w:abstractNumId w:val="2"/>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560"/>
    <w:rsid w:val="0001613A"/>
    <w:rsid w:val="00034596"/>
    <w:rsid w:val="00096273"/>
    <w:rsid w:val="000A0996"/>
    <w:rsid w:val="000C1EA7"/>
    <w:rsid w:val="000C3D5C"/>
    <w:rsid w:val="000C5F35"/>
    <w:rsid w:val="000D6371"/>
    <w:rsid w:val="000E0465"/>
    <w:rsid w:val="000F66BD"/>
    <w:rsid w:val="001508E2"/>
    <w:rsid w:val="00164C8E"/>
    <w:rsid w:val="00182E70"/>
    <w:rsid w:val="0018402C"/>
    <w:rsid w:val="001B79A1"/>
    <w:rsid w:val="001E099B"/>
    <w:rsid w:val="001E0BCB"/>
    <w:rsid w:val="001E2EF3"/>
    <w:rsid w:val="001F7C94"/>
    <w:rsid w:val="002267A4"/>
    <w:rsid w:val="002431A4"/>
    <w:rsid w:val="002712A1"/>
    <w:rsid w:val="00272163"/>
    <w:rsid w:val="002927CD"/>
    <w:rsid w:val="00295367"/>
    <w:rsid w:val="002A3106"/>
    <w:rsid w:val="002A5072"/>
    <w:rsid w:val="002A64F8"/>
    <w:rsid w:val="002B75AF"/>
    <w:rsid w:val="002F4BBA"/>
    <w:rsid w:val="00304581"/>
    <w:rsid w:val="00307F6A"/>
    <w:rsid w:val="003224FC"/>
    <w:rsid w:val="0033568D"/>
    <w:rsid w:val="00335E58"/>
    <w:rsid w:val="00343757"/>
    <w:rsid w:val="00347C43"/>
    <w:rsid w:val="00371F60"/>
    <w:rsid w:val="00375029"/>
    <w:rsid w:val="0038479B"/>
    <w:rsid w:val="00397F0F"/>
    <w:rsid w:val="003B6004"/>
    <w:rsid w:val="003E3957"/>
    <w:rsid w:val="003F7336"/>
    <w:rsid w:val="00403E5D"/>
    <w:rsid w:val="00420442"/>
    <w:rsid w:val="0042386B"/>
    <w:rsid w:val="00444CD6"/>
    <w:rsid w:val="004812E7"/>
    <w:rsid w:val="00481697"/>
    <w:rsid w:val="004A22DD"/>
    <w:rsid w:val="004A2B40"/>
    <w:rsid w:val="004A6C78"/>
    <w:rsid w:val="004D61DD"/>
    <w:rsid w:val="004E2DA7"/>
    <w:rsid w:val="004F335E"/>
    <w:rsid w:val="00520845"/>
    <w:rsid w:val="00530BC9"/>
    <w:rsid w:val="00531586"/>
    <w:rsid w:val="0057017E"/>
    <w:rsid w:val="00582510"/>
    <w:rsid w:val="00584081"/>
    <w:rsid w:val="00593B67"/>
    <w:rsid w:val="005C3AF4"/>
    <w:rsid w:val="005C7626"/>
    <w:rsid w:val="005E239C"/>
    <w:rsid w:val="005E2968"/>
    <w:rsid w:val="006147E2"/>
    <w:rsid w:val="0061582F"/>
    <w:rsid w:val="00626287"/>
    <w:rsid w:val="006351C4"/>
    <w:rsid w:val="00676967"/>
    <w:rsid w:val="00686965"/>
    <w:rsid w:val="006B25B1"/>
    <w:rsid w:val="006E1CE8"/>
    <w:rsid w:val="006F2618"/>
    <w:rsid w:val="00702B1C"/>
    <w:rsid w:val="00710246"/>
    <w:rsid w:val="00712D37"/>
    <w:rsid w:val="007245F9"/>
    <w:rsid w:val="00735034"/>
    <w:rsid w:val="00744B5B"/>
    <w:rsid w:val="00776BA4"/>
    <w:rsid w:val="007A2982"/>
    <w:rsid w:val="007A3F8C"/>
    <w:rsid w:val="007C2C53"/>
    <w:rsid w:val="007D2884"/>
    <w:rsid w:val="007D5180"/>
    <w:rsid w:val="007F11C3"/>
    <w:rsid w:val="007F32E1"/>
    <w:rsid w:val="008045F3"/>
    <w:rsid w:val="00825AAD"/>
    <w:rsid w:val="0082730A"/>
    <w:rsid w:val="008665B9"/>
    <w:rsid w:val="00877951"/>
    <w:rsid w:val="0088796C"/>
    <w:rsid w:val="008C338C"/>
    <w:rsid w:val="008D6607"/>
    <w:rsid w:val="009034EF"/>
    <w:rsid w:val="00914D99"/>
    <w:rsid w:val="009179D5"/>
    <w:rsid w:val="009373DF"/>
    <w:rsid w:val="00941165"/>
    <w:rsid w:val="009764D3"/>
    <w:rsid w:val="009851B3"/>
    <w:rsid w:val="009924E9"/>
    <w:rsid w:val="00993FC8"/>
    <w:rsid w:val="009C3F4E"/>
    <w:rsid w:val="009C5C13"/>
    <w:rsid w:val="009C5C2E"/>
    <w:rsid w:val="009D4976"/>
    <w:rsid w:val="009E36E4"/>
    <w:rsid w:val="00A0169C"/>
    <w:rsid w:val="00A04C97"/>
    <w:rsid w:val="00A45A50"/>
    <w:rsid w:val="00A86A95"/>
    <w:rsid w:val="00A95C85"/>
    <w:rsid w:val="00AB7601"/>
    <w:rsid w:val="00AC2AB1"/>
    <w:rsid w:val="00AE76B6"/>
    <w:rsid w:val="00B21F50"/>
    <w:rsid w:val="00B3771C"/>
    <w:rsid w:val="00B42184"/>
    <w:rsid w:val="00B43478"/>
    <w:rsid w:val="00B554DF"/>
    <w:rsid w:val="00B67E0C"/>
    <w:rsid w:val="00B751E8"/>
    <w:rsid w:val="00B911F0"/>
    <w:rsid w:val="00BC67A1"/>
    <w:rsid w:val="00BE36B1"/>
    <w:rsid w:val="00C008AA"/>
    <w:rsid w:val="00C05D23"/>
    <w:rsid w:val="00C26792"/>
    <w:rsid w:val="00C50666"/>
    <w:rsid w:val="00C57672"/>
    <w:rsid w:val="00C75472"/>
    <w:rsid w:val="00CD35DD"/>
    <w:rsid w:val="00CD60B2"/>
    <w:rsid w:val="00CD770C"/>
    <w:rsid w:val="00CF4A23"/>
    <w:rsid w:val="00D222ED"/>
    <w:rsid w:val="00D43956"/>
    <w:rsid w:val="00D60310"/>
    <w:rsid w:val="00D62051"/>
    <w:rsid w:val="00D67E91"/>
    <w:rsid w:val="00D74CB5"/>
    <w:rsid w:val="00D811AC"/>
    <w:rsid w:val="00D9607E"/>
    <w:rsid w:val="00DC2983"/>
    <w:rsid w:val="00DC7AEF"/>
    <w:rsid w:val="00E01EE9"/>
    <w:rsid w:val="00E20592"/>
    <w:rsid w:val="00E4736E"/>
    <w:rsid w:val="00E539F9"/>
    <w:rsid w:val="00E821F8"/>
    <w:rsid w:val="00EA46DF"/>
    <w:rsid w:val="00EB1E41"/>
    <w:rsid w:val="00EC00C8"/>
    <w:rsid w:val="00EC033A"/>
    <w:rsid w:val="00EC3A68"/>
    <w:rsid w:val="00ED4B3F"/>
    <w:rsid w:val="00EF001E"/>
    <w:rsid w:val="00EF0F2B"/>
    <w:rsid w:val="00EF7560"/>
    <w:rsid w:val="00F02EA3"/>
    <w:rsid w:val="00F22536"/>
    <w:rsid w:val="00F30554"/>
    <w:rsid w:val="00F61BED"/>
    <w:rsid w:val="00F90FE6"/>
    <w:rsid w:val="00F95373"/>
    <w:rsid w:val="00FA6B32"/>
    <w:rsid w:val="00FC2C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C77DC7"/>
  <w15:chartTrackingRefBased/>
  <w15:docId w15:val="{FAFCD985-CB67-45D9-A568-4F02C8DCD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F7560"/>
  </w:style>
  <w:style w:type="paragraph" w:styleId="Nagwek3">
    <w:name w:val="heading 3"/>
    <w:basedOn w:val="Normalny"/>
    <w:next w:val="Normalny"/>
    <w:link w:val="Nagwek3Znak"/>
    <w:qFormat/>
    <w:rsid w:val="00EF7560"/>
    <w:pPr>
      <w:overflowPunct w:val="0"/>
      <w:autoSpaceDE w:val="0"/>
      <w:autoSpaceDN w:val="0"/>
      <w:adjustRightInd w:val="0"/>
      <w:spacing w:before="360" w:after="120" w:line="360" w:lineRule="atLeast"/>
      <w:ind w:left="794" w:hanging="794"/>
      <w:textAlignment w:val="baseline"/>
      <w:outlineLvl w:val="2"/>
    </w:pPr>
    <w:rPr>
      <w:rFonts w:ascii="Arial" w:eastAsia="Times New Roman" w:hAnsi="Arial" w:cs="Times New Roman"/>
      <w:b/>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EF7560"/>
    <w:rPr>
      <w:rFonts w:ascii="Arial" w:eastAsia="Times New Roman" w:hAnsi="Arial" w:cs="Times New Roman"/>
      <w:b/>
      <w:sz w:val="24"/>
      <w:szCs w:val="20"/>
      <w:lang w:eastAsia="pl-PL"/>
    </w:rPr>
  </w:style>
  <w:style w:type="character" w:styleId="Numerstrony">
    <w:name w:val="page number"/>
    <w:basedOn w:val="Domylnaczcionkaakapitu"/>
    <w:rsid w:val="00EF7560"/>
  </w:style>
  <w:style w:type="paragraph" w:styleId="Stopka">
    <w:name w:val="footer"/>
    <w:basedOn w:val="Normalny"/>
    <w:link w:val="StopkaZnak"/>
    <w:uiPriority w:val="99"/>
    <w:rsid w:val="00EF7560"/>
    <w:pPr>
      <w:overflowPunct w:val="0"/>
      <w:autoSpaceDE w:val="0"/>
      <w:autoSpaceDN w:val="0"/>
      <w:adjustRightInd w:val="0"/>
      <w:spacing w:after="120" w:line="340" w:lineRule="atLeast"/>
      <w:jc w:val="center"/>
      <w:textAlignment w:val="baseline"/>
    </w:pPr>
    <w:rPr>
      <w:rFonts w:ascii="Arial" w:eastAsia="Times New Roman" w:hAnsi="Arial" w:cs="Arial"/>
      <w:szCs w:val="20"/>
      <w:lang w:eastAsia="pl-PL"/>
    </w:rPr>
  </w:style>
  <w:style w:type="character" w:customStyle="1" w:styleId="StopkaZnak">
    <w:name w:val="Stopka Znak"/>
    <w:basedOn w:val="Domylnaczcionkaakapitu"/>
    <w:link w:val="Stopka"/>
    <w:uiPriority w:val="99"/>
    <w:rsid w:val="00EF7560"/>
    <w:rPr>
      <w:rFonts w:ascii="Arial" w:eastAsia="Times New Roman" w:hAnsi="Arial" w:cs="Arial"/>
      <w:szCs w:val="20"/>
      <w:lang w:eastAsia="pl-PL"/>
    </w:rPr>
  </w:style>
  <w:style w:type="paragraph" w:styleId="Tytu">
    <w:name w:val="Title"/>
    <w:basedOn w:val="Normalny"/>
    <w:link w:val="TytuZnak"/>
    <w:qFormat/>
    <w:rsid w:val="00EF7560"/>
    <w:pPr>
      <w:overflowPunct w:val="0"/>
      <w:autoSpaceDE w:val="0"/>
      <w:autoSpaceDN w:val="0"/>
      <w:adjustRightInd w:val="0"/>
      <w:spacing w:after="60" w:line="240" w:lineRule="auto"/>
      <w:jc w:val="center"/>
      <w:textAlignment w:val="baseline"/>
    </w:pPr>
    <w:rPr>
      <w:rFonts w:ascii="Times New Roman" w:eastAsia="Times New Roman" w:hAnsi="Times New Roman" w:cs="Times New Roman"/>
      <w:sz w:val="28"/>
      <w:szCs w:val="20"/>
      <w:lang w:eastAsia="pl-PL"/>
    </w:rPr>
  </w:style>
  <w:style w:type="character" w:customStyle="1" w:styleId="TytuZnak">
    <w:name w:val="Tytuł Znak"/>
    <w:basedOn w:val="Domylnaczcionkaakapitu"/>
    <w:link w:val="Tytu"/>
    <w:rsid w:val="00EF7560"/>
    <w:rPr>
      <w:rFonts w:ascii="Times New Roman" w:eastAsia="Times New Roman" w:hAnsi="Times New Roman" w:cs="Times New Roman"/>
      <w:sz w:val="28"/>
      <w:szCs w:val="20"/>
      <w:lang w:eastAsia="pl-PL"/>
    </w:rPr>
  </w:style>
  <w:style w:type="paragraph" w:styleId="Akapitzlist">
    <w:name w:val="List Paragraph"/>
    <w:aliases w:val="BulletC,Wyliczanie,List Paragraph,List Paragraph1,Numerowanie"/>
    <w:basedOn w:val="Normalny"/>
    <w:link w:val="AkapitzlistZnak"/>
    <w:uiPriority w:val="34"/>
    <w:qFormat/>
    <w:rsid w:val="00EF7560"/>
    <w:pPr>
      <w:overflowPunct w:val="0"/>
      <w:autoSpaceDE w:val="0"/>
      <w:autoSpaceDN w:val="0"/>
      <w:adjustRightInd w:val="0"/>
      <w:spacing w:after="120" w:line="360" w:lineRule="atLeast"/>
      <w:ind w:left="720"/>
      <w:contextualSpacing/>
      <w:jc w:val="both"/>
      <w:textAlignment w:val="baseline"/>
    </w:pPr>
    <w:rPr>
      <w:rFonts w:ascii="Arial" w:eastAsia="Times New Roman" w:hAnsi="Arial" w:cs="Times New Roman"/>
      <w:szCs w:val="20"/>
      <w:lang w:eastAsia="pl-PL"/>
    </w:rPr>
  </w:style>
  <w:style w:type="paragraph" w:customStyle="1" w:styleId="Default">
    <w:name w:val="Default"/>
    <w:rsid w:val="00EF7560"/>
    <w:pPr>
      <w:autoSpaceDE w:val="0"/>
      <w:autoSpaceDN w:val="0"/>
      <w:adjustRightInd w:val="0"/>
      <w:spacing w:after="0" w:line="240" w:lineRule="auto"/>
    </w:pPr>
    <w:rPr>
      <w:rFonts w:ascii="Arial" w:hAnsi="Arial" w:cs="Arial"/>
      <w:color w:val="000000"/>
      <w:sz w:val="24"/>
      <w:szCs w:val="24"/>
    </w:rPr>
  </w:style>
  <w:style w:type="character" w:customStyle="1" w:styleId="AkapitzlistZnak">
    <w:name w:val="Akapit z listą Znak"/>
    <w:aliases w:val="BulletC Znak,Wyliczanie Znak,List Paragraph Znak,List Paragraph1 Znak,Numerowanie Znak"/>
    <w:link w:val="Akapitzlist"/>
    <w:uiPriority w:val="34"/>
    <w:qFormat/>
    <w:rsid w:val="00EF7560"/>
    <w:rPr>
      <w:rFonts w:ascii="Arial" w:eastAsia="Times New Roman" w:hAnsi="Arial" w:cs="Times New Roman"/>
      <w:szCs w:val="20"/>
      <w:lang w:eastAsia="pl-PL"/>
    </w:rPr>
  </w:style>
  <w:style w:type="paragraph" w:styleId="Nagwek">
    <w:name w:val="header"/>
    <w:basedOn w:val="Normalny"/>
    <w:link w:val="NagwekZnak"/>
    <w:uiPriority w:val="99"/>
    <w:unhideWhenUsed/>
    <w:rsid w:val="00EF75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F7560"/>
  </w:style>
  <w:style w:type="paragraph" w:customStyle="1" w:styleId="Tekst">
    <w:name w:val="Tekst"/>
    <w:basedOn w:val="Normalny"/>
    <w:link w:val="TekstZnak"/>
    <w:rsid w:val="00EF7560"/>
    <w:pPr>
      <w:spacing w:after="120" w:line="360" w:lineRule="atLeast"/>
    </w:pPr>
    <w:rPr>
      <w:rFonts w:ascii="Arial" w:eastAsia="Times New Roman" w:hAnsi="Arial" w:cs="Arial"/>
      <w:lang w:eastAsia="pl-PL"/>
    </w:rPr>
  </w:style>
  <w:style w:type="character" w:customStyle="1" w:styleId="TekstZnak">
    <w:name w:val="Tekst Znak"/>
    <w:link w:val="Tekst"/>
    <w:rsid w:val="00EF7560"/>
    <w:rPr>
      <w:rFonts w:ascii="Arial" w:eastAsia="Times New Roman" w:hAnsi="Arial" w:cs="Arial"/>
      <w:lang w:eastAsia="pl-PL"/>
    </w:rPr>
  </w:style>
  <w:style w:type="paragraph" w:customStyle="1" w:styleId="podrozdzia">
    <w:name w:val="podrozdział"/>
    <w:basedOn w:val="Nagwek3"/>
    <w:uiPriority w:val="99"/>
    <w:rsid w:val="00EF7560"/>
    <w:pPr>
      <w:tabs>
        <w:tab w:val="left" w:pos="8505"/>
      </w:tabs>
      <w:spacing w:before="240" w:after="240"/>
      <w:ind w:left="0" w:firstLine="0"/>
    </w:pPr>
    <w:rPr>
      <w:rFonts w:cs="Arial"/>
    </w:rPr>
  </w:style>
  <w:style w:type="paragraph" w:customStyle="1" w:styleId="footnotedescription">
    <w:name w:val="footnote description"/>
    <w:next w:val="Normalny"/>
    <w:link w:val="footnotedescriptionChar"/>
    <w:hidden/>
    <w:rsid w:val="00EF7560"/>
    <w:pPr>
      <w:spacing w:after="0" w:line="281" w:lineRule="auto"/>
      <w:ind w:left="10"/>
    </w:pPr>
    <w:rPr>
      <w:rFonts w:ascii="Arial" w:eastAsia="Arial" w:hAnsi="Arial" w:cs="Arial"/>
      <w:color w:val="000000"/>
      <w:sz w:val="18"/>
      <w:lang w:eastAsia="pl-PL"/>
    </w:rPr>
  </w:style>
  <w:style w:type="character" w:customStyle="1" w:styleId="footnotedescriptionChar">
    <w:name w:val="footnote description Char"/>
    <w:link w:val="footnotedescription"/>
    <w:rsid w:val="00EF7560"/>
    <w:rPr>
      <w:rFonts w:ascii="Arial" w:eastAsia="Arial" w:hAnsi="Arial" w:cs="Arial"/>
      <w:color w:val="000000"/>
      <w:sz w:val="18"/>
      <w:lang w:eastAsia="pl-PL"/>
    </w:rPr>
  </w:style>
  <w:style w:type="character" w:customStyle="1" w:styleId="footnotemark">
    <w:name w:val="footnote mark"/>
    <w:hidden/>
    <w:rsid w:val="00EF7560"/>
    <w:rPr>
      <w:rFonts w:ascii="Arial" w:eastAsia="Arial" w:hAnsi="Arial" w:cs="Arial"/>
      <w:color w:val="000000"/>
      <w:sz w:val="18"/>
      <w:vertAlign w:val="superscript"/>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Footnote Text OCR,footnote text"/>
    <w:basedOn w:val="Normalny"/>
    <w:link w:val="TekstprzypisudolnegoZnak"/>
    <w:uiPriority w:val="99"/>
    <w:unhideWhenUsed/>
    <w:rsid w:val="00EF7560"/>
    <w:pPr>
      <w:spacing w:after="0" w:line="240" w:lineRule="auto"/>
      <w:ind w:left="20" w:right="147" w:hanging="10"/>
    </w:pPr>
    <w:rPr>
      <w:rFonts w:ascii="Arial" w:eastAsia="Arial" w:hAnsi="Arial" w:cs="Arial"/>
      <w:color w:val="000000"/>
      <w:sz w:val="20"/>
      <w:szCs w:val="20"/>
      <w:lang w:eastAsia="pl-PL"/>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footnote text Znak"/>
    <w:basedOn w:val="Domylnaczcionkaakapitu"/>
    <w:link w:val="Tekstprzypisudolnego"/>
    <w:uiPriority w:val="99"/>
    <w:rsid w:val="00EF7560"/>
    <w:rPr>
      <w:rFonts w:ascii="Arial" w:eastAsia="Arial" w:hAnsi="Arial" w:cs="Arial"/>
      <w:color w:val="000000"/>
      <w:sz w:val="20"/>
      <w:szCs w:val="20"/>
      <w:lang w:eastAsia="pl-PL"/>
    </w:rPr>
  </w:style>
  <w:style w:type="character" w:styleId="Odwoanieprzypisudolnego">
    <w:name w:val="footnote reference"/>
    <w:basedOn w:val="Domylnaczcionkaakapitu"/>
    <w:uiPriority w:val="99"/>
    <w:unhideWhenUsed/>
    <w:rsid w:val="00EF7560"/>
    <w:rPr>
      <w:vertAlign w:val="superscript"/>
    </w:rPr>
  </w:style>
  <w:style w:type="paragraph" w:customStyle="1" w:styleId="akapit1">
    <w:name w:val="akapit1"/>
    <w:basedOn w:val="Normalny"/>
    <w:next w:val="Normalny"/>
    <w:rsid w:val="003B6004"/>
    <w:pPr>
      <w:overflowPunct w:val="0"/>
      <w:autoSpaceDE w:val="0"/>
      <w:autoSpaceDN w:val="0"/>
      <w:adjustRightInd w:val="0"/>
      <w:spacing w:before="480" w:after="120" w:line="360" w:lineRule="atLeast"/>
      <w:ind w:firstLine="425"/>
      <w:jc w:val="both"/>
      <w:textAlignment w:val="baseline"/>
    </w:pPr>
    <w:rPr>
      <w:rFonts w:ascii="Arial" w:eastAsia="Times New Roman" w:hAnsi="Arial" w:cs="Times New Roman"/>
      <w:szCs w:val="20"/>
      <w:lang w:eastAsia="pl-PL"/>
    </w:rPr>
  </w:style>
  <w:style w:type="table" w:customStyle="1" w:styleId="TableGrid">
    <w:name w:val="TableGrid"/>
    <w:rsid w:val="003B6004"/>
    <w:pPr>
      <w:spacing w:after="0" w:line="240" w:lineRule="auto"/>
    </w:pPr>
    <w:rPr>
      <w:rFonts w:eastAsiaTheme="minorEastAsia"/>
      <w:lang w:eastAsia="pl-PL"/>
    </w:rPr>
    <w:tblPr>
      <w:tblCellMar>
        <w:top w:w="0" w:type="dxa"/>
        <w:left w:w="0" w:type="dxa"/>
        <w:bottom w:w="0" w:type="dxa"/>
        <w:right w:w="0" w:type="dxa"/>
      </w:tblCellMar>
    </w:tblPr>
  </w:style>
  <w:style w:type="paragraph" w:customStyle="1" w:styleId="akapit">
    <w:name w:val="akapit"/>
    <w:basedOn w:val="Normalny"/>
    <w:rsid w:val="00C57672"/>
    <w:pPr>
      <w:overflowPunct w:val="0"/>
      <w:autoSpaceDE w:val="0"/>
      <w:autoSpaceDN w:val="0"/>
      <w:adjustRightInd w:val="0"/>
      <w:spacing w:after="120" w:line="340" w:lineRule="atLeast"/>
      <w:ind w:firstLine="425"/>
      <w:jc w:val="both"/>
      <w:textAlignment w:val="baseline"/>
    </w:pPr>
    <w:rPr>
      <w:rFonts w:ascii="Arial" w:eastAsia="Times New Roman" w:hAnsi="Arial" w:cs="Arial"/>
      <w:sz w:val="24"/>
      <w:szCs w:val="20"/>
      <w:lang w:eastAsia="pl-PL"/>
    </w:rPr>
  </w:style>
  <w:style w:type="paragraph" w:customStyle="1" w:styleId="pktmyslnw2">
    <w:name w:val="pkt mysln w2"/>
    <w:basedOn w:val="Normalny"/>
    <w:rsid w:val="00C57672"/>
    <w:pPr>
      <w:tabs>
        <w:tab w:val="left" w:pos="1134"/>
      </w:tabs>
      <w:overflowPunct w:val="0"/>
      <w:autoSpaceDE w:val="0"/>
      <w:autoSpaceDN w:val="0"/>
      <w:adjustRightInd w:val="0"/>
      <w:spacing w:after="120" w:line="360" w:lineRule="atLeast"/>
      <w:ind w:left="1134" w:hanging="284"/>
      <w:jc w:val="both"/>
      <w:textAlignment w:val="baseline"/>
    </w:pPr>
    <w:rPr>
      <w:rFonts w:ascii="Arial" w:eastAsia="Times New Roman" w:hAnsi="Arial" w:cs="Times New Roman"/>
      <w:szCs w:val="20"/>
      <w:lang w:eastAsia="pl-PL"/>
    </w:rPr>
  </w:style>
  <w:style w:type="paragraph" w:styleId="Tekstdymka">
    <w:name w:val="Balloon Text"/>
    <w:basedOn w:val="Normalny"/>
    <w:link w:val="TekstdymkaZnak"/>
    <w:uiPriority w:val="99"/>
    <w:semiHidden/>
    <w:unhideWhenUsed/>
    <w:rsid w:val="007C2C5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2C53"/>
    <w:rPr>
      <w:rFonts w:ascii="Segoe UI" w:hAnsi="Segoe UI" w:cs="Segoe UI"/>
      <w:sz w:val="18"/>
      <w:szCs w:val="18"/>
    </w:rPr>
  </w:style>
  <w:style w:type="paragraph" w:styleId="Poprawka">
    <w:name w:val="Revision"/>
    <w:hidden/>
    <w:uiPriority w:val="99"/>
    <w:semiHidden/>
    <w:rsid w:val="000C1EA7"/>
    <w:pPr>
      <w:spacing w:after="0" w:line="240" w:lineRule="auto"/>
    </w:pPr>
  </w:style>
  <w:style w:type="character" w:styleId="Odwoaniedokomentarza">
    <w:name w:val="annotation reference"/>
    <w:basedOn w:val="Domylnaczcionkaakapitu"/>
    <w:uiPriority w:val="99"/>
    <w:semiHidden/>
    <w:unhideWhenUsed/>
    <w:rsid w:val="00F61BED"/>
    <w:rPr>
      <w:sz w:val="16"/>
      <w:szCs w:val="16"/>
    </w:rPr>
  </w:style>
  <w:style w:type="paragraph" w:styleId="Tekstkomentarza">
    <w:name w:val="annotation text"/>
    <w:basedOn w:val="Normalny"/>
    <w:link w:val="TekstkomentarzaZnak"/>
    <w:uiPriority w:val="99"/>
    <w:semiHidden/>
    <w:unhideWhenUsed/>
    <w:rsid w:val="00F61BE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61BED"/>
    <w:rPr>
      <w:sz w:val="20"/>
      <w:szCs w:val="20"/>
    </w:rPr>
  </w:style>
  <w:style w:type="paragraph" w:styleId="Tematkomentarza">
    <w:name w:val="annotation subject"/>
    <w:basedOn w:val="Tekstkomentarza"/>
    <w:next w:val="Tekstkomentarza"/>
    <w:link w:val="TematkomentarzaZnak"/>
    <w:uiPriority w:val="99"/>
    <w:semiHidden/>
    <w:unhideWhenUsed/>
    <w:rsid w:val="00F61BED"/>
    <w:rPr>
      <w:b/>
      <w:bCs/>
    </w:rPr>
  </w:style>
  <w:style w:type="character" w:customStyle="1" w:styleId="TematkomentarzaZnak">
    <w:name w:val="Temat komentarza Znak"/>
    <w:basedOn w:val="TekstkomentarzaZnak"/>
    <w:link w:val="Tematkomentarza"/>
    <w:uiPriority w:val="99"/>
    <w:semiHidden/>
    <w:rsid w:val="00F61B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883861">
      <w:bodyDiv w:val="1"/>
      <w:marLeft w:val="0"/>
      <w:marRight w:val="0"/>
      <w:marTop w:val="0"/>
      <w:marBottom w:val="0"/>
      <w:divBdr>
        <w:top w:val="none" w:sz="0" w:space="0" w:color="auto"/>
        <w:left w:val="none" w:sz="0" w:space="0" w:color="auto"/>
        <w:bottom w:val="none" w:sz="0" w:space="0" w:color="auto"/>
        <w:right w:val="none" w:sz="0" w:space="0" w:color="auto"/>
      </w:divBdr>
    </w:div>
    <w:div w:id="1002898073">
      <w:bodyDiv w:val="1"/>
      <w:marLeft w:val="0"/>
      <w:marRight w:val="0"/>
      <w:marTop w:val="0"/>
      <w:marBottom w:val="0"/>
      <w:divBdr>
        <w:top w:val="none" w:sz="0" w:space="0" w:color="auto"/>
        <w:left w:val="none" w:sz="0" w:space="0" w:color="auto"/>
        <w:bottom w:val="none" w:sz="0" w:space="0" w:color="auto"/>
        <w:right w:val="none" w:sz="0" w:space="0" w:color="auto"/>
      </w:divBdr>
    </w:div>
    <w:div w:id="1010058761">
      <w:bodyDiv w:val="1"/>
      <w:marLeft w:val="0"/>
      <w:marRight w:val="0"/>
      <w:marTop w:val="0"/>
      <w:marBottom w:val="0"/>
      <w:divBdr>
        <w:top w:val="none" w:sz="0" w:space="0" w:color="auto"/>
        <w:left w:val="none" w:sz="0" w:space="0" w:color="auto"/>
        <w:bottom w:val="none" w:sz="0" w:space="0" w:color="auto"/>
        <w:right w:val="none" w:sz="0" w:space="0" w:color="auto"/>
      </w:divBdr>
    </w:div>
    <w:div w:id="1259099159">
      <w:bodyDiv w:val="1"/>
      <w:marLeft w:val="0"/>
      <w:marRight w:val="0"/>
      <w:marTop w:val="0"/>
      <w:marBottom w:val="0"/>
      <w:divBdr>
        <w:top w:val="none" w:sz="0" w:space="0" w:color="auto"/>
        <w:left w:val="none" w:sz="0" w:space="0" w:color="auto"/>
        <w:bottom w:val="none" w:sz="0" w:space="0" w:color="auto"/>
        <w:right w:val="none" w:sz="0" w:space="0" w:color="auto"/>
      </w:divBdr>
    </w:div>
    <w:div w:id="183791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39D5-456F-4D91-8CB4-ADF3F780A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8503</Words>
  <Characters>51018</Characters>
  <Application>Microsoft Office Word</Application>
  <DocSecurity>0</DocSecurity>
  <Lines>425</Lines>
  <Paragraphs>118</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59403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Gawron Mariusz</dc:creator>
  <cp:keywords/>
  <dc:description/>
  <cp:lastModifiedBy>Grażyna D. Grabowska</cp:lastModifiedBy>
  <cp:revision>2</cp:revision>
  <cp:lastPrinted>2023-06-07T07:17:00Z</cp:lastPrinted>
  <dcterms:created xsi:type="dcterms:W3CDTF">2023-06-09T19:47:00Z</dcterms:created>
  <dcterms:modified xsi:type="dcterms:W3CDTF">2023-06-09T19:47:00Z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UxC4dwLulzfINJ8nQH+xvX5LNGipWa4BRSZhPgxsCvlZGcQBzlmZX7uhty2EQx/BJR2uA0qci53IaVAvoCuAvg==</vt:lpwstr>
  </property>
  <property fmtid="{D5CDD505-2E9C-101B-9397-08002B2CF9AE}" pid="4" name="MFClassificationDate">
    <vt:lpwstr>2023-05-15T14:52:06.7013360+02:00</vt:lpwstr>
  </property>
  <property fmtid="{D5CDD505-2E9C-101B-9397-08002B2CF9AE}" pid="5" name="MFClassifiedBySID">
    <vt:lpwstr>UxC4dwLulzfINJ8nQH+xvX5LNGipWa4BRSZhPgxsCvm42mrIC/DSDv0ggS+FjUN/2v1BBotkLlY5aAiEhoi6uV5Tj7ZfpbYMkamC2RUdmV6h+DRnL6lJHEKvfqNq0DKR</vt:lpwstr>
  </property>
  <property fmtid="{D5CDD505-2E9C-101B-9397-08002B2CF9AE}" pid="6" name="MFGRNItemId">
    <vt:lpwstr>GRN-809286dc-9ca6-459b-b76c-5e2242b29a52</vt:lpwstr>
  </property>
  <property fmtid="{D5CDD505-2E9C-101B-9397-08002B2CF9AE}" pid="7" name="MFHash">
    <vt:lpwstr>o0Rhr0MhLKe7Uo6Opg5K7X2qLBMAflEMl6uLOy6exZ8=</vt:lpwstr>
  </property>
  <property fmtid="{D5CDD505-2E9C-101B-9397-08002B2CF9AE}" pid="8" name="DLPManualFileClassification">
    <vt:lpwstr>{5fdfc941-3fcf-4a5b-87be-4848800d39d0}</vt:lpwstr>
  </property>
  <property fmtid="{D5CDD505-2E9C-101B-9397-08002B2CF9AE}" pid="9" name="MFRefresh">
    <vt:lpwstr>False</vt:lpwstr>
  </property>
</Properties>
</file>